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4CD3">
      <w:pPr>
        <w:jc w:val="center"/>
        <w:rPr>
          <w:rFonts w:ascii="Times New Roman" w:hAnsi="Times New Roman" w:eastAsia="黑体"/>
          <w:b/>
          <w:bCs/>
          <w:sz w:val="32"/>
          <w:szCs w:val="32"/>
        </w:rPr>
      </w:pPr>
      <w:bookmarkStart w:id="0" w:name="_Toc481651147"/>
      <w:r>
        <w:rPr>
          <w:rFonts w:ascii="Times New Roman" w:hAnsi="Times New Roman" w:eastAsia="黑体"/>
          <w:b/>
          <w:bCs/>
          <w:sz w:val="32"/>
          <w:szCs w:val="32"/>
        </w:rPr>
        <w:t>《</w:t>
      </w:r>
      <w:r>
        <w:rPr>
          <w:rFonts w:hint="eastAsia" w:ascii="Times New Roman" w:hAnsi="Times New Roman" w:eastAsia="黑体"/>
          <w:b/>
          <w:bCs/>
          <w:sz w:val="32"/>
          <w:szCs w:val="32"/>
        </w:rPr>
        <w:t>钢筋混凝土用HRB700热轧带肋钢筋</w:t>
      </w:r>
      <w:r>
        <w:rPr>
          <w:rFonts w:ascii="Times New Roman" w:hAnsi="Times New Roman" w:eastAsia="黑体"/>
          <w:b/>
          <w:bCs/>
          <w:sz w:val="32"/>
          <w:szCs w:val="32"/>
        </w:rPr>
        <w:t>》</w:t>
      </w:r>
    </w:p>
    <w:p w14:paraId="28976983">
      <w:pPr>
        <w:jc w:val="center"/>
        <w:rPr>
          <w:rFonts w:ascii="Times New Roman" w:hAnsi="Times New Roman" w:eastAsia="黑体"/>
          <w:b/>
          <w:bCs/>
          <w:sz w:val="32"/>
          <w:szCs w:val="32"/>
        </w:rPr>
      </w:pPr>
      <w:r>
        <w:rPr>
          <w:rFonts w:ascii="Times New Roman" w:hAnsi="Times New Roman" w:eastAsia="黑体"/>
          <w:b/>
          <w:bCs/>
          <w:sz w:val="32"/>
          <w:szCs w:val="32"/>
        </w:rPr>
        <w:t>团体标准编制说明</w:t>
      </w:r>
    </w:p>
    <w:p w14:paraId="53B7944A">
      <w:pPr>
        <w:jc w:val="center"/>
        <w:rPr>
          <w:rFonts w:ascii="Times New Roman" w:hAnsi="Times New Roman" w:eastAsia="黑体"/>
          <w:b/>
          <w:bCs/>
          <w:sz w:val="32"/>
          <w:szCs w:val="32"/>
        </w:rPr>
      </w:pPr>
    </w:p>
    <w:bookmarkEnd w:id="0"/>
    <w:p w14:paraId="44C0C295">
      <w:pPr>
        <w:keepNext/>
        <w:keepLines/>
        <w:spacing w:line="360" w:lineRule="auto"/>
        <w:outlineLvl w:val="0"/>
        <w:rPr>
          <w:rFonts w:ascii="Times New Roman" w:hAnsi="Times New Roman" w:eastAsia="仿宋_GB2312"/>
          <w:b/>
          <w:kern w:val="44"/>
          <w:sz w:val="28"/>
          <w:szCs w:val="28"/>
        </w:rPr>
      </w:pPr>
      <w:r>
        <w:rPr>
          <w:rFonts w:ascii="Times New Roman" w:hAnsi="Times New Roman" w:eastAsia="仿宋_GB2312"/>
          <w:b/>
          <w:kern w:val="44"/>
          <w:sz w:val="28"/>
          <w:szCs w:val="28"/>
        </w:rPr>
        <w:t>一、任务来源</w:t>
      </w:r>
    </w:p>
    <w:p w14:paraId="31F5B6F4">
      <w:pPr>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w:t>
      </w:r>
      <w:r>
        <w:rPr>
          <w:rFonts w:hint="eastAsia" w:ascii="Times New Roman" w:hAnsi="Times New Roman" w:eastAsia="仿宋"/>
          <w:sz w:val="28"/>
          <w:szCs w:val="28"/>
          <w:lang w:eastAsia="zh-CN"/>
        </w:rPr>
        <w:t>钢筋混凝土用HRB700热轧带肋钢筋</w:t>
      </w:r>
      <w:r>
        <w:rPr>
          <w:rFonts w:ascii="Times New Roman" w:hAnsi="Times New Roman" w:eastAsia="仿宋"/>
          <w:sz w:val="28"/>
          <w:szCs w:val="28"/>
        </w:rPr>
        <w:t>产品标准的实际需求，提出《</w:t>
      </w:r>
      <w:r>
        <w:rPr>
          <w:rFonts w:hint="eastAsia" w:ascii="Times New Roman" w:hAnsi="Times New Roman" w:eastAsia="仿宋"/>
          <w:sz w:val="28"/>
          <w:szCs w:val="28"/>
          <w:lang w:eastAsia="zh-CN"/>
        </w:rPr>
        <w:t>钢筋混凝土用HRB700热轧带肋钢筋</w:t>
      </w:r>
      <w:r>
        <w:rPr>
          <w:rFonts w:ascii="Times New Roman" w:hAnsi="Times New Roman" w:eastAsia="仿宋"/>
          <w:sz w:val="28"/>
          <w:szCs w:val="28"/>
        </w:rPr>
        <w:t>》团体标准制定项目。</w:t>
      </w:r>
    </w:p>
    <w:p w14:paraId="3A788CE7">
      <w:pPr>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本标准由中国特钢企业协会提出并归口。由</w:t>
      </w:r>
      <w:r>
        <w:rPr>
          <w:rFonts w:hint="eastAsia" w:ascii="Times New Roman" w:hAnsi="Times New Roman" w:eastAsia="仿宋"/>
          <w:sz w:val="28"/>
          <w:szCs w:val="28"/>
        </w:rPr>
        <w:t>山西建龙实业有限公司</w:t>
      </w:r>
      <w:r>
        <w:rPr>
          <w:rFonts w:ascii="Times New Roman" w:hAnsi="Times New Roman" w:eastAsia="仿宋"/>
          <w:sz w:val="28"/>
          <w:szCs w:val="28"/>
        </w:rPr>
        <w:t>、冶金工业规划研究院等起草，并共同参与前期研究、调研和标准的编制、修改、技术数据验证以及标准推广等工作。</w:t>
      </w:r>
    </w:p>
    <w:p w14:paraId="3DC240BA">
      <w:pPr>
        <w:keepNext/>
        <w:keepLines/>
        <w:spacing w:line="360" w:lineRule="auto"/>
        <w:outlineLvl w:val="0"/>
        <w:rPr>
          <w:rFonts w:ascii="Times New Roman" w:hAnsi="Times New Roman" w:eastAsia="仿宋_GB2312"/>
          <w:b/>
          <w:kern w:val="44"/>
          <w:sz w:val="28"/>
          <w:szCs w:val="28"/>
        </w:rPr>
      </w:pPr>
      <w:r>
        <w:rPr>
          <w:rFonts w:ascii="Times New Roman" w:hAnsi="Times New Roman" w:eastAsia="仿宋_GB2312"/>
          <w:b/>
          <w:kern w:val="44"/>
          <w:sz w:val="28"/>
          <w:szCs w:val="28"/>
        </w:rPr>
        <w:t>二、制定本标准的目的和意义</w:t>
      </w:r>
    </w:p>
    <w:p w14:paraId="42482AB4">
      <w:pPr>
        <w:spacing w:line="360" w:lineRule="auto"/>
        <w:ind w:firstLine="560" w:firstLineChars="200"/>
        <w:rPr>
          <w:rFonts w:hint="eastAsia" w:ascii="Times New Roman" w:hAnsi="Times New Roman" w:eastAsia="仿宋"/>
          <w:sz w:val="28"/>
          <w:szCs w:val="28"/>
        </w:rPr>
      </w:pPr>
      <w:r>
        <w:rPr>
          <w:rFonts w:hint="eastAsia" w:ascii="Times New Roman" w:hAnsi="Times New Roman" w:eastAsia="仿宋"/>
          <w:sz w:val="28"/>
          <w:szCs w:val="28"/>
        </w:rPr>
        <w:t>我国钢筋占钢铁总产量的25%左右，提高钢筋的档次、质量和稳定性，将推动钢铁“减量化”应用，支撑建筑业的转型升级；同时，缓解钢铁生产的资源、能源和环境制约，对我国钢铁工业的加快实现由注重规模扩张向注重品质质量效益转变具有十分重要意义。700MPa级热轧带肋钢筋，即HRB700，作为更加节材节能的产品，在建筑工程中推广应用，是加快转变经济发展方式的有效途径，是建设资源节约型、环境友好型社会的重要举措，对推动钢铁工业和建筑业结构调整、转型升级具有重大意义。目前国内先进的钢筋企业已开发生产了HRB700热轧带肋钢筋产品，但现行国家标准GB/T 1499.2-2018《钢筋混凝土用钢 第2部分：热轧带肋钢筋》和即将实施的GB 1499.2-2024中未包括屈服强度700MPa牌号，企业根据自身技术特点和不同下游用户要求，对该产品制定各自的企业标准。为规范HRB700热轧带肋钢筋的产品质量，有必要对该产品进行标准规范。</w:t>
      </w:r>
    </w:p>
    <w:p w14:paraId="291F79F8">
      <w:pPr>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为进一步完善钢筋混凝土用热轧带肋钢筋标准体系，山西建龙实业有限公司向中国特钢企业协会团标委提出牵头开展《钢筋混凝土用HRB700热轧带肋钢筋》团体标准制定工作，邀请下游用户共同开展标准编制，将下游客户重点关注指标及时纳入标准，指导满足新需求的热轧带肋钢筋产品生产制造，为建筑领域提供高质量钢材原材料</w:t>
      </w:r>
      <w:r>
        <w:rPr>
          <w:rFonts w:ascii="Times New Roman" w:hAnsi="Times New Roman" w:eastAsia="仿宋"/>
          <w:sz w:val="28"/>
          <w:szCs w:val="28"/>
        </w:rPr>
        <w:t>。</w:t>
      </w:r>
    </w:p>
    <w:p w14:paraId="3796DAE3">
      <w:pPr>
        <w:keepNext/>
        <w:keepLines/>
        <w:spacing w:line="360" w:lineRule="auto"/>
        <w:outlineLvl w:val="0"/>
        <w:rPr>
          <w:rFonts w:ascii="Times New Roman" w:hAnsi="Times New Roman" w:eastAsia="仿宋_GB2312"/>
          <w:b/>
          <w:kern w:val="44"/>
          <w:sz w:val="28"/>
          <w:szCs w:val="28"/>
        </w:rPr>
      </w:pPr>
      <w:r>
        <w:rPr>
          <w:rFonts w:ascii="Times New Roman" w:hAnsi="Times New Roman" w:eastAsia="仿宋_GB2312"/>
          <w:b/>
          <w:kern w:val="44"/>
          <w:sz w:val="28"/>
          <w:szCs w:val="28"/>
        </w:rPr>
        <w:t>三、标准编制过程</w:t>
      </w:r>
    </w:p>
    <w:p w14:paraId="31580E5B">
      <w:pPr>
        <w:spacing w:line="360" w:lineRule="auto"/>
        <w:ind w:firstLine="560" w:firstLineChars="200"/>
        <w:rPr>
          <w:rFonts w:ascii="Times New Roman" w:hAnsi="Times New Roman" w:eastAsia="仿宋_GB2312"/>
          <w:sz w:val="28"/>
          <w:szCs w:val="28"/>
        </w:rPr>
      </w:pPr>
      <w:r>
        <w:rPr>
          <w:rFonts w:hint="eastAsia" w:ascii="Times New Roman" w:hAnsi="Times New Roman" w:eastAsia="仿宋"/>
          <w:sz w:val="28"/>
          <w:szCs w:val="28"/>
        </w:rPr>
        <w:t>山西建龙实业有限公司</w:t>
      </w:r>
      <w:r>
        <w:rPr>
          <w:rFonts w:ascii="Times New Roman" w:hAnsi="Times New Roman" w:eastAsia="仿宋"/>
          <w:sz w:val="28"/>
          <w:szCs w:val="28"/>
        </w:rPr>
        <w:t>、冶金工业规划研究院</w:t>
      </w:r>
      <w:r>
        <w:rPr>
          <w:rFonts w:ascii="Times New Roman" w:hAnsi="Times New Roman" w:eastAsia="仿宋_GB2312"/>
          <w:sz w:val="28"/>
          <w:szCs w:val="28"/>
        </w:rPr>
        <w:t>等单位共同承担了《</w:t>
      </w:r>
      <w:r>
        <w:rPr>
          <w:rFonts w:hint="eastAsia" w:ascii="Times New Roman" w:hAnsi="Times New Roman" w:eastAsia="仿宋"/>
          <w:sz w:val="28"/>
          <w:szCs w:val="28"/>
          <w:lang w:eastAsia="zh-CN"/>
        </w:rPr>
        <w:t>钢筋混凝土用HRB700热轧带肋钢筋</w:t>
      </w:r>
      <w:r>
        <w:rPr>
          <w:rFonts w:ascii="Times New Roman" w:hAnsi="Times New Roman" w:eastAsia="仿宋_GB2312"/>
          <w:sz w:val="28"/>
          <w:szCs w:val="28"/>
        </w:rPr>
        <w:t>》团体标准的编制工作，共同组建了该团体标准起草小组，明确各自的责任和分工并开展工作。在《</w:t>
      </w:r>
      <w:r>
        <w:rPr>
          <w:rFonts w:hint="eastAsia" w:ascii="Times New Roman" w:hAnsi="Times New Roman" w:eastAsia="仿宋"/>
          <w:sz w:val="28"/>
          <w:szCs w:val="28"/>
          <w:lang w:eastAsia="zh-CN"/>
        </w:rPr>
        <w:t>钢筋混凝土用HRB700热轧带肋钢筋</w:t>
      </w:r>
      <w:r>
        <w:rPr>
          <w:rFonts w:ascii="Times New Roman" w:hAnsi="Times New Roman" w:eastAsia="仿宋_GB2312"/>
          <w:sz w:val="28"/>
          <w:szCs w:val="28"/>
        </w:rPr>
        <w:t>》标准制定过程中，起草小组认真查阅有关资料、收集相关数据信息，结合国内外</w:t>
      </w:r>
      <w:r>
        <w:rPr>
          <w:rFonts w:hint="eastAsia" w:ascii="Times New Roman" w:hAnsi="Times New Roman" w:eastAsia="仿宋"/>
          <w:sz w:val="28"/>
          <w:szCs w:val="28"/>
          <w:lang w:eastAsia="zh-CN"/>
        </w:rPr>
        <w:t>钢筋混凝土用HRB700热轧带肋钢筋</w:t>
      </w:r>
      <w:r>
        <w:rPr>
          <w:rFonts w:ascii="Times New Roman" w:hAnsi="Times New Roman" w:eastAsia="仿宋_GB2312"/>
          <w:sz w:val="28"/>
          <w:szCs w:val="28"/>
        </w:rPr>
        <w:t>生产情况，产品下游用户对</w:t>
      </w:r>
      <w:r>
        <w:rPr>
          <w:rFonts w:hint="eastAsia" w:ascii="Times New Roman" w:hAnsi="Times New Roman" w:eastAsia="仿宋"/>
          <w:sz w:val="28"/>
          <w:szCs w:val="28"/>
          <w:lang w:eastAsia="zh-CN"/>
        </w:rPr>
        <w:t>钢筋混凝土用HRB700热轧带肋钢筋</w:t>
      </w:r>
      <w:r>
        <w:rPr>
          <w:rFonts w:ascii="Times New Roman" w:hAnsi="Times New Roman" w:eastAsia="仿宋_GB2312"/>
          <w:sz w:val="28"/>
          <w:szCs w:val="28"/>
        </w:rPr>
        <w:t>的性能要求，进行本团体标准的编制工作。</w:t>
      </w:r>
    </w:p>
    <w:p w14:paraId="1A2B955F">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主要编制过程如下：</w:t>
      </w:r>
    </w:p>
    <w:p w14:paraId="150E2EF6">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202</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7</w:t>
      </w:r>
      <w:r>
        <w:rPr>
          <w:rFonts w:ascii="Times New Roman" w:hAnsi="Times New Roman" w:eastAsia="仿宋_GB2312"/>
          <w:sz w:val="28"/>
          <w:szCs w:val="28"/>
        </w:rPr>
        <w:t xml:space="preserve"> 月，中国特钢企业协会团体标准化工作委员会（以下简称团标委）秘书处给各位委员发出团体标准立项函审单。到立项函审截止日期，没有委员提出不同意见。</w:t>
      </w:r>
    </w:p>
    <w:p w14:paraId="5C2C57DA">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202</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8</w:t>
      </w:r>
      <w:r>
        <w:rPr>
          <w:rFonts w:ascii="Times New Roman" w:hAnsi="Times New Roman" w:eastAsia="仿宋_GB2312"/>
          <w:sz w:val="28"/>
          <w:szCs w:val="28"/>
        </w:rPr>
        <w:t xml:space="preserve"> 月，团标委正式下达《</w:t>
      </w:r>
      <w:r>
        <w:rPr>
          <w:rFonts w:hint="eastAsia" w:ascii="Times New Roman" w:hAnsi="Times New Roman" w:eastAsia="仿宋"/>
          <w:sz w:val="28"/>
          <w:szCs w:val="28"/>
          <w:lang w:eastAsia="zh-CN"/>
        </w:rPr>
        <w:t>钢筋混凝土用HRB700热轧带肋钢筋</w:t>
      </w:r>
      <w:r>
        <w:rPr>
          <w:rFonts w:ascii="Times New Roman" w:hAnsi="Times New Roman" w:eastAsia="仿宋_GB2312"/>
          <w:sz w:val="28"/>
          <w:szCs w:val="28"/>
        </w:rPr>
        <w:t>》团体标准立项计划。团体标准立项后，</w:t>
      </w:r>
      <w:r>
        <w:rPr>
          <w:rFonts w:ascii="Times New Roman" w:hAnsi="Times New Roman" w:eastAsia="仿宋"/>
          <w:sz w:val="28"/>
          <w:szCs w:val="28"/>
        </w:rPr>
        <w:t>冶金工业规划研究院、</w:t>
      </w:r>
      <w:r>
        <w:rPr>
          <w:rFonts w:hint="eastAsia" w:ascii="Times New Roman" w:hAnsi="Times New Roman" w:eastAsia="仿宋"/>
          <w:sz w:val="28"/>
          <w:szCs w:val="28"/>
        </w:rPr>
        <w:t>山西建龙实业有限公司</w:t>
      </w:r>
      <w:r>
        <w:rPr>
          <w:rFonts w:ascii="Times New Roman" w:hAnsi="Times New Roman" w:eastAsia="仿宋_GB2312"/>
          <w:sz w:val="28"/>
          <w:szCs w:val="28"/>
        </w:rPr>
        <w:t>相关人员组成了标准起草组，提出了标准编制计划和任务分工，并开始标准编制工作。</w:t>
      </w:r>
    </w:p>
    <w:p w14:paraId="2C3320C9">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202</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9</w:t>
      </w:r>
      <w:r>
        <w:rPr>
          <w:rFonts w:ascii="Times New Roman" w:hAnsi="Times New Roman" w:eastAsia="仿宋_GB2312"/>
          <w:sz w:val="28"/>
          <w:szCs w:val="28"/>
        </w:rPr>
        <w:t xml:space="preserve"> 月：进行了起草标准的调研、问题分析和相关资料收集等准备工作，完成了标准制定提纲、标准草案。</w:t>
      </w:r>
    </w:p>
    <w:p w14:paraId="407D89A6">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202</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10</w:t>
      </w:r>
      <w:r>
        <w:rPr>
          <w:rFonts w:ascii="Times New Roman" w:hAnsi="Times New Roman" w:eastAsia="仿宋_GB2312"/>
          <w:sz w:val="28"/>
          <w:szCs w:val="28"/>
        </w:rPr>
        <w:t>月：召开标准启动会，围绕标准草案进行了讨论，</w:t>
      </w:r>
      <w:r>
        <w:rPr>
          <w:rFonts w:hint="eastAsia" w:ascii="Times New Roman" w:hAnsi="Times New Roman" w:eastAsia="仿宋_GB2312"/>
          <w:sz w:val="28"/>
          <w:szCs w:val="28"/>
          <w:lang w:val="en-US" w:eastAsia="zh-CN"/>
        </w:rPr>
        <w:t>得到6条修改意见，</w:t>
      </w:r>
      <w:bookmarkStart w:id="1" w:name="_GoBack"/>
      <w:bookmarkEnd w:id="1"/>
      <w:r>
        <w:rPr>
          <w:rFonts w:ascii="Times New Roman" w:hAnsi="Times New Roman" w:eastAsia="仿宋_GB2312"/>
          <w:sz w:val="28"/>
          <w:szCs w:val="28"/>
        </w:rPr>
        <w:t>并按照与会意见和建议进行了修改。</w:t>
      </w:r>
    </w:p>
    <w:p w14:paraId="2B167BD9">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2024年</w:t>
      </w:r>
      <w:r>
        <w:rPr>
          <w:rFonts w:hint="eastAsia" w:ascii="Times New Roman" w:hAnsi="Times New Roman" w:eastAsia="仿宋_GB2312"/>
          <w:sz w:val="28"/>
          <w:szCs w:val="28"/>
          <w:lang w:val="en-US" w:eastAsia="zh-CN"/>
        </w:rPr>
        <w:t>11</w:t>
      </w:r>
      <w:r>
        <w:rPr>
          <w:rFonts w:ascii="Times New Roman" w:hAnsi="Times New Roman" w:eastAsia="仿宋_GB2312"/>
          <w:sz w:val="28"/>
          <w:szCs w:val="28"/>
        </w:rPr>
        <w:t>月：形成征求意见稿并发出征求意见。</w:t>
      </w:r>
    </w:p>
    <w:p w14:paraId="189A05CE">
      <w:pPr>
        <w:spacing w:line="560" w:lineRule="exact"/>
        <w:ind w:firstLine="560"/>
        <w:contextualSpacing/>
        <w:rPr>
          <w:rFonts w:ascii="Times New Roman" w:hAnsi="Times New Roman" w:eastAsia="仿宋_GB2312"/>
          <w:sz w:val="28"/>
          <w:szCs w:val="28"/>
        </w:rPr>
      </w:pPr>
      <w:r>
        <w:rPr>
          <w:rFonts w:ascii="Times New Roman" w:hAnsi="Times New Roman" w:eastAsia="仿宋_GB2312"/>
          <w:sz w:val="28"/>
          <w:szCs w:val="28"/>
        </w:rPr>
        <w:t>2024年  月：完成征求意见处理、形成标准送审稿。</w:t>
      </w:r>
    </w:p>
    <w:p w14:paraId="67DD7EBC">
      <w:pPr>
        <w:spacing w:line="560" w:lineRule="exact"/>
        <w:ind w:firstLine="560"/>
        <w:contextualSpacing/>
        <w:rPr>
          <w:rFonts w:ascii="Times New Roman" w:hAnsi="Times New Roman" w:eastAsia="仿宋_GB2312"/>
          <w:sz w:val="28"/>
          <w:szCs w:val="28"/>
        </w:rPr>
      </w:pPr>
      <w:r>
        <w:rPr>
          <w:rFonts w:ascii="Times New Roman" w:hAnsi="Times New Roman" w:eastAsia="仿宋_GB2312"/>
          <w:sz w:val="28"/>
          <w:szCs w:val="28"/>
        </w:rPr>
        <w:t>2024年  月：完成该标准审定会，根据审定意见修改。</w:t>
      </w:r>
    </w:p>
    <w:p w14:paraId="3753D667">
      <w:pPr>
        <w:spacing w:line="560" w:lineRule="exact"/>
        <w:ind w:firstLine="560"/>
        <w:contextualSpacing/>
        <w:rPr>
          <w:rFonts w:ascii="Times New Roman" w:hAnsi="Times New Roman" w:eastAsia="仿宋_GB2312"/>
          <w:sz w:val="28"/>
          <w:szCs w:val="28"/>
        </w:rPr>
      </w:pPr>
      <w:r>
        <w:rPr>
          <w:rFonts w:ascii="Times New Roman" w:hAnsi="Times New Roman" w:eastAsia="仿宋_GB2312"/>
          <w:sz w:val="28"/>
          <w:szCs w:val="28"/>
        </w:rPr>
        <w:t>2024年  月：完成标准报批稿，上报中国特钢企业协会审批。</w:t>
      </w:r>
    </w:p>
    <w:p w14:paraId="2654FAAC">
      <w:pPr>
        <w:keepNext/>
        <w:keepLines/>
        <w:spacing w:line="360" w:lineRule="auto"/>
        <w:outlineLvl w:val="0"/>
        <w:rPr>
          <w:rFonts w:ascii="Times New Roman" w:hAnsi="Times New Roman" w:eastAsia="仿宋_GB2312"/>
          <w:b/>
          <w:kern w:val="44"/>
          <w:sz w:val="28"/>
          <w:szCs w:val="28"/>
        </w:rPr>
      </w:pPr>
      <w:r>
        <w:rPr>
          <w:rFonts w:ascii="Times New Roman" w:hAnsi="Times New Roman" w:eastAsia="仿宋_GB2312"/>
          <w:b/>
          <w:kern w:val="44"/>
          <w:sz w:val="28"/>
          <w:szCs w:val="28"/>
        </w:rPr>
        <w:t>四、标准编制原则</w:t>
      </w:r>
    </w:p>
    <w:p w14:paraId="25215661">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一是满足用户使用需要的原则。力争达到“科学、合理、先进、实用”。二是实践标准供给侧改革的原则。争取实现团体标准的“及时性”、“先进性”和“市场性”的要求。三是技术创新的原则。在与国家标准体系协调一致的基础上，在标准结构、内容及主要技术指标等方面进行技术创新，在标准中充分体现新产品的技术特点。</w:t>
      </w:r>
    </w:p>
    <w:p w14:paraId="0AFB7C11">
      <w:pPr>
        <w:keepNext/>
        <w:keepLines/>
        <w:spacing w:line="360" w:lineRule="auto"/>
        <w:outlineLvl w:val="0"/>
        <w:rPr>
          <w:rFonts w:ascii="Times New Roman" w:hAnsi="Times New Roman" w:eastAsia="仿宋_GB2312"/>
          <w:b/>
          <w:kern w:val="44"/>
          <w:sz w:val="28"/>
          <w:szCs w:val="28"/>
        </w:rPr>
      </w:pPr>
      <w:r>
        <w:rPr>
          <w:rFonts w:ascii="Times New Roman" w:hAnsi="Times New Roman" w:eastAsia="仿宋_GB2312"/>
          <w:b/>
          <w:kern w:val="44"/>
          <w:sz w:val="28"/>
          <w:szCs w:val="28"/>
        </w:rPr>
        <w:t>五、主要技术内容</w:t>
      </w:r>
    </w:p>
    <w:p w14:paraId="6CD34DD2">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（一）标准编写格式</w:t>
      </w:r>
    </w:p>
    <w:p w14:paraId="015D7398">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本文件内容符合GB/T 1.1-2020的规定。</w:t>
      </w:r>
    </w:p>
    <w:p w14:paraId="17B5239E">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（二）适用范围</w:t>
      </w:r>
    </w:p>
    <w:p w14:paraId="5A59BE2B">
      <w:pPr>
        <w:spacing w:line="360" w:lineRule="auto"/>
        <w:ind w:firstLine="700" w:firstLineChars="250"/>
        <w:rPr>
          <w:rFonts w:hint="eastAsia" w:ascii="Times New Roman" w:hAnsi="Times New Roman" w:eastAsia="仿宋"/>
          <w:sz w:val="28"/>
          <w:szCs w:val="28"/>
        </w:rPr>
      </w:pPr>
      <w:r>
        <w:rPr>
          <w:rFonts w:hint="eastAsia" w:ascii="Times New Roman" w:hAnsi="Times New Roman" w:eastAsia="仿宋"/>
          <w:sz w:val="28"/>
          <w:szCs w:val="28"/>
          <w:lang w:val="en-US" w:eastAsia="zh-CN"/>
        </w:rPr>
        <w:t>按照讨论会建议</w:t>
      </w:r>
      <w:r>
        <w:rPr>
          <w:rFonts w:hint="eastAsia" w:ascii="Times New Roman" w:hAnsi="Times New Roman" w:eastAsia="仿宋"/>
          <w:sz w:val="28"/>
          <w:szCs w:val="28"/>
        </w:rPr>
        <w:t>本文件</w:t>
      </w:r>
      <w:r>
        <w:rPr>
          <w:rFonts w:hint="eastAsia" w:ascii="Times New Roman" w:hAnsi="Times New Roman" w:eastAsia="仿宋"/>
          <w:sz w:val="28"/>
          <w:szCs w:val="28"/>
          <w:lang w:val="en-US" w:eastAsia="zh-CN"/>
        </w:rPr>
        <w:t>章节格式与GB 1499.2基本统一，</w:t>
      </w:r>
      <w:r>
        <w:rPr>
          <w:rFonts w:hint="eastAsia" w:ascii="Times New Roman" w:hAnsi="Times New Roman" w:eastAsia="仿宋"/>
          <w:sz w:val="28"/>
          <w:szCs w:val="28"/>
        </w:rPr>
        <w:t>规定了钢筋混凝土用HRB700热轧带肋钢筋的分类、牌号、尺寸、外形、重量及允许偏差、冶炼及性能、试验方法、检验规则、包装、标志和质量证明书。</w:t>
      </w:r>
    </w:p>
    <w:p w14:paraId="1B241E2C">
      <w:pPr>
        <w:spacing w:line="360" w:lineRule="auto"/>
        <w:ind w:firstLine="700" w:firstLineChars="250"/>
        <w:rPr>
          <w:rFonts w:ascii="Times New Roman" w:hAnsi="Times New Roman" w:eastAsia="仿宋"/>
          <w:sz w:val="28"/>
          <w:szCs w:val="28"/>
        </w:rPr>
      </w:pPr>
      <w:r>
        <w:rPr>
          <w:rFonts w:hint="eastAsia" w:ascii="Times New Roman" w:hAnsi="Times New Roman" w:eastAsia="仿宋"/>
          <w:sz w:val="28"/>
          <w:szCs w:val="28"/>
        </w:rPr>
        <w:t>本文件适用于钢筋混凝土用HRB700热轧带肋钢筋（以下简称钢筋）</w:t>
      </w:r>
      <w:r>
        <w:rPr>
          <w:rFonts w:ascii="Times New Roman" w:hAnsi="Times New Roman" w:eastAsia="仿宋"/>
          <w:sz w:val="28"/>
          <w:szCs w:val="28"/>
        </w:rPr>
        <w:t>。</w:t>
      </w:r>
    </w:p>
    <w:p w14:paraId="1143A76A">
      <w:pPr>
        <w:spacing w:line="360" w:lineRule="auto"/>
        <w:ind w:firstLine="700" w:firstLineChars="250"/>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依照讨论会意见，将ICS修正为77.140.15。</w:t>
      </w:r>
    </w:p>
    <w:p w14:paraId="53A6332F">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（三）术语和定义</w:t>
      </w:r>
    </w:p>
    <w:p w14:paraId="0F09ED02">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GB 1499.2</w:t>
      </w:r>
      <w:r>
        <w:rPr>
          <w:rFonts w:hint="eastAsia" w:ascii="Times New Roman" w:hAnsi="Times New Roman" w:eastAsia="仿宋_GB2312"/>
          <w:sz w:val="28"/>
          <w:szCs w:val="28"/>
          <w:lang w:val="en-US" w:eastAsia="zh-CN"/>
        </w:rPr>
        <w:t>界定的</w:t>
      </w:r>
      <w:r>
        <w:rPr>
          <w:rFonts w:hint="eastAsia" w:ascii="Times New Roman" w:hAnsi="Times New Roman" w:eastAsia="仿宋_GB2312"/>
          <w:sz w:val="28"/>
          <w:szCs w:val="28"/>
        </w:rPr>
        <w:t>的术语和定义适用于本文件</w:t>
      </w:r>
      <w:r>
        <w:rPr>
          <w:rFonts w:ascii="Times New Roman" w:hAnsi="Times New Roman" w:eastAsia="仿宋_GB2312"/>
          <w:sz w:val="28"/>
          <w:szCs w:val="28"/>
        </w:rPr>
        <w:t>。</w:t>
      </w:r>
    </w:p>
    <w:p w14:paraId="53330402">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（四）牌号</w:t>
      </w:r>
    </w:p>
    <w:p w14:paraId="54A01F42">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钢筋牌号的构成及其含义见表1。与GB 1499.2中热轧钢筋符号相比，</w:t>
      </w:r>
      <w:r>
        <w:rPr>
          <w:rFonts w:hint="eastAsia" w:ascii="Times New Roman" w:hAnsi="Times New Roman" w:eastAsia="仿宋_GB2312"/>
          <w:sz w:val="28"/>
          <w:szCs w:val="28"/>
          <w:lang w:val="en-US" w:eastAsia="zh-CN"/>
        </w:rPr>
        <w:t>拓展到更高强度的HRB700和HRBF700</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牌号规则与国标统一，便于使用和理解</w:t>
      </w:r>
      <w:r>
        <w:rPr>
          <w:rFonts w:ascii="Times New Roman" w:hAnsi="Times New Roman" w:eastAsia="仿宋_GB2312"/>
          <w:sz w:val="28"/>
          <w:szCs w:val="28"/>
        </w:rPr>
        <w:t>。</w:t>
      </w:r>
    </w:p>
    <w:p w14:paraId="68E7CCDC">
      <w:pPr>
        <w:pStyle w:val="18"/>
        <w:numPr>
          <w:ilvl w:val="0"/>
          <w:numId w:val="3"/>
        </w:numPr>
        <w:spacing w:before="156" w:after="156"/>
        <w:ind w:left="0"/>
        <w:rPr>
          <w:rFonts w:ascii="Times New Roman" w:eastAsia="黑体"/>
          <w:bCs/>
        </w:rPr>
      </w:pPr>
      <w:r>
        <w:rPr>
          <w:rFonts w:ascii="Times New Roman" w:eastAsia="黑体"/>
          <w:bCs/>
        </w:rPr>
        <w:t>钢筋牌号的构成及含义</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3"/>
        <w:gridCol w:w="1433"/>
        <w:gridCol w:w="2562"/>
        <w:gridCol w:w="3361"/>
      </w:tblGrid>
      <w:tr w14:paraId="18879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39" w:type="dxa"/>
            <w:vAlign w:val="center"/>
          </w:tcPr>
          <w:p w14:paraId="33BEEEF3">
            <w:pPr>
              <w:pStyle w:val="19"/>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ascii="Times New Roman"/>
                <w:sz w:val="18"/>
                <w:szCs w:val="15"/>
              </w:rPr>
            </w:pPr>
            <w:r>
              <w:rPr>
                <w:rFonts w:hint="eastAsia" w:ascii="Times New Roman"/>
                <w:sz w:val="18"/>
                <w:szCs w:val="15"/>
              </w:rPr>
              <w:t>类别</w:t>
            </w:r>
          </w:p>
        </w:tc>
        <w:tc>
          <w:tcPr>
            <w:tcW w:w="1511" w:type="dxa"/>
            <w:vAlign w:val="center"/>
          </w:tcPr>
          <w:p w14:paraId="3EE1ADC1">
            <w:pPr>
              <w:pStyle w:val="19"/>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ascii="Times New Roman"/>
                <w:sz w:val="18"/>
                <w:szCs w:val="15"/>
              </w:rPr>
            </w:pPr>
            <w:r>
              <w:rPr>
                <w:rFonts w:ascii="Times New Roman"/>
                <w:sz w:val="18"/>
                <w:szCs w:val="15"/>
              </w:rPr>
              <w:t>牌号</w:t>
            </w:r>
          </w:p>
        </w:tc>
        <w:tc>
          <w:tcPr>
            <w:tcW w:w="2940" w:type="dxa"/>
            <w:vAlign w:val="center"/>
          </w:tcPr>
          <w:p w14:paraId="72D397E8">
            <w:pPr>
              <w:pStyle w:val="19"/>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ascii="Times New Roman"/>
                <w:sz w:val="18"/>
                <w:szCs w:val="15"/>
              </w:rPr>
            </w:pPr>
            <w:r>
              <w:rPr>
                <w:rFonts w:hint="eastAsia" w:ascii="Times New Roman"/>
                <w:sz w:val="18"/>
                <w:szCs w:val="15"/>
              </w:rPr>
              <w:t>牌号构成</w:t>
            </w:r>
          </w:p>
        </w:tc>
        <w:tc>
          <w:tcPr>
            <w:tcW w:w="3780" w:type="dxa"/>
            <w:vAlign w:val="center"/>
          </w:tcPr>
          <w:p w14:paraId="3A779478">
            <w:pPr>
              <w:pStyle w:val="19"/>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ascii="Times New Roman"/>
                <w:sz w:val="18"/>
                <w:szCs w:val="15"/>
              </w:rPr>
            </w:pPr>
            <w:r>
              <w:rPr>
                <w:rFonts w:hint="eastAsia" w:ascii="Times New Roman"/>
                <w:sz w:val="18"/>
                <w:szCs w:val="15"/>
              </w:rPr>
              <w:t>英文字母含义</w:t>
            </w:r>
          </w:p>
        </w:tc>
      </w:tr>
      <w:tr w14:paraId="0FFA1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339" w:type="dxa"/>
            <w:vMerge w:val="restart"/>
            <w:vAlign w:val="center"/>
          </w:tcPr>
          <w:p w14:paraId="2594834F">
            <w:pPr>
              <w:pStyle w:val="19"/>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ascii="Times New Roman"/>
                <w:sz w:val="18"/>
                <w:szCs w:val="15"/>
                <w:highlight w:val="none"/>
              </w:rPr>
            </w:pPr>
            <w:r>
              <w:rPr>
                <w:rFonts w:hint="eastAsia" w:ascii="Times New Roman"/>
                <w:sz w:val="18"/>
                <w:szCs w:val="15"/>
                <w:highlight w:val="none"/>
              </w:rPr>
              <w:t>普通热轧钢筋</w:t>
            </w:r>
          </w:p>
        </w:tc>
        <w:tc>
          <w:tcPr>
            <w:tcW w:w="1511" w:type="dxa"/>
            <w:vAlign w:val="center"/>
          </w:tcPr>
          <w:p w14:paraId="4D7E2B37">
            <w:pPr>
              <w:pStyle w:val="19"/>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default" w:ascii="Times New Roman" w:eastAsia="宋体"/>
                <w:sz w:val="18"/>
                <w:szCs w:val="15"/>
                <w:highlight w:val="none"/>
                <w:lang w:val="en-US" w:eastAsia="zh-CN"/>
              </w:rPr>
            </w:pPr>
            <w:r>
              <w:rPr>
                <w:rFonts w:hint="eastAsia" w:ascii="Times New Roman"/>
                <w:sz w:val="18"/>
                <w:szCs w:val="15"/>
                <w:highlight w:val="none"/>
                <w:lang w:val="en-US" w:eastAsia="zh-CN"/>
              </w:rPr>
              <w:t>HRB700</w:t>
            </w:r>
          </w:p>
        </w:tc>
        <w:tc>
          <w:tcPr>
            <w:tcW w:w="2940" w:type="dxa"/>
            <w:vAlign w:val="center"/>
          </w:tcPr>
          <w:p w14:paraId="7C4CBBB0">
            <w:pPr>
              <w:pStyle w:val="19"/>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ascii="Times New Roman"/>
                <w:sz w:val="18"/>
                <w:szCs w:val="15"/>
                <w:highlight w:val="none"/>
              </w:rPr>
            </w:pPr>
            <w:r>
              <w:rPr>
                <w:rFonts w:hint="eastAsia" w:ascii="Times New Roman"/>
                <w:sz w:val="18"/>
                <w:szCs w:val="15"/>
                <w:highlight w:val="none"/>
              </w:rPr>
              <w:t>由H</w:t>
            </w:r>
            <w:r>
              <w:rPr>
                <w:rFonts w:ascii="Times New Roman"/>
                <w:sz w:val="18"/>
                <w:szCs w:val="15"/>
                <w:highlight w:val="none"/>
              </w:rPr>
              <w:t>RB+</w:t>
            </w:r>
            <w:r>
              <w:rPr>
                <w:rFonts w:hint="eastAsia" w:ascii="Times New Roman"/>
                <w:sz w:val="18"/>
                <w:szCs w:val="15"/>
                <w:highlight w:val="none"/>
              </w:rPr>
              <w:t>屈服强度特征值构成</w:t>
            </w:r>
          </w:p>
        </w:tc>
        <w:tc>
          <w:tcPr>
            <w:tcW w:w="3780" w:type="dxa"/>
            <w:vMerge w:val="restart"/>
            <w:vAlign w:val="center"/>
          </w:tcPr>
          <w:p w14:paraId="26C93F8E">
            <w:pPr>
              <w:pStyle w:val="19"/>
              <w:keepNext w:val="0"/>
              <w:keepLines w:val="0"/>
              <w:pageBreakBefore w:val="0"/>
              <w:widowControl/>
              <w:numPr>
                <w:ilvl w:val="0"/>
                <w:numId w:val="0"/>
              </w:numPr>
              <w:kinsoku/>
              <w:wordWrap/>
              <w:overflowPunct/>
              <w:topLinePunct w:val="0"/>
              <w:autoSpaceDE w:val="0"/>
              <w:autoSpaceDN w:val="0"/>
              <w:bidi w:val="0"/>
              <w:adjustRightInd/>
              <w:snapToGrid/>
              <w:ind w:left="0"/>
              <w:textAlignment w:val="auto"/>
              <w:rPr>
                <w:rFonts w:ascii="Times New Roman"/>
                <w:sz w:val="18"/>
                <w:szCs w:val="15"/>
              </w:rPr>
            </w:pPr>
            <w:r>
              <w:rPr>
                <w:rFonts w:hint="eastAsia" w:ascii="Times New Roman"/>
                <w:sz w:val="18"/>
                <w:szCs w:val="15"/>
              </w:rPr>
              <w:t>H</w:t>
            </w:r>
            <w:r>
              <w:rPr>
                <w:rFonts w:ascii="Times New Roman"/>
                <w:sz w:val="18"/>
                <w:szCs w:val="15"/>
              </w:rPr>
              <w:t>RB</w:t>
            </w:r>
            <w:r>
              <w:rPr>
                <w:rFonts w:hint="eastAsia" w:ascii="Times New Roman"/>
                <w:sz w:val="18"/>
                <w:szCs w:val="15"/>
              </w:rPr>
              <w:t>——热轧带肋钢筋的英文（</w:t>
            </w:r>
            <w:r>
              <w:rPr>
                <w:rFonts w:ascii="Times New Roman"/>
                <w:sz w:val="18"/>
                <w:szCs w:val="15"/>
              </w:rPr>
              <w:t>Hot rolled Ribbed Bars</w:t>
            </w:r>
            <w:r>
              <w:rPr>
                <w:rFonts w:hint="eastAsia" w:ascii="Times New Roman"/>
                <w:sz w:val="18"/>
                <w:szCs w:val="15"/>
              </w:rPr>
              <w:t>）缩写。</w:t>
            </w:r>
          </w:p>
          <w:p w14:paraId="119804BA">
            <w:pPr>
              <w:pStyle w:val="19"/>
              <w:keepNext w:val="0"/>
              <w:keepLines w:val="0"/>
              <w:pageBreakBefore w:val="0"/>
              <w:widowControl/>
              <w:numPr>
                <w:ilvl w:val="0"/>
                <w:numId w:val="0"/>
              </w:numPr>
              <w:kinsoku/>
              <w:wordWrap/>
              <w:overflowPunct/>
              <w:topLinePunct w:val="0"/>
              <w:autoSpaceDE w:val="0"/>
              <w:autoSpaceDN w:val="0"/>
              <w:bidi w:val="0"/>
              <w:adjustRightInd/>
              <w:snapToGrid/>
              <w:ind w:left="0"/>
              <w:textAlignment w:val="auto"/>
              <w:rPr>
                <w:rFonts w:ascii="Times New Roman"/>
                <w:sz w:val="18"/>
                <w:szCs w:val="15"/>
              </w:rPr>
            </w:pPr>
            <w:r>
              <w:rPr>
                <w:rFonts w:hint="eastAsia" w:ascii="Times New Roman"/>
                <w:sz w:val="18"/>
                <w:szCs w:val="15"/>
              </w:rPr>
              <w:t>E——“地震”的英文（Earthquake）首位字母。</w:t>
            </w:r>
          </w:p>
        </w:tc>
      </w:tr>
      <w:tr w14:paraId="7C380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39" w:type="dxa"/>
            <w:vMerge w:val="continue"/>
            <w:vAlign w:val="center"/>
          </w:tcPr>
          <w:p w14:paraId="08E12706">
            <w:pPr>
              <w:pStyle w:val="19"/>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ascii="Times New Roman"/>
                <w:sz w:val="18"/>
                <w:szCs w:val="15"/>
                <w:highlight w:val="none"/>
              </w:rPr>
            </w:pPr>
          </w:p>
        </w:tc>
        <w:tc>
          <w:tcPr>
            <w:tcW w:w="1511" w:type="dxa"/>
            <w:vAlign w:val="center"/>
          </w:tcPr>
          <w:p w14:paraId="40A2BA8A">
            <w:pPr>
              <w:pStyle w:val="19"/>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ascii="Times New Roman"/>
                <w:sz w:val="18"/>
                <w:szCs w:val="15"/>
                <w:highlight w:val="none"/>
              </w:rPr>
            </w:pPr>
            <w:r>
              <w:rPr>
                <w:rFonts w:hint="eastAsia" w:ascii="Times New Roman"/>
                <w:sz w:val="18"/>
                <w:szCs w:val="15"/>
                <w:highlight w:val="none"/>
              </w:rPr>
              <w:t>H</w:t>
            </w:r>
            <w:r>
              <w:rPr>
                <w:rFonts w:ascii="Times New Roman"/>
                <w:sz w:val="18"/>
                <w:szCs w:val="15"/>
                <w:highlight w:val="none"/>
              </w:rPr>
              <w:t>RB</w:t>
            </w:r>
            <w:r>
              <w:rPr>
                <w:rFonts w:hint="eastAsia" w:ascii="Times New Roman"/>
                <w:sz w:val="18"/>
                <w:szCs w:val="15"/>
                <w:highlight w:val="none"/>
                <w:lang w:val="en-US" w:eastAsia="zh-CN"/>
              </w:rPr>
              <w:t>700</w:t>
            </w:r>
            <w:r>
              <w:rPr>
                <w:rFonts w:ascii="Times New Roman"/>
                <w:sz w:val="18"/>
                <w:szCs w:val="15"/>
                <w:highlight w:val="none"/>
              </w:rPr>
              <w:t>E</w:t>
            </w:r>
          </w:p>
        </w:tc>
        <w:tc>
          <w:tcPr>
            <w:tcW w:w="2940" w:type="dxa"/>
            <w:vAlign w:val="center"/>
          </w:tcPr>
          <w:p w14:paraId="3DDB242A">
            <w:pPr>
              <w:pStyle w:val="19"/>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ascii="Times New Roman"/>
                <w:sz w:val="18"/>
                <w:szCs w:val="15"/>
                <w:highlight w:val="none"/>
              </w:rPr>
            </w:pPr>
            <w:r>
              <w:rPr>
                <w:rFonts w:hint="eastAsia" w:ascii="Times New Roman"/>
                <w:sz w:val="18"/>
                <w:szCs w:val="15"/>
                <w:highlight w:val="none"/>
              </w:rPr>
              <w:t>由H</w:t>
            </w:r>
            <w:r>
              <w:rPr>
                <w:rFonts w:ascii="Times New Roman"/>
                <w:sz w:val="18"/>
                <w:szCs w:val="15"/>
                <w:highlight w:val="none"/>
              </w:rPr>
              <w:t>RB+</w:t>
            </w:r>
            <w:r>
              <w:rPr>
                <w:rFonts w:hint="eastAsia" w:ascii="Times New Roman"/>
                <w:sz w:val="18"/>
                <w:szCs w:val="15"/>
                <w:highlight w:val="none"/>
              </w:rPr>
              <w:t>屈服强度特征值+</w:t>
            </w:r>
            <w:r>
              <w:rPr>
                <w:rFonts w:ascii="Times New Roman"/>
                <w:sz w:val="18"/>
                <w:szCs w:val="15"/>
                <w:highlight w:val="none"/>
              </w:rPr>
              <w:t>E</w:t>
            </w:r>
            <w:r>
              <w:rPr>
                <w:rFonts w:hint="eastAsia" w:ascii="Times New Roman"/>
                <w:sz w:val="18"/>
                <w:szCs w:val="15"/>
                <w:highlight w:val="none"/>
              </w:rPr>
              <w:t>构成</w:t>
            </w:r>
          </w:p>
        </w:tc>
        <w:tc>
          <w:tcPr>
            <w:tcW w:w="3780" w:type="dxa"/>
            <w:vMerge w:val="continue"/>
            <w:vAlign w:val="center"/>
          </w:tcPr>
          <w:p w14:paraId="1B07258B">
            <w:pPr>
              <w:pStyle w:val="19"/>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ascii="Times New Roman"/>
                <w:sz w:val="18"/>
                <w:szCs w:val="15"/>
              </w:rPr>
            </w:pPr>
          </w:p>
        </w:tc>
      </w:tr>
      <w:tr w14:paraId="75F38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39" w:type="dxa"/>
            <w:vMerge w:val="restart"/>
            <w:vAlign w:val="center"/>
          </w:tcPr>
          <w:p w14:paraId="6F2B636C">
            <w:pPr>
              <w:pStyle w:val="19"/>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Times New Roman" w:eastAsia="宋体"/>
                <w:sz w:val="18"/>
                <w:szCs w:val="15"/>
                <w:highlight w:val="none"/>
                <w:lang w:val="en-US" w:eastAsia="zh-CN"/>
              </w:rPr>
            </w:pPr>
            <w:r>
              <w:rPr>
                <w:rFonts w:hint="eastAsia" w:ascii="Times New Roman"/>
                <w:sz w:val="18"/>
                <w:szCs w:val="15"/>
                <w:highlight w:val="none"/>
                <w:lang w:val="en-US" w:eastAsia="zh-CN"/>
              </w:rPr>
              <w:t>细晶粒热轧钢筋</w:t>
            </w:r>
          </w:p>
        </w:tc>
        <w:tc>
          <w:tcPr>
            <w:tcW w:w="1511" w:type="dxa"/>
            <w:shd w:val="clear" w:color="auto" w:fill="auto"/>
            <w:vAlign w:val="center"/>
          </w:tcPr>
          <w:p w14:paraId="3A57B537">
            <w:pPr>
              <w:pStyle w:val="19"/>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eastAsia="宋体" w:cs="Times New Roman"/>
                <w:sz w:val="18"/>
                <w:szCs w:val="15"/>
                <w:highlight w:val="none"/>
                <w:lang w:val="en-US" w:eastAsia="zh-CN" w:bidi="ar-SA"/>
              </w:rPr>
            </w:pPr>
            <w:r>
              <w:rPr>
                <w:rFonts w:hint="eastAsia" w:ascii="Times New Roman"/>
                <w:sz w:val="18"/>
                <w:szCs w:val="15"/>
                <w:highlight w:val="none"/>
                <w:lang w:val="en-US" w:eastAsia="zh-CN"/>
              </w:rPr>
              <w:t>HRBF700</w:t>
            </w:r>
          </w:p>
        </w:tc>
        <w:tc>
          <w:tcPr>
            <w:tcW w:w="2940" w:type="dxa"/>
            <w:shd w:val="clear" w:color="auto" w:fill="auto"/>
            <w:vAlign w:val="center"/>
          </w:tcPr>
          <w:p w14:paraId="160EBB53">
            <w:pPr>
              <w:pStyle w:val="19"/>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eastAsia="宋体" w:cs="Times New Roman"/>
                <w:sz w:val="18"/>
                <w:szCs w:val="15"/>
                <w:highlight w:val="none"/>
                <w:lang w:val="en-US" w:eastAsia="zh-CN" w:bidi="ar-SA"/>
              </w:rPr>
            </w:pPr>
            <w:r>
              <w:rPr>
                <w:rFonts w:hint="eastAsia" w:ascii="Times New Roman"/>
                <w:sz w:val="18"/>
                <w:szCs w:val="15"/>
                <w:highlight w:val="none"/>
              </w:rPr>
              <w:t>由H</w:t>
            </w:r>
            <w:r>
              <w:rPr>
                <w:rFonts w:ascii="Times New Roman"/>
                <w:sz w:val="18"/>
                <w:szCs w:val="15"/>
                <w:highlight w:val="none"/>
              </w:rPr>
              <w:t>RB</w:t>
            </w:r>
            <w:r>
              <w:rPr>
                <w:rFonts w:hint="eastAsia" w:ascii="Times New Roman"/>
                <w:sz w:val="18"/>
                <w:szCs w:val="15"/>
                <w:highlight w:val="none"/>
                <w:lang w:val="en-US" w:eastAsia="zh-CN"/>
              </w:rPr>
              <w:t>F</w:t>
            </w:r>
            <w:r>
              <w:rPr>
                <w:rFonts w:ascii="Times New Roman"/>
                <w:sz w:val="18"/>
                <w:szCs w:val="15"/>
                <w:highlight w:val="none"/>
              </w:rPr>
              <w:t>+</w:t>
            </w:r>
            <w:r>
              <w:rPr>
                <w:rFonts w:hint="eastAsia" w:ascii="Times New Roman"/>
                <w:sz w:val="18"/>
                <w:szCs w:val="15"/>
                <w:highlight w:val="none"/>
              </w:rPr>
              <w:t>屈服强度特征值构成</w:t>
            </w:r>
          </w:p>
        </w:tc>
        <w:tc>
          <w:tcPr>
            <w:tcW w:w="3780" w:type="dxa"/>
            <w:vMerge w:val="restart"/>
            <w:vAlign w:val="center"/>
          </w:tcPr>
          <w:p w14:paraId="48300DA8">
            <w:pPr>
              <w:pStyle w:val="19"/>
              <w:keepNext w:val="0"/>
              <w:keepLines w:val="0"/>
              <w:pageBreakBefore w:val="0"/>
              <w:widowControl/>
              <w:numPr>
                <w:ilvl w:val="0"/>
                <w:numId w:val="0"/>
              </w:numPr>
              <w:kinsoku/>
              <w:wordWrap/>
              <w:overflowPunct/>
              <w:topLinePunct w:val="0"/>
              <w:autoSpaceDE w:val="0"/>
              <w:autoSpaceDN w:val="0"/>
              <w:bidi w:val="0"/>
              <w:adjustRightInd/>
              <w:snapToGrid/>
              <w:ind w:left="0"/>
              <w:textAlignment w:val="auto"/>
              <w:rPr>
                <w:rFonts w:ascii="Times New Roman"/>
                <w:sz w:val="18"/>
                <w:szCs w:val="15"/>
              </w:rPr>
            </w:pPr>
            <w:r>
              <w:rPr>
                <w:rFonts w:hint="eastAsia" w:ascii="Times New Roman"/>
                <w:sz w:val="18"/>
                <w:szCs w:val="15"/>
              </w:rPr>
              <w:t>H</w:t>
            </w:r>
            <w:r>
              <w:rPr>
                <w:rFonts w:ascii="Times New Roman"/>
                <w:sz w:val="18"/>
                <w:szCs w:val="15"/>
              </w:rPr>
              <w:t>RB</w:t>
            </w:r>
            <w:r>
              <w:rPr>
                <w:rFonts w:hint="eastAsia" w:ascii="Times New Roman"/>
                <w:sz w:val="18"/>
                <w:szCs w:val="15"/>
                <w:lang w:val="en-US" w:eastAsia="zh-CN"/>
              </w:rPr>
              <w:t>F</w:t>
            </w:r>
            <w:r>
              <w:rPr>
                <w:rFonts w:hint="eastAsia" w:ascii="Times New Roman"/>
                <w:sz w:val="18"/>
                <w:szCs w:val="15"/>
              </w:rPr>
              <w:t>——</w:t>
            </w:r>
            <w:r>
              <w:rPr>
                <w:rFonts w:hint="eastAsia" w:ascii="Times New Roman"/>
                <w:sz w:val="18"/>
                <w:szCs w:val="15"/>
                <w:lang w:val="en-US" w:eastAsia="zh-CN"/>
              </w:rPr>
              <w:t>在热轧带肋钢筋的英文缩写后加“细”的英文（Fine）首位字母</w:t>
            </w:r>
            <w:r>
              <w:rPr>
                <w:rFonts w:hint="eastAsia" w:ascii="Times New Roman"/>
                <w:sz w:val="18"/>
                <w:szCs w:val="15"/>
              </w:rPr>
              <w:t>。</w:t>
            </w:r>
          </w:p>
          <w:p w14:paraId="3B257EE8">
            <w:pPr>
              <w:pStyle w:val="19"/>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ascii="Times New Roman"/>
                <w:sz w:val="18"/>
                <w:szCs w:val="15"/>
              </w:rPr>
            </w:pPr>
            <w:r>
              <w:rPr>
                <w:rFonts w:hint="eastAsia" w:ascii="Times New Roman"/>
                <w:sz w:val="18"/>
                <w:szCs w:val="15"/>
              </w:rPr>
              <w:t>E——“地震”的英文（Earthquake）首位字母。</w:t>
            </w:r>
          </w:p>
        </w:tc>
      </w:tr>
      <w:tr w14:paraId="753C2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39" w:type="dxa"/>
            <w:vMerge w:val="continue"/>
            <w:vAlign w:val="center"/>
          </w:tcPr>
          <w:p w14:paraId="4E92BDAE">
            <w:pPr>
              <w:pStyle w:val="19"/>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ascii="Times New Roman"/>
                <w:sz w:val="18"/>
                <w:szCs w:val="15"/>
                <w:highlight w:val="none"/>
              </w:rPr>
            </w:pPr>
          </w:p>
        </w:tc>
        <w:tc>
          <w:tcPr>
            <w:tcW w:w="1511" w:type="dxa"/>
            <w:shd w:val="clear" w:color="auto" w:fill="auto"/>
            <w:vAlign w:val="center"/>
          </w:tcPr>
          <w:p w14:paraId="4D15CBBD">
            <w:pPr>
              <w:pStyle w:val="19"/>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eastAsia="宋体" w:cs="Times New Roman"/>
                <w:sz w:val="18"/>
                <w:szCs w:val="15"/>
                <w:highlight w:val="none"/>
                <w:lang w:val="en-US" w:eastAsia="zh-CN" w:bidi="ar-SA"/>
              </w:rPr>
            </w:pPr>
            <w:r>
              <w:rPr>
                <w:rFonts w:hint="eastAsia" w:ascii="Times New Roman"/>
                <w:sz w:val="18"/>
                <w:szCs w:val="15"/>
                <w:highlight w:val="none"/>
              </w:rPr>
              <w:t>H</w:t>
            </w:r>
            <w:r>
              <w:rPr>
                <w:rFonts w:ascii="Times New Roman"/>
                <w:sz w:val="18"/>
                <w:szCs w:val="15"/>
                <w:highlight w:val="none"/>
              </w:rPr>
              <w:t>RB</w:t>
            </w:r>
            <w:r>
              <w:rPr>
                <w:rFonts w:hint="eastAsia" w:ascii="Times New Roman"/>
                <w:sz w:val="18"/>
                <w:szCs w:val="15"/>
                <w:highlight w:val="none"/>
                <w:lang w:val="en-US" w:eastAsia="zh-CN"/>
              </w:rPr>
              <w:t>F700</w:t>
            </w:r>
            <w:r>
              <w:rPr>
                <w:rFonts w:ascii="Times New Roman"/>
                <w:sz w:val="18"/>
                <w:szCs w:val="15"/>
                <w:highlight w:val="none"/>
              </w:rPr>
              <w:t>E</w:t>
            </w:r>
          </w:p>
        </w:tc>
        <w:tc>
          <w:tcPr>
            <w:tcW w:w="2940" w:type="dxa"/>
            <w:shd w:val="clear" w:color="auto" w:fill="auto"/>
            <w:vAlign w:val="center"/>
          </w:tcPr>
          <w:p w14:paraId="46550140">
            <w:pPr>
              <w:pStyle w:val="19"/>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eastAsia="宋体" w:cs="Times New Roman"/>
                <w:sz w:val="18"/>
                <w:szCs w:val="15"/>
                <w:highlight w:val="none"/>
                <w:lang w:val="en-US" w:eastAsia="zh-CN" w:bidi="ar-SA"/>
              </w:rPr>
            </w:pPr>
            <w:r>
              <w:rPr>
                <w:rFonts w:hint="eastAsia" w:ascii="Times New Roman"/>
                <w:sz w:val="18"/>
                <w:szCs w:val="15"/>
                <w:highlight w:val="none"/>
              </w:rPr>
              <w:t>由H</w:t>
            </w:r>
            <w:r>
              <w:rPr>
                <w:rFonts w:ascii="Times New Roman"/>
                <w:sz w:val="18"/>
                <w:szCs w:val="15"/>
                <w:highlight w:val="none"/>
              </w:rPr>
              <w:t>RB</w:t>
            </w:r>
            <w:r>
              <w:rPr>
                <w:rFonts w:hint="eastAsia" w:ascii="Times New Roman"/>
                <w:sz w:val="18"/>
                <w:szCs w:val="15"/>
                <w:highlight w:val="none"/>
                <w:lang w:val="en-US" w:eastAsia="zh-CN"/>
              </w:rPr>
              <w:t>F</w:t>
            </w:r>
            <w:r>
              <w:rPr>
                <w:rFonts w:ascii="Times New Roman"/>
                <w:sz w:val="18"/>
                <w:szCs w:val="15"/>
                <w:highlight w:val="none"/>
              </w:rPr>
              <w:t>+</w:t>
            </w:r>
            <w:r>
              <w:rPr>
                <w:rFonts w:hint="eastAsia" w:ascii="Times New Roman"/>
                <w:sz w:val="18"/>
                <w:szCs w:val="15"/>
                <w:highlight w:val="none"/>
              </w:rPr>
              <w:t>屈服强度特征值+</w:t>
            </w:r>
            <w:r>
              <w:rPr>
                <w:rFonts w:ascii="Times New Roman"/>
                <w:sz w:val="18"/>
                <w:szCs w:val="15"/>
                <w:highlight w:val="none"/>
              </w:rPr>
              <w:t>E</w:t>
            </w:r>
            <w:r>
              <w:rPr>
                <w:rFonts w:hint="eastAsia" w:ascii="Times New Roman"/>
                <w:sz w:val="18"/>
                <w:szCs w:val="15"/>
                <w:highlight w:val="none"/>
              </w:rPr>
              <w:t>构成</w:t>
            </w:r>
          </w:p>
        </w:tc>
        <w:tc>
          <w:tcPr>
            <w:tcW w:w="3780" w:type="dxa"/>
            <w:vMerge w:val="continue"/>
            <w:vAlign w:val="center"/>
          </w:tcPr>
          <w:p w14:paraId="786BD927">
            <w:pPr>
              <w:pStyle w:val="19"/>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ascii="Times New Roman"/>
                <w:sz w:val="18"/>
                <w:szCs w:val="15"/>
              </w:rPr>
            </w:pPr>
          </w:p>
        </w:tc>
      </w:tr>
    </w:tbl>
    <w:p w14:paraId="30DA5C18">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（五）订货内容</w:t>
      </w:r>
    </w:p>
    <w:p w14:paraId="6FB542DA">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按本文件订货时，合同或订单应包括下列内容：a)</w:t>
      </w:r>
      <w:r>
        <w:rPr>
          <w:rFonts w:ascii="Times New Roman" w:hAnsi="Times New Roman" w:eastAsia="仿宋_GB2312"/>
          <w:sz w:val="28"/>
          <w:szCs w:val="28"/>
        </w:rPr>
        <w:tab/>
      </w:r>
      <w:r>
        <w:rPr>
          <w:rFonts w:ascii="Times New Roman" w:hAnsi="Times New Roman" w:eastAsia="仿宋_GB2312"/>
          <w:sz w:val="28"/>
          <w:szCs w:val="28"/>
        </w:rPr>
        <w:t>本文件编号；b)</w:t>
      </w:r>
      <w:r>
        <w:rPr>
          <w:rFonts w:ascii="Times New Roman" w:hAnsi="Times New Roman" w:eastAsia="仿宋_GB2312"/>
          <w:sz w:val="28"/>
          <w:szCs w:val="28"/>
        </w:rPr>
        <w:tab/>
      </w:r>
      <w:r>
        <w:rPr>
          <w:rFonts w:ascii="Times New Roman" w:hAnsi="Times New Roman" w:eastAsia="仿宋_GB2312"/>
          <w:sz w:val="28"/>
          <w:szCs w:val="28"/>
        </w:rPr>
        <w:t>产品名称；c)</w:t>
      </w:r>
      <w:r>
        <w:rPr>
          <w:rFonts w:ascii="Times New Roman" w:hAnsi="Times New Roman" w:eastAsia="仿宋_GB2312"/>
          <w:sz w:val="28"/>
          <w:szCs w:val="28"/>
        </w:rPr>
        <w:tab/>
      </w:r>
      <w:r>
        <w:rPr>
          <w:rFonts w:ascii="Times New Roman" w:hAnsi="Times New Roman" w:eastAsia="仿宋_GB2312"/>
          <w:sz w:val="28"/>
          <w:szCs w:val="28"/>
        </w:rPr>
        <w:t>钢筋牌号；d)</w:t>
      </w:r>
      <w:r>
        <w:rPr>
          <w:rFonts w:ascii="Times New Roman" w:hAnsi="Times New Roman" w:eastAsia="仿宋_GB2312"/>
          <w:sz w:val="28"/>
          <w:szCs w:val="28"/>
        </w:rPr>
        <w:tab/>
      </w:r>
      <w:r>
        <w:rPr>
          <w:rFonts w:hint="eastAsia" w:ascii="Times New Roman" w:hAnsi="Times New Roman" w:eastAsia="仿宋_GB2312"/>
          <w:sz w:val="28"/>
          <w:szCs w:val="28"/>
        </w:rPr>
        <w:t>钢筋公称直径、长度及重量（或数量）</w:t>
      </w:r>
      <w:r>
        <w:rPr>
          <w:rFonts w:ascii="Times New Roman" w:hAnsi="Times New Roman" w:eastAsia="仿宋_GB2312"/>
          <w:sz w:val="28"/>
          <w:szCs w:val="28"/>
        </w:rPr>
        <w:t>；e)</w:t>
      </w:r>
      <w:r>
        <w:rPr>
          <w:rFonts w:ascii="Times New Roman" w:hAnsi="Times New Roman" w:eastAsia="仿宋_GB2312"/>
          <w:sz w:val="28"/>
          <w:szCs w:val="28"/>
        </w:rPr>
        <w:tab/>
      </w:r>
      <w:r>
        <w:rPr>
          <w:rFonts w:ascii="Times New Roman" w:hAnsi="Times New Roman" w:eastAsia="仿宋_GB2312"/>
          <w:sz w:val="28"/>
          <w:szCs w:val="28"/>
        </w:rPr>
        <w:t>特殊要求。</w:t>
      </w:r>
    </w:p>
    <w:p w14:paraId="28690053">
      <w:pPr>
        <w:numPr>
          <w:ilvl w:val="0"/>
          <w:numId w:val="4"/>
        </w:num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尺寸、外形、重量</w:t>
      </w:r>
    </w:p>
    <w:p w14:paraId="6B7021A3">
      <w:pPr>
        <w:numPr>
          <w:ilvl w:val="0"/>
          <w:numId w:val="0"/>
        </w:numPr>
        <w:spacing w:line="360" w:lineRule="auto"/>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rPr>
        <w:t>钢筋的尺寸、外形、长度、弯曲度和端部、重量及其允许偏差应符合GB 1499.2的规定</w:t>
      </w:r>
      <w:r>
        <w:rPr>
          <w:rFonts w:hint="eastAsia" w:ascii="Times New Roman" w:hAnsi="Times New Roman" w:eastAsia="仿宋_GB2312"/>
          <w:sz w:val="28"/>
          <w:szCs w:val="28"/>
          <w:lang w:eastAsia="zh-CN"/>
        </w:rPr>
        <w:t>。</w:t>
      </w:r>
    </w:p>
    <w:p w14:paraId="11A8B9D3">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（七）</w:t>
      </w:r>
      <w:r>
        <w:rPr>
          <w:rFonts w:hint="eastAsia" w:ascii="Times New Roman" w:hAnsi="Times New Roman" w:eastAsia="仿宋_GB2312"/>
          <w:sz w:val="28"/>
          <w:szCs w:val="28"/>
        </w:rPr>
        <w:t>冶炼及性能</w:t>
      </w:r>
    </w:p>
    <w:p w14:paraId="63CF7883">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 冶炼方法</w:t>
      </w:r>
    </w:p>
    <w:p w14:paraId="10D25AD2">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钢应采用转炉或电炉冶炼，应进行炉外精炼</w:t>
      </w:r>
      <w:r>
        <w:rPr>
          <w:rFonts w:ascii="Times New Roman" w:hAnsi="Times New Roman" w:eastAsia="仿宋_GB2312"/>
          <w:sz w:val="28"/>
          <w:szCs w:val="28"/>
        </w:rPr>
        <w:t>。</w:t>
      </w:r>
    </w:p>
    <w:p w14:paraId="5E93A8DD">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 </w:t>
      </w:r>
      <w:r>
        <w:rPr>
          <w:rFonts w:hint="eastAsia" w:ascii="Times New Roman" w:hAnsi="Times New Roman" w:eastAsia="仿宋_GB2312"/>
          <w:sz w:val="28"/>
          <w:szCs w:val="28"/>
        </w:rPr>
        <w:t>化学成分</w:t>
      </w:r>
    </w:p>
    <w:p w14:paraId="7F16DA14">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钢筋牌号及化学成分和碳当量（熔炼分析）应符合表2的规定，根据需要，钢中还可加入V、Nb、Ti等元素</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结合</w:t>
      </w:r>
      <w:r>
        <w:rPr>
          <w:rFonts w:hint="eastAsia" w:ascii="Times New Roman" w:hAnsi="Times New Roman" w:eastAsia="仿宋_GB2312"/>
          <w:sz w:val="28"/>
          <w:szCs w:val="28"/>
        </w:rPr>
        <w:t>GB 1499.2</w:t>
      </w:r>
      <w:r>
        <w:rPr>
          <w:rFonts w:hint="eastAsia" w:ascii="Times New Roman" w:hAnsi="Times New Roman" w:eastAsia="仿宋_GB2312"/>
          <w:sz w:val="28"/>
          <w:szCs w:val="28"/>
          <w:lang w:val="en-US" w:eastAsia="zh-CN"/>
        </w:rPr>
        <w:t>和实际生产及使用需求，C含量适当放开，收严了P、S要求</w:t>
      </w:r>
      <w:r>
        <w:rPr>
          <w:rFonts w:ascii="Times New Roman" w:hAnsi="Times New Roman" w:eastAsia="仿宋_GB2312"/>
          <w:sz w:val="28"/>
          <w:szCs w:val="28"/>
        </w:rPr>
        <w:t>。</w:t>
      </w:r>
    </w:p>
    <w:p w14:paraId="1ECCC770">
      <w:pPr>
        <w:pStyle w:val="18"/>
        <w:numPr>
          <w:ilvl w:val="0"/>
          <w:numId w:val="3"/>
        </w:numPr>
        <w:spacing w:before="156" w:after="156"/>
        <w:ind w:left="0"/>
        <w:rPr>
          <w:rFonts w:ascii="Times New Roman"/>
          <w:bCs/>
        </w:rPr>
      </w:pPr>
      <w:r>
        <w:rPr>
          <w:rFonts w:ascii="Times New Roman"/>
          <w:bCs/>
        </w:rPr>
        <w:t>钢筋牌号及化学成分和碳当量（熔炼分析）</w:t>
      </w:r>
    </w:p>
    <w:tbl>
      <w:tblPr>
        <w:tblStyle w:val="7"/>
        <w:tblW w:w="487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869"/>
        <w:gridCol w:w="1168"/>
        <w:gridCol w:w="1168"/>
        <w:gridCol w:w="1168"/>
        <w:gridCol w:w="1195"/>
        <w:gridCol w:w="1147"/>
      </w:tblGrid>
      <w:tr w14:paraId="5F10E9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63" w:type="pct"/>
            <w:vMerge w:val="restart"/>
            <w:vAlign w:val="center"/>
          </w:tcPr>
          <w:p w14:paraId="069D2EA8">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牌号</w:t>
            </w:r>
          </w:p>
        </w:tc>
        <w:tc>
          <w:tcPr>
            <w:tcW w:w="3346" w:type="pct"/>
            <w:gridSpan w:val="5"/>
          </w:tcPr>
          <w:p w14:paraId="5713A74A">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化学成分（质量分数）/%</w:t>
            </w:r>
          </w:p>
        </w:tc>
        <w:tc>
          <w:tcPr>
            <w:tcW w:w="689" w:type="pct"/>
            <w:vMerge w:val="restart"/>
            <w:vAlign w:val="center"/>
          </w:tcPr>
          <w:p w14:paraId="2805ADEE">
            <w:pPr>
              <w:jc w:val="center"/>
              <w:rPr>
                <w:rFonts w:hint="default" w:ascii="Times New Roman" w:hAnsi="Times New Roman" w:cs="Times New Roman"/>
                <w:color w:val="auto"/>
                <w:sz w:val="18"/>
                <w:szCs w:val="18"/>
              </w:rPr>
            </w:pPr>
            <w:r>
              <w:rPr>
                <w:rFonts w:hint="default" w:ascii="Times New Roman" w:hAnsi="Times New Roman" w:cs="Times New Roman"/>
                <w:b/>
                <w:bCs/>
                <w:i/>
                <w:iCs/>
                <w:color w:val="auto"/>
                <w:sz w:val="18"/>
                <w:szCs w:val="18"/>
              </w:rPr>
              <w:t>C</w:t>
            </w:r>
            <w:r>
              <w:rPr>
                <w:rFonts w:hint="default" w:ascii="Times New Roman" w:hAnsi="Times New Roman" w:cs="Times New Roman"/>
                <w:color w:val="auto"/>
                <w:sz w:val="18"/>
                <w:szCs w:val="18"/>
              </w:rPr>
              <w:t>eq/%，</w:t>
            </w:r>
          </w:p>
          <w:p w14:paraId="7CEE5A73">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不大于</w:t>
            </w:r>
          </w:p>
        </w:tc>
      </w:tr>
      <w:tr w14:paraId="04564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63" w:type="pct"/>
            <w:vMerge w:val="continue"/>
            <w:vAlign w:val="center"/>
          </w:tcPr>
          <w:p w14:paraId="26DCEF7D">
            <w:pPr>
              <w:jc w:val="center"/>
              <w:rPr>
                <w:rFonts w:hint="default" w:ascii="Times New Roman" w:hAnsi="Times New Roman" w:cs="Times New Roman"/>
                <w:color w:val="auto"/>
                <w:sz w:val="18"/>
                <w:szCs w:val="18"/>
              </w:rPr>
            </w:pPr>
          </w:p>
        </w:tc>
        <w:tc>
          <w:tcPr>
            <w:tcW w:w="522" w:type="pct"/>
            <w:vAlign w:val="center"/>
          </w:tcPr>
          <w:p w14:paraId="04DC4E67">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C</w:t>
            </w:r>
          </w:p>
        </w:tc>
        <w:tc>
          <w:tcPr>
            <w:tcW w:w="702" w:type="pct"/>
            <w:vAlign w:val="center"/>
          </w:tcPr>
          <w:p w14:paraId="12B87D8B">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Si</w:t>
            </w:r>
          </w:p>
        </w:tc>
        <w:tc>
          <w:tcPr>
            <w:tcW w:w="702" w:type="pct"/>
            <w:vAlign w:val="center"/>
          </w:tcPr>
          <w:p w14:paraId="4AB4F2D8">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Mn</w:t>
            </w:r>
          </w:p>
        </w:tc>
        <w:tc>
          <w:tcPr>
            <w:tcW w:w="702" w:type="pct"/>
            <w:vAlign w:val="center"/>
          </w:tcPr>
          <w:p w14:paraId="1AD52EE6">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P</w:t>
            </w:r>
          </w:p>
        </w:tc>
        <w:tc>
          <w:tcPr>
            <w:tcW w:w="717" w:type="pct"/>
            <w:vAlign w:val="center"/>
          </w:tcPr>
          <w:p w14:paraId="7F74ECA4">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S</w:t>
            </w:r>
          </w:p>
        </w:tc>
        <w:tc>
          <w:tcPr>
            <w:tcW w:w="689" w:type="pct"/>
            <w:vMerge w:val="continue"/>
          </w:tcPr>
          <w:p w14:paraId="43A74D88">
            <w:pPr>
              <w:jc w:val="center"/>
              <w:rPr>
                <w:rFonts w:hint="default" w:ascii="Times New Roman" w:hAnsi="Times New Roman" w:cs="Times New Roman"/>
                <w:color w:val="auto"/>
                <w:sz w:val="18"/>
                <w:szCs w:val="18"/>
              </w:rPr>
            </w:pPr>
          </w:p>
        </w:tc>
      </w:tr>
      <w:tr w14:paraId="6A6F91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63" w:type="pct"/>
            <w:vMerge w:val="continue"/>
          </w:tcPr>
          <w:p w14:paraId="7C13500D">
            <w:pPr>
              <w:rPr>
                <w:rFonts w:hint="default" w:ascii="Times New Roman" w:hAnsi="Times New Roman" w:cs="Times New Roman"/>
                <w:color w:val="auto"/>
                <w:sz w:val="18"/>
                <w:szCs w:val="18"/>
              </w:rPr>
            </w:pPr>
          </w:p>
        </w:tc>
        <w:tc>
          <w:tcPr>
            <w:tcW w:w="3346" w:type="pct"/>
            <w:gridSpan w:val="5"/>
            <w:vAlign w:val="center"/>
          </w:tcPr>
          <w:p w14:paraId="0BF30E51">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不大于</w:t>
            </w:r>
          </w:p>
        </w:tc>
        <w:tc>
          <w:tcPr>
            <w:tcW w:w="689" w:type="pct"/>
            <w:vMerge w:val="continue"/>
          </w:tcPr>
          <w:p w14:paraId="0678FC31">
            <w:pPr>
              <w:rPr>
                <w:rFonts w:hint="default" w:ascii="Times New Roman" w:hAnsi="Times New Roman" w:cs="Times New Roman"/>
                <w:color w:val="auto"/>
                <w:sz w:val="18"/>
                <w:szCs w:val="18"/>
              </w:rPr>
            </w:pPr>
          </w:p>
        </w:tc>
      </w:tr>
      <w:tr w14:paraId="01271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63" w:type="pct"/>
            <w:vAlign w:val="center"/>
          </w:tcPr>
          <w:p w14:paraId="55227AF0">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HRB</w:t>
            </w:r>
            <w:r>
              <w:rPr>
                <w:rFonts w:hint="default" w:ascii="Times New Roman" w:hAnsi="Times New Roman" w:cs="Times New Roman"/>
                <w:color w:val="auto"/>
                <w:sz w:val="18"/>
                <w:szCs w:val="18"/>
                <w:highlight w:val="none"/>
                <w:lang w:val="en-US" w:eastAsia="zh-CN"/>
              </w:rPr>
              <w:t>70</w:t>
            </w:r>
            <w:r>
              <w:rPr>
                <w:rFonts w:hint="default" w:ascii="Times New Roman" w:hAnsi="Times New Roman" w:cs="Times New Roman"/>
                <w:color w:val="auto"/>
                <w:sz w:val="18"/>
                <w:szCs w:val="18"/>
                <w:highlight w:val="none"/>
              </w:rPr>
              <w:t>0</w:t>
            </w:r>
          </w:p>
        </w:tc>
        <w:tc>
          <w:tcPr>
            <w:tcW w:w="522" w:type="pct"/>
            <w:vAlign w:val="center"/>
          </w:tcPr>
          <w:p w14:paraId="26D33D7A">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0.30</w:t>
            </w:r>
          </w:p>
        </w:tc>
        <w:tc>
          <w:tcPr>
            <w:tcW w:w="702" w:type="pct"/>
          </w:tcPr>
          <w:p w14:paraId="10EA4791">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0.80</w:t>
            </w:r>
          </w:p>
        </w:tc>
        <w:tc>
          <w:tcPr>
            <w:tcW w:w="702" w:type="pct"/>
          </w:tcPr>
          <w:p w14:paraId="06C83BC7">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1.60</w:t>
            </w:r>
          </w:p>
        </w:tc>
        <w:tc>
          <w:tcPr>
            <w:tcW w:w="1168" w:type="dxa"/>
            <w:vAlign w:val="top"/>
          </w:tcPr>
          <w:p w14:paraId="4AA9FA50">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0.</w:t>
            </w:r>
            <w:r>
              <w:rPr>
                <w:rFonts w:hint="default" w:ascii="Times New Roman" w:hAnsi="Times New Roman" w:cs="Times New Roman"/>
                <w:color w:val="auto"/>
                <w:sz w:val="18"/>
                <w:szCs w:val="18"/>
                <w:highlight w:val="none"/>
                <w:lang w:val="en-US" w:eastAsia="zh-CN"/>
              </w:rPr>
              <w:t>0</w:t>
            </w:r>
            <w:r>
              <w:rPr>
                <w:rFonts w:hint="eastAsia" w:ascii="Times New Roman" w:hAnsi="Times New Roman" w:cs="Times New Roman"/>
                <w:color w:val="auto"/>
                <w:sz w:val="18"/>
                <w:szCs w:val="18"/>
                <w:highlight w:val="none"/>
                <w:lang w:val="en-US" w:eastAsia="zh-CN"/>
              </w:rPr>
              <w:t>35</w:t>
            </w:r>
          </w:p>
        </w:tc>
        <w:tc>
          <w:tcPr>
            <w:tcW w:w="1195" w:type="dxa"/>
            <w:vAlign w:val="top"/>
          </w:tcPr>
          <w:p w14:paraId="75F4B1AA">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0.</w:t>
            </w:r>
            <w:r>
              <w:rPr>
                <w:rFonts w:hint="default" w:ascii="Times New Roman" w:hAnsi="Times New Roman" w:cs="Times New Roman"/>
                <w:color w:val="auto"/>
                <w:sz w:val="18"/>
                <w:szCs w:val="18"/>
                <w:highlight w:val="none"/>
                <w:lang w:val="en-US" w:eastAsia="zh-CN"/>
              </w:rPr>
              <w:t>0</w:t>
            </w:r>
            <w:r>
              <w:rPr>
                <w:rFonts w:hint="eastAsia" w:ascii="Times New Roman" w:hAnsi="Times New Roman" w:cs="Times New Roman"/>
                <w:color w:val="auto"/>
                <w:sz w:val="18"/>
                <w:szCs w:val="18"/>
                <w:highlight w:val="none"/>
                <w:lang w:val="en-US" w:eastAsia="zh-CN"/>
              </w:rPr>
              <w:t>35</w:t>
            </w:r>
          </w:p>
        </w:tc>
        <w:tc>
          <w:tcPr>
            <w:tcW w:w="689" w:type="pct"/>
          </w:tcPr>
          <w:p w14:paraId="4750C875">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0.63</w:t>
            </w:r>
          </w:p>
        </w:tc>
      </w:tr>
      <w:tr w14:paraId="2C702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63" w:type="pct"/>
            <w:vAlign w:val="center"/>
          </w:tcPr>
          <w:p w14:paraId="543187B5">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HRB</w:t>
            </w:r>
            <w:r>
              <w:rPr>
                <w:rFonts w:hint="default" w:ascii="Times New Roman" w:hAnsi="Times New Roman" w:cs="Times New Roman"/>
                <w:color w:val="auto"/>
                <w:sz w:val="18"/>
                <w:szCs w:val="18"/>
                <w:highlight w:val="none"/>
                <w:lang w:val="en-US" w:eastAsia="zh-CN"/>
              </w:rPr>
              <w:t>700</w:t>
            </w:r>
            <w:r>
              <w:rPr>
                <w:rFonts w:hint="default" w:ascii="Times New Roman" w:hAnsi="Times New Roman" w:cs="Times New Roman"/>
                <w:color w:val="auto"/>
                <w:sz w:val="18"/>
                <w:szCs w:val="18"/>
                <w:highlight w:val="none"/>
              </w:rPr>
              <w:t>E</w:t>
            </w:r>
          </w:p>
        </w:tc>
        <w:tc>
          <w:tcPr>
            <w:tcW w:w="522" w:type="pct"/>
            <w:shd w:val="clear" w:color="auto" w:fill="auto"/>
            <w:vAlign w:val="center"/>
          </w:tcPr>
          <w:p w14:paraId="0B2FFC5B">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0.30</w:t>
            </w:r>
          </w:p>
        </w:tc>
        <w:tc>
          <w:tcPr>
            <w:tcW w:w="702" w:type="pct"/>
            <w:shd w:val="clear" w:color="auto" w:fill="auto"/>
            <w:vAlign w:val="top"/>
          </w:tcPr>
          <w:p w14:paraId="4AF0E695">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0.80</w:t>
            </w:r>
          </w:p>
        </w:tc>
        <w:tc>
          <w:tcPr>
            <w:tcW w:w="702" w:type="pct"/>
            <w:shd w:val="clear" w:color="auto" w:fill="auto"/>
            <w:vAlign w:val="top"/>
          </w:tcPr>
          <w:p w14:paraId="16CAAC76">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1.60</w:t>
            </w:r>
          </w:p>
        </w:tc>
        <w:tc>
          <w:tcPr>
            <w:tcW w:w="1168" w:type="dxa"/>
            <w:shd w:val="clear" w:color="auto" w:fill="auto"/>
            <w:vAlign w:val="top"/>
          </w:tcPr>
          <w:p w14:paraId="7846E588">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0.</w:t>
            </w:r>
            <w:r>
              <w:rPr>
                <w:rFonts w:hint="default" w:ascii="Times New Roman" w:hAnsi="Times New Roman" w:cs="Times New Roman"/>
                <w:color w:val="auto"/>
                <w:sz w:val="18"/>
                <w:szCs w:val="18"/>
                <w:highlight w:val="none"/>
                <w:lang w:val="en-US" w:eastAsia="zh-CN"/>
              </w:rPr>
              <w:t>0</w:t>
            </w:r>
            <w:r>
              <w:rPr>
                <w:rFonts w:hint="eastAsia" w:ascii="Times New Roman" w:hAnsi="Times New Roman" w:cs="Times New Roman"/>
                <w:color w:val="auto"/>
                <w:sz w:val="18"/>
                <w:szCs w:val="18"/>
                <w:highlight w:val="none"/>
                <w:lang w:val="en-US" w:eastAsia="zh-CN"/>
              </w:rPr>
              <w:t>35</w:t>
            </w:r>
          </w:p>
        </w:tc>
        <w:tc>
          <w:tcPr>
            <w:tcW w:w="1195" w:type="dxa"/>
            <w:shd w:val="clear" w:color="auto" w:fill="auto"/>
            <w:vAlign w:val="top"/>
          </w:tcPr>
          <w:p w14:paraId="52E09B39">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0.</w:t>
            </w:r>
            <w:r>
              <w:rPr>
                <w:rFonts w:hint="default" w:ascii="Times New Roman" w:hAnsi="Times New Roman" w:cs="Times New Roman"/>
                <w:color w:val="auto"/>
                <w:sz w:val="18"/>
                <w:szCs w:val="18"/>
                <w:highlight w:val="none"/>
                <w:lang w:val="en-US" w:eastAsia="zh-CN"/>
              </w:rPr>
              <w:t>0</w:t>
            </w:r>
            <w:r>
              <w:rPr>
                <w:rFonts w:hint="eastAsia" w:ascii="Times New Roman" w:hAnsi="Times New Roman" w:cs="Times New Roman"/>
                <w:color w:val="auto"/>
                <w:sz w:val="18"/>
                <w:szCs w:val="18"/>
                <w:highlight w:val="none"/>
                <w:lang w:val="en-US" w:eastAsia="zh-CN"/>
              </w:rPr>
              <w:t>35</w:t>
            </w:r>
          </w:p>
        </w:tc>
        <w:tc>
          <w:tcPr>
            <w:tcW w:w="689" w:type="pct"/>
            <w:shd w:val="clear" w:color="auto" w:fill="auto"/>
            <w:vAlign w:val="top"/>
          </w:tcPr>
          <w:p w14:paraId="0DAFCDA0">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0.63</w:t>
            </w:r>
          </w:p>
        </w:tc>
      </w:tr>
      <w:tr w14:paraId="173AA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63" w:type="pct"/>
            <w:shd w:val="clear" w:color="auto" w:fill="auto"/>
            <w:vAlign w:val="center"/>
          </w:tcPr>
          <w:p w14:paraId="47A1D741">
            <w:pPr>
              <w:pStyle w:val="19"/>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HRBF700</w:t>
            </w:r>
          </w:p>
        </w:tc>
        <w:tc>
          <w:tcPr>
            <w:tcW w:w="522" w:type="pct"/>
            <w:shd w:val="clear" w:color="auto" w:fill="auto"/>
            <w:vAlign w:val="center"/>
          </w:tcPr>
          <w:p w14:paraId="47597A62">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0.30</w:t>
            </w:r>
          </w:p>
        </w:tc>
        <w:tc>
          <w:tcPr>
            <w:tcW w:w="702" w:type="pct"/>
            <w:shd w:val="clear" w:color="auto" w:fill="auto"/>
            <w:vAlign w:val="top"/>
          </w:tcPr>
          <w:p w14:paraId="40CAC1EE">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0.80</w:t>
            </w:r>
          </w:p>
        </w:tc>
        <w:tc>
          <w:tcPr>
            <w:tcW w:w="702" w:type="pct"/>
            <w:shd w:val="clear" w:color="auto" w:fill="auto"/>
            <w:vAlign w:val="top"/>
          </w:tcPr>
          <w:p w14:paraId="7E7381C7">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1.60</w:t>
            </w:r>
          </w:p>
        </w:tc>
        <w:tc>
          <w:tcPr>
            <w:tcW w:w="1168" w:type="dxa"/>
            <w:shd w:val="clear" w:color="auto" w:fill="auto"/>
            <w:vAlign w:val="top"/>
          </w:tcPr>
          <w:p w14:paraId="66E4A7E5">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0.</w:t>
            </w:r>
            <w:r>
              <w:rPr>
                <w:rFonts w:hint="default" w:ascii="Times New Roman" w:hAnsi="Times New Roman" w:cs="Times New Roman"/>
                <w:color w:val="auto"/>
                <w:sz w:val="18"/>
                <w:szCs w:val="18"/>
                <w:highlight w:val="none"/>
                <w:lang w:val="en-US" w:eastAsia="zh-CN"/>
              </w:rPr>
              <w:t>0</w:t>
            </w:r>
            <w:r>
              <w:rPr>
                <w:rFonts w:hint="eastAsia" w:ascii="Times New Roman" w:hAnsi="Times New Roman" w:cs="Times New Roman"/>
                <w:color w:val="auto"/>
                <w:sz w:val="18"/>
                <w:szCs w:val="18"/>
                <w:highlight w:val="none"/>
                <w:lang w:val="en-US" w:eastAsia="zh-CN"/>
              </w:rPr>
              <w:t>35</w:t>
            </w:r>
          </w:p>
        </w:tc>
        <w:tc>
          <w:tcPr>
            <w:tcW w:w="1195" w:type="dxa"/>
            <w:shd w:val="clear" w:color="auto" w:fill="auto"/>
            <w:vAlign w:val="top"/>
          </w:tcPr>
          <w:p w14:paraId="20AEF157">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0.</w:t>
            </w:r>
            <w:r>
              <w:rPr>
                <w:rFonts w:hint="default" w:ascii="Times New Roman" w:hAnsi="Times New Roman" w:cs="Times New Roman"/>
                <w:color w:val="auto"/>
                <w:sz w:val="18"/>
                <w:szCs w:val="18"/>
                <w:highlight w:val="none"/>
                <w:lang w:val="en-US" w:eastAsia="zh-CN"/>
              </w:rPr>
              <w:t>0</w:t>
            </w:r>
            <w:r>
              <w:rPr>
                <w:rFonts w:hint="eastAsia" w:ascii="Times New Roman" w:hAnsi="Times New Roman" w:cs="Times New Roman"/>
                <w:color w:val="auto"/>
                <w:sz w:val="18"/>
                <w:szCs w:val="18"/>
                <w:highlight w:val="none"/>
                <w:lang w:val="en-US" w:eastAsia="zh-CN"/>
              </w:rPr>
              <w:t>35</w:t>
            </w:r>
          </w:p>
        </w:tc>
        <w:tc>
          <w:tcPr>
            <w:tcW w:w="689" w:type="pct"/>
            <w:shd w:val="clear" w:color="auto" w:fill="auto"/>
            <w:vAlign w:val="top"/>
          </w:tcPr>
          <w:p w14:paraId="1CFC9446">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0.63</w:t>
            </w:r>
          </w:p>
        </w:tc>
      </w:tr>
      <w:tr w14:paraId="2A147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63" w:type="pct"/>
            <w:shd w:val="clear" w:color="auto" w:fill="auto"/>
            <w:vAlign w:val="center"/>
          </w:tcPr>
          <w:p w14:paraId="11A1AD3E">
            <w:pPr>
              <w:pStyle w:val="19"/>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cs="Times New Roman"/>
                <w:color w:val="auto"/>
                <w:sz w:val="18"/>
                <w:szCs w:val="18"/>
                <w:highlight w:val="none"/>
              </w:rPr>
              <w:t>HRB</w:t>
            </w:r>
            <w:r>
              <w:rPr>
                <w:rFonts w:hint="default" w:ascii="Times New Roman" w:hAnsi="Times New Roman" w:cs="Times New Roman"/>
                <w:color w:val="auto"/>
                <w:sz w:val="18"/>
                <w:szCs w:val="18"/>
                <w:highlight w:val="none"/>
                <w:lang w:val="en-US" w:eastAsia="zh-CN"/>
              </w:rPr>
              <w:t>F700</w:t>
            </w:r>
            <w:r>
              <w:rPr>
                <w:rFonts w:hint="default" w:ascii="Times New Roman" w:hAnsi="Times New Roman" w:cs="Times New Roman"/>
                <w:color w:val="auto"/>
                <w:sz w:val="18"/>
                <w:szCs w:val="18"/>
                <w:highlight w:val="none"/>
              </w:rPr>
              <w:t>E</w:t>
            </w:r>
          </w:p>
        </w:tc>
        <w:tc>
          <w:tcPr>
            <w:tcW w:w="522" w:type="pct"/>
            <w:shd w:val="clear" w:color="auto" w:fill="auto"/>
            <w:vAlign w:val="center"/>
          </w:tcPr>
          <w:p w14:paraId="29EA9AE4">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0.30</w:t>
            </w:r>
          </w:p>
        </w:tc>
        <w:tc>
          <w:tcPr>
            <w:tcW w:w="702" w:type="pct"/>
            <w:shd w:val="clear" w:color="auto" w:fill="auto"/>
            <w:vAlign w:val="top"/>
          </w:tcPr>
          <w:p w14:paraId="42E7B7A9">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0.80</w:t>
            </w:r>
          </w:p>
        </w:tc>
        <w:tc>
          <w:tcPr>
            <w:tcW w:w="702" w:type="pct"/>
            <w:shd w:val="clear" w:color="auto" w:fill="auto"/>
            <w:vAlign w:val="top"/>
          </w:tcPr>
          <w:p w14:paraId="43D7F062">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1.60</w:t>
            </w:r>
          </w:p>
        </w:tc>
        <w:tc>
          <w:tcPr>
            <w:tcW w:w="1168" w:type="dxa"/>
            <w:shd w:val="clear" w:color="auto" w:fill="auto"/>
            <w:vAlign w:val="top"/>
          </w:tcPr>
          <w:p w14:paraId="5660A2EA">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0.</w:t>
            </w:r>
            <w:r>
              <w:rPr>
                <w:rFonts w:hint="default" w:ascii="Times New Roman" w:hAnsi="Times New Roman" w:cs="Times New Roman"/>
                <w:color w:val="auto"/>
                <w:sz w:val="18"/>
                <w:szCs w:val="18"/>
                <w:highlight w:val="none"/>
                <w:lang w:val="en-US" w:eastAsia="zh-CN"/>
              </w:rPr>
              <w:t>0</w:t>
            </w:r>
            <w:r>
              <w:rPr>
                <w:rFonts w:hint="eastAsia" w:ascii="Times New Roman" w:hAnsi="Times New Roman" w:cs="Times New Roman"/>
                <w:color w:val="auto"/>
                <w:sz w:val="18"/>
                <w:szCs w:val="18"/>
                <w:highlight w:val="none"/>
                <w:lang w:val="en-US" w:eastAsia="zh-CN"/>
              </w:rPr>
              <w:t>35</w:t>
            </w:r>
          </w:p>
        </w:tc>
        <w:tc>
          <w:tcPr>
            <w:tcW w:w="1195" w:type="dxa"/>
            <w:shd w:val="clear" w:color="auto" w:fill="auto"/>
            <w:vAlign w:val="top"/>
          </w:tcPr>
          <w:p w14:paraId="003CB0E5">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0.</w:t>
            </w:r>
            <w:r>
              <w:rPr>
                <w:rFonts w:hint="default" w:ascii="Times New Roman" w:hAnsi="Times New Roman" w:cs="Times New Roman"/>
                <w:color w:val="auto"/>
                <w:sz w:val="18"/>
                <w:szCs w:val="18"/>
                <w:highlight w:val="none"/>
                <w:lang w:val="en-US" w:eastAsia="zh-CN"/>
              </w:rPr>
              <w:t>0</w:t>
            </w:r>
            <w:r>
              <w:rPr>
                <w:rFonts w:hint="eastAsia" w:ascii="Times New Roman" w:hAnsi="Times New Roman" w:cs="Times New Roman"/>
                <w:color w:val="auto"/>
                <w:sz w:val="18"/>
                <w:szCs w:val="18"/>
                <w:highlight w:val="none"/>
                <w:lang w:val="en-US" w:eastAsia="zh-CN"/>
              </w:rPr>
              <w:t>35</w:t>
            </w:r>
          </w:p>
        </w:tc>
        <w:tc>
          <w:tcPr>
            <w:tcW w:w="689" w:type="pct"/>
            <w:shd w:val="clear" w:color="auto" w:fill="auto"/>
            <w:vAlign w:val="top"/>
          </w:tcPr>
          <w:p w14:paraId="422B9B96">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0.63</w:t>
            </w:r>
          </w:p>
        </w:tc>
      </w:tr>
    </w:tbl>
    <w:p w14:paraId="7E552297">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（2）碳当量Ceq（%）值按式（1）计算：</w:t>
      </w:r>
    </w:p>
    <w:p w14:paraId="6E67CA21">
      <w:pPr>
        <w:widowControl/>
        <w:tabs>
          <w:tab w:val="center" w:pos="4201"/>
          <w:tab w:val="right" w:leader="dot" w:pos="9298"/>
        </w:tabs>
        <w:autoSpaceDE w:val="0"/>
        <w:autoSpaceDN w:val="0"/>
        <w:spacing w:before="156" w:beforeLines="50" w:after="156" w:afterLines="50"/>
        <w:jc w:val="right"/>
        <w:rPr>
          <w:rFonts w:ascii="Times New Roman" w:hAnsi="Times New Roman"/>
          <w:kern w:val="0"/>
          <w:szCs w:val="20"/>
        </w:rPr>
      </w:pPr>
      <w:r>
        <w:rPr>
          <w:rFonts w:ascii="Times New Roman" w:hAnsi="Times New Roman"/>
          <w:b/>
          <w:bCs/>
          <w:i/>
          <w:iCs/>
          <w:kern w:val="0"/>
          <w:szCs w:val="20"/>
        </w:rPr>
        <w:t>C</w:t>
      </w:r>
      <w:r>
        <w:rPr>
          <w:rFonts w:ascii="Times New Roman" w:hAnsi="Times New Roman"/>
          <w:kern w:val="0"/>
          <w:szCs w:val="20"/>
        </w:rPr>
        <w:t>eq = C + Mn/6 +（Cr+V+Mo）/5 +（Cu+Ni）/ 15                   （1）</w:t>
      </w:r>
    </w:p>
    <w:p w14:paraId="655FC29B">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钢的氮含量不应大于0.012%，准许供方不做分析，钢中如有足够数量的氮结合元素，准许更高的氮含量</w:t>
      </w:r>
      <w:r>
        <w:rPr>
          <w:rFonts w:ascii="Times New Roman" w:hAnsi="Times New Roman" w:eastAsia="仿宋_GB2312"/>
          <w:sz w:val="28"/>
          <w:szCs w:val="28"/>
        </w:rPr>
        <w:t>。</w:t>
      </w:r>
    </w:p>
    <w:p w14:paraId="265A4858">
      <w:pPr>
        <w:spacing w:line="360" w:lineRule="auto"/>
        <w:ind w:firstLine="560" w:firstLineChars="200"/>
        <w:rPr>
          <w:rFonts w:ascii="Times New Roman" w:hAnsi="Times New Roman" w:eastAsia="仿宋_GB2312"/>
          <w:sz w:val="28"/>
          <w:szCs w:val="28"/>
          <w:lang w:val="zh-CN"/>
        </w:rPr>
      </w:pPr>
      <w:r>
        <w:rPr>
          <w:rFonts w:ascii="Times New Roman" w:hAnsi="Times New Roman" w:eastAsia="仿宋_GB2312"/>
          <w:sz w:val="28"/>
          <w:szCs w:val="28"/>
          <w:lang w:val="zh-CN"/>
        </w:rPr>
        <w:t>（4）</w:t>
      </w:r>
      <w:r>
        <w:rPr>
          <w:rFonts w:hint="eastAsia" w:ascii="Times New Roman" w:hAnsi="Times New Roman" w:eastAsia="仿宋_GB2312"/>
          <w:sz w:val="28"/>
          <w:szCs w:val="28"/>
          <w:lang w:val="zh-CN"/>
        </w:rPr>
        <w:t>钢筋的成品化学成分允许偏差应符合GB/T 222的规定，碳当量Ceq的允许偏差为+0.03%</w:t>
      </w:r>
      <w:r>
        <w:rPr>
          <w:rFonts w:ascii="Times New Roman" w:hAnsi="Times New Roman" w:eastAsia="仿宋_GB2312"/>
          <w:sz w:val="28"/>
          <w:szCs w:val="28"/>
          <w:lang w:val="zh-CN"/>
        </w:rPr>
        <w:t>。</w:t>
      </w:r>
    </w:p>
    <w:p w14:paraId="7E15FD40">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 力学性能</w:t>
      </w:r>
    </w:p>
    <w:p w14:paraId="3E25C35C">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钢筋的下屈服强度R</w:t>
      </w:r>
      <w:r>
        <w:rPr>
          <w:rFonts w:hint="eastAsia" w:ascii="Times New Roman" w:hAnsi="Times New Roman" w:eastAsia="仿宋_GB2312"/>
          <w:sz w:val="28"/>
          <w:szCs w:val="28"/>
          <w:vertAlign w:val="subscript"/>
        </w:rPr>
        <w:t>eL</w:t>
      </w:r>
      <w:r>
        <w:rPr>
          <w:rFonts w:hint="eastAsia" w:ascii="Times New Roman" w:hAnsi="Times New Roman" w:eastAsia="仿宋_GB2312"/>
          <w:sz w:val="28"/>
          <w:szCs w:val="28"/>
        </w:rPr>
        <w:t>、抗拉强度R</w:t>
      </w:r>
      <w:r>
        <w:rPr>
          <w:rFonts w:hint="eastAsia" w:ascii="Times New Roman" w:hAnsi="Times New Roman" w:eastAsia="仿宋_GB2312"/>
          <w:sz w:val="28"/>
          <w:szCs w:val="28"/>
          <w:vertAlign w:val="subscript"/>
        </w:rPr>
        <w:t>m</w:t>
      </w:r>
      <w:r>
        <w:rPr>
          <w:rFonts w:hint="eastAsia" w:ascii="Times New Roman" w:hAnsi="Times New Roman" w:eastAsia="仿宋_GB2312"/>
          <w:sz w:val="28"/>
          <w:szCs w:val="28"/>
        </w:rPr>
        <w:t>、断后伸长率A、最大力总延伸率A</w:t>
      </w:r>
      <w:r>
        <w:rPr>
          <w:rFonts w:hint="eastAsia" w:ascii="Times New Roman" w:hAnsi="Times New Roman" w:eastAsia="仿宋_GB2312"/>
          <w:sz w:val="28"/>
          <w:szCs w:val="28"/>
          <w:vertAlign w:val="subscript"/>
        </w:rPr>
        <w:t>gt</w:t>
      </w:r>
      <w:r>
        <w:rPr>
          <w:rFonts w:hint="eastAsia" w:ascii="Times New Roman" w:hAnsi="Times New Roman" w:eastAsia="仿宋_GB2312"/>
          <w:sz w:val="28"/>
          <w:szCs w:val="28"/>
        </w:rPr>
        <w:t>等力学性能特征值应符合表3的规定。表3所列各力学性能特征值，除R</w:t>
      </w:r>
      <w:r>
        <w:rPr>
          <w:rFonts w:hint="eastAsia" w:ascii="Times New Roman" w:hAnsi="Times New Roman" w:eastAsia="仿宋_GB2312"/>
          <w:sz w:val="28"/>
          <w:szCs w:val="28"/>
          <w:vertAlign w:val="superscript"/>
        </w:rPr>
        <w:t>o</w:t>
      </w:r>
      <w:r>
        <w:rPr>
          <w:rFonts w:hint="eastAsia" w:ascii="Times New Roman" w:hAnsi="Times New Roman" w:eastAsia="仿宋_GB2312"/>
          <w:sz w:val="28"/>
          <w:szCs w:val="28"/>
          <w:vertAlign w:val="subscript"/>
        </w:rPr>
        <w:t>eL</w:t>
      </w:r>
      <w:r>
        <w:rPr>
          <w:rFonts w:hint="eastAsia" w:ascii="Times New Roman" w:hAnsi="Times New Roman" w:eastAsia="仿宋_GB2312"/>
          <w:sz w:val="28"/>
          <w:szCs w:val="28"/>
        </w:rPr>
        <w:t>/R</w:t>
      </w:r>
      <w:r>
        <w:rPr>
          <w:rFonts w:hint="eastAsia" w:ascii="Times New Roman" w:hAnsi="Times New Roman" w:eastAsia="仿宋_GB2312"/>
          <w:sz w:val="28"/>
          <w:szCs w:val="28"/>
          <w:vertAlign w:val="subscript"/>
        </w:rPr>
        <w:t>eL</w:t>
      </w:r>
      <w:r>
        <w:rPr>
          <w:rFonts w:hint="eastAsia" w:ascii="Times New Roman" w:hAnsi="Times New Roman" w:eastAsia="仿宋_GB2312"/>
          <w:sz w:val="28"/>
          <w:szCs w:val="28"/>
        </w:rPr>
        <w:t>为最大保证值，其他为最小保证值</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根据实际生产情况和用户要求，并结合</w:t>
      </w:r>
      <w:r>
        <w:rPr>
          <w:rFonts w:hint="eastAsia" w:ascii="Times New Roman" w:hAnsi="Times New Roman" w:eastAsia="仿宋_GB2312"/>
          <w:sz w:val="28"/>
          <w:szCs w:val="28"/>
        </w:rPr>
        <w:t>GB 1499.2</w:t>
      </w:r>
      <w:r>
        <w:rPr>
          <w:rFonts w:hint="eastAsia" w:ascii="Times New Roman" w:hAnsi="Times New Roman" w:eastAsia="仿宋_GB2312"/>
          <w:sz w:val="28"/>
          <w:szCs w:val="28"/>
          <w:lang w:val="en-US" w:eastAsia="zh-CN"/>
        </w:rPr>
        <w:t>已有牌号的规定，确定了表3中数据</w:t>
      </w:r>
      <w:r>
        <w:rPr>
          <w:rFonts w:ascii="Times New Roman" w:hAnsi="Times New Roman" w:eastAsia="仿宋_GB2312"/>
          <w:sz w:val="28"/>
          <w:szCs w:val="28"/>
        </w:rPr>
        <w:t>。</w:t>
      </w:r>
    </w:p>
    <w:p w14:paraId="24D74482">
      <w:pPr>
        <w:pStyle w:val="18"/>
        <w:numPr>
          <w:ilvl w:val="0"/>
          <w:numId w:val="3"/>
        </w:numPr>
        <w:spacing w:before="156" w:after="156"/>
        <w:ind w:left="0"/>
        <w:rPr>
          <w:rFonts w:ascii="Times New Roman"/>
          <w:bCs/>
          <w:lang w:val="zh-CN"/>
        </w:rPr>
      </w:pPr>
      <w:r>
        <w:rPr>
          <w:rFonts w:hint="eastAsia" w:ascii="Times New Roman"/>
          <w:bCs/>
          <w:lang w:val="en-US" w:eastAsia="zh-CN"/>
        </w:rPr>
        <w:t>钢筋</w:t>
      </w:r>
      <w:r>
        <w:rPr>
          <w:rFonts w:ascii="Times New Roman"/>
          <w:bCs/>
          <w:lang w:val="zh-CN"/>
        </w:rPr>
        <w:t>力学性能</w:t>
      </w:r>
    </w:p>
    <w:tbl>
      <w:tblPr>
        <w:tblStyle w:val="7"/>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280"/>
        <w:gridCol w:w="1070"/>
        <w:gridCol w:w="1699"/>
        <w:gridCol w:w="1700"/>
        <w:gridCol w:w="826"/>
        <w:gridCol w:w="877"/>
      </w:tblGrid>
      <w:tr w14:paraId="54951B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10" w:hRule="atLeast"/>
          <w:jc w:val="center"/>
        </w:trPr>
        <w:tc>
          <w:tcPr>
            <w:tcW w:w="575" w:type="pct"/>
            <w:vMerge w:val="restart"/>
            <w:vAlign w:val="center"/>
          </w:tcPr>
          <w:p w14:paraId="53CA5F09">
            <w:pPr>
              <w:adjustRightInd w:val="0"/>
              <w:spacing w:line="3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zh-CN"/>
              </w:rPr>
              <w:t>牌号</w:t>
            </w:r>
          </w:p>
        </w:tc>
        <w:tc>
          <w:tcPr>
            <w:tcW w:w="760" w:type="pct"/>
            <w:vAlign w:val="center"/>
          </w:tcPr>
          <w:p w14:paraId="15ACB43D">
            <w:pPr>
              <w:adjustRightInd w:val="0"/>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zh-CN"/>
              </w:rPr>
              <w:t>下屈服强度</w:t>
            </w:r>
            <w:r>
              <w:rPr>
                <w:rFonts w:hint="default" w:ascii="Times New Roman" w:hAnsi="Times New Roman" w:cs="Times New Roman"/>
                <w:color w:val="auto"/>
                <w:sz w:val="18"/>
                <w:szCs w:val="18"/>
                <w:vertAlign w:val="superscript"/>
                <w:lang w:val="en-US" w:eastAsia="zh-CN"/>
              </w:rPr>
              <w:t>a</w:t>
            </w:r>
          </w:p>
          <w:p w14:paraId="1D8B4514">
            <w:pPr>
              <w:adjustRightIn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i/>
                <w:iCs/>
                <w:color w:val="auto"/>
                <w:sz w:val="18"/>
                <w:szCs w:val="18"/>
                <w:lang w:val="zh-CN"/>
              </w:rPr>
              <w:t>R</w:t>
            </w:r>
            <w:r>
              <w:rPr>
                <w:rFonts w:hint="default" w:ascii="Times New Roman" w:hAnsi="Times New Roman" w:cs="Times New Roman"/>
                <w:i/>
                <w:iCs/>
                <w:color w:val="auto"/>
                <w:sz w:val="18"/>
                <w:szCs w:val="18"/>
                <w:vertAlign w:val="subscript"/>
                <w:lang w:val="zh-CN"/>
              </w:rPr>
              <w:t xml:space="preserve">eL </w:t>
            </w:r>
            <w:r>
              <w:rPr>
                <w:rFonts w:hint="default" w:ascii="Times New Roman" w:hAnsi="Times New Roman" w:cs="Times New Roman"/>
                <w:i/>
                <w:iCs/>
                <w:color w:val="auto"/>
                <w:sz w:val="18"/>
                <w:szCs w:val="18"/>
                <w:lang w:val="zh-CN"/>
              </w:rPr>
              <w:t xml:space="preserve">/ </w:t>
            </w:r>
            <w:r>
              <w:rPr>
                <w:rFonts w:hint="default" w:ascii="Times New Roman" w:hAnsi="Times New Roman" w:cs="Times New Roman"/>
                <w:color w:val="auto"/>
                <w:sz w:val="18"/>
                <w:szCs w:val="18"/>
                <w:lang w:val="zh-CN"/>
              </w:rPr>
              <w:t>MPa</w:t>
            </w:r>
          </w:p>
        </w:tc>
        <w:tc>
          <w:tcPr>
            <w:tcW w:w="637" w:type="pct"/>
            <w:vAlign w:val="center"/>
          </w:tcPr>
          <w:p w14:paraId="02E5DD98">
            <w:pPr>
              <w:adjustRightInd w:val="0"/>
              <w:spacing w:line="240" w:lineRule="exact"/>
              <w:jc w:val="center"/>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zh-CN"/>
              </w:rPr>
              <w:t>抗拉强度</w:t>
            </w:r>
          </w:p>
          <w:p w14:paraId="4772D514">
            <w:pPr>
              <w:adjustRightInd w:val="0"/>
              <w:spacing w:line="240" w:lineRule="exact"/>
              <w:jc w:val="center"/>
              <w:rPr>
                <w:rFonts w:hint="default" w:ascii="Times New Roman" w:hAnsi="Times New Roman" w:cs="Times New Roman"/>
                <w:color w:val="auto"/>
                <w:sz w:val="18"/>
                <w:szCs w:val="18"/>
                <w:lang w:val="zh-CN"/>
              </w:rPr>
            </w:pPr>
            <w:r>
              <w:rPr>
                <w:rFonts w:hint="default" w:ascii="Times New Roman" w:hAnsi="Times New Roman" w:cs="Times New Roman"/>
                <w:i/>
                <w:iCs/>
                <w:color w:val="auto"/>
                <w:sz w:val="18"/>
                <w:szCs w:val="18"/>
                <w:lang w:val="zh-CN"/>
              </w:rPr>
              <w:t>R</w:t>
            </w:r>
            <w:r>
              <w:rPr>
                <w:rFonts w:hint="default" w:ascii="Times New Roman" w:hAnsi="Times New Roman" w:cs="Times New Roman"/>
                <w:i/>
                <w:iCs/>
                <w:color w:val="auto"/>
                <w:sz w:val="18"/>
                <w:szCs w:val="18"/>
                <w:vertAlign w:val="subscript"/>
                <w:lang w:val="zh-CN"/>
              </w:rPr>
              <w:t xml:space="preserve">m </w:t>
            </w:r>
            <w:r>
              <w:rPr>
                <w:rFonts w:hint="default" w:ascii="Times New Roman" w:hAnsi="Times New Roman" w:cs="Times New Roman"/>
                <w:i/>
                <w:iCs/>
                <w:color w:val="auto"/>
                <w:sz w:val="18"/>
                <w:szCs w:val="18"/>
              </w:rPr>
              <w:t xml:space="preserve">/ </w:t>
            </w:r>
            <w:r>
              <w:rPr>
                <w:rFonts w:hint="default" w:ascii="Times New Roman" w:hAnsi="Times New Roman" w:cs="Times New Roman"/>
                <w:color w:val="auto"/>
                <w:sz w:val="18"/>
                <w:szCs w:val="18"/>
                <w:lang w:val="zh-CN"/>
              </w:rPr>
              <w:t>MPa</w:t>
            </w:r>
          </w:p>
        </w:tc>
        <w:tc>
          <w:tcPr>
            <w:tcW w:w="1006" w:type="pct"/>
            <w:vAlign w:val="center"/>
          </w:tcPr>
          <w:p w14:paraId="1B653756">
            <w:pPr>
              <w:adjustRightInd w:val="0"/>
              <w:spacing w:line="24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断后伸长率</w:t>
            </w:r>
            <w:r>
              <w:rPr>
                <w:rFonts w:hint="default" w:ascii="Times New Roman" w:hAnsi="Times New Roman" w:cs="Times New Roman"/>
                <w:color w:val="auto"/>
                <w:sz w:val="18"/>
                <w:szCs w:val="18"/>
                <w:vertAlign w:val="superscript"/>
                <w:lang w:val="en-US" w:eastAsia="zh-CN"/>
              </w:rPr>
              <w:t>b</w:t>
            </w:r>
          </w:p>
          <w:p w14:paraId="1508AB45">
            <w:pPr>
              <w:adjustRightInd w:val="0"/>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i/>
                <w:color w:val="auto"/>
                <w:sz w:val="18"/>
                <w:szCs w:val="18"/>
              </w:rPr>
              <w:t>A</w:t>
            </w:r>
            <w:r>
              <w:rPr>
                <w:rFonts w:hint="default" w:ascii="Times New Roman" w:hAnsi="Times New Roman" w:cs="Times New Roman"/>
                <w:color w:val="auto"/>
                <w:sz w:val="18"/>
                <w:szCs w:val="18"/>
              </w:rPr>
              <w:t>/ %</w:t>
            </w:r>
          </w:p>
        </w:tc>
        <w:tc>
          <w:tcPr>
            <w:tcW w:w="1006" w:type="pct"/>
            <w:vAlign w:val="center"/>
          </w:tcPr>
          <w:p w14:paraId="61FF6A45">
            <w:pPr>
              <w:adjustRightInd w:val="0"/>
              <w:spacing w:line="240" w:lineRule="exact"/>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zh-CN"/>
              </w:rPr>
              <w:t>最大力总延伸率</w:t>
            </w:r>
            <w:r>
              <w:rPr>
                <w:rFonts w:hint="default" w:ascii="Times New Roman" w:hAnsi="Times New Roman" w:cs="Times New Roman"/>
                <w:color w:val="auto"/>
                <w:sz w:val="18"/>
                <w:szCs w:val="18"/>
                <w:vertAlign w:val="superscript"/>
                <w:lang w:val="en-US" w:eastAsia="zh-CN"/>
              </w:rPr>
              <w:t>c</w:t>
            </w:r>
          </w:p>
          <w:p w14:paraId="6136DB0F">
            <w:pPr>
              <w:adjustRightInd w:val="0"/>
              <w:spacing w:line="240" w:lineRule="exact"/>
              <w:jc w:val="center"/>
              <w:rPr>
                <w:rFonts w:hint="default" w:ascii="Times New Roman" w:hAnsi="Times New Roman" w:cs="Times New Roman"/>
                <w:i/>
                <w:iCs/>
                <w:color w:val="auto"/>
                <w:sz w:val="18"/>
                <w:szCs w:val="18"/>
                <w:vertAlign w:val="subscript"/>
                <w:lang w:val="zh-CN"/>
              </w:rPr>
            </w:pPr>
            <w:r>
              <w:rPr>
                <w:rFonts w:hint="default" w:ascii="Times New Roman" w:hAnsi="Times New Roman" w:cs="Times New Roman"/>
                <w:i/>
                <w:iCs/>
                <w:color w:val="auto"/>
                <w:sz w:val="18"/>
                <w:szCs w:val="18"/>
                <w:lang w:val="zh-CN"/>
              </w:rPr>
              <w:t>A</w:t>
            </w:r>
            <w:r>
              <w:rPr>
                <w:rFonts w:hint="default" w:ascii="Times New Roman" w:hAnsi="Times New Roman" w:cs="Times New Roman"/>
                <w:i/>
                <w:iCs/>
                <w:color w:val="auto"/>
                <w:sz w:val="18"/>
                <w:szCs w:val="18"/>
                <w:vertAlign w:val="subscript"/>
                <w:lang w:val="zh-CN"/>
              </w:rPr>
              <w:t xml:space="preserve">gt </w:t>
            </w:r>
            <w:r>
              <w:rPr>
                <w:rFonts w:hint="default" w:ascii="Times New Roman" w:hAnsi="Times New Roman" w:cs="Times New Roman"/>
                <w:color w:val="auto"/>
                <w:sz w:val="18"/>
                <w:szCs w:val="18"/>
                <w:lang w:val="zh-CN"/>
              </w:rPr>
              <w:t>/ %</w:t>
            </w:r>
          </w:p>
        </w:tc>
        <w:tc>
          <w:tcPr>
            <w:tcW w:w="491" w:type="pct"/>
            <w:vAlign w:val="center"/>
          </w:tcPr>
          <w:p w14:paraId="107EA957">
            <w:pPr>
              <w:adjustRightInd w:val="0"/>
              <w:spacing w:line="240" w:lineRule="exact"/>
              <w:jc w:val="center"/>
              <w:rPr>
                <w:rFonts w:hint="default" w:ascii="Times New Roman" w:hAnsi="Times New Roman" w:cs="Times New Roman"/>
                <w:color w:val="auto"/>
                <w:sz w:val="18"/>
                <w:szCs w:val="18"/>
                <w:lang w:val="zh-CN"/>
              </w:rPr>
            </w:pPr>
            <w:r>
              <w:rPr>
                <w:rFonts w:hint="default" w:ascii="Times New Roman" w:hAnsi="Times New Roman" w:cs="Times New Roman"/>
                <w:i/>
                <w:iCs/>
                <w:color w:val="auto"/>
                <w:sz w:val="18"/>
                <w:szCs w:val="18"/>
                <w:lang w:val="zh-CN"/>
              </w:rPr>
              <w:t>R</w:t>
            </w:r>
            <w:r>
              <w:rPr>
                <w:rFonts w:hint="default" w:ascii="Times New Roman" w:hAnsi="Times New Roman" w:cs="Times New Roman"/>
                <w:i/>
                <w:iCs/>
                <w:color w:val="auto"/>
                <w:sz w:val="18"/>
                <w:szCs w:val="18"/>
                <w:vertAlign w:val="superscript"/>
                <w:lang w:val="zh-CN"/>
              </w:rPr>
              <w:t>o</w:t>
            </w:r>
            <w:r>
              <w:rPr>
                <w:rFonts w:hint="default" w:ascii="Times New Roman" w:hAnsi="Times New Roman" w:cs="Times New Roman"/>
                <w:i/>
                <w:iCs/>
                <w:color w:val="auto"/>
                <w:sz w:val="18"/>
                <w:szCs w:val="18"/>
                <w:vertAlign w:val="subscript"/>
                <w:lang w:val="zh-CN"/>
              </w:rPr>
              <w:t>m</w:t>
            </w:r>
            <w:r>
              <w:rPr>
                <w:rFonts w:hint="default" w:ascii="Times New Roman" w:hAnsi="Times New Roman" w:cs="Times New Roman"/>
                <w:color w:val="auto"/>
                <w:sz w:val="18"/>
                <w:szCs w:val="18"/>
                <w:lang w:val="zh-CN"/>
              </w:rPr>
              <w:t>/</w:t>
            </w:r>
            <w:r>
              <w:rPr>
                <w:rFonts w:hint="default" w:ascii="Times New Roman" w:hAnsi="Times New Roman" w:cs="Times New Roman"/>
                <w:i/>
                <w:iCs/>
                <w:color w:val="auto"/>
                <w:sz w:val="18"/>
                <w:szCs w:val="18"/>
                <w:lang w:val="zh-CN"/>
              </w:rPr>
              <w:t>R</w:t>
            </w:r>
            <w:r>
              <w:rPr>
                <w:rFonts w:hint="default" w:ascii="Times New Roman" w:hAnsi="Times New Roman" w:cs="Times New Roman"/>
                <w:i/>
                <w:iCs/>
                <w:color w:val="auto"/>
                <w:sz w:val="18"/>
                <w:szCs w:val="18"/>
                <w:vertAlign w:val="superscript"/>
                <w:lang w:val="zh-CN"/>
              </w:rPr>
              <w:t>o</w:t>
            </w:r>
            <w:r>
              <w:rPr>
                <w:rFonts w:hint="default" w:ascii="Times New Roman" w:hAnsi="Times New Roman" w:cs="Times New Roman"/>
                <w:i/>
                <w:iCs/>
                <w:color w:val="auto"/>
                <w:sz w:val="18"/>
                <w:szCs w:val="18"/>
                <w:vertAlign w:val="subscript"/>
                <w:lang w:val="zh-CN"/>
              </w:rPr>
              <w:t>eL</w:t>
            </w:r>
          </w:p>
        </w:tc>
        <w:tc>
          <w:tcPr>
            <w:tcW w:w="521" w:type="pct"/>
            <w:vAlign w:val="center"/>
          </w:tcPr>
          <w:p w14:paraId="66332EBE">
            <w:pPr>
              <w:adjustRightInd w:val="0"/>
              <w:spacing w:line="240" w:lineRule="exact"/>
              <w:jc w:val="center"/>
              <w:rPr>
                <w:rFonts w:hint="default" w:ascii="Times New Roman" w:hAnsi="Times New Roman" w:cs="Times New Roman"/>
                <w:color w:val="auto"/>
                <w:sz w:val="18"/>
                <w:szCs w:val="18"/>
                <w:lang w:val="zh-CN"/>
              </w:rPr>
            </w:pPr>
            <w:r>
              <w:rPr>
                <w:rFonts w:hint="default" w:ascii="Times New Roman" w:hAnsi="Times New Roman" w:cs="Times New Roman"/>
                <w:i/>
                <w:iCs/>
                <w:color w:val="auto"/>
                <w:sz w:val="18"/>
                <w:szCs w:val="18"/>
                <w:lang w:val="zh-CN"/>
              </w:rPr>
              <w:t>R</w:t>
            </w:r>
            <w:r>
              <w:rPr>
                <w:rFonts w:hint="default" w:ascii="Times New Roman" w:hAnsi="Times New Roman" w:cs="Times New Roman"/>
                <w:i/>
                <w:iCs/>
                <w:color w:val="auto"/>
                <w:sz w:val="18"/>
                <w:szCs w:val="18"/>
                <w:vertAlign w:val="superscript"/>
                <w:lang w:val="zh-CN"/>
              </w:rPr>
              <w:t>o</w:t>
            </w:r>
            <w:r>
              <w:rPr>
                <w:rFonts w:hint="default" w:ascii="Times New Roman" w:hAnsi="Times New Roman" w:cs="Times New Roman"/>
                <w:i/>
                <w:iCs/>
                <w:color w:val="auto"/>
                <w:sz w:val="18"/>
                <w:szCs w:val="18"/>
                <w:vertAlign w:val="subscript"/>
                <w:lang w:val="zh-CN"/>
              </w:rPr>
              <w:t>eL</w:t>
            </w:r>
            <w:r>
              <w:rPr>
                <w:rFonts w:hint="default" w:ascii="Times New Roman" w:hAnsi="Times New Roman" w:cs="Times New Roman"/>
                <w:color w:val="auto"/>
                <w:sz w:val="18"/>
                <w:szCs w:val="18"/>
                <w:lang w:val="zh-CN"/>
              </w:rPr>
              <w:t>/</w:t>
            </w:r>
            <w:r>
              <w:rPr>
                <w:rFonts w:hint="default" w:ascii="Times New Roman" w:hAnsi="Times New Roman" w:cs="Times New Roman"/>
                <w:i/>
                <w:iCs/>
                <w:color w:val="auto"/>
                <w:sz w:val="18"/>
                <w:szCs w:val="18"/>
                <w:lang w:val="zh-CN"/>
              </w:rPr>
              <w:t>R</w:t>
            </w:r>
            <w:r>
              <w:rPr>
                <w:rFonts w:hint="default" w:ascii="Times New Roman" w:hAnsi="Times New Roman" w:cs="Times New Roman"/>
                <w:i/>
                <w:iCs/>
                <w:color w:val="auto"/>
                <w:sz w:val="18"/>
                <w:szCs w:val="18"/>
                <w:vertAlign w:val="subscript"/>
                <w:lang w:val="zh-CN"/>
              </w:rPr>
              <w:t>eL</w:t>
            </w:r>
          </w:p>
        </w:tc>
      </w:tr>
      <w:tr w14:paraId="5284F9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75" w:type="pct"/>
            <w:vMerge w:val="continue"/>
            <w:vAlign w:val="center"/>
          </w:tcPr>
          <w:p w14:paraId="774AB7E2">
            <w:pPr>
              <w:spacing w:line="360" w:lineRule="auto"/>
              <w:jc w:val="center"/>
              <w:rPr>
                <w:rFonts w:hint="default" w:ascii="Times New Roman" w:hAnsi="Times New Roman" w:cs="Times New Roman"/>
                <w:color w:val="auto"/>
                <w:sz w:val="18"/>
                <w:szCs w:val="18"/>
              </w:rPr>
            </w:pPr>
          </w:p>
        </w:tc>
        <w:tc>
          <w:tcPr>
            <w:tcW w:w="3902" w:type="pct"/>
            <w:gridSpan w:val="5"/>
            <w:vAlign w:val="center"/>
          </w:tcPr>
          <w:p w14:paraId="087D4048">
            <w:pPr>
              <w:adjustRightInd w:val="0"/>
              <w:spacing w:line="300" w:lineRule="exact"/>
              <w:jc w:val="center"/>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zh-CN"/>
              </w:rPr>
              <w:t>不小于</w:t>
            </w:r>
          </w:p>
        </w:tc>
        <w:tc>
          <w:tcPr>
            <w:tcW w:w="521" w:type="pct"/>
            <w:vAlign w:val="center"/>
          </w:tcPr>
          <w:p w14:paraId="4817C247">
            <w:pPr>
              <w:adjustRightInd w:val="0"/>
              <w:spacing w:line="300" w:lineRule="exact"/>
              <w:jc w:val="center"/>
              <w:rPr>
                <w:rFonts w:hint="default" w:ascii="Times New Roman" w:hAnsi="Times New Roman" w:cs="Times New Roman"/>
                <w:color w:val="auto"/>
                <w:sz w:val="18"/>
                <w:szCs w:val="18"/>
                <w:lang w:val="zh-CN"/>
              </w:rPr>
            </w:pPr>
            <w:r>
              <w:rPr>
                <w:rFonts w:hint="default" w:ascii="Times New Roman" w:hAnsi="Times New Roman" w:cs="Times New Roman"/>
                <w:color w:val="auto"/>
                <w:sz w:val="18"/>
                <w:szCs w:val="18"/>
                <w:lang w:val="zh-CN"/>
              </w:rPr>
              <w:t>不大于</w:t>
            </w:r>
          </w:p>
        </w:tc>
      </w:tr>
      <w:tr w14:paraId="21A35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75" w:type="pct"/>
            <w:vAlign w:val="center"/>
          </w:tcPr>
          <w:p w14:paraId="5264B04A">
            <w:pPr>
              <w:jc w:val="center"/>
              <w:rPr>
                <w:rFonts w:hint="default" w:ascii="Times New Roman" w:hAnsi="Times New Roman" w:cs="Times New Roman"/>
                <w:bCs/>
                <w:color w:val="auto"/>
                <w:sz w:val="18"/>
                <w:szCs w:val="18"/>
                <w:highlight w:val="none"/>
              </w:rPr>
            </w:pPr>
            <w:r>
              <w:rPr>
                <w:rFonts w:hint="default" w:ascii="Times New Roman" w:hAnsi="Times New Roman" w:cs="Times New Roman"/>
                <w:color w:val="auto"/>
                <w:sz w:val="18"/>
                <w:highlight w:val="none"/>
              </w:rPr>
              <w:t>HRB</w:t>
            </w:r>
            <w:r>
              <w:rPr>
                <w:rFonts w:hint="default" w:ascii="Times New Roman" w:hAnsi="Times New Roman" w:cs="Times New Roman"/>
                <w:color w:val="auto"/>
                <w:sz w:val="18"/>
                <w:highlight w:val="none"/>
                <w:lang w:val="en-US" w:eastAsia="zh-CN"/>
              </w:rPr>
              <w:t>70</w:t>
            </w:r>
            <w:r>
              <w:rPr>
                <w:rFonts w:hint="default" w:ascii="Times New Roman" w:hAnsi="Times New Roman" w:cs="Times New Roman"/>
                <w:color w:val="auto"/>
                <w:sz w:val="18"/>
                <w:highlight w:val="none"/>
              </w:rPr>
              <w:t>0</w:t>
            </w:r>
          </w:p>
        </w:tc>
        <w:tc>
          <w:tcPr>
            <w:tcW w:w="760" w:type="pct"/>
            <w:shd w:val="clear" w:color="auto" w:fill="auto"/>
            <w:vAlign w:val="center"/>
          </w:tcPr>
          <w:p w14:paraId="7BCBEC55">
            <w:pPr>
              <w:adjustRightInd w:val="0"/>
              <w:spacing w:line="300" w:lineRule="exact"/>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kern w:val="2"/>
                <w:sz w:val="18"/>
                <w:szCs w:val="18"/>
                <w:highlight w:val="none"/>
                <w:lang w:val="en-US" w:eastAsia="zh-CN" w:bidi="ar-SA"/>
              </w:rPr>
              <w:t>700</w:t>
            </w:r>
          </w:p>
        </w:tc>
        <w:tc>
          <w:tcPr>
            <w:tcW w:w="637" w:type="pct"/>
            <w:shd w:val="clear" w:color="auto" w:fill="auto"/>
            <w:vAlign w:val="center"/>
          </w:tcPr>
          <w:p w14:paraId="593676D5">
            <w:pPr>
              <w:adjustRightInd w:val="0"/>
              <w:spacing w:line="300" w:lineRule="exact"/>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kern w:val="2"/>
                <w:sz w:val="18"/>
                <w:szCs w:val="18"/>
                <w:highlight w:val="none"/>
                <w:lang w:val="en-US" w:eastAsia="zh-CN" w:bidi="ar-SA"/>
              </w:rPr>
              <w:t>860</w:t>
            </w:r>
          </w:p>
        </w:tc>
        <w:tc>
          <w:tcPr>
            <w:tcW w:w="1006" w:type="pct"/>
            <w:shd w:val="clear" w:color="auto" w:fill="auto"/>
            <w:vAlign w:val="center"/>
          </w:tcPr>
          <w:p w14:paraId="1979B042">
            <w:pPr>
              <w:adjustRightInd w:val="0"/>
              <w:spacing w:line="300" w:lineRule="exact"/>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kern w:val="2"/>
                <w:sz w:val="18"/>
                <w:szCs w:val="18"/>
                <w:highlight w:val="none"/>
                <w:lang w:val="en-US" w:eastAsia="zh-CN" w:bidi="ar-SA"/>
              </w:rPr>
              <w:t>13</w:t>
            </w:r>
          </w:p>
        </w:tc>
        <w:tc>
          <w:tcPr>
            <w:tcW w:w="1006" w:type="pct"/>
            <w:shd w:val="clear" w:color="auto" w:fill="auto"/>
            <w:vAlign w:val="center"/>
          </w:tcPr>
          <w:p w14:paraId="6C6B9683">
            <w:pPr>
              <w:adjustRightInd w:val="0"/>
              <w:spacing w:line="300" w:lineRule="exact"/>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kern w:val="2"/>
                <w:sz w:val="18"/>
                <w:szCs w:val="18"/>
                <w:highlight w:val="none"/>
                <w:lang w:val="en-US" w:eastAsia="zh-CN" w:bidi="ar-SA"/>
              </w:rPr>
              <w:t>7.5</w:t>
            </w:r>
          </w:p>
        </w:tc>
        <w:tc>
          <w:tcPr>
            <w:tcW w:w="491" w:type="pct"/>
            <w:shd w:val="clear" w:color="auto" w:fill="auto"/>
            <w:vAlign w:val="center"/>
          </w:tcPr>
          <w:p w14:paraId="767A04D1">
            <w:pPr>
              <w:adjustRightInd w:val="0"/>
              <w:spacing w:line="300" w:lineRule="exact"/>
              <w:jc w:val="center"/>
              <w:rPr>
                <w:rFonts w:hint="default" w:ascii="Times New Roman" w:hAnsi="Times New Roman" w:eastAsia="宋体" w:cs="Times New Roman"/>
                <w:color w:val="auto"/>
                <w:kern w:val="2"/>
                <w:sz w:val="18"/>
                <w:szCs w:val="18"/>
                <w:highlight w:val="none"/>
                <w:lang w:val="zh-CN" w:eastAsia="zh-CN" w:bidi="ar-SA"/>
              </w:rPr>
            </w:pPr>
            <w:r>
              <w:rPr>
                <w:rFonts w:hint="default" w:ascii="Times New Roman" w:hAnsi="Times New Roman" w:cs="Times New Roman"/>
                <w:color w:val="auto"/>
                <w:kern w:val="2"/>
                <w:sz w:val="18"/>
                <w:szCs w:val="18"/>
                <w:highlight w:val="none"/>
                <w:lang w:val="zh-CN" w:eastAsia="zh-CN" w:bidi="ar-SA"/>
              </w:rPr>
              <w:t>—</w:t>
            </w:r>
          </w:p>
        </w:tc>
        <w:tc>
          <w:tcPr>
            <w:tcW w:w="521" w:type="pct"/>
            <w:shd w:val="clear" w:color="auto" w:fill="auto"/>
            <w:vAlign w:val="center"/>
          </w:tcPr>
          <w:p w14:paraId="4217AF0D">
            <w:pPr>
              <w:adjustRightInd w:val="0"/>
              <w:spacing w:line="300" w:lineRule="exact"/>
              <w:jc w:val="center"/>
              <w:rPr>
                <w:rFonts w:hint="default" w:ascii="Times New Roman" w:hAnsi="Times New Roman" w:eastAsia="宋体" w:cs="Times New Roman"/>
                <w:color w:val="auto"/>
                <w:kern w:val="2"/>
                <w:sz w:val="18"/>
                <w:szCs w:val="18"/>
                <w:highlight w:val="none"/>
                <w:lang w:val="zh-CN" w:eastAsia="zh-CN" w:bidi="ar-SA"/>
              </w:rPr>
            </w:pPr>
            <w:r>
              <w:rPr>
                <w:rFonts w:hint="default" w:ascii="Times New Roman" w:hAnsi="Times New Roman" w:cs="Times New Roman"/>
                <w:color w:val="auto"/>
                <w:kern w:val="2"/>
                <w:sz w:val="18"/>
                <w:szCs w:val="18"/>
                <w:highlight w:val="none"/>
                <w:lang w:val="zh-CN" w:eastAsia="zh-CN" w:bidi="ar-SA"/>
              </w:rPr>
              <w:t>—</w:t>
            </w:r>
          </w:p>
        </w:tc>
      </w:tr>
      <w:tr w14:paraId="5D3E26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75" w:type="pct"/>
            <w:vAlign w:val="center"/>
          </w:tcPr>
          <w:p w14:paraId="12AFF355">
            <w:pPr>
              <w:jc w:val="center"/>
              <w:rPr>
                <w:rFonts w:hint="default" w:ascii="Times New Roman" w:hAnsi="Times New Roman" w:cs="Times New Roman"/>
                <w:bCs/>
                <w:color w:val="auto"/>
                <w:sz w:val="18"/>
                <w:szCs w:val="18"/>
                <w:highlight w:val="none"/>
              </w:rPr>
            </w:pPr>
            <w:r>
              <w:rPr>
                <w:rFonts w:hint="default" w:ascii="Times New Roman" w:hAnsi="Times New Roman" w:cs="Times New Roman"/>
                <w:color w:val="auto"/>
                <w:sz w:val="18"/>
                <w:highlight w:val="none"/>
              </w:rPr>
              <w:t>HRB</w:t>
            </w:r>
            <w:r>
              <w:rPr>
                <w:rFonts w:hint="default" w:ascii="Times New Roman" w:hAnsi="Times New Roman" w:cs="Times New Roman"/>
                <w:color w:val="auto"/>
                <w:sz w:val="18"/>
                <w:highlight w:val="none"/>
                <w:lang w:val="en-US" w:eastAsia="zh-CN"/>
              </w:rPr>
              <w:t>700</w:t>
            </w:r>
            <w:r>
              <w:rPr>
                <w:rFonts w:hint="default" w:ascii="Times New Roman" w:hAnsi="Times New Roman" w:cs="Times New Roman"/>
                <w:color w:val="auto"/>
                <w:sz w:val="18"/>
                <w:highlight w:val="none"/>
              </w:rPr>
              <w:t>E</w:t>
            </w:r>
          </w:p>
        </w:tc>
        <w:tc>
          <w:tcPr>
            <w:tcW w:w="760" w:type="pct"/>
            <w:vAlign w:val="center"/>
          </w:tcPr>
          <w:p w14:paraId="0316CDB0">
            <w:pPr>
              <w:adjustRightInd w:val="0"/>
              <w:spacing w:line="300" w:lineRule="exact"/>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700</w:t>
            </w:r>
          </w:p>
        </w:tc>
        <w:tc>
          <w:tcPr>
            <w:tcW w:w="637" w:type="pct"/>
            <w:vAlign w:val="center"/>
          </w:tcPr>
          <w:p w14:paraId="1CDD8932">
            <w:pPr>
              <w:adjustRightInd w:val="0"/>
              <w:spacing w:line="300" w:lineRule="exact"/>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875</w:t>
            </w:r>
          </w:p>
        </w:tc>
        <w:tc>
          <w:tcPr>
            <w:tcW w:w="1006" w:type="pct"/>
            <w:vAlign w:val="center"/>
          </w:tcPr>
          <w:p w14:paraId="79E4F5BD">
            <w:pPr>
              <w:adjustRightInd w:val="0"/>
              <w:spacing w:line="300" w:lineRule="exact"/>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w:t>
            </w:r>
          </w:p>
        </w:tc>
        <w:tc>
          <w:tcPr>
            <w:tcW w:w="1006" w:type="pct"/>
            <w:vAlign w:val="center"/>
          </w:tcPr>
          <w:p w14:paraId="5FB45BCE">
            <w:pPr>
              <w:adjustRightInd w:val="0"/>
              <w:spacing w:line="300" w:lineRule="exact"/>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9.0</w:t>
            </w:r>
          </w:p>
        </w:tc>
        <w:tc>
          <w:tcPr>
            <w:tcW w:w="491" w:type="pct"/>
            <w:vAlign w:val="center"/>
          </w:tcPr>
          <w:p w14:paraId="2532C953">
            <w:pPr>
              <w:adjustRightInd w:val="0"/>
              <w:spacing w:line="300" w:lineRule="exact"/>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1.25</w:t>
            </w:r>
          </w:p>
        </w:tc>
        <w:tc>
          <w:tcPr>
            <w:tcW w:w="521" w:type="pct"/>
            <w:vAlign w:val="center"/>
          </w:tcPr>
          <w:p w14:paraId="286246AD">
            <w:pPr>
              <w:adjustRightInd w:val="0"/>
              <w:spacing w:line="300" w:lineRule="exact"/>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1.30</w:t>
            </w:r>
          </w:p>
        </w:tc>
      </w:tr>
      <w:tr w14:paraId="4A9FC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75" w:type="pct"/>
            <w:vAlign w:val="center"/>
          </w:tcPr>
          <w:p w14:paraId="4B1F639D">
            <w:pPr>
              <w:pStyle w:val="19"/>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Cs/>
                <w:color w:val="auto"/>
                <w:sz w:val="18"/>
                <w:szCs w:val="18"/>
                <w:highlight w:val="none"/>
              </w:rPr>
            </w:pPr>
            <w:r>
              <w:rPr>
                <w:rFonts w:hint="default" w:ascii="Times New Roman" w:hAnsi="Times New Roman" w:cs="Times New Roman"/>
                <w:color w:val="auto"/>
                <w:sz w:val="18"/>
                <w:szCs w:val="15"/>
                <w:highlight w:val="none"/>
                <w:lang w:val="en-US" w:eastAsia="zh-CN"/>
              </w:rPr>
              <w:t>HRBF700</w:t>
            </w:r>
          </w:p>
        </w:tc>
        <w:tc>
          <w:tcPr>
            <w:tcW w:w="760" w:type="pct"/>
            <w:shd w:val="clear" w:color="auto" w:fill="auto"/>
            <w:vAlign w:val="center"/>
          </w:tcPr>
          <w:p w14:paraId="0A0B1A56">
            <w:pPr>
              <w:adjustRightInd w:val="0"/>
              <w:spacing w:line="300" w:lineRule="exact"/>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kern w:val="2"/>
                <w:sz w:val="18"/>
                <w:szCs w:val="18"/>
                <w:highlight w:val="none"/>
                <w:lang w:val="en-US" w:eastAsia="zh-CN" w:bidi="ar-SA"/>
              </w:rPr>
              <w:t>700</w:t>
            </w:r>
          </w:p>
        </w:tc>
        <w:tc>
          <w:tcPr>
            <w:tcW w:w="637" w:type="pct"/>
            <w:shd w:val="clear" w:color="auto" w:fill="auto"/>
            <w:vAlign w:val="center"/>
          </w:tcPr>
          <w:p w14:paraId="609DD1AA">
            <w:pPr>
              <w:adjustRightInd w:val="0"/>
              <w:spacing w:line="300" w:lineRule="exact"/>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kern w:val="2"/>
                <w:sz w:val="18"/>
                <w:szCs w:val="18"/>
                <w:highlight w:val="none"/>
                <w:lang w:val="en-US" w:eastAsia="zh-CN" w:bidi="ar-SA"/>
              </w:rPr>
              <w:t>860</w:t>
            </w:r>
          </w:p>
        </w:tc>
        <w:tc>
          <w:tcPr>
            <w:tcW w:w="1006" w:type="pct"/>
            <w:shd w:val="clear" w:color="auto" w:fill="auto"/>
            <w:vAlign w:val="center"/>
          </w:tcPr>
          <w:p w14:paraId="6C6DDF80">
            <w:pPr>
              <w:adjustRightInd w:val="0"/>
              <w:spacing w:line="300" w:lineRule="exact"/>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kern w:val="2"/>
                <w:sz w:val="18"/>
                <w:szCs w:val="18"/>
                <w:highlight w:val="none"/>
                <w:lang w:val="en-US" w:eastAsia="zh-CN" w:bidi="ar-SA"/>
              </w:rPr>
              <w:t>13</w:t>
            </w:r>
          </w:p>
        </w:tc>
        <w:tc>
          <w:tcPr>
            <w:tcW w:w="1006" w:type="pct"/>
            <w:shd w:val="clear" w:color="auto" w:fill="auto"/>
            <w:vAlign w:val="center"/>
          </w:tcPr>
          <w:p w14:paraId="0CFAB450">
            <w:pPr>
              <w:adjustRightInd w:val="0"/>
              <w:spacing w:line="300" w:lineRule="exact"/>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kern w:val="2"/>
                <w:sz w:val="18"/>
                <w:szCs w:val="18"/>
                <w:highlight w:val="none"/>
                <w:lang w:val="en-US" w:eastAsia="zh-CN" w:bidi="ar-SA"/>
              </w:rPr>
              <w:t>7.5</w:t>
            </w:r>
          </w:p>
        </w:tc>
        <w:tc>
          <w:tcPr>
            <w:tcW w:w="491" w:type="pct"/>
            <w:shd w:val="clear" w:color="auto" w:fill="auto"/>
            <w:vAlign w:val="center"/>
          </w:tcPr>
          <w:p w14:paraId="28398FC5">
            <w:pPr>
              <w:adjustRightInd w:val="0"/>
              <w:spacing w:line="300" w:lineRule="exact"/>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kern w:val="2"/>
                <w:sz w:val="18"/>
                <w:szCs w:val="18"/>
                <w:highlight w:val="none"/>
                <w:lang w:val="zh-CN" w:eastAsia="zh-CN" w:bidi="ar-SA"/>
              </w:rPr>
              <w:t>—</w:t>
            </w:r>
          </w:p>
        </w:tc>
        <w:tc>
          <w:tcPr>
            <w:tcW w:w="521" w:type="pct"/>
            <w:shd w:val="clear" w:color="auto" w:fill="auto"/>
            <w:vAlign w:val="center"/>
          </w:tcPr>
          <w:p w14:paraId="74027F66">
            <w:pPr>
              <w:adjustRightInd w:val="0"/>
              <w:spacing w:line="300" w:lineRule="exact"/>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kern w:val="2"/>
                <w:sz w:val="18"/>
                <w:szCs w:val="18"/>
                <w:highlight w:val="none"/>
                <w:lang w:val="zh-CN" w:eastAsia="zh-CN" w:bidi="ar-SA"/>
              </w:rPr>
              <w:t>—</w:t>
            </w:r>
          </w:p>
        </w:tc>
      </w:tr>
      <w:tr w14:paraId="60D311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75" w:type="pct"/>
            <w:vAlign w:val="center"/>
          </w:tcPr>
          <w:p w14:paraId="2915423E">
            <w:pPr>
              <w:pStyle w:val="19"/>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Cs/>
                <w:color w:val="auto"/>
                <w:sz w:val="18"/>
                <w:szCs w:val="18"/>
                <w:highlight w:val="none"/>
              </w:rPr>
            </w:pPr>
            <w:r>
              <w:rPr>
                <w:rFonts w:hint="default" w:ascii="Times New Roman" w:hAnsi="Times New Roman" w:cs="Times New Roman"/>
                <w:color w:val="auto"/>
                <w:sz w:val="18"/>
                <w:szCs w:val="15"/>
                <w:highlight w:val="none"/>
              </w:rPr>
              <w:t>HRB</w:t>
            </w:r>
            <w:r>
              <w:rPr>
                <w:rFonts w:hint="default" w:ascii="Times New Roman" w:hAnsi="Times New Roman" w:cs="Times New Roman"/>
                <w:color w:val="auto"/>
                <w:sz w:val="18"/>
                <w:szCs w:val="15"/>
                <w:highlight w:val="none"/>
                <w:lang w:val="en-US" w:eastAsia="zh-CN"/>
              </w:rPr>
              <w:t>F700</w:t>
            </w:r>
            <w:r>
              <w:rPr>
                <w:rFonts w:hint="default" w:ascii="Times New Roman" w:hAnsi="Times New Roman" w:cs="Times New Roman"/>
                <w:color w:val="auto"/>
                <w:sz w:val="18"/>
                <w:szCs w:val="15"/>
                <w:highlight w:val="none"/>
              </w:rPr>
              <w:t>E</w:t>
            </w:r>
          </w:p>
        </w:tc>
        <w:tc>
          <w:tcPr>
            <w:tcW w:w="760" w:type="pct"/>
            <w:shd w:val="clear" w:color="auto" w:fill="auto"/>
            <w:vAlign w:val="center"/>
          </w:tcPr>
          <w:p w14:paraId="4FC4699B">
            <w:pPr>
              <w:adjustRightInd w:val="0"/>
              <w:spacing w:line="300" w:lineRule="exact"/>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700</w:t>
            </w:r>
          </w:p>
        </w:tc>
        <w:tc>
          <w:tcPr>
            <w:tcW w:w="637" w:type="pct"/>
            <w:shd w:val="clear" w:color="auto" w:fill="auto"/>
            <w:vAlign w:val="center"/>
          </w:tcPr>
          <w:p w14:paraId="50C3D4C0">
            <w:pPr>
              <w:adjustRightInd w:val="0"/>
              <w:spacing w:line="300" w:lineRule="exact"/>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875</w:t>
            </w:r>
          </w:p>
        </w:tc>
        <w:tc>
          <w:tcPr>
            <w:tcW w:w="1006" w:type="pct"/>
            <w:shd w:val="clear" w:color="auto" w:fill="auto"/>
            <w:vAlign w:val="center"/>
          </w:tcPr>
          <w:p w14:paraId="2239AB84">
            <w:pPr>
              <w:adjustRightInd w:val="0"/>
              <w:spacing w:line="300" w:lineRule="exact"/>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w:t>
            </w:r>
          </w:p>
        </w:tc>
        <w:tc>
          <w:tcPr>
            <w:tcW w:w="1006" w:type="pct"/>
            <w:shd w:val="clear" w:color="auto" w:fill="auto"/>
            <w:vAlign w:val="center"/>
          </w:tcPr>
          <w:p w14:paraId="54C146E1">
            <w:pPr>
              <w:adjustRightInd w:val="0"/>
              <w:spacing w:line="300" w:lineRule="exact"/>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9.0</w:t>
            </w:r>
          </w:p>
        </w:tc>
        <w:tc>
          <w:tcPr>
            <w:tcW w:w="491" w:type="pct"/>
            <w:shd w:val="clear" w:color="auto" w:fill="auto"/>
            <w:vAlign w:val="center"/>
          </w:tcPr>
          <w:p w14:paraId="10C9A864">
            <w:pPr>
              <w:adjustRightInd w:val="0"/>
              <w:spacing w:line="300" w:lineRule="exact"/>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1.25</w:t>
            </w:r>
          </w:p>
        </w:tc>
        <w:tc>
          <w:tcPr>
            <w:tcW w:w="521" w:type="pct"/>
            <w:shd w:val="clear" w:color="auto" w:fill="auto"/>
            <w:vAlign w:val="center"/>
          </w:tcPr>
          <w:p w14:paraId="7216626A">
            <w:pPr>
              <w:adjustRightInd w:val="0"/>
              <w:spacing w:line="300" w:lineRule="exact"/>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1.30</w:t>
            </w:r>
          </w:p>
        </w:tc>
      </w:tr>
      <w:tr w14:paraId="031270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00" w:type="pct"/>
            <w:gridSpan w:val="7"/>
            <w:vAlign w:val="center"/>
          </w:tcPr>
          <w:p w14:paraId="34502E71">
            <w:pPr>
              <w:adjustRightInd w:val="0"/>
              <w:spacing w:line="300" w:lineRule="exact"/>
              <w:ind w:firstLine="270" w:firstLineChars="150"/>
              <w:jc w:val="left"/>
              <w:rPr>
                <w:rFonts w:hint="default" w:ascii="Times New Roman" w:hAnsi="Times New Roman" w:cs="Times New Roman"/>
                <w:color w:val="auto"/>
                <w:sz w:val="18"/>
                <w:szCs w:val="18"/>
                <w:lang w:val="zh-CN"/>
              </w:rPr>
            </w:pPr>
            <w:r>
              <w:rPr>
                <w:rFonts w:hint="default" w:ascii="Times New Roman" w:hAnsi="Times New Roman" w:eastAsia="黑体" w:cs="Times New Roman"/>
                <w:b/>
                <w:bCs/>
                <w:color w:val="auto"/>
                <w:sz w:val="18"/>
                <w:szCs w:val="18"/>
                <w:lang w:val="zh-CN"/>
              </w:rPr>
              <w:t>注：</w:t>
            </w:r>
            <w:r>
              <w:rPr>
                <w:rFonts w:hint="default" w:ascii="Times New Roman" w:hAnsi="Times New Roman" w:cs="Times New Roman"/>
                <w:i/>
                <w:iCs/>
                <w:color w:val="auto"/>
                <w:sz w:val="18"/>
                <w:szCs w:val="18"/>
                <w:lang w:val="zh-CN"/>
              </w:rPr>
              <w:t>R</w:t>
            </w:r>
            <w:r>
              <w:rPr>
                <w:rFonts w:hint="default" w:ascii="Times New Roman" w:hAnsi="Times New Roman" w:cs="Times New Roman"/>
                <w:i/>
                <w:iCs/>
                <w:color w:val="auto"/>
                <w:sz w:val="18"/>
                <w:szCs w:val="18"/>
                <w:vertAlign w:val="superscript"/>
                <w:lang w:val="zh-CN"/>
              </w:rPr>
              <w:t>o</w:t>
            </w:r>
            <w:r>
              <w:rPr>
                <w:rFonts w:hint="default" w:ascii="Times New Roman" w:hAnsi="Times New Roman" w:cs="Times New Roman"/>
                <w:color w:val="auto"/>
                <w:sz w:val="18"/>
                <w:szCs w:val="18"/>
                <w:vertAlign w:val="subscript"/>
                <w:lang w:val="zh-CN"/>
              </w:rPr>
              <w:t>m</w:t>
            </w:r>
            <w:r>
              <w:rPr>
                <w:rFonts w:hint="default" w:ascii="Times New Roman" w:hAnsi="Times New Roman" w:cs="Times New Roman"/>
                <w:color w:val="auto"/>
                <w:sz w:val="18"/>
                <w:szCs w:val="18"/>
                <w:lang w:val="zh-CN"/>
              </w:rPr>
              <w:t>为钢筋实测抗拉强度；</w:t>
            </w:r>
            <w:r>
              <w:rPr>
                <w:rFonts w:hint="default" w:ascii="Times New Roman" w:hAnsi="Times New Roman" w:cs="Times New Roman"/>
                <w:i/>
                <w:iCs/>
                <w:color w:val="auto"/>
                <w:sz w:val="18"/>
                <w:szCs w:val="18"/>
                <w:lang w:val="zh-CN"/>
              </w:rPr>
              <w:t>R</w:t>
            </w:r>
            <w:r>
              <w:rPr>
                <w:rFonts w:hint="default" w:ascii="Times New Roman" w:hAnsi="Times New Roman" w:cs="Times New Roman"/>
                <w:i/>
                <w:iCs/>
                <w:color w:val="auto"/>
                <w:sz w:val="18"/>
                <w:szCs w:val="18"/>
                <w:vertAlign w:val="superscript"/>
                <w:lang w:val="zh-CN"/>
              </w:rPr>
              <w:t>o</w:t>
            </w:r>
            <w:r>
              <w:rPr>
                <w:rFonts w:hint="default" w:ascii="Times New Roman" w:hAnsi="Times New Roman" w:cs="Times New Roman"/>
                <w:color w:val="auto"/>
                <w:sz w:val="18"/>
                <w:szCs w:val="18"/>
                <w:vertAlign w:val="subscript"/>
                <w:lang w:val="zh-CN"/>
              </w:rPr>
              <w:t>eL</w:t>
            </w:r>
            <w:r>
              <w:rPr>
                <w:rFonts w:hint="default" w:ascii="Times New Roman" w:hAnsi="Times New Roman" w:cs="Times New Roman"/>
                <w:color w:val="auto"/>
                <w:sz w:val="18"/>
                <w:szCs w:val="18"/>
                <w:lang w:val="zh-CN"/>
              </w:rPr>
              <w:t>为钢筋实测下屈服强度。</w:t>
            </w:r>
          </w:p>
        </w:tc>
      </w:tr>
      <w:tr w14:paraId="6C9F7F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00" w:type="pct"/>
            <w:gridSpan w:val="7"/>
            <w:vAlign w:val="center"/>
          </w:tcPr>
          <w:p w14:paraId="67443C23">
            <w:pPr>
              <w:adjustRightInd w:val="0"/>
              <w:spacing w:line="300" w:lineRule="exact"/>
              <w:ind w:firstLine="270" w:firstLineChars="150"/>
              <w:jc w:val="left"/>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vertAlign w:val="superscript"/>
                <w:lang w:val="en-US" w:eastAsia="zh-CN"/>
              </w:rPr>
              <w:t>a</w:t>
            </w:r>
            <w:r>
              <w:rPr>
                <w:rFonts w:hint="default" w:ascii="Times New Roman" w:hAnsi="Times New Roman" w:cs="Times New Roman"/>
                <w:color w:val="auto"/>
                <w:sz w:val="18"/>
                <w:szCs w:val="18"/>
                <w:lang w:val="en-US" w:eastAsia="zh-CN"/>
              </w:rPr>
              <w:t>对于没有明显屈服的钢筋，下屈服强度特征值</w:t>
            </w:r>
            <w:r>
              <w:rPr>
                <w:rFonts w:hint="default" w:ascii="Times New Roman" w:hAnsi="Times New Roman" w:cs="Times New Roman"/>
                <w:i/>
                <w:iCs/>
                <w:color w:val="auto"/>
                <w:sz w:val="18"/>
                <w:szCs w:val="18"/>
                <w:lang w:val="zh-CN"/>
              </w:rPr>
              <w:t>R</w:t>
            </w:r>
            <w:r>
              <w:rPr>
                <w:rFonts w:hint="default" w:ascii="Times New Roman" w:hAnsi="Times New Roman" w:cs="Times New Roman"/>
                <w:i/>
                <w:iCs/>
                <w:color w:val="auto"/>
                <w:sz w:val="18"/>
                <w:szCs w:val="18"/>
                <w:vertAlign w:val="subscript"/>
                <w:lang w:val="zh-CN"/>
              </w:rPr>
              <w:t>eL</w:t>
            </w:r>
            <w:r>
              <w:rPr>
                <w:rFonts w:hint="default" w:ascii="Times New Roman" w:hAnsi="Times New Roman" w:cs="Times New Roman"/>
                <w:color w:val="auto"/>
                <w:sz w:val="18"/>
                <w:szCs w:val="18"/>
                <w:lang w:val="en-US" w:eastAsia="zh-CN"/>
              </w:rPr>
              <w:t>采用规定塑性延伸强度</w:t>
            </w:r>
            <w:r>
              <w:rPr>
                <w:rFonts w:hint="default" w:ascii="Times New Roman" w:hAnsi="Times New Roman" w:cs="Times New Roman"/>
                <w:color w:val="auto"/>
                <w:sz w:val="18"/>
                <w:szCs w:val="18"/>
                <w:lang w:val="zh-CN"/>
              </w:rPr>
              <w:t>R</w:t>
            </w:r>
            <w:r>
              <w:rPr>
                <w:rFonts w:hint="default" w:ascii="Times New Roman" w:hAnsi="Times New Roman" w:cs="Times New Roman"/>
                <w:color w:val="auto"/>
                <w:sz w:val="18"/>
                <w:szCs w:val="18"/>
                <w:lang w:val="en-US" w:eastAsia="zh-CN"/>
              </w:rPr>
              <w:t>p0.2。</w:t>
            </w:r>
          </w:p>
          <w:p w14:paraId="348AA906">
            <w:pPr>
              <w:adjustRightInd w:val="0"/>
              <w:spacing w:line="300" w:lineRule="exact"/>
              <w:ind w:firstLine="270" w:firstLineChars="150"/>
              <w:jc w:val="left"/>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cs="Times New Roman"/>
                <w:i w:val="0"/>
                <w:iCs w:val="0"/>
                <w:color w:val="auto"/>
                <w:sz w:val="18"/>
                <w:szCs w:val="18"/>
                <w:vertAlign w:val="superscript"/>
                <w:lang w:val="en-US" w:eastAsia="zh-CN"/>
              </w:rPr>
              <w:t>b</w:t>
            </w:r>
            <w:r>
              <w:rPr>
                <w:rFonts w:hint="default" w:ascii="Times New Roman" w:hAnsi="Times New Roman" w:cs="Times New Roman"/>
                <w:i w:val="0"/>
                <w:iCs w:val="0"/>
                <w:color w:val="auto"/>
                <w:sz w:val="18"/>
                <w:szCs w:val="18"/>
                <w:vertAlign w:val="baseline"/>
                <w:lang w:val="en-US" w:eastAsia="zh-CN"/>
              </w:rPr>
              <w:t>出厂检验准许采用</w:t>
            </w:r>
            <w:r>
              <w:rPr>
                <w:rFonts w:hint="default" w:ascii="Times New Roman" w:hAnsi="Times New Roman" w:cs="Times New Roman"/>
                <w:i/>
                <w:iCs/>
                <w:color w:val="auto"/>
                <w:sz w:val="18"/>
                <w:szCs w:val="18"/>
                <w:vertAlign w:val="baseline"/>
                <w:lang w:val="en-US" w:eastAsia="zh-CN"/>
              </w:rPr>
              <w:t>A</w:t>
            </w:r>
            <w:r>
              <w:rPr>
                <w:rFonts w:hint="default" w:ascii="Times New Roman" w:hAnsi="Times New Roman" w:cs="Times New Roman"/>
                <w:i w:val="0"/>
                <w:iCs w:val="0"/>
                <w:color w:val="auto"/>
                <w:sz w:val="18"/>
                <w:szCs w:val="18"/>
                <w:vertAlign w:val="baseline"/>
                <w:lang w:val="en-US" w:eastAsia="zh-CN"/>
              </w:rPr>
              <w:t>。</w:t>
            </w:r>
          </w:p>
          <w:p w14:paraId="159A9A63">
            <w:pPr>
              <w:adjustRightInd w:val="0"/>
              <w:spacing w:line="300" w:lineRule="exact"/>
              <w:ind w:firstLine="270" w:firstLineChars="150"/>
              <w:jc w:val="left"/>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cs="Times New Roman"/>
                <w:i w:val="0"/>
                <w:iCs w:val="0"/>
                <w:color w:val="auto"/>
                <w:sz w:val="18"/>
                <w:szCs w:val="18"/>
                <w:vertAlign w:val="superscript"/>
                <w:lang w:val="en-US" w:eastAsia="zh-CN"/>
              </w:rPr>
              <w:t>c</w:t>
            </w:r>
            <w:r>
              <w:rPr>
                <w:rFonts w:hint="default" w:ascii="Times New Roman" w:hAnsi="Times New Roman" w:cs="Times New Roman"/>
                <w:i w:val="0"/>
                <w:iCs w:val="0"/>
                <w:color w:val="auto"/>
                <w:sz w:val="18"/>
                <w:szCs w:val="18"/>
                <w:vertAlign w:val="baseline"/>
                <w:lang w:val="en-US" w:eastAsia="zh-CN"/>
              </w:rPr>
              <w:t>仲裁检验时采用</w:t>
            </w:r>
            <w:r>
              <w:rPr>
                <w:rFonts w:hint="default" w:ascii="Times New Roman" w:hAnsi="Times New Roman" w:cs="Times New Roman"/>
                <w:i/>
                <w:iCs/>
                <w:color w:val="auto"/>
                <w:sz w:val="18"/>
                <w:szCs w:val="18"/>
                <w:vertAlign w:val="baseline"/>
                <w:lang w:val="en-US" w:eastAsia="zh-CN"/>
              </w:rPr>
              <w:t>A</w:t>
            </w:r>
            <w:r>
              <w:rPr>
                <w:rFonts w:hint="default" w:ascii="Times New Roman" w:hAnsi="Times New Roman" w:cs="Times New Roman"/>
                <w:i/>
                <w:iCs/>
                <w:color w:val="auto"/>
                <w:sz w:val="18"/>
                <w:szCs w:val="18"/>
                <w:vertAlign w:val="subscript"/>
                <w:lang w:val="en-US" w:eastAsia="zh-CN"/>
              </w:rPr>
              <w:t>gt</w:t>
            </w:r>
            <w:r>
              <w:rPr>
                <w:rFonts w:hint="default" w:ascii="Times New Roman" w:hAnsi="Times New Roman" w:cs="Times New Roman"/>
                <w:i w:val="0"/>
                <w:iCs w:val="0"/>
                <w:color w:val="auto"/>
                <w:sz w:val="18"/>
                <w:szCs w:val="18"/>
                <w:vertAlign w:val="baseline"/>
                <w:lang w:val="en-US" w:eastAsia="zh-CN"/>
              </w:rPr>
              <w:t>。</w:t>
            </w:r>
          </w:p>
        </w:tc>
      </w:tr>
    </w:tbl>
    <w:p w14:paraId="2F5F83BF">
      <w:pPr>
        <w:spacing w:line="360" w:lineRule="auto"/>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2</w:t>
      </w:r>
      <w:r>
        <w:rPr>
          <w:rFonts w:hint="eastAsia" w:ascii="Times New Roman" w:hAnsi="Times New Roman" w:eastAsia="仿宋_GB2312"/>
          <w:sz w:val="28"/>
          <w:szCs w:val="28"/>
          <w:lang w:eastAsia="zh-CN"/>
        </w:rPr>
        <w:t>）公称直径为28mm~40mm各牌号钢筋的断后伸长率A准许降低1%；公称直径大于40mm各牌号钢筋的断后伸长率A准许降低2%</w:t>
      </w:r>
    </w:p>
    <w:p w14:paraId="66CCB3DB">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 工艺性能</w:t>
      </w:r>
    </w:p>
    <w:p w14:paraId="561CC6C7">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按表4规定弯曲压头直径弯曲180°后，钢筋受弯曲部位表面不得产生裂纹</w:t>
      </w:r>
      <w:r>
        <w:rPr>
          <w:rFonts w:ascii="Times New Roman" w:hAnsi="Times New Roman" w:eastAsia="仿宋_GB2312"/>
          <w:sz w:val="28"/>
          <w:szCs w:val="28"/>
        </w:rPr>
        <w:t>。</w:t>
      </w:r>
    </w:p>
    <w:p w14:paraId="456A11D3">
      <w:pPr>
        <w:pStyle w:val="18"/>
        <w:numPr>
          <w:ilvl w:val="0"/>
          <w:numId w:val="3"/>
        </w:numPr>
        <w:spacing w:before="156" w:after="156"/>
        <w:ind w:left="0"/>
        <w:jc w:val="right"/>
        <w:rPr>
          <w:rFonts w:ascii="Times New Roman"/>
          <w:bCs/>
          <w:lang w:val="zh-CN"/>
        </w:rPr>
      </w:pPr>
      <w:r>
        <w:rPr>
          <w:rFonts w:ascii="Times New Roman"/>
          <w:bCs/>
        </w:rPr>
        <w:t xml:space="preserve">弯曲压头直径              </w:t>
      </w:r>
      <w:r>
        <w:rPr>
          <w:rFonts w:hint="eastAsia" w:ascii="Times New Roman"/>
          <w:bCs/>
          <w:lang w:val="en-US" w:eastAsia="zh-CN"/>
        </w:rPr>
        <w:t xml:space="preserve">  </w:t>
      </w:r>
      <w:r>
        <w:rPr>
          <w:rFonts w:ascii="Times New Roman"/>
          <w:bCs/>
        </w:rPr>
        <w:t xml:space="preserve"> </w:t>
      </w:r>
      <w:r>
        <w:rPr>
          <w:rFonts w:hint="eastAsia" w:ascii="Times New Roman"/>
          <w:bCs/>
          <w:lang w:val="en-US" w:eastAsia="zh-CN"/>
        </w:rPr>
        <w:t xml:space="preserve">    </w:t>
      </w:r>
      <w:r>
        <w:rPr>
          <w:rFonts w:ascii="Times New Roman"/>
          <w:bCs/>
        </w:rPr>
        <w:t xml:space="preserve">  </w:t>
      </w:r>
      <w:r>
        <w:rPr>
          <w:rFonts w:ascii="Times New Roman"/>
          <w:bCs/>
          <w:sz w:val="18"/>
          <w:szCs w:val="16"/>
        </w:rPr>
        <w:t>单位为毫米</w:t>
      </w:r>
    </w:p>
    <w:tbl>
      <w:tblPr>
        <w:tblStyle w:val="7"/>
        <w:tblW w:w="500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97"/>
        <w:gridCol w:w="3070"/>
        <w:gridCol w:w="3069"/>
      </w:tblGrid>
      <w:tr w14:paraId="33214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04" w:type="pct"/>
            <w:vAlign w:val="center"/>
          </w:tcPr>
          <w:p w14:paraId="2A5F799E">
            <w:pPr>
              <w:autoSpaceDE w:val="0"/>
              <w:autoSpaceDN w:val="0"/>
              <w:adjustRightInd w:val="0"/>
              <w:spacing w:before="156" w:after="156" w:line="120" w:lineRule="exact"/>
              <w:jc w:val="center"/>
              <w:rPr>
                <w:rFonts w:hint="default" w:ascii="Times New Roman" w:hAnsi="Times New Roman" w:cs="Times New Roman"/>
                <w:color w:val="auto"/>
                <w:kern w:val="0"/>
                <w:sz w:val="18"/>
                <w:szCs w:val="18"/>
                <w:lang w:val="zh-CN"/>
              </w:rPr>
            </w:pPr>
            <w:r>
              <w:rPr>
                <w:rFonts w:hint="default" w:ascii="Times New Roman" w:hAnsi="Times New Roman" w:cs="Times New Roman"/>
                <w:color w:val="auto"/>
                <w:kern w:val="0"/>
                <w:sz w:val="18"/>
                <w:szCs w:val="18"/>
                <w:lang w:val="zh-CN"/>
              </w:rPr>
              <w:t>牌号</w:t>
            </w:r>
          </w:p>
        </w:tc>
        <w:tc>
          <w:tcPr>
            <w:tcW w:w="1798" w:type="pct"/>
            <w:vAlign w:val="center"/>
          </w:tcPr>
          <w:p w14:paraId="2BC97220">
            <w:pPr>
              <w:autoSpaceDE w:val="0"/>
              <w:autoSpaceDN w:val="0"/>
              <w:adjustRightInd w:val="0"/>
              <w:spacing w:before="156" w:after="156" w:line="120" w:lineRule="exact"/>
              <w:jc w:val="center"/>
              <w:rPr>
                <w:rFonts w:hint="default" w:ascii="Times New Roman" w:hAnsi="Times New Roman" w:cs="Times New Roman"/>
                <w:color w:val="auto"/>
                <w:kern w:val="0"/>
                <w:sz w:val="18"/>
                <w:szCs w:val="18"/>
                <w:lang w:val="zh-CN"/>
              </w:rPr>
            </w:pPr>
            <w:r>
              <w:rPr>
                <w:rFonts w:hint="default" w:ascii="Times New Roman" w:hAnsi="Times New Roman" w:cs="Times New Roman"/>
                <w:color w:val="auto"/>
                <w:kern w:val="0"/>
                <w:sz w:val="18"/>
                <w:szCs w:val="18"/>
                <w:lang w:val="zh-CN"/>
              </w:rPr>
              <w:t>公称直径</w:t>
            </w:r>
            <w:r>
              <w:rPr>
                <w:rFonts w:hint="default" w:ascii="Times New Roman" w:hAnsi="Times New Roman" w:cs="Times New Roman"/>
                <w:i/>
                <w:color w:val="auto"/>
                <w:kern w:val="0"/>
                <w:sz w:val="18"/>
                <w:szCs w:val="18"/>
                <w:lang w:val="zh-CN"/>
              </w:rPr>
              <w:t>d</w:t>
            </w:r>
          </w:p>
        </w:tc>
        <w:tc>
          <w:tcPr>
            <w:tcW w:w="1797" w:type="pct"/>
            <w:vAlign w:val="center"/>
          </w:tcPr>
          <w:p w14:paraId="6A2BF34A">
            <w:pPr>
              <w:autoSpaceDE w:val="0"/>
              <w:autoSpaceDN w:val="0"/>
              <w:adjustRightInd w:val="0"/>
              <w:spacing w:before="156" w:after="156" w:line="120" w:lineRule="exact"/>
              <w:jc w:val="center"/>
              <w:rPr>
                <w:rFonts w:hint="default" w:ascii="Times New Roman" w:hAnsi="Times New Roman" w:cs="Times New Roman"/>
                <w:color w:val="auto"/>
                <w:kern w:val="0"/>
                <w:sz w:val="18"/>
                <w:szCs w:val="18"/>
                <w:lang w:val="zh-CN"/>
              </w:rPr>
            </w:pPr>
            <w:r>
              <w:rPr>
                <w:rFonts w:hint="default" w:ascii="Times New Roman" w:hAnsi="Times New Roman" w:cs="Times New Roman"/>
                <w:color w:val="auto"/>
                <w:kern w:val="0"/>
                <w:sz w:val="18"/>
                <w:szCs w:val="18"/>
                <w:lang w:val="zh-CN"/>
              </w:rPr>
              <w:t>弯曲压头直径</w:t>
            </w:r>
          </w:p>
        </w:tc>
      </w:tr>
      <w:tr w14:paraId="67316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04" w:type="pct"/>
            <w:vMerge w:val="restart"/>
            <w:shd w:val="clear" w:color="auto" w:fill="auto"/>
            <w:vAlign w:val="center"/>
          </w:tcPr>
          <w:p w14:paraId="5AF498CF">
            <w:pPr>
              <w:keepNext w:val="0"/>
              <w:keepLines w:val="0"/>
              <w:pageBreakBefore w:val="0"/>
              <w:kinsoku/>
              <w:wordWrap/>
              <w:overflowPunct/>
              <w:topLinePunct w:val="0"/>
              <w:bidi w:val="0"/>
              <w:adjustRightInd/>
              <w:snapToGrid/>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cs="Times New Roman"/>
                <w:color w:val="auto"/>
                <w:sz w:val="18"/>
                <w:highlight w:val="none"/>
              </w:rPr>
              <w:t>HRB</w:t>
            </w:r>
            <w:r>
              <w:rPr>
                <w:rFonts w:hint="default" w:ascii="Times New Roman" w:hAnsi="Times New Roman" w:cs="Times New Roman"/>
                <w:color w:val="auto"/>
                <w:sz w:val="18"/>
                <w:highlight w:val="none"/>
                <w:lang w:val="en-US" w:eastAsia="zh-CN"/>
              </w:rPr>
              <w:t>70</w:t>
            </w:r>
            <w:r>
              <w:rPr>
                <w:rFonts w:hint="default" w:ascii="Times New Roman" w:hAnsi="Times New Roman" w:cs="Times New Roman"/>
                <w:color w:val="auto"/>
                <w:sz w:val="18"/>
                <w:highlight w:val="none"/>
              </w:rPr>
              <w:t>0</w:t>
            </w:r>
          </w:p>
          <w:p w14:paraId="1A0C1C21">
            <w:pPr>
              <w:keepNext w:val="0"/>
              <w:keepLines w:val="0"/>
              <w:pageBreakBefore w:val="0"/>
              <w:kinsoku/>
              <w:wordWrap/>
              <w:overflowPunct/>
              <w:topLinePunct w:val="0"/>
              <w:bidi w:val="0"/>
              <w:adjustRightInd/>
              <w:snapToGrid/>
              <w:spacing w:line="360" w:lineRule="exact"/>
              <w:jc w:val="center"/>
              <w:textAlignment w:val="auto"/>
              <w:rPr>
                <w:rFonts w:hint="default" w:ascii="Times New Roman" w:hAnsi="Times New Roman" w:cs="Times New Roman"/>
                <w:color w:val="auto"/>
                <w:sz w:val="18"/>
                <w:highlight w:val="none"/>
              </w:rPr>
            </w:pPr>
            <w:r>
              <w:rPr>
                <w:rFonts w:hint="default" w:ascii="Times New Roman" w:hAnsi="Times New Roman" w:cs="Times New Roman"/>
                <w:color w:val="auto"/>
                <w:sz w:val="18"/>
                <w:highlight w:val="none"/>
              </w:rPr>
              <w:t>HRB</w:t>
            </w:r>
            <w:r>
              <w:rPr>
                <w:rFonts w:hint="default" w:ascii="Times New Roman" w:hAnsi="Times New Roman" w:cs="Times New Roman"/>
                <w:color w:val="auto"/>
                <w:sz w:val="18"/>
                <w:highlight w:val="none"/>
                <w:lang w:val="en-US" w:eastAsia="zh-CN"/>
              </w:rPr>
              <w:t>700</w:t>
            </w:r>
            <w:r>
              <w:rPr>
                <w:rFonts w:hint="default" w:ascii="Times New Roman" w:hAnsi="Times New Roman" w:cs="Times New Roman"/>
                <w:color w:val="auto"/>
                <w:sz w:val="18"/>
                <w:highlight w:val="none"/>
              </w:rPr>
              <w:t>E</w:t>
            </w:r>
          </w:p>
          <w:p w14:paraId="028EEACA">
            <w:pPr>
              <w:pStyle w:val="19"/>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eastAsia="宋体" w:cs="Times New Roman"/>
                <w:bCs/>
                <w:color w:val="auto"/>
                <w:sz w:val="18"/>
                <w:szCs w:val="18"/>
                <w:highlight w:val="none"/>
                <w:lang w:val="en-US" w:eastAsia="zh-CN" w:bidi="ar-SA"/>
              </w:rPr>
            </w:pPr>
            <w:r>
              <w:rPr>
                <w:rFonts w:hint="default" w:ascii="Times New Roman" w:hAnsi="Times New Roman" w:cs="Times New Roman"/>
                <w:color w:val="auto"/>
                <w:sz w:val="18"/>
                <w:szCs w:val="15"/>
                <w:highlight w:val="none"/>
                <w:lang w:val="en-US" w:eastAsia="zh-CN"/>
              </w:rPr>
              <w:t>HRBF700</w:t>
            </w:r>
          </w:p>
          <w:p w14:paraId="77880267">
            <w:pPr>
              <w:keepNext w:val="0"/>
              <w:keepLines w:val="0"/>
              <w:pageBreakBefore w:val="0"/>
              <w:kinsoku/>
              <w:wordWrap/>
              <w:overflowPunct/>
              <w:topLinePunct w:val="0"/>
              <w:bidi w:val="0"/>
              <w:adjustRightInd/>
              <w:snapToGrid/>
              <w:spacing w:line="360" w:lineRule="exact"/>
              <w:jc w:val="center"/>
              <w:textAlignment w:val="auto"/>
              <w:rPr>
                <w:rFonts w:hint="default" w:ascii="Times New Roman" w:hAnsi="Times New Roman" w:cs="Times New Roman"/>
                <w:color w:val="auto"/>
                <w:sz w:val="18"/>
                <w:highlight w:val="none"/>
              </w:rPr>
            </w:pPr>
            <w:r>
              <w:rPr>
                <w:rFonts w:hint="default" w:ascii="Times New Roman" w:hAnsi="Times New Roman" w:cs="Times New Roman"/>
                <w:color w:val="auto"/>
                <w:sz w:val="18"/>
                <w:szCs w:val="15"/>
                <w:highlight w:val="none"/>
              </w:rPr>
              <w:t>HRB</w:t>
            </w:r>
            <w:r>
              <w:rPr>
                <w:rFonts w:hint="default" w:ascii="Times New Roman" w:hAnsi="Times New Roman" w:cs="Times New Roman"/>
                <w:color w:val="auto"/>
                <w:sz w:val="18"/>
                <w:szCs w:val="15"/>
                <w:highlight w:val="none"/>
                <w:lang w:val="en-US" w:eastAsia="zh-CN"/>
              </w:rPr>
              <w:t>F700</w:t>
            </w:r>
            <w:r>
              <w:rPr>
                <w:rFonts w:hint="default" w:ascii="Times New Roman" w:hAnsi="Times New Roman" w:cs="Times New Roman"/>
                <w:color w:val="auto"/>
                <w:sz w:val="18"/>
                <w:szCs w:val="15"/>
                <w:highlight w:val="none"/>
              </w:rPr>
              <w:t>E</w:t>
            </w:r>
          </w:p>
        </w:tc>
        <w:tc>
          <w:tcPr>
            <w:tcW w:w="1798" w:type="pct"/>
            <w:vAlign w:val="center"/>
          </w:tcPr>
          <w:p w14:paraId="501DB4AF">
            <w:pPr>
              <w:keepNext w:val="0"/>
              <w:keepLines w:val="0"/>
              <w:pageBreakBefore w:val="0"/>
              <w:kinsoku/>
              <w:wordWrap/>
              <w:overflowPunct/>
              <w:topLinePunct w:val="0"/>
              <w:bidi w:val="0"/>
              <w:adjustRightInd/>
              <w:snapToGrid/>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 w:val="18"/>
                <w:highlight w:val="none"/>
                <w:lang w:val="en-US" w:eastAsia="zh-CN"/>
              </w:rPr>
              <w:t>6</w:t>
            </w:r>
            <w:r>
              <w:rPr>
                <w:rFonts w:hint="default" w:ascii="Times New Roman" w:hAnsi="Times New Roman" w:cs="Times New Roman"/>
                <w:color w:val="auto"/>
                <w:sz w:val="18"/>
                <w:highlight w:val="none"/>
              </w:rPr>
              <w:t>～</w:t>
            </w:r>
            <w:r>
              <w:rPr>
                <w:rFonts w:hint="default" w:ascii="Times New Roman" w:hAnsi="Times New Roman" w:cs="Times New Roman"/>
                <w:color w:val="auto"/>
                <w:sz w:val="18"/>
                <w:highlight w:val="none"/>
                <w:lang w:val="en-US" w:eastAsia="zh-CN"/>
              </w:rPr>
              <w:t>25</w:t>
            </w:r>
          </w:p>
        </w:tc>
        <w:tc>
          <w:tcPr>
            <w:tcW w:w="1797" w:type="pct"/>
            <w:vAlign w:val="center"/>
          </w:tcPr>
          <w:p w14:paraId="1EA97D1C">
            <w:pPr>
              <w:keepNext w:val="0"/>
              <w:keepLines w:val="0"/>
              <w:pageBreakBefore w:val="0"/>
              <w:kinsoku/>
              <w:wordWrap/>
              <w:overflowPunct/>
              <w:topLinePunct w:val="0"/>
              <w:bidi w:val="0"/>
              <w:adjustRightInd/>
              <w:snapToGrid/>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6d</w:t>
            </w:r>
          </w:p>
        </w:tc>
      </w:tr>
      <w:tr w14:paraId="465937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04" w:type="pct"/>
            <w:vMerge w:val="continue"/>
            <w:shd w:val="clear" w:color="auto" w:fill="auto"/>
            <w:vAlign w:val="center"/>
          </w:tcPr>
          <w:p w14:paraId="6D0A00CA">
            <w:pPr>
              <w:keepNext w:val="0"/>
              <w:keepLines w:val="0"/>
              <w:pageBreakBefore w:val="0"/>
              <w:kinsoku/>
              <w:wordWrap/>
              <w:overflowPunct/>
              <w:topLinePunct w:val="0"/>
              <w:bidi w:val="0"/>
              <w:adjustRightInd/>
              <w:snapToGrid/>
              <w:jc w:val="center"/>
              <w:textAlignment w:val="auto"/>
              <w:rPr>
                <w:rFonts w:hint="default" w:ascii="Times New Roman" w:hAnsi="Times New Roman" w:eastAsia="宋体" w:cs="Times New Roman"/>
                <w:bCs/>
                <w:color w:val="auto"/>
                <w:kern w:val="2"/>
                <w:sz w:val="18"/>
                <w:szCs w:val="18"/>
                <w:lang w:val="en-US" w:eastAsia="zh-CN" w:bidi="ar-SA"/>
              </w:rPr>
            </w:pPr>
          </w:p>
        </w:tc>
        <w:tc>
          <w:tcPr>
            <w:tcW w:w="1798" w:type="pct"/>
            <w:vAlign w:val="center"/>
          </w:tcPr>
          <w:p w14:paraId="33CD3015">
            <w:pPr>
              <w:keepNext w:val="0"/>
              <w:keepLines w:val="0"/>
              <w:pageBreakBefore w:val="0"/>
              <w:kinsoku/>
              <w:wordWrap/>
              <w:overflowPunct/>
              <w:topLinePunct w:val="0"/>
              <w:bidi w:val="0"/>
              <w:adjustRightInd/>
              <w:snapToGrid/>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sz w:val="18"/>
                <w:lang w:val="en-US" w:eastAsia="zh-CN"/>
              </w:rPr>
              <w:t>28</w:t>
            </w:r>
            <w:r>
              <w:rPr>
                <w:rFonts w:hint="default" w:ascii="Times New Roman" w:hAnsi="Times New Roman" w:cs="Times New Roman"/>
                <w:color w:val="auto"/>
                <w:sz w:val="18"/>
              </w:rPr>
              <w:t>～</w:t>
            </w:r>
            <w:r>
              <w:rPr>
                <w:rFonts w:hint="default" w:ascii="Times New Roman" w:hAnsi="Times New Roman" w:cs="Times New Roman"/>
                <w:color w:val="auto"/>
                <w:sz w:val="18"/>
                <w:lang w:val="en-US" w:eastAsia="zh-CN"/>
              </w:rPr>
              <w:t>40</w:t>
            </w:r>
          </w:p>
        </w:tc>
        <w:tc>
          <w:tcPr>
            <w:tcW w:w="1797" w:type="pct"/>
            <w:vAlign w:val="center"/>
          </w:tcPr>
          <w:p w14:paraId="61BA6247">
            <w:pPr>
              <w:keepNext w:val="0"/>
              <w:keepLines w:val="0"/>
              <w:pageBreakBefore w:val="0"/>
              <w:kinsoku/>
              <w:wordWrap/>
              <w:overflowPunct/>
              <w:topLinePunct w:val="0"/>
              <w:bidi w:val="0"/>
              <w:adjustRightInd/>
              <w:snapToGrid/>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7d</w:t>
            </w:r>
          </w:p>
        </w:tc>
      </w:tr>
      <w:tr w14:paraId="361347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04" w:type="pct"/>
            <w:vMerge w:val="continue"/>
            <w:shd w:val="clear" w:color="auto" w:fill="auto"/>
            <w:vAlign w:val="center"/>
          </w:tcPr>
          <w:p w14:paraId="18A8E2CB">
            <w:pPr>
              <w:keepNext w:val="0"/>
              <w:keepLines w:val="0"/>
              <w:pageBreakBefore w:val="0"/>
              <w:kinsoku/>
              <w:wordWrap/>
              <w:overflowPunct/>
              <w:topLinePunct w:val="0"/>
              <w:bidi w:val="0"/>
              <w:adjustRightInd/>
              <w:snapToGrid/>
              <w:spacing w:line="360" w:lineRule="exact"/>
              <w:jc w:val="center"/>
              <w:textAlignment w:val="auto"/>
              <w:rPr>
                <w:rFonts w:hint="default" w:ascii="Times New Roman" w:hAnsi="Times New Roman" w:cs="Times New Roman"/>
                <w:bCs/>
                <w:color w:val="auto"/>
                <w:sz w:val="18"/>
                <w:szCs w:val="18"/>
              </w:rPr>
            </w:pPr>
          </w:p>
        </w:tc>
        <w:tc>
          <w:tcPr>
            <w:tcW w:w="1798" w:type="pct"/>
            <w:vAlign w:val="center"/>
          </w:tcPr>
          <w:p w14:paraId="21580542">
            <w:pPr>
              <w:keepNext w:val="0"/>
              <w:keepLines w:val="0"/>
              <w:pageBreakBefore w:val="0"/>
              <w:kinsoku/>
              <w:wordWrap/>
              <w:overflowPunct/>
              <w:topLinePunct w:val="0"/>
              <w:bidi w:val="0"/>
              <w:adjustRightInd/>
              <w:snapToGrid/>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sz w:val="18"/>
                <w:lang w:eastAsia="zh-CN"/>
              </w:rPr>
              <w:t>＞</w:t>
            </w:r>
            <w:r>
              <w:rPr>
                <w:rFonts w:hint="default" w:ascii="Times New Roman" w:hAnsi="Times New Roman" w:cs="Times New Roman"/>
                <w:color w:val="auto"/>
                <w:sz w:val="18"/>
                <w:lang w:val="en-US" w:eastAsia="zh-CN"/>
              </w:rPr>
              <w:t>40</w:t>
            </w:r>
            <w:r>
              <w:rPr>
                <w:rFonts w:hint="default" w:ascii="Times New Roman" w:hAnsi="Times New Roman" w:cs="Times New Roman"/>
                <w:color w:val="auto"/>
                <w:sz w:val="18"/>
              </w:rPr>
              <w:t>～</w:t>
            </w:r>
            <w:r>
              <w:rPr>
                <w:rFonts w:hint="default" w:ascii="Times New Roman" w:hAnsi="Times New Roman" w:cs="Times New Roman"/>
                <w:color w:val="auto"/>
                <w:sz w:val="18"/>
                <w:lang w:val="en-US" w:eastAsia="zh-CN"/>
              </w:rPr>
              <w:t>50</w:t>
            </w:r>
          </w:p>
        </w:tc>
        <w:tc>
          <w:tcPr>
            <w:tcW w:w="1797" w:type="pct"/>
            <w:vAlign w:val="center"/>
          </w:tcPr>
          <w:p w14:paraId="48CE86B9">
            <w:pPr>
              <w:keepNext w:val="0"/>
              <w:keepLines w:val="0"/>
              <w:pageBreakBefore w:val="0"/>
              <w:kinsoku/>
              <w:wordWrap/>
              <w:overflowPunct/>
              <w:topLinePunct w:val="0"/>
              <w:bidi w:val="0"/>
              <w:adjustRightInd/>
              <w:snapToGrid/>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8d</w:t>
            </w:r>
          </w:p>
        </w:tc>
      </w:tr>
    </w:tbl>
    <w:p w14:paraId="7EB7042F">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（2）反向弯曲性能应符合GB 1499.2的规定。</w:t>
      </w:r>
    </w:p>
    <w:p w14:paraId="603F0345">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5</w:t>
      </w:r>
      <w:r>
        <w:rPr>
          <w:rFonts w:ascii="Times New Roman" w:hAnsi="Times New Roman" w:eastAsia="仿宋_GB2312"/>
          <w:sz w:val="28"/>
          <w:szCs w:val="28"/>
        </w:rPr>
        <w:t>. 疲劳性能</w:t>
      </w:r>
    </w:p>
    <w:p w14:paraId="5368BF75">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根据需方需求，可进行疲劳性能试验。疲劳试验应符合GB/T 28900的规定。</w:t>
      </w:r>
    </w:p>
    <w:p w14:paraId="76A70B97">
      <w:pPr>
        <w:numPr>
          <w:ilvl w:val="0"/>
          <w:numId w:val="5"/>
        </w:num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连接性能</w:t>
      </w:r>
    </w:p>
    <w:p w14:paraId="05DB1B33">
      <w:pPr>
        <w:numPr>
          <w:ilvl w:val="0"/>
          <w:numId w:val="0"/>
        </w:numPr>
        <w:spacing w:line="360" w:lineRule="auto"/>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rPr>
        <w:t>钢筋的焊接、机械连接工艺及接头的质量检验与验收应符合JGJ 18、JGJ 107规定</w:t>
      </w:r>
      <w:r>
        <w:rPr>
          <w:rFonts w:hint="eastAsia" w:ascii="Times New Roman" w:hAnsi="Times New Roman" w:eastAsia="仿宋_GB2312"/>
          <w:sz w:val="28"/>
          <w:szCs w:val="28"/>
          <w:lang w:eastAsia="zh-CN"/>
        </w:rPr>
        <w:t>；钢筋推荐采用机械连接的方式进行连接。</w:t>
      </w:r>
    </w:p>
    <w:p w14:paraId="56FD75EB">
      <w:pPr>
        <w:spacing w:line="360" w:lineRule="auto"/>
        <w:ind w:firstLine="560" w:firstLineChars="200"/>
        <w:rPr>
          <w:rFonts w:ascii="Times New Roman" w:hAnsi="Times New Roman" w:eastAsia="仿宋_GB2312"/>
          <w:sz w:val="28"/>
          <w:szCs w:val="28"/>
          <w:lang w:val="zh-CN"/>
        </w:rPr>
      </w:pPr>
      <w:r>
        <w:rPr>
          <w:rFonts w:hint="eastAsia" w:ascii="Times New Roman" w:hAnsi="Times New Roman" w:eastAsia="仿宋_GB2312"/>
          <w:sz w:val="28"/>
          <w:szCs w:val="28"/>
          <w:lang w:val="en-US" w:eastAsia="zh-CN"/>
        </w:rPr>
        <w:t>7</w:t>
      </w:r>
      <w:r>
        <w:rPr>
          <w:rFonts w:ascii="Times New Roman" w:hAnsi="Times New Roman" w:eastAsia="仿宋_GB2312"/>
          <w:sz w:val="28"/>
          <w:szCs w:val="28"/>
          <w:lang w:val="zh-CN"/>
        </w:rPr>
        <w:t xml:space="preserve">. </w:t>
      </w:r>
      <w:r>
        <w:rPr>
          <w:rFonts w:hint="eastAsia" w:ascii="Times New Roman" w:hAnsi="Times New Roman" w:eastAsia="仿宋_GB2312"/>
          <w:sz w:val="28"/>
          <w:szCs w:val="28"/>
          <w:lang w:val="zh-CN"/>
        </w:rPr>
        <w:t>钢筋晶粒度应符合GB 1499.2的规定。</w:t>
      </w:r>
    </w:p>
    <w:p w14:paraId="56373E92">
      <w:pPr>
        <w:spacing w:line="360" w:lineRule="auto"/>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val="en-US" w:eastAsia="zh-CN"/>
        </w:rPr>
        <w:t>8</w:t>
      </w:r>
      <w:r>
        <w:rPr>
          <w:rFonts w:ascii="Times New Roman" w:hAnsi="Times New Roman" w:eastAsia="仿宋_GB2312"/>
          <w:sz w:val="28"/>
          <w:szCs w:val="28"/>
        </w:rPr>
        <w:t xml:space="preserve">. </w:t>
      </w:r>
      <w:r>
        <w:rPr>
          <w:rFonts w:hint="eastAsia" w:ascii="Times New Roman" w:hAnsi="Times New Roman" w:eastAsia="仿宋_GB2312"/>
          <w:sz w:val="28"/>
          <w:szCs w:val="28"/>
        </w:rPr>
        <w:t>钢筋的金相组织应符合GB 1499.2中6.8的规定</w:t>
      </w:r>
      <w:r>
        <w:rPr>
          <w:rFonts w:hint="eastAsia" w:ascii="Times New Roman" w:hAnsi="Times New Roman" w:eastAsia="仿宋_GB2312"/>
          <w:sz w:val="28"/>
          <w:szCs w:val="28"/>
          <w:lang w:eastAsia="zh-CN"/>
        </w:rPr>
        <w:t>。</w:t>
      </w:r>
    </w:p>
    <w:p w14:paraId="584F7925">
      <w:pPr>
        <w:spacing w:line="360" w:lineRule="auto"/>
        <w:ind w:firstLine="560" w:firstLineChars="200"/>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9. 钢筋的表面质量应符合GB 1499.2中6.9的规定。</w:t>
      </w:r>
    </w:p>
    <w:p w14:paraId="142DD257">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（八）试验方法应符合GB 1499.2的规定</w:t>
      </w:r>
    </w:p>
    <w:p w14:paraId="786FC74E">
      <w:pPr>
        <w:spacing w:line="360" w:lineRule="auto"/>
        <w:ind w:firstLine="560" w:firstLineChars="200"/>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1. 检验项目</w:t>
      </w:r>
    </w:p>
    <w:p w14:paraId="1C8126E6">
      <w:pPr>
        <w:spacing w:line="360" w:lineRule="auto"/>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rPr>
        <w:t>每批钢筋的检验项目、取样方法和试验方法应符合表</w:t>
      </w:r>
      <w:r>
        <w:rPr>
          <w:rFonts w:hint="eastAsia" w:ascii="Times New Roman" w:hAnsi="Times New Roman" w:eastAsia="仿宋_GB2312"/>
          <w:sz w:val="28"/>
          <w:szCs w:val="28"/>
          <w:lang w:val="en-US" w:eastAsia="zh-CN"/>
        </w:rPr>
        <w:t>5</w:t>
      </w:r>
      <w:r>
        <w:rPr>
          <w:rFonts w:hint="eastAsia" w:ascii="Times New Roman" w:hAnsi="Times New Roman" w:eastAsia="仿宋_GB2312"/>
          <w:sz w:val="28"/>
          <w:szCs w:val="28"/>
        </w:rPr>
        <w:t>的规定</w:t>
      </w:r>
      <w:r>
        <w:rPr>
          <w:rFonts w:hint="eastAsia" w:ascii="Times New Roman" w:hAnsi="Times New Roman" w:eastAsia="仿宋_GB2312"/>
          <w:sz w:val="28"/>
          <w:szCs w:val="28"/>
          <w:lang w:eastAsia="zh-CN"/>
        </w:rPr>
        <w:t>。疲劳性能、晶粒度、连接性能型式检验取样方法和试验方法应符合GB 1499.2的规定。</w:t>
      </w:r>
    </w:p>
    <w:p w14:paraId="60E12898">
      <w:pPr>
        <w:pStyle w:val="18"/>
        <w:numPr>
          <w:ilvl w:val="0"/>
          <w:numId w:val="3"/>
        </w:numPr>
        <w:spacing w:before="156" w:after="156"/>
        <w:ind w:left="0"/>
        <w:jc w:val="center"/>
        <w:rPr>
          <w:rFonts w:ascii="Times New Roman"/>
          <w:bCs/>
          <w:lang w:val="zh-CN"/>
        </w:rPr>
      </w:pPr>
      <w:r>
        <w:rPr>
          <w:rFonts w:ascii="Times New Roman"/>
          <w:bCs/>
          <w:lang w:val="zh-CN"/>
        </w:rPr>
        <w:t>检验项目、取样方法和试验方法</w:t>
      </w:r>
    </w:p>
    <w:tbl>
      <w:tblPr>
        <w:tblStyle w:val="7"/>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211"/>
        <w:gridCol w:w="1136"/>
        <w:gridCol w:w="1923"/>
        <w:gridCol w:w="3584"/>
      </w:tblGrid>
      <w:tr w14:paraId="4DE30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94" w:type="pct"/>
            <w:vAlign w:val="center"/>
          </w:tcPr>
          <w:p w14:paraId="38DF472E">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710" w:type="pct"/>
            <w:vAlign w:val="center"/>
          </w:tcPr>
          <w:p w14:paraId="68BA8221">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检验项目</w:t>
            </w:r>
          </w:p>
        </w:tc>
        <w:tc>
          <w:tcPr>
            <w:tcW w:w="666" w:type="pct"/>
            <w:vAlign w:val="center"/>
          </w:tcPr>
          <w:p w14:paraId="561F24B2">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取样数量/个</w:t>
            </w:r>
          </w:p>
        </w:tc>
        <w:tc>
          <w:tcPr>
            <w:tcW w:w="1128" w:type="pct"/>
            <w:vAlign w:val="center"/>
          </w:tcPr>
          <w:p w14:paraId="03CFB269">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取样方法</w:t>
            </w:r>
          </w:p>
        </w:tc>
        <w:tc>
          <w:tcPr>
            <w:tcW w:w="2099" w:type="pct"/>
            <w:vAlign w:val="center"/>
          </w:tcPr>
          <w:p w14:paraId="51FC0F48">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试验方法</w:t>
            </w:r>
          </w:p>
        </w:tc>
      </w:tr>
      <w:tr w14:paraId="3A6829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1A5AF8CE">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710" w:type="pct"/>
            <w:vAlign w:val="center"/>
          </w:tcPr>
          <w:p w14:paraId="2F07B7BA">
            <w:pPr>
              <w:pStyle w:val="19"/>
              <w:tabs>
                <w:tab w:val="left" w:pos="720"/>
              </w:tabs>
              <w:ind w:firstLine="0" w:firstLineChars="0"/>
              <w:jc w:val="center"/>
              <w:rPr>
                <w:rFonts w:hint="default" w:ascii="Times New Roman" w:hAnsi="Times New Roman" w:cs="Times New Roman"/>
                <w:color w:val="auto"/>
                <w:sz w:val="18"/>
                <w:szCs w:val="18"/>
                <w:vertAlign w:val="superscript"/>
              </w:rPr>
            </w:pPr>
            <w:r>
              <w:rPr>
                <w:rFonts w:hint="default" w:ascii="Times New Roman" w:hAnsi="Times New Roman" w:cs="Times New Roman"/>
                <w:color w:val="auto"/>
                <w:sz w:val="18"/>
                <w:szCs w:val="18"/>
              </w:rPr>
              <w:t>化学成分</w:t>
            </w:r>
            <w:r>
              <w:rPr>
                <w:rFonts w:hint="default" w:ascii="Times New Roman" w:hAnsi="Times New Roman" w:cs="Times New Roman"/>
                <w:color w:val="auto"/>
                <w:sz w:val="18"/>
                <w:szCs w:val="18"/>
                <w:vertAlign w:val="superscript"/>
              </w:rPr>
              <w:t>a</w:t>
            </w:r>
          </w:p>
          <w:p w14:paraId="56201995">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（熔炼分析）</w:t>
            </w:r>
          </w:p>
        </w:tc>
        <w:tc>
          <w:tcPr>
            <w:tcW w:w="666" w:type="pct"/>
            <w:vAlign w:val="center"/>
          </w:tcPr>
          <w:p w14:paraId="2882601E">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1128" w:type="pct"/>
            <w:vAlign w:val="center"/>
          </w:tcPr>
          <w:p w14:paraId="2CAE2376">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GB/T 20066</w:t>
            </w:r>
          </w:p>
        </w:tc>
        <w:tc>
          <w:tcPr>
            <w:tcW w:w="2099" w:type="pct"/>
            <w:vAlign w:val="center"/>
          </w:tcPr>
          <w:p w14:paraId="2F932110">
            <w:pPr>
              <w:pStyle w:val="19"/>
              <w:tabs>
                <w:tab w:val="left" w:pos="720"/>
              </w:tabs>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cs="Times New Roman"/>
                <w:color w:val="auto"/>
                <w:sz w:val="18"/>
                <w:szCs w:val="18"/>
                <w:lang w:val="en-US" w:eastAsia="zh-CN"/>
              </w:rPr>
              <w:t>见8.1.2</w:t>
            </w:r>
          </w:p>
        </w:tc>
      </w:tr>
      <w:tr w14:paraId="1D21FC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490605B5">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710" w:type="pct"/>
            <w:vAlign w:val="center"/>
          </w:tcPr>
          <w:p w14:paraId="0715BF35">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拉伸</w:t>
            </w:r>
          </w:p>
        </w:tc>
        <w:tc>
          <w:tcPr>
            <w:tcW w:w="666" w:type="pct"/>
            <w:vAlign w:val="center"/>
          </w:tcPr>
          <w:p w14:paraId="68550E8C">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1128" w:type="pct"/>
            <w:vAlign w:val="center"/>
          </w:tcPr>
          <w:p w14:paraId="221BF6D7">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不同根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盘</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钢筋切取</w:t>
            </w:r>
          </w:p>
        </w:tc>
        <w:tc>
          <w:tcPr>
            <w:tcW w:w="2099" w:type="pct"/>
            <w:vAlign w:val="center"/>
          </w:tcPr>
          <w:p w14:paraId="25D951C0">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GB/T 28900和8.2</w:t>
            </w:r>
          </w:p>
        </w:tc>
      </w:tr>
      <w:tr w14:paraId="1FA4D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3BE869F2">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710" w:type="pct"/>
            <w:vAlign w:val="center"/>
          </w:tcPr>
          <w:p w14:paraId="5E35399C">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弯曲</w:t>
            </w:r>
          </w:p>
        </w:tc>
        <w:tc>
          <w:tcPr>
            <w:tcW w:w="666" w:type="pct"/>
            <w:vAlign w:val="center"/>
          </w:tcPr>
          <w:p w14:paraId="3AF00790">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1128" w:type="pct"/>
            <w:vAlign w:val="center"/>
          </w:tcPr>
          <w:p w14:paraId="255EFCC0">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不同根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盘</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钢筋切取</w:t>
            </w:r>
          </w:p>
        </w:tc>
        <w:tc>
          <w:tcPr>
            <w:tcW w:w="2099" w:type="pct"/>
            <w:vAlign w:val="center"/>
          </w:tcPr>
          <w:p w14:paraId="481318A2">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GB/T 28900和8.2</w:t>
            </w:r>
          </w:p>
        </w:tc>
      </w:tr>
      <w:tr w14:paraId="568548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11229B19">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w:t>
            </w:r>
          </w:p>
        </w:tc>
        <w:tc>
          <w:tcPr>
            <w:tcW w:w="710" w:type="pct"/>
            <w:vAlign w:val="center"/>
          </w:tcPr>
          <w:p w14:paraId="77A4CA3F">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反向弯曲</w:t>
            </w:r>
          </w:p>
        </w:tc>
        <w:tc>
          <w:tcPr>
            <w:tcW w:w="666" w:type="pct"/>
            <w:vAlign w:val="center"/>
          </w:tcPr>
          <w:p w14:paraId="07EFCD9F">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1128" w:type="pct"/>
            <w:vAlign w:val="center"/>
          </w:tcPr>
          <w:p w14:paraId="15B0149F">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任1</w:t>
            </w:r>
            <w:r>
              <w:rPr>
                <w:rFonts w:hint="default" w:ascii="Times New Roman" w:hAnsi="Times New Roman" w:cs="Times New Roman"/>
                <w:color w:val="auto"/>
                <w:sz w:val="18"/>
                <w:szCs w:val="18"/>
              </w:rPr>
              <w:t>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盘</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钢筋切取</w:t>
            </w:r>
          </w:p>
        </w:tc>
        <w:tc>
          <w:tcPr>
            <w:tcW w:w="2099" w:type="pct"/>
            <w:vAlign w:val="center"/>
          </w:tcPr>
          <w:p w14:paraId="1F13D2A8">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GB/T 28900和8.2</w:t>
            </w:r>
          </w:p>
        </w:tc>
      </w:tr>
      <w:tr w14:paraId="6CD78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52291BF1">
            <w:pPr>
              <w:pStyle w:val="19"/>
              <w:tabs>
                <w:tab w:val="left" w:pos="720"/>
              </w:tabs>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w:t>
            </w:r>
          </w:p>
        </w:tc>
        <w:tc>
          <w:tcPr>
            <w:tcW w:w="710" w:type="pct"/>
            <w:vAlign w:val="center"/>
          </w:tcPr>
          <w:p w14:paraId="0E21DFDE">
            <w:pPr>
              <w:pStyle w:val="19"/>
              <w:tabs>
                <w:tab w:val="left" w:pos="720"/>
              </w:tabs>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尺寸</w:t>
            </w:r>
          </w:p>
        </w:tc>
        <w:tc>
          <w:tcPr>
            <w:tcW w:w="666" w:type="pct"/>
            <w:vAlign w:val="center"/>
          </w:tcPr>
          <w:p w14:paraId="44961007">
            <w:pPr>
              <w:pStyle w:val="19"/>
              <w:tabs>
                <w:tab w:val="left" w:pos="720"/>
              </w:tabs>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逐根</w:t>
            </w:r>
          </w:p>
        </w:tc>
        <w:tc>
          <w:tcPr>
            <w:tcW w:w="1128" w:type="pct"/>
            <w:vAlign w:val="center"/>
          </w:tcPr>
          <w:p w14:paraId="4BF1C837">
            <w:pPr>
              <w:pStyle w:val="19"/>
              <w:tabs>
                <w:tab w:val="left" w:pos="720"/>
              </w:tabs>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099" w:type="pct"/>
            <w:vAlign w:val="center"/>
          </w:tcPr>
          <w:p w14:paraId="159AC07F">
            <w:pPr>
              <w:pStyle w:val="19"/>
              <w:tabs>
                <w:tab w:val="left" w:pos="720"/>
              </w:tabs>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8.3</w:t>
            </w:r>
          </w:p>
        </w:tc>
      </w:tr>
      <w:tr w14:paraId="1CA27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241AEBC6">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p>
        </w:tc>
        <w:tc>
          <w:tcPr>
            <w:tcW w:w="710" w:type="pct"/>
            <w:vAlign w:val="center"/>
          </w:tcPr>
          <w:p w14:paraId="37D3DCAD">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表面</w:t>
            </w:r>
          </w:p>
        </w:tc>
        <w:tc>
          <w:tcPr>
            <w:tcW w:w="666" w:type="pct"/>
            <w:vAlign w:val="center"/>
          </w:tcPr>
          <w:p w14:paraId="55C5B934">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逐根</w:t>
            </w:r>
          </w:p>
        </w:tc>
        <w:tc>
          <w:tcPr>
            <w:tcW w:w="1128" w:type="pct"/>
            <w:vAlign w:val="center"/>
          </w:tcPr>
          <w:p w14:paraId="1D5EF05C">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2099" w:type="pct"/>
            <w:vAlign w:val="center"/>
          </w:tcPr>
          <w:p w14:paraId="5E37C58C">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目视</w:t>
            </w:r>
          </w:p>
        </w:tc>
      </w:tr>
      <w:tr w14:paraId="6F9FE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2049317D">
            <w:pPr>
              <w:pStyle w:val="19"/>
              <w:tabs>
                <w:tab w:val="left" w:pos="720"/>
              </w:tabs>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w:t>
            </w:r>
          </w:p>
        </w:tc>
        <w:tc>
          <w:tcPr>
            <w:tcW w:w="710" w:type="pct"/>
            <w:vAlign w:val="center"/>
          </w:tcPr>
          <w:p w14:paraId="32FC5ECE">
            <w:pPr>
              <w:pStyle w:val="19"/>
              <w:tabs>
                <w:tab w:val="left" w:pos="720"/>
              </w:tabs>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重量偏差</w:t>
            </w:r>
          </w:p>
        </w:tc>
        <w:tc>
          <w:tcPr>
            <w:tcW w:w="3894" w:type="pct"/>
            <w:gridSpan w:val="3"/>
            <w:vAlign w:val="center"/>
          </w:tcPr>
          <w:p w14:paraId="16CDC8E0">
            <w:pPr>
              <w:pStyle w:val="19"/>
              <w:tabs>
                <w:tab w:val="left" w:pos="720"/>
              </w:tabs>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8.4</w:t>
            </w:r>
          </w:p>
        </w:tc>
      </w:tr>
      <w:tr w14:paraId="09ED6B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64E6BD85">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w:t>
            </w:r>
          </w:p>
        </w:tc>
        <w:tc>
          <w:tcPr>
            <w:tcW w:w="710" w:type="pct"/>
            <w:vAlign w:val="center"/>
          </w:tcPr>
          <w:p w14:paraId="03019221">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金相组织</w:t>
            </w:r>
          </w:p>
        </w:tc>
        <w:tc>
          <w:tcPr>
            <w:tcW w:w="666" w:type="pct"/>
            <w:vAlign w:val="center"/>
          </w:tcPr>
          <w:p w14:paraId="6E4FA44C">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1128" w:type="pct"/>
            <w:vAlign w:val="center"/>
          </w:tcPr>
          <w:p w14:paraId="005EED2E">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不同根</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盘</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钢筋切取</w:t>
            </w:r>
          </w:p>
        </w:tc>
        <w:tc>
          <w:tcPr>
            <w:tcW w:w="2099" w:type="pct"/>
            <w:vAlign w:val="center"/>
          </w:tcPr>
          <w:p w14:paraId="54BDA19A">
            <w:pPr>
              <w:pStyle w:val="19"/>
              <w:tabs>
                <w:tab w:val="left" w:pos="720"/>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GB/T 13298和7.8</w:t>
            </w:r>
          </w:p>
        </w:tc>
      </w:tr>
      <w:tr w14:paraId="4F05EE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742F20B0">
            <w:pPr>
              <w:pStyle w:val="19"/>
              <w:tabs>
                <w:tab w:val="left" w:pos="720"/>
              </w:tabs>
              <w:ind w:left="29" w:firstLine="360"/>
              <w:jc w:val="left"/>
              <w:rPr>
                <w:rFonts w:hint="default" w:ascii="Times New Roman" w:hAnsi="Times New Roman" w:cs="Times New Roman"/>
                <w:color w:val="auto"/>
                <w:sz w:val="18"/>
                <w:szCs w:val="18"/>
                <w:vertAlign w:val="superscript"/>
              </w:rPr>
            </w:pPr>
            <w:r>
              <w:rPr>
                <w:rFonts w:hint="default" w:ascii="Times New Roman" w:hAnsi="Times New Roman" w:cs="Times New Roman"/>
                <w:color w:val="auto"/>
                <w:sz w:val="18"/>
                <w:szCs w:val="18"/>
                <w:vertAlign w:val="superscript"/>
              </w:rPr>
              <w:t xml:space="preserve">a </w:t>
            </w:r>
            <w:r>
              <w:rPr>
                <w:rFonts w:hint="default" w:ascii="Times New Roman" w:hAnsi="Times New Roman" w:cs="Times New Roman"/>
                <w:color w:val="auto"/>
                <w:sz w:val="18"/>
                <w:szCs w:val="18"/>
              </w:rPr>
              <w:t>化学成分的试验方法优先采用GB/T 4336，对化学分析结果有争议时，仲裁试验应按第2章中规定的GB/T 223相关部分进行。</w:t>
            </w:r>
          </w:p>
        </w:tc>
      </w:tr>
    </w:tbl>
    <w:p w14:paraId="4423BC92">
      <w:pPr>
        <w:numPr>
          <w:ilvl w:val="0"/>
          <w:numId w:val="6"/>
        </w:numPr>
        <w:spacing w:line="360" w:lineRule="auto"/>
        <w:ind w:firstLine="560" w:firstLineChars="200"/>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采纳讨论会专家意见，将化学成分实验和仲裁要求单列成节，表5中直接引用。</w:t>
      </w:r>
      <w:r>
        <w:rPr>
          <w:rFonts w:hint="default" w:ascii="Times New Roman" w:hAnsi="Times New Roman" w:eastAsia="仿宋_GB2312"/>
          <w:sz w:val="28"/>
          <w:szCs w:val="28"/>
          <w:lang w:val="en-US" w:eastAsia="zh-CN"/>
        </w:rPr>
        <w:t>钢的化学成分试验应按GB/T 4336、GB/T 20123、GB/T 20124、GB/T 20125或通用的化学分析方法进行。仲裁时应采用GB/T 223.5、GB/T 223.11、GB/T 223.12、GB/T 223.14、GB/T 223.19、GB/T 223.23、GB/T 223.26、GB/T 223.40、GB/T 223.59、GB/T 223.63、GB/T 223.84、GB/T 223.85、GB/T 223.86的方法进行</w:t>
      </w:r>
    </w:p>
    <w:p w14:paraId="0878A3BE">
      <w:pPr>
        <w:numPr>
          <w:ilvl w:val="0"/>
          <w:numId w:val="6"/>
        </w:numPr>
        <w:spacing w:line="360" w:lineRule="auto"/>
        <w:ind w:firstLine="560" w:firstLineChars="200"/>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钢筋的拉伸、弯曲、反向弯曲试验应符合GB 1499.2的规定</w:t>
      </w:r>
      <w:r>
        <w:rPr>
          <w:rFonts w:hint="eastAsia" w:ascii="Times New Roman" w:hAnsi="Times New Roman" w:eastAsia="仿宋_GB2312"/>
          <w:sz w:val="28"/>
          <w:szCs w:val="28"/>
          <w:lang w:val="en-US" w:eastAsia="zh-CN"/>
        </w:rPr>
        <w:t>。</w:t>
      </w:r>
    </w:p>
    <w:p w14:paraId="4132C807">
      <w:pPr>
        <w:numPr>
          <w:ilvl w:val="0"/>
          <w:numId w:val="6"/>
        </w:numPr>
        <w:spacing w:line="360" w:lineRule="auto"/>
        <w:ind w:left="0" w:leftChars="0" w:firstLine="560" w:firstLineChars="200"/>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钢筋的尺寸测量应符合GB 1499.2的规定</w:t>
      </w:r>
      <w:r>
        <w:rPr>
          <w:rFonts w:hint="eastAsia" w:ascii="Times New Roman" w:hAnsi="Times New Roman" w:eastAsia="仿宋_GB2312"/>
          <w:sz w:val="28"/>
          <w:szCs w:val="28"/>
          <w:lang w:val="en-US" w:eastAsia="zh-CN"/>
        </w:rPr>
        <w:t>。</w:t>
      </w:r>
    </w:p>
    <w:p w14:paraId="2A88FD62">
      <w:pPr>
        <w:numPr>
          <w:ilvl w:val="0"/>
          <w:numId w:val="6"/>
        </w:numPr>
        <w:spacing w:line="360" w:lineRule="auto"/>
        <w:ind w:left="0" w:leftChars="0" w:firstLine="560" w:firstLineChars="200"/>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重量偏差的测量</w:t>
      </w:r>
    </w:p>
    <w:p w14:paraId="235B5B85">
      <w:pPr>
        <w:spacing w:line="360" w:lineRule="auto"/>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1</w:t>
      </w:r>
      <w:r>
        <w:rPr>
          <w:rFonts w:hint="eastAsia" w:ascii="Times New Roman" w:hAnsi="Times New Roman" w:eastAsia="仿宋_GB2312"/>
          <w:sz w:val="28"/>
          <w:szCs w:val="28"/>
          <w:lang w:eastAsia="zh-CN"/>
        </w:rPr>
        <w:t>）测量钢筋重量偏差时，试样应从不同根钢筋上截取，数量不少于5支，每支试样长度不小于500mm。长度应逐支测量，应精确到1 mm。测量试样总重量时，应精确到1 g。</w:t>
      </w:r>
    </w:p>
    <w:p w14:paraId="7E5A0BF2">
      <w:pPr>
        <w:spacing w:line="360" w:lineRule="auto"/>
        <w:ind w:firstLine="560" w:firstLineChars="200"/>
        <w:rPr>
          <w:rFonts w:hint="default" w:ascii="Times New Roman" w:hAnsi="Times New Roman" w:eastAsia="宋体"/>
          <w:sz w:val="28"/>
          <w:szCs w:val="28"/>
          <w:lang w:val="en-US" w:eastAsia="zh-CN"/>
        </w:rPr>
      </w:pP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2</w:t>
      </w:r>
      <w:r>
        <w:rPr>
          <w:rFonts w:hint="eastAsia" w:ascii="Times New Roman" w:hAnsi="Times New Roman" w:eastAsia="仿宋_GB2312"/>
          <w:sz w:val="28"/>
          <w:szCs w:val="28"/>
          <w:lang w:eastAsia="zh-CN"/>
        </w:rPr>
        <w:t>）钢筋实际重量与理论重量的偏差（%）按公式（2）计算：</w:t>
      </w:r>
      <w:r>
        <w:rPr>
          <w:rFonts w:ascii="Times New Roman"/>
          <w:position w:val="-26"/>
          <w:szCs w:val="21"/>
          <w:lang w:val="zh-CN"/>
        </w:rPr>
        <w:object>
          <v:shape id="_x0000_i1025" o:spt="75" type="#_x0000_t75" style="height:28.75pt;width:380.25pt;" o:ole="t" filled="f" o:preferrelative="t" stroked="f" coordsize="21600,21600">
            <v:path/>
            <v:fill on="f" focussize="0,0"/>
            <v:stroke on="f"/>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Times New Roman"/>
          <w:position w:val="-26"/>
          <w:szCs w:val="21"/>
          <w:lang w:val="en-US" w:eastAsia="zh-CN"/>
        </w:rPr>
        <w:t xml:space="preserve">  （2）</w:t>
      </w:r>
    </w:p>
    <w:p w14:paraId="133C79DA">
      <w:pPr>
        <w:spacing w:line="360" w:lineRule="auto"/>
        <w:ind w:firstLine="560" w:firstLineChars="200"/>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5. 宏观金相、截面维氏硬度、微观组织的检验应符合GB 1499.2的规定。</w:t>
      </w:r>
    </w:p>
    <w:p w14:paraId="16010E13">
      <w:pPr>
        <w:spacing w:line="360" w:lineRule="auto"/>
        <w:ind w:firstLine="560" w:firstLineChars="200"/>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6. 检验结果的数值修约与判定应符合YB/T 081规定。</w:t>
      </w:r>
    </w:p>
    <w:p w14:paraId="2EA9F685">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（九）检验规则应符合GB 1499.2的规定</w:t>
      </w:r>
    </w:p>
    <w:p w14:paraId="055A7F89">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（十）包装、标志及质量说明书</w:t>
      </w:r>
    </w:p>
    <w:p w14:paraId="44BA47D0">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 钢筋的表面标志应符合下列规定：</w:t>
      </w:r>
    </w:p>
    <w:p w14:paraId="1F6F6956">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a）</w:t>
      </w:r>
      <w:r>
        <w:rPr>
          <w:rFonts w:hint="eastAsia" w:ascii="Times New Roman" w:hAnsi="Times New Roman" w:eastAsia="仿宋_GB2312"/>
          <w:sz w:val="28"/>
          <w:szCs w:val="28"/>
        </w:rPr>
        <w:t>钢筋应在其表面轧上牌号标志、生产企业序号（顺序轧制GB/T 2260规定的行政区划代码前2位和许可证后3位）和公称直径毫米数字，准许轧上经注册的厂名或商标代替行政区划代码前2位</w:t>
      </w:r>
      <w:r>
        <w:rPr>
          <w:rFonts w:ascii="Times New Roman" w:hAnsi="Times New Roman" w:eastAsia="仿宋_GB2312"/>
          <w:sz w:val="28"/>
          <w:szCs w:val="28"/>
        </w:rPr>
        <w:t>。</w:t>
      </w:r>
    </w:p>
    <w:p w14:paraId="6E3F18DF">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b）</w:t>
      </w:r>
      <w:r>
        <w:rPr>
          <w:rFonts w:hint="eastAsia" w:ascii="Times New Roman" w:hAnsi="Times New Roman" w:eastAsia="仿宋_GB2312"/>
          <w:sz w:val="28"/>
          <w:szCs w:val="28"/>
        </w:rPr>
        <w:t>钢筋牌号以阿拉伯数字或阿拉伯数字加英文字母表示，HRB700以7表示，HRB700E以7E表示，HRBF700以C7表示，HRBF700E以C7E表示。厂名以汉语拼音字头表示。公差直径毫米数以阿拉伯数字表示</w:t>
      </w:r>
      <w:r>
        <w:rPr>
          <w:rFonts w:ascii="Times New Roman" w:hAnsi="Times New Roman" w:eastAsia="仿宋_GB2312"/>
          <w:sz w:val="28"/>
          <w:szCs w:val="28"/>
        </w:rPr>
        <w:t>。</w:t>
      </w:r>
    </w:p>
    <w:p w14:paraId="3ACBC0EB">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c）</w:t>
      </w:r>
      <w:r>
        <w:rPr>
          <w:rFonts w:hint="eastAsia" w:ascii="Times New Roman" w:hAnsi="Times New Roman" w:eastAsia="仿宋_GB2312"/>
          <w:sz w:val="28"/>
          <w:szCs w:val="28"/>
        </w:rPr>
        <w:t>标志应清晰明了，标志的尺寸由供方按钢筋直径大小作适当规定，与标志相交的横肋可取消</w:t>
      </w:r>
      <w:r>
        <w:rPr>
          <w:rFonts w:ascii="Times New Roman" w:hAnsi="Times New Roman" w:eastAsia="仿宋_GB2312"/>
          <w:sz w:val="28"/>
          <w:szCs w:val="28"/>
        </w:rPr>
        <w:t>。</w:t>
      </w:r>
    </w:p>
    <w:p w14:paraId="2D4F9D9C">
      <w:pPr>
        <w:spacing w:line="360" w:lineRule="auto"/>
        <w:ind w:firstLine="560" w:firstLineChars="200"/>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2. 钢筋的包装、标志和质量说明书上准许赋包含产品信息的条形码、二维码。</w:t>
      </w:r>
    </w:p>
    <w:p w14:paraId="1ABAEE95">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 钢筋的包装、标志和质量说明书符合GB/T 2101的有关规定。</w:t>
      </w:r>
    </w:p>
    <w:p w14:paraId="2C3C6BB8">
      <w:pPr>
        <w:keepNext/>
        <w:keepLines/>
        <w:spacing w:line="360" w:lineRule="auto"/>
        <w:outlineLvl w:val="0"/>
        <w:rPr>
          <w:rFonts w:ascii="Times New Roman" w:hAnsi="Times New Roman" w:eastAsia="仿宋_GB2312"/>
          <w:b/>
          <w:kern w:val="44"/>
          <w:sz w:val="28"/>
          <w:szCs w:val="28"/>
        </w:rPr>
      </w:pPr>
      <w:r>
        <w:rPr>
          <w:rFonts w:ascii="Times New Roman" w:hAnsi="Times New Roman" w:eastAsia="仿宋_GB2312"/>
          <w:b/>
          <w:kern w:val="44"/>
          <w:sz w:val="28"/>
          <w:szCs w:val="28"/>
        </w:rPr>
        <w:t>六、与国内其它法律、法规的关系</w:t>
      </w:r>
    </w:p>
    <w:p w14:paraId="24FD4D09">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制定本标准时依据并引用了国内有关现行有效的标准，也不违背国内其它行业标准、法律、法规及强制性标准的有关规定。</w:t>
      </w:r>
    </w:p>
    <w:p w14:paraId="248107EC">
      <w:pPr>
        <w:keepNext/>
        <w:keepLines/>
        <w:spacing w:line="360" w:lineRule="auto"/>
        <w:outlineLvl w:val="0"/>
        <w:rPr>
          <w:rFonts w:ascii="Times New Roman" w:hAnsi="Times New Roman" w:eastAsia="仿宋_GB2312"/>
          <w:b/>
          <w:kern w:val="44"/>
          <w:sz w:val="28"/>
          <w:szCs w:val="28"/>
        </w:rPr>
      </w:pPr>
      <w:r>
        <w:rPr>
          <w:rFonts w:ascii="Times New Roman" w:hAnsi="Times New Roman" w:eastAsia="仿宋_GB2312"/>
          <w:b/>
          <w:kern w:val="44"/>
          <w:sz w:val="28"/>
          <w:szCs w:val="28"/>
        </w:rPr>
        <w:t>七、标准属性</w:t>
      </w:r>
    </w:p>
    <w:p w14:paraId="05199E50">
      <w:pPr>
        <w:spacing w:line="360" w:lineRule="auto"/>
        <w:ind w:firstLine="480"/>
        <w:rPr>
          <w:rFonts w:ascii="Times New Roman" w:hAnsi="Times New Roman" w:eastAsia="仿宋"/>
          <w:sz w:val="28"/>
          <w:szCs w:val="28"/>
        </w:rPr>
      </w:pPr>
      <w:r>
        <w:rPr>
          <w:rFonts w:ascii="Times New Roman" w:hAnsi="Times New Roman" w:eastAsia="仿宋"/>
          <w:sz w:val="28"/>
          <w:szCs w:val="28"/>
        </w:rPr>
        <w:t>本标准属于中国特钢企业协会团体标准。</w:t>
      </w:r>
    </w:p>
    <w:p w14:paraId="42DB11AB">
      <w:pPr>
        <w:keepNext/>
        <w:keepLines/>
        <w:spacing w:line="360" w:lineRule="auto"/>
        <w:outlineLvl w:val="0"/>
        <w:rPr>
          <w:rFonts w:ascii="Times New Roman" w:hAnsi="Times New Roman" w:eastAsia="仿宋_GB2312"/>
          <w:b/>
          <w:kern w:val="44"/>
          <w:sz w:val="28"/>
          <w:szCs w:val="28"/>
        </w:rPr>
      </w:pPr>
      <w:r>
        <w:rPr>
          <w:rFonts w:ascii="Times New Roman" w:hAnsi="Times New Roman" w:eastAsia="仿宋_GB2312"/>
          <w:b/>
          <w:kern w:val="44"/>
          <w:sz w:val="28"/>
          <w:szCs w:val="28"/>
        </w:rPr>
        <w:t>八、标准水平及预期效果</w:t>
      </w:r>
    </w:p>
    <w:p w14:paraId="6941A635">
      <w:pPr>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该标准的制定能有效规范</w:t>
      </w:r>
      <w:r>
        <w:rPr>
          <w:rFonts w:hint="eastAsia" w:ascii="Times New Roman" w:hAnsi="Times New Roman" w:eastAsia="仿宋"/>
          <w:sz w:val="28"/>
          <w:szCs w:val="28"/>
          <w:lang w:eastAsia="zh-CN"/>
        </w:rPr>
        <w:t>钢筋混凝土用HRB700热轧带肋钢筋</w:t>
      </w:r>
      <w:r>
        <w:rPr>
          <w:rFonts w:ascii="Times New Roman" w:hAnsi="Times New Roman" w:eastAsia="仿宋"/>
          <w:sz w:val="28"/>
          <w:szCs w:val="28"/>
        </w:rPr>
        <w:t>的生产、销售和使用，对</w:t>
      </w:r>
      <w:r>
        <w:rPr>
          <w:rFonts w:hint="eastAsia" w:ascii="Times New Roman" w:hAnsi="Times New Roman" w:eastAsia="仿宋"/>
          <w:sz w:val="28"/>
          <w:szCs w:val="28"/>
          <w:lang w:eastAsia="zh-CN"/>
        </w:rPr>
        <w:t>钢筋混凝土用HRB700热轧带肋钢筋</w:t>
      </w:r>
      <w:r>
        <w:rPr>
          <w:rFonts w:ascii="Times New Roman" w:hAnsi="Times New Roman" w:eastAsia="仿宋"/>
          <w:sz w:val="28"/>
          <w:szCs w:val="28"/>
        </w:rPr>
        <w:t>产品的有序发展具有重要意义。同时该标准对产品的质量提升具有重要意义，有利于促进下游产品的质量提升与推广应用，体现团体标准的引领作用。</w:t>
      </w:r>
    </w:p>
    <w:p w14:paraId="16923E56">
      <w:pPr>
        <w:keepNext/>
        <w:keepLines/>
        <w:spacing w:line="360" w:lineRule="auto"/>
        <w:outlineLvl w:val="0"/>
        <w:rPr>
          <w:rFonts w:ascii="Times New Roman" w:hAnsi="Times New Roman" w:eastAsia="仿宋_GB2312"/>
          <w:b/>
          <w:kern w:val="44"/>
          <w:sz w:val="28"/>
          <w:szCs w:val="28"/>
        </w:rPr>
      </w:pPr>
      <w:r>
        <w:rPr>
          <w:rFonts w:ascii="Times New Roman" w:hAnsi="Times New Roman" w:eastAsia="仿宋_GB2312"/>
          <w:b/>
          <w:kern w:val="44"/>
          <w:sz w:val="28"/>
          <w:szCs w:val="28"/>
        </w:rPr>
        <w:t>九、贯彻要求及建议</w:t>
      </w:r>
    </w:p>
    <w:p w14:paraId="036E1F1F">
      <w:pPr>
        <w:spacing w:line="360" w:lineRule="auto"/>
        <w:ind w:firstLine="490" w:firstLineChars="175"/>
        <w:jc w:val="left"/>
        <w:rPr>
          <w:rFonts w:ascii="Times New Roman" w:hAnsi="Times New Roman" w:eastAsia="仿宋"/>
          <w:sz w:val="28"/>
          <w:szCs w:val="28"/>
        </w:rPr>
      </w:pPr>
      <w:r>
        <w:rPr>
          <w:rFonts w:ascii="Times New Roman" w:hAnsi="Times New Roman" w:eastAsia="仿宋"/>
          <w:sz w:val="28"/>
          <w:szCs w:val="28"/>
        </w:rPr>
        <w:t>本标准归口单位为中国特钢企业协会，经过审定报批后，</w:t>
      </w:r>
      <w:r>
        <w:rPr>
          <w:rFonts w:ascii="Times New Roman" w:hAnsi="Times New Roman" w:eastAsia="仿宋_GB2312"/>
          <w:sz w:val="28"/>
          <w:szCs w:val="28"/>
        </w:rPr>
        <w:t>由中国特钢企业协会发布</w:t>
      </w:r>
      <w:r>
        <w:rPr>
          <w:rFonts w:ascii="Times New Roman" w:hAnsi="Times New Roman" w:eastAsia="仿宋"/>
          <w:sz w:val="28"/>
          <w:szCs w:val="28"/>
        </w:rPr>
        <w:t>。建议在对</w:t>
      </w:r>
      <w:r>
        <w:rPr>
          <w:rFonts w:hint="eastAsia" w:ascii="Times New Roman" w:hAnsi="Times New Roman" w:eastAsia="仿宋"/>
          <w:sz w:val="28"/>
          <w:szCs w:val="28"/>
          <w:lang w:eastAsia="zh-CN"/>
        </w:rPr>
        <w:t>钢筋混凝土用HRB700热轧带肋钢筋</w:t>
      </w:r>
      <w:r>
        <w:rPr>
          <w:rFonts w:ascii="Times New Roman" w:hAnsi="Times New Roman" w:eastAsia="仿宋"/>
          <w:sz w:val="28"/>
          <w:szCs w:val="28"/>
        </w:rPr>
        <w:t>的生产、贸易和使用等相关单位进行宣贯执行。</w:t>
      </w:r>
    </w:p>
    <w:sectPr>
      <w:footerReference r:id="rId3" w:type="default"/>
      <w:footerReference r:id="rId4" w:type="even"/>
      <w:pgSz w:w="11907" w:h="16840"/>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AE78F">
    <w:pPr>
      <w:pStyle w:val="4"/>
      <w:jc w:val="center"/>
    </w:pPr>
    <w:r>
      <w:fldChar w:fldCharType="begin"/>
    </w:r>
    <w:r>
      <w:instrText xml:space="preserve">PAGE   \* MERGEFORMAT</w:instrText>
    </w:r>
    <w:r>
      <w:fldChar w:fldCharType="separate"/>
    </w:r>
    <w:r>
      <w:rPr>
        <w:lang w:val="zh-CN"/>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D4C2C">
    <w:pPr>
      <w:pStyle w:val="4"/>
      <w:jc w:val="center"/>
    </w:pPr>
    <w:r>
      <w:fldChar w:fldCharType="begin"/>
    </w:r>
    <w:r>
      <w:instrText xml:space="preserve">PAGE   \* MERGEFORMAT</w:instrText>
    </w:r>
    <w:r>
      <w:fldChar w:fldCharType="separate"/>
    </w:r>
    <w:r>
      <w:rPr>
        <w:lang w:val="zh-CN"/>
      </w:rPr>
      <w:t>6</w:t>
    </w:r>
    <w:r>
      <w:fldChar w:fldCharType="end"/>
    </w:r>
  </w:p>
  <w:p w14:paraId="12400E8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52643"/>
    <w:multiLevelType w:val="singleLevel"/>
    <w:tmpl w:val="8F452643"/>
    <w:lvl w:ilvl="0" w:tentative="0">
      <w:start w:val="6"/>
      <w:numFmt w:val="decimal"/>
      <w:suff w:val="space"/>
      <w:lvlText w:val="%1."/>
      <w:lvlJc w:val="left"/>
    </w:lvl>
  </w:abstractNum>
  <w:abstractNum w:abstractNumId="1">
    <w:nsid w:val="FC513322"/>
    <w:multiLevelType w:val="singleLevel"/>
    <w:tmpl w:val="FC513322"/>
    <w:lvl w:ilvl="0" w:tentative="0">
      <w:start w:val="6"/>
      <w:numFmt w:val="chineseCounting"/>
      <w:suff w:val="nothing"/>
      <w:lvlText w:val="（%1）"/>
      <w:lvlJc w:val="left"/>
      <w:rPr>
        <w:rFonts w:hint="eastAsia"/>
      </w:rPr>
    </w:lvl>
  </w:abstractNum>
  <w:abstractNum w:abstractNumId="2">
    <w:nsid w:val="00000003"/>
    <w:multiLevelType w:val="multilevel"/>
    <w:tmpl w:val="00000003"/>
    <w:lvl w:ilvl="0" w:tentative="0">
      <w:start w:val="1"/>
      <w:numFmt w:val="decimal"/>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1FC91163"/>
    <w:multiLevelType w:val="multilevel"/>
    <w:tmpl w:val="1FC91163"/>
    <w:lvl w:ilvl="0" w:tentative="0">
      <w:start w:val="1"/>
      <w:numFmt w:val="decimal"/>
      <w:pStyle w:val="28"/>
      <w:suff w:val="nothing"/>
      <w:lvlText w:val="%1　"/>
      <w:lvlJc w:val="left"/>
      <w:rPr>
        <w:rFonts w:hint="eastAsia" w:ascii="黑体" w:hAnsi="Times New Roman" w:eastAsia="黑体" w:cs="Times New Roman"/>
        <w:b w:val="0"/>
        <w:bCs w:val="0"/>
        <w:i w:val="0"/>
        <w:iCs w:val="0"/>
        <w:sz w:val="21"/>
        <w:szCs w:val="21"/>
      </w:rPr>
    </w:lvl>
    <w:lvl w:ilvl="1" w:tentative="0">
      <w:start w:val="1"/>
      <w:numFmt w:val="decimal"/>
      <w:pStyle w:val="27"/>
      <w:suff w:val="nothing"/>
      <w:lvlText w:val="%1.%2　"/>
      <w:lvlJc w:val="left"/>
      <w:pPr>
        <w:ind w:left="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9"/>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pStyle w:val="30"/>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31"/>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32"/>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4">
    <w:nsid w:val="470A5978"/>
    <w:multiLevelType w:val="singleLevel"/>
    <w:tmpl w:val="470A5978"/>
    <w:lvl w:ilvl="0" w:tentative="0">
      <w:start w:val="2"/>
      <w:numFmt w:val="decimal"/>
      <w:suff w:val="space"/>
      <w:lvlText w:val="%1."/>
      <w:lvlJc w:val="left"/>
    </w:lvl>
  </w:abstractNum>
  <w:abstractNum w:abstractNumId="5">
    <w:nsid w:val="646260FA"/>
    <w:multiLevelType w:val="multilevel"/>
    <w:tmpl w:val="646260FA"/>
    <w:lvl w:ilvl="0" w:tentative="0">
      <w:start w:val="1"/>
      <w:numFmt w:val="decimal"/>
      <w:pStyle w:val="18"/>
      <w:suff w:val="nothing"/>
      <w:lvlText w:val="表%1　"/>
      <w:lvlJc w:val="left"/>
      <w:pPr>
        <w:ind w:left="8363" w:firstLine="0"/>
      </w:pPr>
      <w:rPr>
        <w:rFonts w:hint="eastAsia" w:ascii="黑体" w:hAnsi="Times New Roman" w:eastAsia="黑体"/>
        <w:b w:val="0"/>
        <w:i w:val="0"/>
        <w:sz w:val="21"/>
      </w:rPr>
    </w:lvl>
    <w:lvl w:ilvl="1" w:tentative="0">
      <w:start w:val="1"/>
      <w:numFmt w:val="decimal"/>
      <w:lvlText w:val="%1.%2"/>
      <w:lvlJc w:val="left"/>
      <w:pPr>
        <w:tabs>
          <w:tab w:val="left" w:pos="9355"/>
        </w:tabs>
        <w:ind w:left="9355" w:hanging="567"/>
      </w:pPr>
      <w:rPr>
        <w:rFonts w:hint="eastAsia"/>
      </w:rPr>
    </w:lvl>
    <w:lvl w:ilvl="2" w:tentative="0">
      <w:start w:val="1"/>
      <w:numFmt w:val="decimal"/>
      <w:lvlText w:val="%1.%2.%3"/>
      <w:lvlJc w:val="left"/>
      <w:pPr>
        <w:tabs>
          <w:tab w:val="left" w:pos="9781"/>
        </w:tabs>
        <w:ind w:left="9781" w:hanging="567"/>
      </w:pPr>
      <w:rPr>
        <w:rFonts w:hint="eastAsia"/>
      </w:rPr>
    </w:lvl>
    <w:lvl w:ilvl="3" w:tentative="0">
      <w:start w:val="1"/>
      <w:numFmt w:val="decimal"/>
      <w:lvlText w:val="%1.%2.%3.%4"/>
      <w:lvlJc w:val="left"/>
      <w:pPr>
        <w:tabs>
          <w:tab w:val="left" w:pos="10347"/>
        </w:tabs>
        <w:ind w:left="10347" w:hanging="708"/>
      </w:pPr>
      <w:rPr>
        <w:rFonts w:hint="eastAsia"/>
      </w:rPr>
    </w:lvl>
    <w:lvl w:ilvl="4" w:tentative="0">
      <w:start w:val="1"/>
      <w:numFmt w:val="decimal"/>
      <w:lvlText w:val="%1.%2.%3.%4.%5"/>
      <w:lvlJc w:val="left"/>
      <w:pPr>
        <w:tabs>
          <w:tab w:val="left" w:pos="10914"/>
        </w:tabs>
        <w:ind w:left="10914" w:hanging="850"/>
      </w:pPr>
      <w:rPr>
        <w:rFonts w:hint="eastAsia"/>
      </w:rPr>
    </w:lvl>
    <w:lvl w:ilvl="5" w:tentative="0">
      <w:start w:val="1"/>
      <w:numFmt w:val="decimal"/>
      <w:lvlText w:val="%1.%2.%3.%4.%5.%6"/>
      <w:lvlJc w:val="left"/>
      <w:pPr>
        <w:tabs>
          <w:tab w:val="left" w:pos="11623"/>
        </w:tabs>
        <w:ind w:left="11623" w:hanging="1134"/>
      </w:pPr>
      <w:rPr>
        <w:rFonts w:hint="eastAsia"/>
      </w:rPr>
    </w:lvl>
    <w:lvl w:ilvl="6" w:tentative="0">
      <w:start w:val="1"/>
      <w:numFmt w:val="decimal"/>
      <w:lvlText w:val="%1.%2.%3.%4.%5.%6.%7"/>
      <w:lvlJc w:val="left"/>
      <w:pPr>
        <w:tabs>
          <w:tab w:val="left" w:pos="12190"/>
        </w:tabs>
        <w:ind w:left="12190" w:hanging="1276"/>
      </w:pPr>
      <w:rPr>
        <w:rFonts w:hint="eastAsia"/>
      </w:rPr>
    </w:lvl>
    <w:lvl w:ilvl="7" w:tentative="0">
      <w:start w:val="1"/>
      <w:numFmt w:val="decimal"/>
      <w:lvlText w:val="%1.%2.%3.%4.%5.%6.%7.%8"/>
      <w:lvlJc w:val="left"/>
      <w:pPr>
        <w:tabs>
          <w:tab w:val="left" w:pos="12757"/>
        </w:tabs>
        <w:ind w:left="12757" w:hanging="1418"/>
      </w:pPr>
      <w:rPr>
        <w:rFonts w:hint="eastAsia"/>
      </w:rPr>
    </w:lvl>
    <w:lvl w:ilvl="8" w:tentative="0">
      <w:start w:val="1"/>
      <w:numFmt w:val="decimal"/>
      <w:lvlText w:val="%1.%2.%3.%4.%5.%6.%7.%8.%9"/>
      <w:lvlJc w:val="left"/>
      <w:pPr>
        <w:tabs>
          <w:tab w:val="left" w:pos="13465"/>
        </w:tabs>
        <w:ind w:left="13465" w:hanging="1700"/>
      </w:pPr>
      <w:rPr>
        <w:rFonts w:hint="eastAsia"/>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4C4969"/>
    <w:rsid w:val="00002745"/>
    <w:rsid w:val="000031DB"/>
    <w:rsid w:val="000108E9"/>
    <w:rsid w:val="00011B51"/>
    <w:rsid w:val="000123EB"/>
    <w:rsid w:val="00013CFF"/>
    <w:rsid w:val="00015BDD"/>
    <w:rsid w:val="00021519"/>
    <w:rsid w:val="00022214"/>
    <w:rsid w:val="000253F7"/>
    <w:rsid w:val="00027A9C"/>
    <w:rsid w:val="00027AD3"/>
    <w:rsid w:val="00037AD9"/>
    <w:rsid w:val="00042D87"/>
    <w:rsid w:val="00046200"/>
    <w:rsid w:val="000477AB"/>
    <w:rsid w:val="00047B01"/>
    <w:rsid w:val="00047F82"/>
    <w:rsid w:val="000520EF"/>
    <w:rsid w:val="00053D64"/>
    <w:rsid w:val="000541E0"/>
    <w:rsid w:val="00061222"/>
    <w:rsid w:val="00061866"/>
    <w:rsid w:val="0006211B"/>
    <w:rsid w:val="00064F53"/>
    <w:rsid w:val="00072753"/>
    <w:rsid w:val="00074E60"/>
    <w:rsid w:val="000768E0"/>
    <w:rsid w:val="000813B5"/>
    <w:rsid w:val="00081981"/>
    <w:rsid w:val="00081F8E"/>
    <w:rsid w:val="00082B11"/>
    <w:rsid w:val="00083CAC"/>
    <w:rsid w:val="0009792A"/>
    <w:rsid w:val="000979B6"/>
    <w:rsid w:val="000A239E"/>
    <w:rsid w:val="000A2E25"/>
    <w:rsid w:val="000A3F5C"/>
    <w:rsid w:val="000A3FE6"/>
    <w:rsid w:val="000A5764"/>
    <w:rsid w:val="000B0B6C"/>
    <w:rsid w:val="000B3CC5"/>
    <w:rsid w:val="000B77DD"/>
    <w:rsid w:val="000B7999"/>
    <w:rsid w:val="000C16F3"/>
    <w:rsid w:val="000C2E6C"/>
    <w:rsid w:val="000C515E"/>
    <w:rsid w:val="000D0EFA"/>
    <w:rsid w:val="000D2835"/>
    <w:rsid w:val="000E72A4"/>
    <w:rsid w:val="000F0D86"/>
    <w:rsid w:val="000F2B97"/>
    <w:rsid w:val="000F3A7F"/>
    <w:rsid w:val="000F4EDD"/>
    <w:rsid w:val="0010039C"/>
    <w:rsid w:val="001017E6"/>
    <w:rsid w:val="00101DA5"/>
    <w:rsid w:val="00104825"/>
    <w:rsid w:val="0010694E"/>
    <w:rsid w:val="0010729E"/>
    <w:rsid w:val="001126C7"/>
    <w:rsid w:val="001137B7"/>
    <w:rsid w:val="00113984"/>
    <w:rsid w:val="00113F8F"/>
    <w:rsid w:val="00117177"/>
    <w:rsid w:val="001204B0"/>
    <w:rsid w:val="00130EDF"/>
    <w:rsid w:val="00131294"/>
    <w:rsid w:val="0013393F"/>
    <w:rsid w:val="001350E9"/>
    <w:rsid w:val="001351BC"/>
    <w:rsid w:val="0013539C"/>
    <w:rsid w:val="00140243"/>
    <w:rsid w:val="0014064B"/>
    <w:rsid w:val="001414E1"/>
    <w:rsid w:val="001463B2"/>
    <w:rsid w:val="00146E8D"/>
    <w:rsid w:val="001553C9"/>
    <w:rsid w:val="00157247"/>
    <w:rsid w:val="00163E34"/>
    <w:rsid w:val="00167428"/>
    <w:rsid w:val="0017057C"/>
    <w:rsid w:val="0017209E"/>
    <w:rsid w:val="00173D64"/>
    <w:rsid w:val="00176600"/>
    <w:rsid w:val="001768E9"/>
    <w:rsid w:val="0017750C"/>
    <w:rsid w:val="001779BE"/>
    <w:rsid w:val="001779EA"/>
    <w:rsid w:val="0019273A"/>
    <w:rsid w:val="0019530A"/>
    <w:rsid w:val="001A30AD"/>
    <w:rsid w:val="001A5B6F"/>
    <w:rsid w:val="001A73FA"/>
    <w:rsid w:val="001B0E9E"/>
    <w:rsid w:val="001B1239"/>
    <w:rsid w:val="001B20AD"/>
    <w:rsid w:val="001B4F90"/>
    <w:rsid w:val="001C0C28"/>
    <w:rsid w:val="001C0D17"/>
    <w:rsid w:val="001C3C21"/>
    <w:rsid w:val="001C74DE"/>
    <w:rsid w:val="001D02F9"/>
    <w:rsid w:val="001D0B28"/>
    <w:rsid w:val="001D1C23"/>
    <w:rsid w:val="001D2F3D"/>
    <w:rsid w:val="001D6098"/>
    <w:rsid w:val="001D7D8C"/>
    <w:rsid w:val="001E3B0E"/>
    <w:rsid w:val="001E77D9"/>
    <w:rsid w:val="001F1DC7"/>
    <w:rsid w:val="001F2CF8"/>
    <w:rsid w:val="001F5DB0"/>
    <w:rsid w:val="001F6BE7"/>
    <w:rsid w:val="001F7509"/>
    <w:rsid w:val="00200450"/>
    <w:rsid w:val="0020142B"/>
    <w:rsid w:val="00203F83"/>
    <w:rsid w:val="00204BA2"/>
    <w:rsid w:val="00207A30"/>
    <w:rsid w:val="002102F0"/>
    <w:rsid w:val="00211015"/>
    <w:rsid w:val="00214C02"/>
    <w:rsid w:val="002174DC"/>
    <w:rsid w:val="00217630"/>
    <w:rsid w:val="0022318E"/>
    <w:rsid w:val="00227DE8"/>
    <w:rsid w:val="00230202"/>
    <w:rsid w:val="00230D0B"/>
    <w:rsid w:val="00230D70"/>
    <w:rsid w:val="002359F9"/>
    <w:rsid w:val="00235FE7"/>
    <w:rsid w:val="002369F7"/>
    <w:rsid w:val="00240A31"/>
    <w:rsid w:val="00241343"/>
    <w:rsid w:val="00243F17"/>
    <w:rsid w:val="00246F6D"/>
    <w:rsid w:val="00254544"/>
    <w:rsid w:val="00264EC4"/>
    <w:rsid w:val="00264EEF"/>
    <w:rsid w:val="00272410"/>
    <w:rsid w:val="00272E87"/>
    <w:rsid w:val="002764BC"/>
    <w:rsid w:val="00283BE8"/>
    <w:rsid w:val="002871AE"/>
    <w:rsid w:val="0029654A"/>
    <w:rsid w:val="00297AF2"/>
    <w:rsid w:val="002B1653"/>
    <w:rsid w:val="002B256C"/>
    <w:rsid w:val="002B5523"/>
    <w:rsid w:val="002B5927"/>
    <w:rsid w:val="002B721E"/>
    <w:rsid w:val="002B743A"/>
    <w:rsid w:val="002C1455"/>
    <w:rsid w:val="002C19BF"/>
    <w:rsid w:val="002C318D"/>
    <w:rsid w:val="002C565F"/>
    <w:rsid w:val="002D147D"/>
    <w:rsid w:val="002D2F96"/>
    <w:rsid w:val="002D7B20"/>
    <w:rsid w:val="002E13C2"/>
    <w:rsid w:val="002E2F94"/>
    <w:rsid w:val="002E4949"/>
    <w:rsid w:val="002E5512"/>
    <w:rsid w:val="002F1F81"/>
    <w:rsid w:val="002F32A8"/>
    <w:rsid w:val="002F6CC2"/>
    <w:rsid w:val="00300D34"/>
    <w:rsid w:val="00301055"/>
    <w:rsid w:val="00302A9A"/>
    <w:rsid w:val="00305B40"/>
    <w:rsid w:val="003142F1"/>
    <w:rsid w:val="00317D38"/>
    <w:rsid w:val="00325C51"/>
    <w:rsid w:val="003300A6"/>
    <w:rsid w:val="00331644"/>
    <w:rsid w:val="00332A10"/>
    <w:rsid w:val="00335AD4"/>
    <w:rsid w:val="00337260"/>
    <w:rsid w:val="003402B5"/>
    <w:rsid w:val="00343C70"/>
    <w:rsid w:val="003546DB"/>
    <w:rsid w:val="0035662B"/>
    <w:rsid w:val="003572DC"/>
    <w:rsid w:val="0035754C"/>
    <w:rsid w:val="00357F29"/>
    <w:rsid w:val="00360428"/>
    <w:rsid w:val="00360C77"/>
    <w:rsid w:val="00360CDC"/>
    <w:rsid w:val="003624ED"/>
    <w:rsid w:val="00362AEA"/>
    <w:rsid w:val="00370591"/>
    <w:rsid w:val="00372040"/>
    <w:rsid w:val="0037276C"/>
    <w:rsid w:val="00372AFC"/>
    <w:rsid w:val="00374538"/>
    <w:rsid w:val="00380587"/>
    <w:rsid w:val="00381178"/>
    <w:rsid w:val="00381598"/>
    <w:rsid w:val="00381AC6"/>
    <w:rsid w:val="003831CF"/>
    <w:rsid w:val="003840FF"/>
    <w:rsid w:val="00384BE4"/>
    <w:rsid w:val="0038513F"/>
    <w:rsid w:val="00385649"/>
    <w:rsid w:val="0039361E"/>
    <w:rsid w:val="003962B8"/>
    <w:rsid w:val="003A4DAA"/>
    <w:rsid w:val="003B3C1E"/>
    <w:rsid w:val="003B43AD"/>
    <w:rsid w:val="003B59B5"/>
    <w:rsid w:val="003C21C8"/>
    <w:rsid w:val="003C30DC"/>
    <w:rsid w:val="003C7F1C"/>
    <w:rsid w:val="003E03A0"/>
    <w:rsid w:val="003E3B6A"/>
    <w:rsid w:val="003E5EB2"/>
    <w:rsid w:val="003E78E6"/>
    <w:rsid w:val="003F49EE"/>
    <w:rsid w:val="00400A66"/>
    <w:rsid w:val="00402CD6"/>
    <w:rsid w:val="004049B3"/>
    <w:rsid w:val="00404B8B"/>
    <w:rsid w:val="00406FA0"/>
    <w:rsid w:val="004221BC"/>
    <w:rsid w:val="0042287E"/>
    <w:rsid w:val="00423364"/>
    <w:rsid w:val="004269E0"/>
    <w:rsid w:val="004276C7"/>
    <w:rsid w:val="00430609"/>
    <w:rsid w:val="00440596"/>
    <w:rsid w:val="004412D5"/>
    <w:rsid w:val="004469DF"/>
    <w:rsid w:val="00450DA3"/>
    <w:rsid w:val="00451FDC"/>
    <w:rsid w:val="004529F8"/>
    <w:rsid w:val="00454AF0"/>
    <w:rsid w:val="00457841"/>
    <w:rsid w:val="00460049"/>
    <w:rsid w:val="00460EDA"/>
    <w:rsid w:val="00462491"/>
    <w:rsid w:val="0046525D"/>
    <w:rsid w:val="00467458"/>
    <w:rsid w:val="0046748D"/>
    <w:rsid w:val="00467AD3"/>
    <w:rsid w:val="00472477"/>
    <w:rsid w:val="00491248"/>
    <w:rsid w:val="00492FBB"/>
    <w:rsid w:val="00496E02"/>
    <w:rsid w:val="004970D0"/>
    <w:rsid w:val="004A069D"/>
    <w:rsid w:val="004A1539"/>
    <w:rsid w:val="004A2E49"/>
    <w:rsid w:val="004A6E5C"/>
    <w:rsid w:val="004B15C2"/>
    <w:rsid w:val="004B30DD"/>
    <w:rsid w:val="004B5343"/>
    <w:rsid w:val="004C1844"/>
    <w:rsid w:val="004C1C7D"/>
    <w:rsid w:val="004C34B4"/>
    <w:rsid w:val="004C4969"/>
    <w:rsid w:val="004C6FE4"/>
    <w:rsid w:val="004C7098"/>
    <w:rsid w:val="004D06CE"/>
    <w:rsid w:val="004D44F2"/>
    <w:rsid w:val="004D6F63"/>
    <w:rsid w:val="004E3EE1"/>
    <w:rsid w:val="004E7505"/>
    <w:rsid w:val="004F75C1"/>
    <w:rsid w:val="004F772D"/>
    <w:rsid w:val="00504213"/>
    <w:rsid w:val="0050569C"/>
    <w:rsid w:val="00514180"/>
    <w:rsid w:val="00514AC7"/>
    <w:rsid w:val="00516A87"/>
    <w:rsid w:val="00521299"/>
    <w:rsid w:val="005239CD"/>
    <w:rsid w:val="00523DF2"/>
    <w:rsid w:val="005303F9"/>
    <w:rsid w:val="00533E0F"/>
    <w:rsid w:val="00540783"/>
    <w:rsid w:val="0054502D"/>
    <w:rsid w:val="005457CB"/>
    <w:rsid w:val="0055280E"/>
    <w:rsid w:val="00553213"/>
    <w:rsid w:val="005575F8"/>
    <w:rsid w:val="00557902"/>
    <w:rsid w:val="0055791F"/>
    <w:rsid w:val="00560781"/>
    <w:rsid w:val="005616F1"/>
    <w:rsid w:val="00564070"/>
    <w:rsid w:val="0056458B"/>
    <w:rsid w:val="0056585F"/>
    <w:rsid w:val="00566B35"/>
    <w:rsid w:val="00567282"/>
    <w:rsid w:val="00571CAC"/>
    <w:rsid w:val="00574A73"/>
    <w:rsid w:val="00577DFE"/>
    <w:rsid w:val="00592096"/>
    <w:rsid w:val="0059212E"/>
    <w:rsid w:val="00592FD3"/>
    <w:rsid w:val="005932D2"/>
    <w:rsid w:val="00594856"/>
    <w:rsid w:val="0059671A"/>
    <w:rsid w:val="005A0566"/>
    <w:rsid w:val="005A1A10"/>
    <w:rsid w:val="005A633D"/>
    <w:rsid w:val="005A6F0A"/>
    <w:rsid w:val="005A75FD"/>
    <w:rsid w:val="005B2A96"/>
    <w:rsid w:val="005B5E95"/>
    <w:rsid w:val="005C3B8F"/>
    <w:rsid w:val="005C3EF8"/>
    <w:rsid w:val="005C42EE"/>
    <w:rsid w:val="005C4321"/>
    <w:rsid w:val="005D09B9"/>
    <w:rsid w:val="005D6BDF"/>
    <w:rsid w:val="005D6C11"/>
    <w:rsid w:val="005E139B"/>
    <w:rsid w:val="005E3A33"/>
    <w:rsid w:val="005F13EC"/>
    <w:rsid w:val="005F4433"/>
    <w:rsid w:val="005F4444"/>
    <w:rsid w:val="005F4C0B"/>
    <w:rsid w:val="005F5102"/>
    <w:rsid w:val="006000CF"/>
    <w:rsid w:val="00601164"/>
    <w:rsid w:val="006074E1"/>
    <w:rsid w:val="006113C8"/>
    <w:rsid w:val="00612648"/>
    <w:rsid w:val="006173C4"/>
    <w:rsid w:val="00617908"/>
    <w:rsid w:val="00620B9B"/>
    <w:rsid w:val="006235C4"/>
    <w:rsid w:val="00624FCE"/>
    <w:rsid w:val="006313EA"/>
    <w:rsid w:val="00631E4E"/>
    <w:rsid w:val="00634326"/>
    <w:rsid w:val="00643006"/>
    <w:rsid w:val="0064582B"/>
    <w:rsid w:val="00650ADC"/>
    <w:rsid w:val="006551E0"/>
    <w:rsid w:val="00657660"/>
    <w:rsid w:val="0066124E"/>
    <w:rsid w:val="00662968"/>
    <w:rsid w:val="0066303E"/>
    <w:rsid w:val="0066361E"/>
    <w:rsid w:val="0066540B"/>
    <w:rsid w:val="006666AF"/>
    <w:rsid w:val="00670398"/>
    <w:rsid w:val="006725C8"/>
    <w:rsid w:val="006730B5"/>
    <w:rsid w:val="00677F5F"/>
    <w:rsid w:val="00685AA8"/>
    <w:rsid w:val="00685CCF"/>
    <w:rsid w:val="00686C83"/>
    <w:rsid w:val="00687757"/>
    <w:rsid w:val="00690E67"/>
    <w:rsid w:val="00694B87"/>
    <w:rsid w:val="0069653B"/>
    <w:rsid w:val="006A42D4"/>
    <w:rsid w:val="006A5063"/>
    <w:rsid w:val="006B00CB"/>
    <w:rsid w:val="006B1D83"/>
    <w:rsid w:val="006B4F11"/>
    <w:rsid w:val="006B71DA"/>
    <w:rsid w:val="006C0100"/>
    <w:rsid w:val="006C1C6E"/>
    <w:rsid w:val="006C1F36"/>
    <w:rsid w:val="006C28E6"/>
    <w:rsid w:val="006C2C1A"/>
    <w:rsid w:val="006C3E62"/>
    <w:rsid w:val="006C69EF"/>
    <w:rsid w:val="006D1256"/>
    <w:rsid w:val="006D12CD"/>
    <w:rsid w:val="006D4DD3"/>
    <w:rsid w:val="006D5B54"/>
    <w:rsid w:val="006E2DED"/>
    <w:rsid w:val="006E35C0"/>
    <w:rsid w:val="006E3D7D"/>
    <w:rsid w:val="006E6518"/>
    <w:rsid w:val="006E770D"/>
    <w:rsid w:val="006F33E1"/>
    <w:rsid w:val="006F40AF"/>
    <w:rsid w:val="006F41ED"/>
    <w:rsid w:val="00701D26"/>
    <w:rsid w:val="00702776"/>
    <w:rsid w:val="00703493"/>
    <w:rsid w:val="007052B3"/>
    <w:rsid w:val="00705358"/>
    <w:rsid w:val="00710801"/>
    <w:rsid w:val="007117FA"/>
    <w:rsid w:val="007153E8"/>
    <w:rsid w:val="00716EA0"/>
    <w:rsid w:val="0072201A"/>
    <w:rsid w:val="00722B6F"/>
    <w:rsid w:val="00730BB6"/>
    <w:rsid w:val="00733FB2"/>
    <w:rsid w:val="00735DED"/>
    <w:rsid w:val="00736F33"/>
    <w:rsid w:val="007408B0"/>
    <w:rsid w:val="00740D1B"/>
    <w:rsid w:val="007415FE"/>
    <w:rsid w:val="007451B6"/>
    <w:rsid w:val="007453A7"/>
    <w:rsid w:val="0075104A"/>
    <w:rsid w:val="0075389A"/>
    <w:rsid w:val="00756480"/>
    <w:rsid w:val="0076167B"/>
    <w:rsid w:val="00761A15"/>
    <w:rsid w:val="00762903"/>
    <w:rsid w:val="00762D22"/>
    <w:rsid w:val="00765217"/>
    <w:rsid w:val="007668CC"/>
    <w:rsid w:val="00770CE4"/>
    <w:rsid w:val="007748D7"/>
    <w:rsid w:val="00775056"/>
    <w:rsid w:val="00775A47"/>
    <w:rsid w:val="00776A5C"/>
    <w:rsid w:val="0078182F"/>
    <w:rsid w:val="00783E38"/>
    <w:rsid w:val="0078507C"/>
    <w:rsid w:val="00787A12"/>
    <w:rsid w:val="0079019F"/>
    <w:rsid w:val="00791826"/>
    <w:rsid w:val="00792A13"/>
    <w:rsid w:val="00795A6D"/>
    <w:rsid w:val="007972F2"/>
    <w:rsid w:val="00797D96"/>
    <w:rsid w:val="007A07DC"/>
    <w:rsid w:val="007A1C24"/>
    <w:rsid w:val="007A4BB5"/>
    <w:rsid w:val="007B1D1F"/>
    <w:rsid w:val="007B377E"/>
    <w:rsid w:val="007B7D70"/>
    <w:rsid w:val="007C0B6C"/>
    <w:rsid w:val="007C1231"/>
    <w:rsid w:val="007D2BD6"/>
    <w:rsid w:val="007D2BF5"/>
    <w:rsid w:val="007D43A4"/>
    <w:rsid w:val="007E0C2C"/>
    <w:rsid w:val="007E35B3"/>
    <w:rsid w:val="007E676F"/>
    <w:rsid w:val="007F1A3F"/>
    <w:rsid w:val="007F474E"/>
    <w:rsid w:val="007F48CF"/>
    <w:rsid w:val="007F6347"/>
    <w:rsid w:val="007F7529"/>
    <w:rsid w:val="007F7ADD"/>
    <w:rsid w:val="0080194B"/>
    <w:rsid w:val="00801A84"/>
    <w:rsid w:val="00802440"/>
    <w:rsid w:val="00802637"/>
    <w:rsid w:val="00810015"/>
    <w:rsid w:val="008106CB"/>
    <w:rsid w:val="00811581"/>
    <w:rsid w:val="00814BB1"/>
    <w:rsid w:val="00816E04"/>
    <w:rsid w:val="00821626"/>
    <w:rsid w:val="008230CD"/>
    <w:rsid w:val="00827121"/>
    <w:rsid w:val="008309FE"/>
    <w:rsid w:val="00831C4D"/>
    <w:rsid w:val="00833201"/>
    <w:rsid w:val="00833470"/>
    <w:rsid w:val="008355DF"/>
    <w:rsid w:val="0083748A"/>
    <w:rsid w:val="00840DDC"/>
    <w:rsid w:val="00841DE4"/>
    <w:rsid w:val="008446C6"/>
    <w:rsid w:val="00844B6B"/>
    <w:rsid w:val="00847828"/>
    <w:rsid w:val="0085023B"/>
    <w:rsid w:val="00850B4C"/>
    <w:rsid w:val="00851310"/>
    <w:rsid w:val="00853760"/>
    <w:rsid w:val="00856091"/>
    <w:rsid w:val="00857354"/>
    <w:rsid w:val="00863427"/>
    <w:rsid w:val="0086448A"/>
    <w:rsid w:val="00871817"/>
    <w:rsid w:val="00873697"/>
    <w:rsid w:val="00875857"/>
    <w:rsid w:val="008835BB"/>
    <w:rsid w:val="00883FBB"/>
    <w:rsid w:val="00890023"/>
    <w:rsid w:val="00890078"/>
    <w:rsid w:val="008903CA"/>
    <w:rsid w:val="00892D4F"/>
    <w:rsid w:val="00897B71"/>
    <w:rsid w:val="008A3008"/>
    <w:rsid w:val="008A3178"/>
    <w:rsid w:val="008A4E29"/>
    <w:rsid w:val="008A73C9"/>
    <w:rsid w:val="008B5D9D"/>
    <w:rsid w:val="008B67B8"/>
    <w:rsid w:val="008C3087"/>
    <w:rsid w:val="008C3578"/>
    <w:rsid w:val="008C3B82"/>
    <w:rsid w:val="008C738E"/>
    <w:rsid w:val="008D2A1F"/>
    <w:rsid w:val="008D2C68"/>
    <w:rsid w:val="008D5FB4"/>
    <w:rsid w:val="008E323F"/>
    <w:rsid w:val="008F5E90"/>
    <w:rsid w:val="00911472"/>
    <w:rsid w:val="00913D39"/>
    <w:rsid w:val="00916418"/>
    <w:rsid w:val="0091769D"/>
    <w:rsid w:val="00920AA6"/>
    <w:rsid w:val="00926006"/>
    <w:rsid w:val="0092681F"/>
    <w:rsid w:val="00926EF9"/>
    <w:rsid w:val="009278B1"/>
    <w:rsid w:val="00940D39"/>
    <w:rsid w:val="00940E50"/>
    <w:rsid w:val="00943CEC"/>
    <w:rsid w:val="00944967"/>
    <w:rsid w:val="009453A1"/>
    <w:rsid w:val="0094698D"/>
    <w:rsid w:val="009474B1"/>
    <w:rsid w:val="00947FCE"/>
    <w:rsid w:val="0095189F"/>
    <w:rsid w:val="00953A2F"/>
    <w:rsid w:val="009549BA"/>
    <w:rsid w:val="009677C3"/>
    <w:rsid w:val="00973171"/>
    <w:rsid w:val="00977B1D"/>
    <w:rsid w:val="009803C0"/>
    <w:rsid w:val="00980ACB"/>
    <w:rsid w:val="009811F2"/>
    <w:rsid w:val="00981EA9"/>
    <w:rsid w:val="00991177"/>
    <w:rsid w:val="009912DE"/>
    <w:rsid w:val="00991D36"/>
    <w:rsid w:val="0099485B"/>
    <w:rsid w:val="009958DF"/>
    <w:rsid w:val="009A16CE"/>
    <w:rsid w:val="009A37A6"/>
    <w:rsid w:val="009A3AC7"/>
    <w:rsid w:val="009A505D"/>
    <w:rsid w:val="009A5867"/>
    <w:rsid w:val="009B31CB"/>
    <w:rsid w:val="009B44D2"/>
    <w:rsid w:val="009B5193"/>
    <w:rsid w:val="009B7D4F"/>
    <w:rsid w:val="009C0A75"/>
    <w:rsid w:val="009C0B83"/>
    <w:rsid w:val="009C59EA"/>
    <w:rsid w:val="009D0177"/>
    <w:rsid w:val="009D02D4"/>
    <w:rsid w:val="009D2B54"/>
    <w:rsid w:val="009D43D1"/>
    <w:rsid w:val="009E15CE"/>
    <w:rsid w:val="009E52E4"/>
    <w:rsid w:val="009F14F6"/>
    <w:rsid w:val="009F1BB0"/>
    <w:rsid w:val="009F3447"/>
    <w:rsid w:val="009F53C0"/>
    <w:rsid w:val="00A038A2"/>
    <w:rsid w:val="00A0566C"/>
    <w:rsid w:val="00A05799"/>
    <w:rsid w:val="00A07A7E"/>
    <w:rsid w:val="00A140CB"/>
    <w:rsid w:val="00A23BA2"/>
    <w:rsid w:val="00A310BC"/>
    <w:rsid w:val="00A3118C"/>
    <w:rsid w:val="00A35A11"/>
    <w:rsid w:val="00A35AB8"/>
    <w:rsid w:val="00A36356"/>
    <w:rsid w:val="00A363D6"/>
    <w:rsid w:val="00A36932"/>
    <w:rsid w:val="00A4001D"/>
    <w:rsid w:val="00A4214F"/>
    <w:rsid w:val="00A43078"/>
    <w:rsid w:val="00A43D13"/>
    <w:rsid w:val="00A50BE7"/>
    <w:rsid w:val="00A54778"/>
    <w:rsid w:val="00A55216"/>
    <w:rsid w:val="00A56FAA"/>
    <w:rsid w:val="00A61DFC"/>
    <w:rsid w:val="00A65227"/>
    <w:rsid w:val="00A73790"/>
    <w:rsid w:val="00A815EA"/>
    <w:rsid w:val="00A83D18"/>
    <w:rsid w:val="00A87947"/>
    <w:rsid w:val="00A939F5"/>
    <w:rsid w:val="00A94384"/>
    <w:rsid w:val="00A95097"/>
    <w:rsid w:val="00AA0AE0"/>
    <w:rsid w:val="00AA4256"/>
    <w:rsid w:val="00AA5C61"/>
    <w:rsid w:val="00AA603E"/>
    <w:rsid w:val="00AB0A80"/>
    <w:rsid w:val="00AB5E01"/>
    <w:rsid w:val="00AB6C6E"/>
    <w:rsid w:val="00AC2F36"/>
    <w:rsid w:val="00AC535E"/>
    <w:rsid w:val="00AC6A2B"/>
    <w:rsid w:val="00AC76BA"/>
    <w:rsid w:val="00AD07B9"/>
    <w:rsid w:val="00AD083A"/>
    <w:rsid w:val="00AD30CC"/>
    <w:rsid w:val="00AD5381"/>
    <w:rsid w:val="00AD5907"/>
    <w:rsid w:val="00AE0BE8"/>
    <w:rsid w:val="00AE3BEE"/>
    <w:rsid w:val="00AE3E81"/>
    <w:rsid w:val="00AF361A"/>
    <w:rsid w:val="00AF7445"/>
    <w:rsid w:val="00B00731"/>
    <w:rsid w:val="00B0137E"/>
    <w:rsid w:val="00B0151E"/>
    <w:rsid w:val="00B0176B"/>
    <w:rsid w:val="00B0598C"/>
    <w:rsid w:val="00B05FAC"/>
    <w:rsid w:val="00B10156"/>
    <w:rsid w:val="00B105E4"/>
    <w:rsid w:val="00B13967"/>
    <w:rsid w:val="00B13EAF"/>
    <w:rsid w:val="00B143B2"/>
    <w:rsid w:val="00B148F6"/>
    <w:rsid w:val="00B1546B"/>
    <w:rsid w:val="00B16628"/>
    <w:rsid w:val="00B24AE1"/>
    <w:rsid w:val="00B27A3B"/>
    <w:rsid w:val="00B37798"/>
    <w:rsid w:val="00B45A80"/>
    <w:rsid w:val="00B55DD6"/>
    <w:rsid w:val="00B55E6F"/>
    <w:rsid w:val="00B61323"/>
    <w:rsid w:val="00B62AEC"/>
    <w:rsid w:val="00B63F56"/>
    <w:rsid w:val="00B64591"/>
    <w:rsid w:val="00B6515E"/>
    <w:rsid w:val="00B666AB"/>
    <w:rsid w:val="00B70E46"/>
    <w:rsid w:val="00B73A06"/>
    <w:rsid w:val="00B745FB"/>
    <w:rsid w:val="00B76B60"/>
    <w:rsid w:val="00B77AE2"/>
    <w:rsid w:val="00B84C64"/>
    <w:rsid w:val="00B867F8"/>
    <w:rsid w:val="00B955EE"/>
    <w:rsid w:val="00B96801"/>
    <w:rsid w:val="00B97228"/>
    <w:rsid w:val="00B975E4"/>
    <w:rsid w:val="00B9762F"/>
    <w:rsid w:val="00B97FE3"/>
    <w:rsid w:val="00BA3DCF"/>
    <w:rsid w:val="00BA660A"/>
    <w:rsid w:val="00BA6CA3"/>
    <w:rsid w:val="00BA6FBC"/>
    <w:rsid w:val="00BB2D82"/>
    <w:rsid w:val="00BB436D"/>
    <w:rsid w:val="00BB5658"/>
    <w:rsid w:val="00BB706A"/>
    <w:rsid w:val="00BC1217"/>
    <w:rsid w:val="00BC665E"/>
    <w:rsid w:val="00BC7A34"/>
    <w:rsid w:val="00BC7C74"/>
    <w:rsid w:val="00BD3267"/>
    <w:rsid w:val="00BD36E8"/>
    <w:rsid w:val="00BD55B5"/>
    <w:rsid w:val="00BD5812"/>
    <w:rsid w:val="00BE191A"/>
    <w:rsid w:val="00BF403A"/>
    <w:rsid w:val="00BF6EB4"/>
    <w:rsid w:val="00C02C10"/>
    <w:rsid w:val="00C038A5"/>
    <w:rsid w:val="00C065ED"/>
    <w:rsid w:val="00C13ABD"/>
    <w:rsid w:val="00C16699"/>
    <w:rsid w:val="00C16721"/>
    <w:rsid w:val="00C20241"/>
    <w:rsid w:val="00C206B4"/>
    <w:rsid w:val="00C23A0D"/>
    <w:rsid w:val="00C242FF"/>
    <w:rsid w:val="00C25661"/>
    <w:rsid w:val="00C256C7"/>
    <w:rsid w:val="00C314D0"/>
    <w:rsid w:val="00C3618E"/>
    <w:rsid w:val="00C4296F"/>
    <w:rsid w:val="00C43E09"/>
    <w:rsid w:val="00C44EDE"/>
    <w:rsid w:val="00C47479"/>
    <w:rsid w:val="00C4793E"/>
    <w:rsid w:val="00C522B4"/>
    <w:rsid w:val="00C532CF"/>
    <w:rsid w:val="00C60ED6"/>
    <w:rsid w:val="00C66F02"/>
    <w:rsid w:val="00C67CCB"/>
    <w:rsid w:val="00C67EA5"/>
    <w:rsid w:val="00C7086C"/>
    <w:rsid w:val="00C71381"/>
    <w:rsid w:val="00C713AC"/>
    <w:rsid w:val="00C748A7"/>
    <w:rsid w:val="00C773F5"/>
    <w:rsid w:val="00C77D8B"/>
    <w:rsid w:val="00C8317C"/>
    <w:rsid w:val="00C85889"/>
    <w:rsid w:val="00C9164B"/>
    <w:rsid w:val="00C918BC"/>
    <w:rsid w:val="00C936B6"/>
    <w:rsid w:val="00C93B65"/>
    <w:rsid w:val="00C9465B"/>
    <w:rsid w:val="00C94DC6"/>
    <w:rsid w:val="00C96612"/>
    <w:rsid w:val="00CA2F28"/>
    <w:rsid w:val="00CA3A1B"/>
    <w:rsid w:val="00CA53BE"/>
    <w:rsid w:val="00CA5D9A"/>
    <w:rsid w:val="00CB273B"/>
    <w:rsid w:val="00CB3946"/>
    <w:rsid w:val="00CB793F"/>
    <w:rsid w:val="00CD01B7"/>
    <w:rsid w:val="00CD0987"/>
    <w:rsid w:val="00CE0042"/>
    <w:rsid w:val="00CE032F"/>
    <w:rsid w:val="00CE4AFE"/>
    <w:rsid w:val="00CE67D5"/>
    <w:rsid w:val="00CF000A"/>
    <w:rsid w:val="00CF200C"/>
    <w:rsid w:val="00CF4F96"/>
    <w:rsid w:val="00CF5BE6"/>
    <w:rsid w:val="00D023FF"/>
    <w:rsid w:val="00D0756F"/>
    <w:rsid w:val="00D075E1"/>
    <w:rsid w:val="00D07D75"/>
    <w:rsid w:val="00D11772"/>
    <w:rsid w:val="00D16E4F"/>
    <w:rsid w:val="00D20688"/>
    <w:rsid w:val="00D224FA"/>
    <w:rsid w:val="00D261BE"/>
    <w:rsid w:val="00D3048F"/>
    <w:rsid w:val="00D31E2E"/>
    <w:rsid w:val="00D35BD8"/>
    <w:rsid w:val="00D427D7"/>
    <w:rsid w:val="00D42AE3"/>
    <w:rsid w:val="00D43D6E"/>
    <w:rsid w:val="00D44BBC"/>
    <w:rsid w:val="00D47E5C"/>
    <w:rsid w:val="00D51638"/>
    <w:rsid w:val="00D5312D"/>
    <w:rsid w:val="00D53446"/>
    <w:rsid w:val="00D534FC"/>
    <w:rsid w:val="00D53E14"/>
    <w:rsid w:val="00D563D3"/>
    <w:rsid w:val="00D61CB4"/>
    <w:rsid w:val="00D61ECC"/>
    <w:rsid w:val="00D65E94"/>
    <w:rsid w:val="00D663FF"/>
    <w:rsid w:val="00D6724F"/>
    <w:rsid w:val="00D67C6E"/>
    <w:rsid w:val="00D716E4"/>
    <w:rsid w:val="00D72EBE"/>
    <w:rsid w:val="00D7378B"/>
    <w:rsid w:val="00D73AA5"/>
    <w:rsid w:val="00D7790B"/>
    <w:rsid w:val="00D8029F"/>
    <w:rsid w:val="00D83446"/>
    <w:rsid w:val="00D85A30"/>
    <w:rsid w:val="00D85DFE"/>
    <w:rsid w:val="00D915B2"/>
    <w:rsid w:val="00DA02B8"/>
    <w:rsid w:val="00DA1A9B"/>
    <w:rsid w:val="00DA1D74"/>
    <w:rsid w:val="00DA4015"/>
    <w:rsid w:val="00DA4841"/>
    <w:rsid w:val="00DA4D95"/>
    <w:rsid w:val="00DA6C15"/>
    <w:rsid w:val="00DA7671"/>
    <w:rsid w:val="00DB4E09"/>
    <w:rsid w:val="00DB50A1"/>
    <w:rsid w:val="00DB7108"/>
    <w:rsid w:val="00DC0CE7"/>
    <w:rsid w:val="00DC1218"/>
    <w:rsid w:val="00DC5FC2"/>
    <w:rsid w:val="00DC638D"/>
    <w:rsid w:val="00DC7970"/>
    <w:rsid w:val="00DD046E"/>
    <w:rsid w:val="00DD52AC"/>
    <w:rsid w:val="00DE13EF"/>
    <w:rsid w:val="00DE1E45"/>
    <w:rsid w:val="00DE3871"/>
    <w:rsid w:val="00DE6595"/>
    <w:rsid w:val="00DF1C90"/>
    <w:rsid w:val="00DF2620"/>
    <w:rsid w:val="00DF72DB"/>
    <w:rsid w:val="00DF7DBB"/>
    <w:rsid w:val="00DF7E36"/>
    <w:rsid w:val="00E01A45"/>
    <w:rsid w:val="00E03783"/>
    <w:rsid w:val="00E1152A"/>
    <w:rsid w:val="00E12BA9"/>
    <w:rsid w:val="00E12DF0"/>
    <w:rsid w:val="00E165DB"/>
    <w:rsid w:val="00E2015A"/>
    <w:rsid w:val="00E202AF"/>
    <w:rsid w:val="00E2170A"/>
    <w:rsid w:val="00E244BD"/>
    <w:rsid w:val="00E25C7B"/>
    <w:rsid w:val="00E3502D"/>
    <w:rsid w:val="00E36197"/>
    <w:rsid w:val="00E42C82"/>
    <w:rsid w:val="00E43B8C"/>
    <w:rsid w:val="00E5496F"/>
    <w:rsid w:val="00E551BD"/>
    <w:rsid w:val="00E560E4"/>
    <w:rsid w:val="00E605AF"/>
    <w:rsid w:val="00E618BC"/>
    <w:rsid w:val="00E6637D"/>
    <w:rsid w:val="00E70CA9"/>
    <w:rsid w:val="00E7155D"/>
    <w:rsid w:val="00E71BC2"/>
    <w:rsid w:val="00E82A08"/>
    <w:rsid w:val="00E84B36"/>
    <w:rsid w:val="00E86D7D"/>
    <w:rsid w:val="00E86E98"/>
    <w:rsid w:val="00E947EE"/>
    <w:rsid w:val="00E976F8"/>
    <w:rsid w:val="00EA061C"/>
    <w:rsid w:val="00EA1430"/>
    <w:rsid w:val="00EA31D5"/>
    <w:rsid w:val="00EA33E3"/>
    <w:rsid w:val="00EA69E4"/>
    <w:rsid w:val="00EA7748"/>
    <w:rsid w:val="00EB03FB"/>
    <w:rsid w:val="00EB6B61"/>
    <w:rsid w:val="00EC0147"/>
    <w:rsid w:val="00EC2BF5"/>
    <w:rsid w:val="00EC4D9C"/>
    <w:rsid w:val="00EC6840"/>
    <w:rsid w:val="00EC746F"/>
    <w:rsid w:val="00ED1738"/>
    <w:rsid w:val="00ED3197"/>
    <w:rsid w:val="00ED3972"/>
    <w:rsid w:val="00ED3DDD"/>
    <w:rsid w:val="00ED4188"/>
    <w:rsid w:val="00EE0705"/>
    <w:rsid w:val="00EE0AE9"/>
    <w:rsid w:val="00EE64D6"/>
    <w:rsid w:val="00EF68D7"/>
    <w:rsid w:val="00F00ED0"/>
    <w:rsid w:val="00F00EE3"/>
    <w:rsid w:val="00F0263E"/>
    <w:rsid w:val="00F077BF"/>
    <w:rsid w:val="00F1112D"/>
    <w:rsid w:val="00F139A1"/>
    <w:rsid w:val="00F21BEE"/>
    <w:rsid w:val="00F23376"/>
    <w:rsid w:val="00F32704"/>
    <w:rsid w:val="00F3371B"/>
    <w:rsid w:val="00F368C0"/>
    <w:rsid w:val="00F36CE4"/>
    <w:rsid w:val="00F37140"/>
    <w:rsid w:val="00F41077"/>
    <w:rsid w:val="00F4171F"/>
    <w:rsid w:val="00F41D93"/>
    <w:rsid w:val="00F509E9"/>
    <w:rsid w:val="00F50BF5"/>
    <w:rsid w:val="00F54456"/>
    <w:rsid w:val="00F54D92"/>
    <w:rsid w:val="00F560EA"/>
    <w:rsid w:val="00F6274D"/>
    <w:rsid w:val="00F629D2"/>
    <w:rsid w:val="00F63107"/>
    <w:rsid w:val="00F6384C"/>
    <w:rsid w:val="00F64A58"/>
    <w:rsid w:val="00F720F5"/>
    <w:rsid w:val="00F76317"/>
    <w:rsid w:val="00F76C39"/>
    <w:rsid w:val="00F80831"/>
    <w:rsid w:val="00F845EB"/>
    <w:rsid w:val="00F84977"/>
    <w:rsid w:val="00F8538E"/>
    <w:rsid w:val="00F85A36"/>
    <w:rsid w:val="00F95E29"/>
    <w:rsid w:val="00FA2863"/>
    <w:rsid w:val="00FA356B"/>
    <w:rsid w:val="00FA390B"/>
    <w:rsid w:val="00FA5EC2"/>
    <w:rsid w:val="00FA5FC0"/>
    <w:rsid w:val="00FA69EE"/>
    <w:rsid w:val="00FB0ADF"/>
    <w:rsid w:val="00FB602E"/>
    <w:rsid w:val="00FC0D21"/>
    <w:rsid w:val="00FC2AAE"/>
    <w:rsid w:val="00FD15F1"/>
    <w:rsid w:val="00FD1F5F"/>
    <w:rsid w:val="00FD408A"/>
    <w:rsid w:val="00FD4860"/>
    <w:rsid w:val="00FD68C3"/>
    <w:rsid w:val="00FE06B7"/>
    <w:rsid w:val="00FE0A22"/>
    <w:rsid w:val="00FE1412"/>
    <w:rsid w:val="00FE1547"/>
    <w:rsid w:val="00FF072A"/>
    <w:rsid w:val="00FF29F5"/>
    <w:rsid w:val="00FF3736"/>
    <w:rsid w:val="00FF4A29"/>
    <w:rsid w:val="0F3D2E65"/>
    <w:rsid w:val="13385187"/>
    <w:rsid w:val="33EA60A2"/>
    <w:rsid w:val="3A6B5653"/>
    <w:rsid w:val="509C604E"/>
    <w:rsid w:val="570D1A54"/>
    <w:rsid w:val="63B552F0"/>
    <w:rsid w:val="76AD3595"/>
    <w:rsid w:val="7CD140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6"/>
    <w:unhideWhenUsed/>
    <w:qFormat/>
    <w:uiPriority w:val="0"/>
    <w:pPr>
      <w:jc w:val="left"/>
    </w:pPr>
    <w:rPr>
      <w:rFonts w:ascii="Times New Roman" w:hAnsi="Times New Roman"/>
      <w:szCs w:val="24"/>
    </w:rPr>
  </w:style>
  <w:style w:type="paragraph" w:styleId="3">
    <w:name w:val="Balloon Text"/>
    <w:basedOn w:val="1"/>
    <w:link w:val="16"/>
    <w:semiHidden/>
    <w:unhideWhenUsed/>
    <w:qFormat/>
    <w:uiPriority w:val="99"/>
    <w:rPr>
      <w:kern w:val="0"/>
      <w:sz w:val="18"/>
      <w:szCs w:val="18"/>
      <w:lang w:val="zh-CN" w:eastAsia="zh-CN"/>
    </w:rPr>
  </w:style>
  <w:style w:type="paragraph" w:styleId="4">
    <w:name w:val="footer"/>
    <w:basedOn w:val="1"/>
    <w:link w:val="12"/>
    <w:unhideWhenUsed/>
    <w:qFormat/>
    <w:uiPriority w:val="99"/>
    <w:pPr>
      <w:tabs>
        <w:tab w:val="center" w:pos="4153"/>
        <w:tab w:val="right" w:pos="8306"/>
      </w:tabs>
      <w:snapToGrid w:val="0"/>
      <w:jc w:val="left"/>
    </w:pPr>
    <w:rPr>
      <w:kern w:val="0"/>
      <w:sz w:val="18"/>
      <w:szCs w:val="18"/>
      <w:lang w:val="zh-CN" w:eastAsia="zh-CN"/>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6">
    <w:name w:val="HTML Preformatted"/>
    <w:basedOn w:val="1"/>
    <w:link w:val="38"/>
    <w:semiHidden/>
    <w:unhideWhenUsed/>
    <w:qFormat/>
    <w:uiPriority w:val="99"/>
    <w:rPr>
      <w:rFonts w:ascii="Courier New" w:hAnsi="Courier New" w:cs="Courier New"/>
      <w:sz w:val="20"/>
      <w:szCs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unhideWhenUsed/>
    <w:qFormat/>
    <w:uiPriority w:val="0"/>
    <w:rPr>
      <w:sz w:val="21"/>
      <w:szCs w:val="21"/>
    </w:rPr>
  </w:style>
  <w:style w:type="character" w:customStyle="1" w:styleId="11">
    <w:name w:val="页眉 字符"/>
    <w:link w:val="5"/>
    <w:qFormat/>
    <w:uiPriority w:val="99"/>
    <w:rPr>
      <w:sz w:val="18"/>
      <w:szCs w:val="18"/>
    </w:rPr>
  </w:style>
  <w:style w:type="character" w:customStyle="1" w:styleId="12">
    <w:name w:val="页脚 字符"/>
    <w:link w:val="4"/>
    <w:qFormat/>
    <w:uiPriority w:val="99"/>
    <w:rPr>
      <w:sz w:val="18"/>
      <w:szCs w:val="18"/>
    </w:rPr>
  </w:style>
  <w:style w:type="table" w:customStyle="1" w:styleId="13">
    <w:name w:val="网格型1"/>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网格型2"/>
    <w:basedOn w:val="7"/>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网格型3"/>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批注框文本 字符"/>
    <w:link w:val="3"/>
    <w:semiHidden/>
    <w:qFormat/>
    <w:uiPriority w:val="99"/>
    <w:rPr>
      <w:sz w:val="18"/>
      <w:szCs w:val="18"/>
    </w:rPr>
  </w:style>
  <w:style w:type="paragraph" w:customStyle="1" w:styleId="17">
    <w:name w:val="列出段落1"/>
    <w:basedOn w:val="1"/>
    <w:qFormat/>
    <w:uiPriority w:val="34"/>
    <w:pPr>
      <w:ind w:firstLine="420" w:firstLineChars="200"/>
    </w:pPr>
  </w:style>
  <w:style w:type="paragraph" w:customStyle="1" w:styleId="18">
    <w:name w:val="正文表标题"/>
    <w:next w:val="19"/>
    <w:qFormat/>
    <w:uiPriority w:val="0"/>
    <w:pPr>
      <w:numPr>
        <w:ilvl w:val="0"/>
        <w:numId w:val="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9">
    <w:name w:val="段"/>
    <w:link w:val="2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Cs w:val="21"/>
      <w:lang w:val="en-US" w:eastAsia="zh-CN" w:bidi="ar-SA"/>
    </w:rPr>
  </w:style>
  <w:style w:type="paragraph" w:customStyle="1" w:styleId="20">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21">
    <w:name w:val="段 Char"/>
    <w:link w:val="19"/>
    <w:qFormat/>
    <w:locked/>
    <w:uiPriority w:val="0"/>
    <w:rPr>
      <w:rFonts w:ascii="宋体" w:hAnsi="Times New Roman"/>
      <w:szCs w:val="21"/>
      <w:lang w:bidi="ar-SA"/>
    </w:rPr>
  </w:style>
  <w:style w:type="table" w:customStyle="1" w:styleId="22">
    <w:name w:val="网格型4"/>
    <w:basedOn w:val="7"/>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
    <w:name w:val="网格型5"/>
    <w:basedOn w:val="7"/>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
    <w:name w:val="网格型6"/>
    <w:basedOn w:val="7"/>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
    <w:name w:val="网格型7"/>
    <w:basedOn w:val="7"/>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6">
    <w:name w:val="网格型8"/>
    <w:basedOn w:val="7"/>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
    <w:name w:val="一级条标题"/>
    <w:next w:val="19"/>
    <w:link w:val="40"/>
    <w:qFormat/>
    <w:uiPriority w:val="0"/>
    <w:pPr>
      <w:numPr>
        <w:ilvl w:val="1"/>
        <w:numId w:val="2"/>
      </w:numPr>
      <w:spacing w:beforeLines="50" w:afterLines="50"/>
      <w:outlineLvl w:val="2"/>
    </w:pPr>
    <w:rPr>
      <w:rFonts w:ascii="黑体" w:hAnsi="Times New Roman" w:eastAsia="黑体" w:cs="Times New Roman"/>
      <w:sz w:val="21"/>
      <w:lang w:val="en-US" w:eastAsia="zh-CN" w:bidi="ar-SA"/>
    </w:rPr>
  </w:style>
  <w:style w:type="paragraph" w:customStyle="1" w:styleId="28">
    <w:name w:val="章标题"/>
    <w:next w:val="19"/>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29">
    <w:name w:val="二级条标题"/>
    <w:basedOn w:val="27"/>
    <w:next w:val="19"/>
    <w:link w:val="33"/>
    <w:qFormat/>
    <w:uiPriority w:val="0"/>
    <w:pPr>
      <w:numPr>
        <w:ilvl w:val="2"/>
      </w:numPr>
      <w:spacing w:before="50" w:after="50"/>
      <w:outlineLvl w:val="3"/>
    </w:pPr>
    <w:rPr>
      <w:sz w:val="20"/>
      <w:lang w:val="zh-CN" w:eastAsia="zh-CN"/>
    </w:rPr>
  </w:style>
  <w:style w:type="paragraph" w:customStyle="1" w:styleId="30">
    <w:name w:val="三级条标题"/>
    <w:basedOn w:val="29"/>
    <w:next w:val="19"/>
    <w:qFormat/>
    <w:uiPriority w:val="0"/>
    <w:pPr>
      <w:numPr>
        <w:ilvl w:val="3"/>
      </w:numPr>
      <w:tabs>
        <w:tab w:val="left" w:pos="360"/>
        <w:tab w:val="left" w:pos="1984"/>
      </w:tabs>
      <w:ind w:left="1984" w:hanging="708"/>
      <w:outlineLvl w:val="4"/>
    </w:pPr>
  </w:style>
  <w:style w:type="paragraph" w:customStyle="1" w:styleId="31">
    <w:name w:val="四级条标题"/>
    <w:basedOn w:val="30"/>
    <w:next w:val="19"/>
    <w:qFormat/>
    <w:uiPriority w:val="0"/>
    <w:pPr>
      <w:numPr>
        <w:ilvl w:val="4"/>
      </w:numPr>
      <w:tabs>
        <w:tab w:val="left" w:pos="2551"/>
      </w:tabs>
      <w:ind w:left="2551" w:hanging="850"/>
      <w:outlineLvl w:val="5"/>
    </w:pPr>
  </w:style>
  <w:style w:type="paragraph" w:customStyle="1" w:styleId="32">
    <w:name w:val="五级条标题"/>
    <w:basedOn w:val="31"/>
    <w:next w:val="19"/>
    <w:qFormat/>
    <w:uiPriority w:val="0"/>
    <w:pPr>
      <w:numPr>
        <w:ilvl w:val="5"/>
      </w:numPr>
      <w:tabs>
        <w:tab w:val="left" w:pos="3260"/>
      </w:tabs>
      <w:ind w:left="3260" w:hanging="1134"/>
      <w:outlineLvl w:val="6"/>
    </w:pPr>
  </w:style>
  <w:style w:type="character" w:customStyle="1" w:styleId="33">
    <w:name w:val="二级条标题 Char"/>
    <w:link w:val="29"/>
    <w:qFormat/>
    <w:locked/>
    <w:uiPriority w:val="0"/>
    <w:rPr>
      <w:rFonts w:ascii="黑体" w:hAnsi="Times New Roman" w:eastAsia="黑体" w:cs="Times New Roman"/>
      <w:kern w:val="0"/>
      <w:szCs w:val="20"/>
    </w:rPr>
  </w:style>
  <w:style w:type="table" w:customStyle="1" w:styleId="34">
    <w:name w:val="网格型9"/>
    <w:basedOn w:val="7"/>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
    <w:name w:val="网格型10"/>
    <w:basedOn w:val="7"/>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6">
    <w:name w:val="批注文字 字符"/>
    <w:link w:val="2"/>
    <w:qFormat/>
    <w:uiPriority w:val="0"/>
    <w:rPr>
      <w:rFonts w:ascii="Times New Roman" w:hAnsi="Times New Roman"/>
      <w:kern w:val="2"/>
      <w:sz w:val="21"/>
      <w:szCs w:val="24"/>
    </w:rPr>
  </w:style>
  <w:style w:type="paragraph" w:customStyle="1" w:styleId="37">
    <w:name w:val="Other|1"/>
    <w:basedOn w:val="1"/>
    <w:qFormat/>
    <w:uiPriority w:val="0"/>
    <w:pPr>
      <w:spacing w:line="365" w:lineRule="auto"/>
      <w:ind w:firstLine="120"/>
    </w:pPr>
    <w:rPr>
      <w:rFonts w:ascii="宋体" w:hAnsi="宋体" w:cs="宋体"/>
      <w:sz w:val="18"/>
      <w:szCs w:val="18"/>
    </w:rPr>
  </w:style>
  <w:style w:type="character" w:customStyle="1" w:styleId="38">
    <w:name w:val="HTML 预设格式 字符"/>
    <w:basedOn w:val="9"/>
    <w:link w:val="6"/>
    <w:semiHidden/>
    <w:qFormat/>
    <w:uiPriority w:val="99"/>
    <w:rPr>
      <w:rFonts w:ascii="Courier New" w:hAnsi="Courier New" w:cs="Courier New"/>
      <w:kern w:val="2"/>
    </w:rPr>
  </w:style>
  <w:style w:type="paragraph" w:customStyle="1" w:styleId="39">
    <w:name w:val="图表脚注说明"/>
    <w:basedOn w:val="1"/>
    <w:qFormat/>
    <w:uiPriority w:val="0"/>
    <w:pPr>
      <w:ind w:left="544" w:hanging="181"/>
    </w:pPr>
    <w:rPr>
      <w:rFonts w:ascii="宋体" w:hAnsi="Times New Roman"/>
      <w:sz w:val="18"/>
      <w:szCs w:val="18"/>
    </w:rPr>
  </w:style>
  <w:style w:type="character" w:customStyle="1" w:styleId="40">
    <w:name w:val="一级条标题 Char"/>
    <w:link w:val="27"/>
    <w:qFormat/>
    <w:locked/>
    <w:uiPriority w:val="0"/>
    <w:rPr>
      <w:rFonts w:ascii="黑体" w:hAnsi="Times New Roman" w:eastAsia="黑体"/>
      <w:sz w:val="21"/>
    </w:rPr>
  </w:style>
  <w:style w:type="paragraph" w:styleId="41">
    <w:name w:val="List Paragraph"/>
    <w:basedOn w:val="1"/>
    <w:qFormat/>
    <w:uiPriority w:val="34"/>
    <w:pPr>
      <w:ind w:firstLine="420" w:firstLineChars="200"/>
    </w:pPr>
  </w:style>
  <w:style w:type="paragraph" w:customStyle="1" w:styleId="42">
    <w:name w:val="正文图标题"/>
    <w:next w:val="19"/>
    <w:qFormat/>
    <w:uiPriority w:val="0"/>
    <w:pPr>
      <w:tabs>
        <w:tab w:val="left" w:pos="360"/>
      </w:tabs>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4030</Words>
  <Characters>4951</Characters>
  <Lines>36</Lines>
  <Paragraphs>10</Paragraphs>
  <TotalTime>1</TotalTime>
  <ScaleCrop>false</ScaleCrop>
  <LinksUpToDate>false</LinksUpToDate>
  <CharactersWithSpaces>5097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2022-11-24T06:32:00Z</dcterms:created>
  <dc:creator>wangzequn</dc:creator>
  <cp:lastModifiedBy>张世恩-13241711369</cp:lastModifiedBy>
  <dcterms:modified xsi:type="dcterms:W3CDTF">2024-10-29T00:52:25Z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9022BAB717434450920AE9C212514C4B_12</vt:lpwstr>
  </property>
</Properties>
</file>