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2D2A3">
      <w:bookmarkStart w:id="7" w:name="_GoBack"/>
      <w:bookmarkEnd w:id="7"/>
    </w:p>
    <w:p w14:paraId="70AA4479">
      <w:pPr>
        <w:spacing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用人单位工伤预防培训指南</w:t>
      </w:r>
      <w:r>
        <w:rPr>
          <w:rFonts w:hint="eastAsia" w:ascii="Times New Roman" w:hAnsi="Times New Roman" w:eastAsia="方正小标宋简体" w:cs="Times New Roman"/>
          <w:sz w:val="44"/>
          <w:szCs w:val="44"/>
        </w:rPr>
        <w:t>》团体标准</w:t>
      </w:r>
    </w:p>
    <w:p w14:paraId="4F11D69C">
      <w:pPr>
        <w:spacing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（征求意见稿）编制说明</w:t>
      </w:r>
    </w:p>
    <w:p w14:paraId="7A62F3DD">
      <w:pPr>
        <w:jc w:val="center"/>
        <w:rPr>
          <w:rFonts w:ascii="黑体" w:hAnsi="黑体" w:eastAsia="黑体"/>
          <w:sz w:val="36"/>
          <w:szCs w:val="36"/>
        </w:rPr>
      </w:pPr>
    </w:p>
    <w:p w14:paraId="41325348">
      <w:pPr>
        <w:pStyle w:val="7"/>
        <w:widowControl w:val="0"/>
        <w:spacing w:before="0" w:beforeAutospacing="0" w:after="0" w:afterAutospacing="0" w:line="591" w:lineRule="exact"/>
        <w:ind w:firstLine="640" w:firstLineChars="200"/>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rPr>
        <w:t>一、任务来源，主要起草单位，参与起草单位</w:t>
      </w:r>
    </w:p>
    <w:p w14:paraId="4F84D72B">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highlight w:val="none"/>
        </w:rPr>
      </w:pPr>
      <w:bookmarkStart w:id="0" w:name="_Hlk529782780"/>
      <w:r>
        <w:rPr>
          <w:rFonts w:hint="eastAsia" w:ascii="Times New Roman" w:hAnsi="Times New Roman" w:eastAsia="仿宋_GB2312" w:cs="Times New Roman"/>
          <w:kern w:val="2"/>
          <w:sz w:val="32"/>
          <w:szCs w:val="32"/>
        </w:rPr>
        <w:t>中国中小企业协会</w:t>
      </w:r>
      <w:bookmarkEnd w:id="0"/>
      <w:r>
        <w:rPr>
          <w:rFonts w:hint="eastAsia" w:ascii="Times New Roman" w:hAnsi="Times New Roman" w:eastAsia="仿宋_GB2312" w:cs="Times New Roman"/>
          <w:kern w:val="2"/>
          <w:sz w:val="32"/>
          <w:szCs w:val="32"/>
        </w:rPr>
        <w:t>下达的20</w:t>
      </w:r>
      <w:r>
        <w:rPr>
          <w:rFonts w:hint="eastAsia" w:ascii="Times New Roman" w:hAnsi="Times New Roman" w:eastAsia="仿宋_GB2312" w:cs="Times New Roman"/>
          <w:kern w:val="2"/>
          <w:sz w:val="32"/>
          <w:szCs w:val="32"/>
          <w:lang w:val="en-US" w:eastAsia="zh-CN"/>
        </w:rPr>
        <w:t>24</w:t>
      </w:r>
      <w:r>
        <w:rPr>
          <w:rFonts w:hint="eastAsia" w:ascii="Times New Roman" w:hAnsi="Times New Roman" w:eastAsia="仿宋_GB2312" w:cs="Times New Roman"/>
          <w:kern w:val="2"/>
          <w:sz w:val="32"/>
          <w:szCs w:val="32"/>
        </w:rPr>
        <w:t>年团体标准修订编制计划，将《</w:t>
      </w:r>
      <w:r>
        <w:rPr>
          <w:rFonts w:hint="eastAsia" w:ascii="Times New Roman" w:hAnsi="Times New Roman" w:eastAsia="仿宋_GB2312" w:cs="Times New Roman"/>
          <w:kern w:val="2"/>
          <w:sz w:val="32"/>
          <w:szCs w:val="32"/>
          <w:lang w:eastAsia="zh-CN"/>
        </w:rPr>
        <w:t>用人单位工伤预防培训指南</w:t>
      </w:r>
      <w:r>
        <w:rPr>
          <w:rFonts w:hint="eastAsia" w:ascii="Times New Roman" w:hAnsi="Times New Roman" w:eastAsia="仿宋_GB2312" w:cs="Times New Roman"/>
          <w:kern w:val="2"/>
          <w:sz w:val="32"/>
          <w:szCs w:val="32"/>
        </w:rPr>
        <w:t>》列为标准编制项目，并于20</w:t>
      </w:r>
      <w:r>
        <w:rPr>
          <w:rFonts w:hint="eastAsia" w:ascii="Times New Roman" w:hAnsi="Times New Roman" w:eastAsia="仿宋_GB2312" w:cs="Times New Roman"/>
          <w:kern w:val="2"/>
          <w:sz w:val="32"/>
          <w:szCs w:val="32"/>
          <w:lang w:val="en-US" w:eastAsia="zh-CN"/>
        </w:rPr>
        <w:t>24</w:t>
      </w:r>
      <w:r>
        <w:rPr>
          <w:rFonts w:hint="eastAsia" w:ascii="Times New Roman" w:hAnsi="Times New Roman" w:eastAsia="仿宋_GB2312" w:cs="Times New Roman"/>
          <w:kern w:val="2"/>
          <w:sz w:val="32"/>
          <w:szCs w:val="32"/>
        </w:rPr>
        <w:t>年</w:t>
      </w:r>
      <w:r>
        <w:rPr>
          <w:rFonts w:hint="eastAsia" w:ascii="Times New Roman" w:hAnsi="Times New Roman" w:eastAsia="仿宋_GB2312" w:cs="Times New Roman"/>
          <w:kern w:val="2"/>
          <w:sz w:val="32"/>
          <w:szCs w:val="32"/>
          <w:highlight w:val="none"/>
          <w:lang w:val="en-US" w:eastAsia="zh-CN"/>
        </w:rPr>
        <w:t>9</w:t>
      </w:r>
      <w:r>
        <w:rPr>
          <w:rFonts w:hint="eastAsia" w:ascii="Times New Roman" w:hAnsi="Times New Roman" w:eastAsia="仿宋_GB2312" w:cs="Times New Roman"/>
          <w:kern w:val="2"/>
          <w:sz w:val="32"/>
          <w:szCs w:val="32"/>
          <w:highlight w:val="none"/>
        </w:rPr>
        <w:t>月在全国团体标准信息平台上进行了立项公告。</w:t>
      </w:r>
    </w:p>
    <w:p w14:paraId="105490F3">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highlight w:val="none"/>
        </w:rPr>
        <w:t>责任单位、起草单位为天津东方泰瑞科技有限公司</w:t>
      </w:r>
      <w:r>
        <w:rPr>
          <w:rFonts w:hint="eastAsia" w:ascii="Times New Roman" w:hAnsi="Times New Roman" w:eastAsia="仿宋_GB2312" w:cs="Times New Roman"/>
          <w:kern w:val="2"/>
          <w:sz w:val="32"/>
          <w:szCs w:val="32"/>
          <w:highlight w:val="none"/>
          <w:lang w:eastAsia="zh-CN"/>
        </w:rPr>
        <w:t>，</w:t>
      </w:r>
      <w:r>
        <w:rPr>
          <w:rFonts w:hint="eastAsia" w:ascii="Times New Roman" w:hAnsi="Times New Roman" w:eastAsia="仿宋_GB2312" w:cs="Times New Roman"/>
          <w:kern w:val="2"/>
          <w:sz w:val="32"/>
          <w:szCs w:val="32"/>
          <w:highlight w:val="none"/>
        </w:rPr>
        <w:t>参与起草单位有中国中小企业协会、中质应安（浙江）科技有限公司</w:t>
      </w:r>
      <w:r>
        <w:rPr>
          <w:rFonts w:hint="eastAsia" w:ascii="Times New Roman" w:hAnsi="Times New Roman" w:eastAsia="仿宋_GB2312" w:cs="Times New Roman"/>
          <w:kern w:val="2"/>
          <w:sz w:val="32"/>
          <w:szCs w:val="32"/>
          <w:highlight w:val="none"/>
          <w:lang w:eastAsia="zh-CN"/>
        </w:rPr>
        <w:t>、</w:t>
      </w:r>
      <w:r>
        <w:rPr>
          <w:rFonts w:hint="eastAsia" w:ascii="Times New Roman" w:hAnsi="Times New Roman" w:eastAsia="仿宋_GB2312" w:cs="Times New Roman"/>
          <w:kern w:val="2"/>
          <w:sz w:val="32"/>
          <w:szCs w:val="32"/>
          <w:highlight w:val="none"/>
        </w:rPr>
        <w:t>天津市天科安全生产科学研究院有限公司</w:t>
      </w:r>
      <w:r>
        <w:rPr>
          <w:rFonts w:hint="eastAsia" w:ascii="Times New Roman" w:hAnsi="Times New Roman" w:eastAsia="仿宋_GB2312" w:cs="Times New Roman"/>
          <w:kern w:val="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rPr>
        <w:t>天津滨海高新区馨睿职业培训学校有限公司等</w:t>
      </w:r>
      <w:r>
        <w:rPr>
          <w:rFonts w:hint="eastAsia" w:ascii="Times New Roman" w:hAnsi="Times New Roman" w:eastAsia="仿宋_GB2312" w:cs="Times New Roman"/>
          <w:kern w:val="2"/>
          <w:sz w:val="32"/>
          <w:szCs w:val="32"/>
          <w:highlight w:val="none"/>
        </w:rPr>
        <w:t>。</w:t>
      </w:r>
    </w:p>
    <w:p w14:paraId="45170ADC">
      <w:pPr>
        <w:pStyle w:val="7"/>
        <w:widowControl w:val="0"/>
        <w:spacing w:before="0" w:beforeAutospacing="0" w:after="0" w:afterAutospacing="0" w:line="591" w:lineRule="exact"/>
        <w:ind w:firstLine="640" w:firstLineChars="200"/>
        <w:rPr>
          <w:rFonts w:hint="eastAsia" w:ascii="Times New Roman" w:hAnsi="Times New Roman" w:eastAsia="黑体" w:cs="Times New Roman"/>
          <w:kern w:val="2"/>
          <w:sz w:val="32"/>
          <w:szCs w:val="32"/>
        </w:rPr>
      </w:pPr>
      <w:r>
        <w:rPr>
          <w:rFonts w:hint="eastAsia" w:ascii="Times New Roman" w:hAnsi="Times New Roman" w:eastAsia="黑体" w:cs="Times New Roman"/>
          <w:kern w:val="2"/>
          <w:sz w:val="32"/>
          <w:szCs w:val="32"/>
        </w:rPr>
        <w:t>二、制定标准的必要性和意义</w:t>
      </w:r>
    </w:p>
    <w:p w14:paraId="7B7F934B">
      <w:pPr>
        <w:pStyle w:val="7"/>
        <w:widowControl w:val="0"/>
        <w:spacing w:before="0" w:beforeAutospacing="0" w:after="0" w:afterAutospacing="0" w:line="591" w:lineRule="exact"/>
        <w:ind w:firstLine="640" w:firstLineChars="200"/>
        <w:rPr>
          <w:rFonts w:hint="eastAsia" w:ascii="楷体_GB2312" w:hAnsi="Times New Roman" w:eastAsia="楷体_GB2312" w:cs="Times New Roman"/>
          <w:kern w:val="2"/>
          <w:sz w:val="32"/>
          <w:szCs w:val="32"/>
        </w:rPr>
      </w:pPr>
      <w:r>
        <w:rPr>
          <w:rFonts w:hint="eastAsia" w:ascii="楷体_GB2312" w:hAnsi="Times New Roman" w:eastAsia="楷体_GB2312" w:cs="Times New Roman"/>
          <w:kern w:val="2"/>
          <w:sz w:val="32"/>
          <w:szCs w:val="32"/>
          <w:lang w:eastAsia="zh-CN"/>
        </w:rPr>
        <w:t>（</w:t>
      </w:r>
      <w:r>
        <w:rPr>
          <w:rFonts w:hint="eastAsia" w:ascii="楷体_GB2312" w:hAnsi="Times New Roman" w:eastAsia="楷体_GB2312" w:cs="Times New Roman"/>
          <w:kern w:val="2"/>
          <w:sz w:val="32"/>
          <w:szCs w:val="32"/>
          <w:lang w:val="en-US" w:eastAsia="zh-CN"/>
        </w:rPr>
        <w:t>一）</w:t>
      </w:r>
      <w:r>
        <w:rPr>
          <w:rFonts w:hint="eastAsia" w:ascii="楷体_GB2312" w:hAnsi="Times New Roman" w:eastAsia="楷体_GB2312" w:cs="Times New Roman"/>
          <w:kern w:val="2"/>
          <w:sz w:val="32"/>
          <w:szCs w:val="32"/>
        </w:rPr>
        <w:t>项目必要性</w:t>
      </w:r>
    </w:p>
    <w:p w14:paraId="04A4F3BC">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2020年人社部等八部门联合印发《工伤预防五年行动计划</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2021</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2025年</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val="en-US" w:eastAsia="zh-CN"/>
        </w:rPr>
        <w:t>强调</w:t>
      </w:r>
      <w:r>
        <w:rPr>
          <w:rFonts w:hint="eastAsia" w:ascii="Times New Roman" w:hAnsi="Times New Roman" w:eastAsia="仿宋_GB2312" w:cs="Times New Roman"/>
          <w:kern w:val="2"/>
          <w:sz w:val="32"/>
          <w:szCs w:val="32"/>
        </w:rPr>
        <w:t>要加强工伤预防人才队伍建设，促进安全生产和工伤预防专业人才培养，提升工伤预防专业化职业化水平。</w:t>
      </w:r>
      <w:r>
        <w:rPr>
          <w:rFonts w:hint="eastAsia" w:ascii="Times New Roman" w:hAnsi="Times New Roman" w:eastAsia="仿宋_GB2312" w:cs="Times New Roman"/>
          <w:kern w:val="2"/>
          <w:sz w:val="32"/>
          <w:szCs w:val="32"/>
          <w:lang w:val="en-US" w:eastAsia="zh-CN"/>
        </w:rPr>
        <w:t>近年来，</w:t>
      </w:r>
      <w:r>
        <w:rPr>
          <w:rFonts w:hint="eastAsia" w:ascii="Times New Roman" w:hAnsi="Times New Roman" w:eastAsia="仿宋_GB2312" w:cs="Times New Roman"/>
          <w:kern w:val="2"/>
          <w:sz w:val="32"/>
          <w:szCs w:val="32"/>
        </w:rPr>
        <w:t>我国工伤保险覆盖范围进一步扩大，统筹层次进一步提高</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截至2023年底，全国工伤保险参保人数达到3.2亿人，全国新开工工程建设项目工伤保险参保率为99%</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全年工伤保险基金收入1200亿元，基金支出990亿元。</w:t>
      </w:r>
      <w:r>
        <w:rPr>
          <w:rFonts w:hint="eastAsia" w:ascii="Times New Roman" w:hAnsi="Times New Roman" w:eastAsia="仿宋_GB2312" w:cs="Times New Roman"/>
          <w:kern w:val="2"/>
          <w:sz w:val="32"/>
          <w:szCs w:val="32"/>
          <w:lang w:val="en-US" w:eastAsia="zh-CN"/>
        </w:rPr>
        <w:t>自</w:t>
      </w:r>
      <w:r>
        <w:rPr>
          <w:rFonts w:hint="eastAsia" w:ascii="Times New Roman" w:hAnsi="Times New Roman" w:eastAsia="仿宋_GB2312" w:cs="Times New Roman"/>
          <w:kern w:val="2"/>
          <w:sz w:val="32"/>
          <w:szCs w:val="32"/>
        </w:rPr>
        <w:t>2017年8月人力资源社会保障部等四部委发布《工伤预防费使用管理暂行办法》以来，</w:t>
      </w:r>
      <w:r>
        <w:rPr>
          <w:rFonts w:hint="eastAsia" w:ascii="Times New Roman" w:hAnsi="Times New Roman" w:eastAsia="仿宋_GB2312" w:cs="Times New Roman"/>
          <w:kern w:val="2"/>
          <w:sz w:val="32"/>
          <w:szCs w:val="32"/>
          <w:lang w:val="en-US" w:eastAsia="zh-CN"/>
        </w:rPr>
        <w:t>累计已有</w:t>
      </w:r>
      <w:r>
        <w:rPr>
          <w:rFonts w:hint="eastAsia" w:ascii="Times New Roman" w:hAnsi="Times New Roman" w:eastAsia="仿宋_GB2312" w:cs="Times New Roman"/>
          <w:kern w:val="2"/>
          <w:sz w:val="32"/>
          <w:szCs w:val="32"/>
        </w:rPr>
        <w:t>1000多万人</w:t>
      </w:r>
      <w:r>
        <w:rPr>
          <w:rFonts w:hint="eastAsia" w:ascii="Times New Roman" w:hAnsi="Times New Roman" w:eastAsia="仿宋_GB2312" w:cs="Times New Roman"/>
          <w:kern w:val="2"/>
          <w:sz w:val="32"/>
          <w:szCs w:val="32"/>
          <w:lang w:val="en-US" w:eastAsia="zh-CN"/>
        </w:rPr>
        <w:t>从事</w:t>
      </w:r>
      <w:r>
        <w:rPr>
          <w:rFonts w:hint="eastAsia" w:ascii="Times New Roman" w:hAnsi="Times New Roman" w:eastAsia="仿宋_GB2312" w:cs="Times New Roman"/>
          <w:kern w:val="2"/>
          <w:sz w:val="32"/>
          <w:szCs w:val="32"/>
        </w:rPr>
        <w:t>工伤预防宣传和培训教育</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如何提升从事工伤预防工作人员的专业化、职业化水平</w:t>
      </w:r>
      <w:r>
        <w:rPr>
          <w:rFonts w:hint="eastAsia" w:ascii="Times New Roman" w:hAnsi="Times New Roman" w:eastAsia="仿宋_GB2312" w:cs="Times New Roman"/>
          <w:kern w:val="2"/>
          <w:sz w:val="32"/>
          <w:szCs w:val="32"/>
          <w:lang w:val="en-US" w:eastAsia="zh-CN"/>
        </w:rPr>
        <w:t>已成为</w:t>
      </w:r>
      <w:r>
        <w:rPr>
          <w:rFonts w:hint="eastAsia" w:ascii="Times New Roman" w:hAnsi="Times New Roman" w:eastAsia="仿宋_GB2312" w:cs="Times New Roman"/>
          <w:kern w:val="2"/>
          <w:sz w:val="32"/>
          <w:szCs w:val="32"/>
        </w:rPr>
        <w:t>解决工伤预防重点难点问题的关键。</w:t>
      </w:r>
      <w:r>
        <w:rPr>
          <w:rFonts w:hint="eastAsia" w:ascii="Times New Roman" w:hAnsi="Times New Roman" w:eastAsia="仿宋_GB2312" w:cs="Times New Roman"/>
          <w:kern w:val="2"/>
          <w:sz w:val="32"/>
          <w:szCs w:val="32"/>
          <w:lang w:val="en-US" w:eastAsia="zh-CN"/>
        </w:rPr>
        <w:t>编制</w:t>
      </w:r>
      <w:r>
        <w:rPr>
          <w:rFonts w:hint="eastAsia" w:ascii="Times New Roman" w:hAnsi="Times New Roman" w:eastAsia="仿宋_GB2312" w:cs="Times New Roman"/>
          <w:kern w:val="2"/>
          <w:sz w:val="32"/>
          <w:szCs w:val="32"/>
        </w:rPr>
        <w:t>《用人单位工伤预防培训指南》体系标准，能加快工伤预防人员队伍能力体系建设，解决工伤预防工作人员队伍建设的专业化、职业化水平和无职业技能标准问题，</w:t>
      </w:r>
      <w:r>
        <w:rPr>
          <w:rFonts w:hint="eastAsia" w:ascii="Times New Roman" w:hAnsi="Times New Roman" w:eastAsia="仿宋_GB2312" w:cs="Times New Roman"/>
          <w:kern w:val="2"/>
          <w:sz w:val="32"/>
          <w:szCs w:val="32"/>
          <w:lang w:val="en-US" w:eastAsia="zh-CN"/>
        </w:rPr>
        <w:t>推进</w:t>
      </w:r>
      <w:r>
        <w:rPr>
          <w:rFonts w:hint="eastAsia" w:ascii="Times New Roman" w:hAnsi="Times New Roman" w:eastAsia="仿宋_GB2312" w:cs="Times New Roman"/>
          <w:kern w:val="2"/>
          <w:sz w:val="32"/>
          <w:szCs w:val="32"/>
        </w:rPr>
        <w:t>《工伤预防五年行动计划</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2021</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2025年</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》计划中的</w:t>
      </w:r>
      <w:r>
        <w:rPr>
          <w:rFonts w:hint="eastAsia" w:ascii="Times New Roman" w:hAnsi="Times New Roman" w:eastAsia="仿宋_GB2312" w:cs="Times New Roman"/>
          <w:kern w:val="2"/>
          <w:sz w:val="32"/>
          <w:szCs w:val="32"/>
          <w:lang w:val="en-US" w:eastAsia="zh-CN"/>
        </w:rPr>
        <w:t>相关工作</w:t>
      </w:r>
      <w:r>
        <w:rPr>
          <w:rFonts w:hint="eastAsia" w:ascii="Times New Roman" w:hAnsi="Times New Roman" w:eastAsia="仿宋_GB2312" w:cs="Times New Roman"/>
          <w:kern w:val="2"/>
          <w:sz w:val="32"/>
          <w:szCs w:val="32"/>
        </w:rPr>
        <w:t>落到实处。</w:t>
      </w:r>
    </w:p>
    <w:p w14:paraId="67EFDD55">
      <w:pPr>
        <w:pStyle w:val="7"/>
        <w:widowControl w:val="0"/>
        <w:spacing w:before="0" w:beforeAutospacing="0" w:after="0" w:afterAutospacing="0" w:line="591" w:lineRule="exact"/>
        <w:ind w:firstLine="640" w:firstLineChars="200"/>
        <w:rPr>
          <w:rFonts w:hint="eastAsia" w:ascii="楷体_GB2312" w:hAnsi="Times New Roman" w:eastAsia="楷体_GB2312" w:cs="Times New Roman"/>
          <w:kern w:val="2"/>
          <w:sz w:val="32"/>
          <w:szCs w:val="32"/>
          <w:lang w:eastAsia="zh-CN"/>
        </w:rPr>
      </w:pPr>
      <w:r>
        <w:rPr>
          <w:rFonts w:hint="eastAsia" w:ascii="楷体_GB2312" w:hAnsi="Times New Roman" w:eastAsia="楷体_GB2312" w:cs="Times New Roman"/>
          <w:kern w:val="2"/>
          <w:sz w:val="32"/>
          <w:szCs w:val="32"/>
          <w:lang w:eastAsia="zh-CN"/>
        </w:rPr>
        <w:t>（</w:t>
      </w:r>
      <w:r>
        <w:rPr>
          <w:rFonts w:hint="eastAsia" w:ascii="楷体_GB2312" w:hAnsi="Times New Roman" w:eastAsia="楷体_GB2312" w:cs="Times New Roman"/>
          <w:kern w:val="2"/>
          <w:sz w:val="32"/>
          <w:szCs w:val="32"/>
          <w:lang w:val="en-US" w:eastAsia="zh-CN"/>
        </w:rPr>
        <w:t>二）</w:t>
      </w:r>
      <w:r>
        <w:rPr>
          <w:rFonts w:hint="eastAsia" w:ascii="楷体_GB2312" w:hAnsi="Times New Roman" w:eastAsia="楷体_GB2312" w:cs="Times New Roman"/>
          <w:kern w:val="2"/>
          <w:sz w:val="32"/>
          <w:szCs w:val="32"/>
          <w:lang w:eastAsia="zh-CN"/>
        </w:rPr>
        <w:t>项目意义</w:t>
      </w:r>
    </w:p>
    <w:p w14:paraId="18F8A9EC">
      <w:pPr>
        <w:pStyle w:val="7"/>
        <w:widowControl w:val="0"/>
        <w:spacing w:before="0" w:beforeAutospacing="0" w:after="0" w:afterAutospacing="0" w:line="591" w:lineRule="exact"/>
        <w:ind w:firstLine="640" w:firstLineChars="200"/>
        <w:jc w:val="both"/>
        <w:rPr>
          <w:rFonts w:hint="eastAsia" w:ascii="华文宋体" w:hAnsi="华文宋体" w:eastAsia="华文宋体"/>
          <w:sz w:val="24"/>
          <w:szCs w:val="24"/>
        </w:rPr>
      </w:pPr>
      <w:r>
        <w:rPr>
          <w:rFonts w:hint="eastAsia" w:ascii="Times New Roman" w:hAnsi="Times New Roman" w:eastAsia="仿宋_GB2312" w:cs="Times New Roman"/>
          <w:kern w:val="2"/>
          <w:sz w:val="32"/>
          <w:szCs w:val="32"/>
        </w:rPr>
        <w:t>通过《</w:t>
      </w:r>
      <w:r>
        <w:rPr>
          <w:rFonts w:hint="eastAsia" w:ascii="Times New Roman" w:hAnsi="Times New Roman" w:eastAsia="仿宋_GB2312" w:cs="Times New Roman"/>
          <w:kern w:val="2"/>
          <w:sz w:val="32"/>
          <w:szCs w:val="32"/>
          <w:lang w:eastAsia="zh-CN"/>
        </w:rPr>
        <w:t>用人单位工伤预防培训指南</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可</w:t>
      </w:r>
      <w:r>
        <w:rPr>
          <w:rFonts w:hint="eastAsia" w:ascii="Times New Roman" w:hAnsi="Times New Roman" w:eastAsia="仿宋_GB2312" w:cs="Times New Roman"/>
          <w:kern w:val="2"/>
          <w:sz w:val="32"/>
          <w:szCs w:val="32"/>
        </w:rPr>
        <w:t>解决以下问题：一是根据排查发现的用人单位职业</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工种</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事故集中区域、频繁工伤岗位、高发工伤环节，找到需要重点培训提升的风险区域、风险岗位、风险环节等，使培训更具针对性，实现靶向预防的培训目的；二是线下现场参与互动培训方式解决成人</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农民工</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教育接受能力低、记忆力差及常规教学方法不吸引人、学员参与度低的问题，授课内容与学员自身直接相关，培训过程中学员直接参与、亲身感受，同步穿插时间短、频率高、碎片化的短视频播放，相比传统课堂讲授式教学方法能明显提高教学效果，实现了精细化培训；三是依据《中华人民共和国职业分类大典》 职业</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工种</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工作内容，结合工伤预防培训实际，采用按职工岗位职业分类培训方法，解决了各个行业工伤预防不分岗位全员培训、粗而不细的弊病，使培训效果最大化；四是设置综合评价方法。收集整合用人单位和职工对培训内容、培训教师、教学方法、器材工具、培训管理等方面的反馈信息，通过审查项目培训档案记录、考察职工工伤预防知识技能的实际掌握情况、观察职工行为是否发生明显改善、统计违章率及肇事率等潜在工伤伤害因素的变化来定性定量综合评估培训的完成情况和实际效果，解决了单独采用定性或定量化评估方法片面性的问题；五是组织绩效评估。培训结束后一段时期内，对职工培训后效果即工伤事故数量、重大工伤事故数量前后变化进行量化对比，同时，查看职工自我防范意识提升、事故预防技能提高、不安全行为改变、违章操作减少、事故损失减少等指标，该方法可直接反映 培训全过程的预期效果，解决了以往工伤预防培训项目培训效果无法量化评估、项目验收无有效依据等问题。</w:t>
      </w:r>
    </w:p>
    <w:p w14:paraId="56CD69A4">
      <w:pPr>
        <w:pStyle w:val="7"/>
        <w:widowControl w:val="0"/>
        <w:spacing w:before="0" w:beforeAutospacing="0" w:after="0" w:afterAutospacing="0" w:line="591" w:lineRule="exact"/>
        <w:ind w:firstLine="640" w:firstLineChars="200"/>
        <w:rPr>
          <w:rFonts w:hint="eastAsia" w:ascii="楷体_GB2312" w:hAnsi="Times New Roman" w:eastAsia="楷体_GB2312" w:cs="Times New Roman"/>
          <w:kern w:val="2"/>
          <w:sz w:val="32"/>
          <w:szCs w:val="32"/>
          <w:lang w:eastAsia="zh-CN"/>
        </w:rPr>
      </w:pPr>
      <w:r>
        <w:rPr>
          <w:rFonts w:hint="eastAsia" w:ascii="楷体_GB2312" w:hAnsi="Times New Roman" w:eastAsia="楷体_GB2312" w:cs="Times New Roman"/>
          <w:kern w:val="2"/>
          <w:sz w:val="32"/>
          <w:szCs w:val="32"/>
          <w:lang w:eastAsia="zh-CN"/>
        </w:rPr>
        <w:t>（</w:t>
      </w:r>
      <w:r>
        <w:rPr>
          <w:rFonts w:hint="eastAsia" w:ascii="楷体_GB2312" w:hAnsi="Times New Roman" w:eastAsia="楷体_GB2312" w:cs="Times New Roman"/>
          <w:kern w:val="2"/>
          <w:sz w:val="32"/>
          <w:szCs w:val="32"/>
          <w:lang w:val="en-US" w:eastAsia="zh-CN"/>
        </w:rPr>
        <w:t>三）</w:t>
      </w:r>
      <w:r>
        <w:rPr>
          <w:rFonts w:hint="eastAsia" w:ascii="楷体_GB2312" w:hAnsi="Times New Roman" w:eastAsia="楷体_GB2312" w:cs="Times New Roman"/>
          <w:kern w:val="2"/>
          <w:sz w:val="32"/>
          <w:szCs w:val="32"/>
          <w:lang w:eastAsia="zh-CN"/>
        </w:rPr>
        <w:t>应用前景</w:t>
      </w:r>
    </w:p>
    <w:p w14:paraId="2CBDFE62">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《用人单位工伤预防培训指南第1部分工伤预防导师》标准，</w:t>
      </w:r>
      <w:r>
        <w:rPr>
          <w:rFonts w:hint="eastAsia" w:ascii="Times New Roman" w:hAnsi="Times New Roman" w:eastAsia="仿宋_GB2312" w:cs="Times New Roman"/>
          <w:kern w:val="2"/>
          <w:sz w:val="32"/>
          <w:szCs w:val="32"/>
          <w:lang w:val="en-US" w:eastAsia="zh-CN"/>
        </w:rPr>
        <w:t>可</w:t>
      </w:r>
      <w:r>
        <w:rPr>
          <w:rFonts w:hint="eastAsia" w:ascii="Times New Roman" w:hAnsi="Times New Roman" w:eastAsia="仿宋_GB2312" w:cs="Times New Roman"/>
          <w:kern w:val="2"/>
          <w:sz w:val="32"/>
          <w:szCs w:val="32"/>
        </w:rPr>
        <w:t>为我国企业解决工伤预防工作人员队伍人才职业化，开</w:t>
      </w:r>
      <w:r>
        <w:rPr>
          <w:rFonts w:hint="eastAsia" w:ascii="Times New Roman" w:hAnsi="Times New Roman" w:eastAsia="仿宋_GB2312" w:cs="Times New Roman"/>
          <w:kern w:val="2"/>
          <w:sz w:val="32"/>
          <w:szCs w:val="32"/>
          <w:lang w:eastAsia="zh-CN"/>
        </w:rPr>
        <w:t>展工</w:t>
      </w:r>
      <w:r>
        <w:rPr>
          <w:rFonts w:hint="eastAsia" w:ascii="Times New Roman" w:hAnsi="Times New Roman" w:eastAsia="仿宋_GB2312" w:cs="Times New Roman"/>
          <w:kern w:val="2"/>
          <w:sz w:val="32"/>
          <w:szCs w:val="32"/>
        </w:rPr>
        <w:t xml:space="preserve">伤预防导师职业技能培训工作提供基础方法。 </w:t>
      </w:r>
    </w:p>
    <w:p w14:paraId="0B189022">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《用人单位工伤预防培训指南第2部分 “三类”管理人员》《用人单位工伤预防培训指南第3部分岗位职工》《用人单位工伤预防培训指南第4部分岗位职工培训效果评估》《用人单位工伤预防培训指南第5部分岗位职工工伤风险评估》可使用人单位职业</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工种</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工伤预防培训有了配套技术标准，为工伤保险管理部门、企业和培训机构工伤预防培训工作提供可操作性强的技术依据，</w:t>
      </w:r>
      <w:r>
        <w:rPr>
          <w:rFonts w:hint="eastAsia" w:ascii="Times New Roman" w:hAnsi="Times New Roman" w:eastAsia="仿宋_GB2312" w:cs="Times New Roman"/>
          <w:kern w:val="2"/>
          <w:sz w:val="32"/>
          <w:szCs w:val="32"/>
          <w:lang w:val="en-US" w:eastAsia="zh-CN"/>
        </w:rPr>
        <w:t>帮助</w:t>
      </w:r>
      <w:r>
        <w:rPr>
          <w:rFonts w:hint="eastAsia" w:ascii="Times New Roman" w:hAnsi="Times New Roman" w:eastAsia="仿宋_GB2312" w:cs="Times New Roman"/>
          <w:kern w:val="2"/>
          <w:sz w:val="32"/>
          <w:szCs w:val="32"/>
        </w:rPr>
        <w:t>解决工伤预防培训无技术标准的难点问题，提升工伤预防培训实施效果，强化从业人员工伤预防意识和能力；为培训项目实际效果评估验收提供了考核方法和模式，确保培训项目发挥实效和工伤保险基金安全运行；切实减少工伤事故数量、减轻职工工伤程度、保障基金安全平稳运行，对工伤预防标准化建设和可持续发展具有较高的指导意义。本标准施行后，准备在全国中小企业全面铺开，并向国家、省内其他地市推介，将开启工伤预防走向专业化、规范化和可监督效果的新模式，为国家、省级工伤预防标准提供技术标准参考依据和宝贵的探索实践经验。</w:t>
      </w:r>
    </w:p>
    <w:p w14:paraId="7020BB14">
      <w:pPr>
        <w:pStyle w:val="7"/>
        <w:widowControl w:val="0"/>
        <w:spacing w:before="0" w:beforeAutospacing="0" w:after="0" w:afterAutospacing="0" w:line="591" w:lineRule="exact"/>
        <w:ind w:firstLine="640" w:firstLineChars="200"/>
        <w:rPr>
          <w:rFonts w:hint="eastAsia" w:ascii="Times New Roman" w:hAnsi="Times New Roman" w:eastAsia="黑体" w:cs="Times New Roman"/>
          <w:kern w:val="2"/>
          <w:sz w:val="32"/>
          <w:szCs w:val="32"/>
        </w:rPr>
      </w:pPr>
      <w:r>
        <w:rPr>
          <w:rFonts w:hint="eastAsia" w:ascii="Times New Roman" w:hAnsi="Times New Roman" w:eastAsia="黑体" w:cs="Times New Roman"/>
          <w:kern w:val="2"/>
          <w:sz w:val="32"/>
          <w:szCs w:val="32"/>
        </w:rPr>
        <w:t>三、主要工作过程</w:t>
      </w:r>
    </w:p>
    <w:p w14:paraId="7750C979">
      <w:pPr>
        <w:pStyle w:val="7"/>
        <w:widowControl w:val="0"/>
        <w:spacing w:before="0" w:beforeAutospacing="0" w:after="0" w:afterAutospacing="0" w:line="591" w:lineRule="exact"/>
        <w:ind w:firstLine="640" w:firstLineChars="200"/>
        <w:rPr>
          <w:rFonts w:hint="eastAsia" w:ascii="Times New Roman" w:hAnsi="Times New Roman" w:eastAsia="仿宋_GB2312" w:cs="Times New Roman"/>
          <w:kern w:val="2"/>
          <w:sz w:val="32"/>
          <w:szCs w:val="32"/>
        </w:rPr>
      </w:pPr>
      <w:r>
        <w:rPr>
          <w:rFonts w:hint="eastAsia" w:ascii="楷体" w:hAnsi="楷体" w:eastAsia="楷体" w:cs="楷体"/>
          <w:kern w:val="2"/>
          <w:sz w:val="32"/>
          <w:szCs w:val="32"/>
          <w:lang w:eastAsia="zh-CN"/>
        </w:rPr>
        <w:t>（</w:t>
      </w:r>
      <w:r>
        <w:rPr>
          <w:rFonts w:hint="eastAsia" w:ascii="楷体" w:hAnsi="楷体" w:eastAsia="楷体" w:cs="楷体"/>
          <w:kern w:val="2"/>
          <w:sz w:val="32"/>
          <w:szCs w:val="32"/>
          <w:lang w:val="en-US" w:eastAsia="zh-CN"/>
        </w:rPr>
        <w:t>一）</w:t>
      </w:r>
      <w:r>
        <w:rPr>
          <w:rFonts w:hint="eastAsia" w:ascii="楷体" w:hAnsi="楷体" w:eastAsia="楷体" w:cs="楷体"/>
          <w:kern w:val="2"/>
          <w:sz w:val="32"/>
          <w:szCs w:val="32"/>
        </w:rPr>
        <w:t>立项阶段</w:t>
      </w:r>
      <w:r>
        <w:rPr>
          <w:rFonts w:hint="eastAsia" w:ascii="楷体" w:hAnsi="楷体" w:eastAsia="楷体" w:cs="楷体"/>
          <w:kern w:val="2"/>
          <w:sz w:val="32"/>
          <w:szCs w:val="32"/>
          <w:lang w:eastAsia="zh-CN"/>
        </w:rPr>
        <w:t>（</w:t>
      </w:r>
      <w:r>
        <w:rPr>
          <w:rFonts w:hint="eastAsia" w:ascii="楷体" w:hAnsi="楷体" w:eastAsia="楷体" w:cs="楷体"/>
          <w:kern w:val="2"/>
          <w:sz w:val="32"/>
          <w:szCs w:val="32"/>
        </w:rPr>
        <w:t>2024.08.10-2024.08.20</w:t>
      </w:r>
      <w:r>
        <w:rPr>
          <w:rFonts w:hint="eastAsia" w:ascii="楷体" w:hAnsi="楷体" w:eastAsia="楷体" w:cs="楷体"/>
          <w:kern w:val="2"/>
          <w:sz w:val="32"/>
          <w:szCs w:val="32"/>
          <w:lang w:eastAsia="zh-CN"/>
        </w:rPr>
        <w:t>）。</w:t>
      </w:r>
      <w:r>
        <w:rPr>
          <w:rFonts w:hint="eastAsia" w:ascii="Times New Roman" w:hAnsi="Times New Roman" w:eastAsia="仿宋_GB2312" w:cs="Times New Roman"/>
          <w:kern w:val="2"/>
          <w:sz w:val="32"/>
          <w:szCs w:val="32"/>
        </w:rPr>
        <w:t>填报《中国中小企业协会团体标准制定修订项目建议书》，准备标准草案初稿，申请标准立项，等待审批。</w:t>
      </w:r>
    </w:p>
    <w:p w14:paraId="4D543D09">
      <w:pPr>
        <w:pStyle w:val="7"/>
        <w:widowControl w:val="0"/>
        <w:spacing w:before="0" w:beforeAutospacing="0" w:after="0" w:afterAutospacing="0" w:line="591" w:lineRule="exact"/>
        <w:ind w:firstLine="640" w:firstLineChars="200"/>
        <w:rPr>
          <w:rFonts w:hint="eastAsia" w:ascii="Times New Roman" w:hAnsi="Times New Roman" w:eastAsia="仿宋_GB2312" w:cs="Times New Roman"/>
          <w:kern w:val="2"/>
          <w:sz w:val="32"/>
          <w:szCs w:val="32"/>
        </w:rPr>
      </w:pPr>
      <w:r>
        <w:rPr>
          <w:rFonts w:hint="eastAsia" w:ascii="楷体" w:hAnsi="楷体" w:eastAsia="楷体" w:cs="楷体"/>
          <w:kern w:val="2"/>
          <w:sz w:val="32"/>
          <w:szCs w:val="32"/>
          <w:lang w:eastAsia="zh-CN"/>
        </w:rPr>
        <w:t>（</w:t>
      </w:r>
      <w:r>
        <w:rPr>
          <w:rFonts w:hint="eastAsia" w:ascii="楷体" w:hAnsi="楷体" w:eastAsia="楷体" w:cs="楷体"/>
          <w:kern w:val="2"/>
          <w:sz w:val="32"/>
          <w:szCs w:val="32"/>
          <w:lang w:val="en-US" w:eastAsia="zh-CN"/>
        </w:rPr>
        <w:t>二）</w:t>
      </w:r>
      <w:r>
        <w:rPr>
          <w:rFonts w:hint="eastAsia" w:ascii="楷体" w:hAnsi="楷体" w:eastAsia="楷体" w:cs="楷体"/>
          <w:kern w:val="2"/>
          <w:sz w:val="32"/>
          <w:szCs w:val="32"/>
        </w:rPr>
        <w:t>起草阶段</w:t>
      </w:r>
      <w:r>
        <w:rPr>
          <w:rFonts w:hint="eastAsia" w:ascii="楷体" w:hAnsi="楷体" w:eastAsia="楷体" w:cs="楷体"/>
          <w:kern w:val="2"/>
          <w:sz w:val="32"/>
          <w:szCs w:val="32"/>
          <w:lang w:eastAsia="zh-CN"/>
        </w:rPr>
        <w:t>（</w:t>
      </w:r>
      <w:r>
        <w:rPr>
          <w:rFonts w:hint="eastAsia" w:ascii="楷体" w:hAnsi="楷体" w:eastAsia="楷体" w:cs="楷体"/>
          <w:kern w:val="2"/>
          <w:sz w:val="32"/>
          <w:szCs w:val="32"/>
        </w:rPr>
        <w:t>2024.08.20-2024.09.15</w:t>
      </w:r>
      <w:r>
        <w:rPr>
          <w:rFonts w:hint="eastAsia" w:ascii="楷体" w:hAnsi="楷体" w:eastAsia="楷体" w:cs="楷体"/>
          <w:kern w:val="2"/>
          <w:sz w:val="32"/>
          <w:szCs w:val="32"/>
          <w:lang w:eastAsia="zh-CN"/>
        </w:rPr>
        <w:t>）。</w:t>
      </w:r>
      <w:r>
        <w:rPr>
          <w:rFonts w:hint="eastAsia" w:ascii="Times New Roman" w:hAnsi="Times New Roman" w:eastAsia="仿宋_GB2312" w:cs="Times New Roman"/>
          <w:kern w:val="2"/>
          <w:sz w:val="32"/>
          <w:szCs w:val="32"/>
        </w:rPr>
        <w:t xml:space="preserve">由天津东方泰瑞科技有限公司牵头组织，调研工伤预防导师有关标准、法律法规、国家及行业政策精神，调研企业对工伤预防导师能力需求和预期，调研行业主管部门的需求，初步确定标准框架。按确定的标准框架起草标准内容，内部研讨完善后，形成征求意见稿。 </w:t>
      </w:r>
    </w:p>
    <w:p w14:paraId="76BF5904">
      <w:pPr>
        <w:pStyle w:val="7"/>
        <w:widowControl w:val="0"/>
        <w:spacing w:before="0" w:beforeAutospacing="0" w:after="0" w:afterAutospacing="0" w:line="591" w:lineRule="exact"/>
        <w:ind w:firstLine="640" w:firstLineChars="200"/>
        <w:rPr>
          <w:rFonts w:hint="eastAsia" w:ascii="Times New Roman" w:hAnsi="Times New Roman" w:eastAsia="仿宋_GB2312" w:cs="Times New Roman"/>
          <w:kern w:val="2"/>
          <w:sz w:val="32"/>
          <w:szCs w:val="32"/>
        </w:rPr>
      </w:pPr>
      <w:r>
        <w:rPr>
          <w:rFonts w:hint="eastAsia" w:ascii="楷体" w:hAnsi="楷体" w:eastAsia="楷体" w:cs="楷体"/>
          <w:kern w:val="2"/>
          <w:sz w:val="32"/>
          <w:szCs w:val="32"/>
          <w:lang w:eastAsia="zh-CN"/>
        </w:rPr>
        <w:t>（</w:t>
      </w:r>
      <w:r>
        <w:rPr>
          <w:rFonts w:hint="eastAsia" w:ascii="楷体" w:hAnsi="楷体" w:eastAsia="楷体" w:cs="楷体"/>
          <w:kern w:val="2"/>
          <w:sz w:val="32"/>
          <w:szCs w:val="32"/>
          <w:lang w:val="en-US" w:eastAsia="zh-CN"/>
        </w:rPr>
        <w:t>三）</w:t>
      </w:r>
      <w:r>
        <w:rPr>
          <w:rFonts w:hint="eastAsia" w:ascii="楷体" w:hAnsi="楷体" w:eastAsia="楷体" w:cs="楷体"/>
          <w:kern w:val="2"/>
          <w:sz w:val="32"/>
          <w:szCs w:val="32"/>
          <w:lang w:eastAsia="zh-CN"/>
        </w:rPr>
        <w:t>征求意见阶段（</w:t>
      </w:r>
      <w:r>
        <w:rPr>
          <w:rFonts w:hint="eastAsia" w:ascii="楷体" w:hAnsi="楷体" w:eastAsia="楷体" w:cs="楷体"/>
          <w:kern w:val="2"/>
          <w:sz w:val="32"/>
          <w:szCs w:val="32"/>
          <w:lang w:val="en-US" w:eastAsia="zh-CN"/>
        </w:rPr>
        <w:t>预计</w:t>
      </w:r>
      <w:r>
        <w:rPr>
          <w:rFonts w:hint="eastAsia" w:ascii="楷体" w:hAnsi="楷体" w:eastAsia="楷体" w:cs="楷体"/>
          <w:kern w:val="2"/>
          <w:sz w:val="32"/>
          <w:szCs w:val="32"/>
          <w:lang w:eastAsia="zh-CN"/>
        </w:rPr>
        <w:t>2024.09.15-2024.10.15）。</w:t>
      </w:r>
      <w:r>
        <w:rPr>
          <w:rFonts w:hint="eastAsia" w:ascii="Times New Roman" w:hAnsi="Times New Roman" w:eastAsia="仿宋_GB2312" w:cs="Times New Roman"/>
          <w:kern w:val="2"/>
          <w:sz w:val="32"/>
          <w:szCs w:val="32"/>
        </w:rPr>
        <w:t>提交征求意见材料，公开向社会征求意见，修改征求意见稿，形成标准草案送审稿、修改后的编制说明及征求意见汇总处理表；</w:t>
      </w:r>
    </w:p>
    <w:p w14:paraId="1917AE3B">
      <w:pPr>
        <w:pStyle w:val="7"/>
        <w:widowControl w:val="0"/>
        <w:spacing w:before="0" w:beforeAutospacing="0" w:after="0" w:afterAutospacing="0" w:line="591" w:lineRule="exact"/>
        <w:ind w:firstLine="640" w:firstLineChars="200"/>
        <w:rPr>
          <w:rFonts w:hint="eastAsia" w:ascii="Times New Roman" w:hAnsi="Times New Roman" w:eastAsia="仿宋_GB2312" w:cs="Times New Roman"/>
          <w:kern w:val="2"/>
          <w:sz w:val="32"/>
          <w:szCs w:val="32"/>
        </w:rPr>
      </w:pPr>
      <w:r>
        <w:rPr>
          <w:rFonts w:hint="eastAsia" w:ascii="楷体" w:hAnsi="楷体" w:eastAsia="楷体" w:cs="楷体"/>
          <w:kern w:val="2"/>
          <w:sz w:val="32"/>
          <w:szCs w:val="32"/>
          <w:highlight w:val="none"/>
          <w:lang w:eastAsia="zh-CN"/>
        </w:rPr>
        <w:t>（</w:t>
      </w:r>
      <w:r>
        <w:rPr>
          <w:rFonts w:hint="eastAsia" w:ascii="楷体" w:hAnsi="楷体" w:eastAsia="楷体" w:cs="楷体"/>
          <w:kern w:val="2"/>
          <w:sz w:val="32"/>
          <w:szCs w:val="32"/>
          <w:highlight w:val="none"/>
          <w:lang w:val="en-US" w:eastAsia="zh-CN"/>
        </w:rPr>
        <w:t>四）</w:t>
      </w:r>
      <w:r>
        <w:rPr>
          <w:rFonts w:hint="eastAsia" w:ascii="楷体" w:hAnsi="楷体" w:eastAsia="楷体" w:cs="楷体"/>
          <w:kern w:val="2"/>
          <w:sz w:val="32"/>
          <w:szCs w:val="32"/>
          <w:highlight w:val="none"/>
          <w:lang w:eastAsia="zh-CN"/>
        </w:rPr>
        <w:t>标准审定阶段（</w:t>
      </w:r>
      <w:r>
        <w:rPr>
          <w:rFonts w:hint="eastAsia" w:ascii="楷体" w:hAnsi="楷体" w:eastAsia="楷体" w:cs="楷体"/>
          <w:kern w:val="2"/>
          <w:sz w:val="32"/>
          <w:szCs w:val="32"/>
          <w:highlight w:val="none"/>
          <w:lang w:val="en-US" w:eastAsia="zh-CN"/>
        </w:rPr>
        <w:t>预计</w:t>
      </w:r>
      <w:r>
        <w:rPr>
          <w:rFonts w:hint="eastAsia" w:ascii="楷体" w:hAnsi="楷体" w:eastAsia="楷体" w:cs="楷体"/>
          <w:kern w:val="2"/>
          <w:sz w:val="32"/>
          <w:szCs w:val="32"/>
          <w:highlight w:val="none"/>
          <w:lang w:eastAsia="zh-CN"/>
        </w:rPr>
        <w:t>2024.10）。</w:t>
      </w:r>
      <w:r>
        <w:rPr>
          <w:rFonts w:hint="eastAsia" w:ascii="Times New Roman" w:hAnsi="Times New Roman" w:eastAsia="仿宋_GB2312" w:cs="Times New Roman"/>
          <w:kern w:val="2"/>
          <w:sz w:val="32"/>
          <w:szCs w:val="32"/>
        </w:rPr>
        <w:t>提交标准草案送审材料，召集专家进行审定，召开审查会议，根据各位专家提出的意见对标准草案送审稿进一步修改和完善，最终形成标准草案报批稿及相关报批材料；</w:t>
      </w:r>
    </w:p>
    <w:p w14:paraId="409C8E57">
      <w:pPr>
        <w:pStyle w:val="7"/>
        <w:widowControl w:val="0"/>
        <w:spacing w:before="0" w:beforeAutospacing="0" w:after="0" w:afterAutospacing="0" w:line="591" w:lineRule="exact"/>
        <w:ind w:firstLine="640" w:firstLineChars="200"/>
        <w:rPr>
          <w:rFonts w:hint="eastAsia" w:ascii="Times New Roman" w:hAnsi="Times New Roman" w:eastAsia="仿宋_GB2312" w:cs="Times New Roman"/>
          <w:kern w:val="2"/>
          <w:sz w:val="32"/>
          <w:szCs w:val="32"/>
        </w:rPr>
      </w:pPr>
      <w:r>
        <w:rPr>
          <w:rFonts w:hint="eastAsia" w:ascii="楷体" w:hAnsi="楷体" w:eastAsia="楷体" w:cs="楷体"/>
          <w:kern w:val="2"/>
          <w:sz w:val="32"/>
          <w:szCs w:val="32"/>
          <w:highlight w:val="none"/>
          <w:lang w:eastAsia="zh-CN"/>
        </w:rPr>
        <w:t>（</w:t>
      </w:r>
      <w:r>
        <w:rPr>
          <w:rFonts w:hint="eastAsia" w:ascii="楷体" w:hAnsi="楷体" w:eastAsia="楷体" w:cs="楷体"/>
          <w:kern w:val="2"/>
          <w:sz w:val="32"/>
          <w:szCs w:val="32"/>
          <w:highlight w:val="none"/>
          <w:lang w:val="en-US" w:eastAsia="zh-CN"/>
        </w:rPr>
        <w:t>五）</w:t>
      </w:r>
      <w:r>
        <w:rPr>
          <w:rFonts w:hint="eastAsia" w:ascii="楷体" w:hAnsi="楷体" w:eastAsia="楷体" w:cs="楷体"/>
          <w:kern w:val="2"/>
          <w:sz w:val="32"/>
          <w:szCs w:val="32"/>
          <w:highlight w:val="none"/>
          <w:lang w:eastAsia="zh-CN"/>
        </w:rPr>
        <w:t>标准报批阶段（</w:t>
      </w:r>
      <w:r>
        <w:rPr>
          <w:rFonts w:hint="eastAsia" w:ascii="楷体" w:hAnsi="楷体" w:eastAsia="楷体" w:cs="楷体"/>
          <w:kern w:val="2"/>
          <w:sz w:val="32"/>
          <w:szCs w:val="32"/>
          <w:highlight w:val="none"/>
          <w:lang w:val="en-US" w:eastAsia="zh-CN"/>
        </w:rPr>
        <w:t>预计</w:t>
      </w:r>
      <w:r>
        <w:rPr>
          <w:rFonts w:hint="eastAsia" w:ascii="楷体" w:hAnsi="楷体" w:eastAsia="楷体" w:cs="楷体"/>
          <w:kern w:val="2"/>
          <w:sz w:val="32"/>
          <w:szCs w:val="32"/>
          <w:highlight w:val="none"/>
          <w:lang w:eastAsia="zh-CN"/>
        </w:rPr>
        <w:t>2024.10）。</w:t>
      </w:r>
      <w:r>
        <w:rPr>
          <w:rFonts w:hint="eastAsia" w:ascii="Times New Roman" w:hAnsi="Times New Roman" w:eastAsia="仿宋_GB2312" w:cs="Times New Roman"/>
          <w:kern w:val="2"/>
          <w:sz w:val="32"/>
          <w:szCs w:val="32"/>
        </w:rPr>
        <w:t>提交标准报批材料，等待标准审批和发布。</w:t>
      </w:r>
    </w:p>
    <w:p w14:paraId="37293B2D">
      <w:pPr>
        <w:pStyle w:val="7"/>
        <w:widowControl w:val="0"/>
        <w:spacing w:before="0" w:beforeAutospacing="0" w:after="0" w:afterAutospacing="0" w:line="591" w:lineRule="exact"/>
        <w:ind w:firstLine="640" w:firstLineChars="200"/>
        <w:rPr>
          <w:rFonts w:hint="eastAsia" w:ascii="Times New Roman" w:hAnsi="Times New Roman" w:eastAsia="黑体" w:cs="Times New Roman"/>
          <w:kern w:val="2"/>
          <w:sz w:val="32"/>
          <w:szCs w:val="32"/>
        </w:rPr>
      </w:pPr>
      <w:r>
        <w:rPr>
          <w:rFonts w:hint="eastAsia" w:ascii="Times New Roman" w:hAnsi="Times New Roman" w:eastAsia="黑体" w:cs="Times New Roman"/>
          <w:kern w:val="2"/>
          <w:sz w:val="32"/>
          <w:szCs w:val="32"/>
        </w:rPr>
        <w:t>四、制定标准的原则依据，与现行法律、法规、标准的关系</w:t>
      </w:r>
    </w:p>
    <w:p w14:paraId="11FDC64A">
      <w:pPr>
        <w:pStyle w:val="7"/>
        <w:widowControl w:val="0"/>
        <w:spacing w:before="0" w:beforeAutospacing="0" w:after="0" w:afterAutospacing="0" w:line="591" w:lineRule="exact"/>
        <w:ind w:firstLine="640" w:firstLineChars="200"/>
        <w:rPr>
          <w:rFonts w:hint="eastAsia" w:ascii="楷体_GB2312" w:hAnsi="Times New Roman" w:eastAsia="楷体_GB2312" w:cs="Times New Roman"/>
          <w:kern w:val="2"/>
          <w:sz w:val="32"/>
          <w:szCs w:val="32"/>
          <w:lang w:val="en-US" w:eastAsia="zh-CN"/>
        </w:rPr>
      </w:pPr>
      <w:r>
        <w:rPr>
          <w:rFonts w:hint="eastAsia" w:ascii="楷体_GB2312" w:hAnsi="Times New Roman" w:eastAsia="楷体_GB2312" w:cs="Times New Roman"/>
          <w:kern w:val="2"/>
          <w:sz w:val="32"/>
          <w:szCs w:val="32"/>
          <w:lang w:eastAsia="zh-CN"/>
        </w:rPr>
        <w:t>（</w:t>
      </w:r>
      <w:r>
        <w:rPr>
          <w:rFonts w:hint="eastAsia" w:ascii="楷体_GB2312" w:hAnsi="Times New Roman" w:eastAsia="楷体_GB2312" w:cs="Times New Roman"/>
          <w:kern w:val="2"/>
          <w:sz w:val="32"/>
          <w:szCs w:val="32"/>
          <w:lang w:val="en-US" w:eastAsia="zh-CN"/>
        </w:rPr>
        <w:t>一）</w:t>
      </w:r>
      <w:r>
        <w:rPr>
          <w:rFonts w:hint="eastAsia" w:ascii="楷体_GB2312" w:hAnsi="Times New Roman" w:eastAsia="楷体_GB2312" w:cs="Times New Roman"/>
          <w:kern w:val="2"/>
          <w:sz w:val="32"/>
          <w:szCs w:val="32"/>
        </w:rPr>
        <w:t>制定标准的原则</w:t>
      </w:r>
    </w:p>
    <w:p w14:paraId="4732E009">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本标准的用语、格式按照GB/T1.1-20</w:t>
      </w:r>
      <w:r>
        <w:rPr>
          <w:rFonts w:hint="eastAsia" w:ascii="Times New Roman" w:hAnsi="Times New Roman" w:eastAsia="仿宋_GB2312" w:cs="Times New Roman"/>
          <w:kern w:val="2"/>
          <w:sz w:val="32"/>
          <w:szCs w:val="32"/>
          <w:lang w:val="en-US" w:eastAsia="zh-CN"/>
        </w:rPr>
        <w:t>20</w:t>
      </w:r>
      <w:r>
        <w:rPr>
          <w:rFonts w:hint="eastAsia" w:ascii="Times New Roman" w:hAnsi="Times New Roman" w:eastAsia="仿宋_GB2312" w:cs="Times New Roman"/>
          <w:kern w:val="2"/>
          <w:sz w:val="32"/>
          <w:szCs w:val="32"/>
        </w:rPr>
        <w:t>给出的规则起草。标准内容的编制结合</w:t>
      </w:r>
      <w:r>
        <w:rPr>
          <w:rFonts w:hint="eastAsia" w:ascii="Times New Roman" w:hAnsi="Times New Roman" w:eastAsia="仿宋_GB2312" w:cs="Times New Roman"/>
          <w:kern w:val="2"/>
          <w:sz w:val="32"/>
          <w:szCs w:val="32"/>
          <w:lang w:val="en-US" w:eastAsia="zh-CN"/>
        </w:rPr>
        <w:t>工伤预防工作</w:t>
      </w:r>
      <w:r>
        <w:rPr>
          <w:rFonts w:hint="eastAsia" w:ascii="Times New Roman" w:hAnsi="Times New Roman" w:eastAsia="仿宋_GB2312" w:cs="Times New Roman"/>
          <w:kern w:val="2"/>
          <w:sz w:val="32"/>
          <w:szCs w:val="32"/>
        </w:rPr>
        <w:t>实际</w:t>
      </w:r>
      <w:r>
        <w:rPr>
          <w:rFonts w:hint="eastAsia" w:ascii="Times New Roman" w:hAnsi="Times New Roman" w:eastAsia="仿宋_GB2312" w:cs="Times New Roman"/>
          <w:kern w:val="2"/>
          <w:sz w:val="32"/>
          <w:szCs w:val="32"/>
          <w:lang w:val="en-US" w:eastAsia="zh-CN"/>
        </w:rPr>
        <w:t>情况，</w:t>
      </w:r>
      <w:r>
        <w:rPr>
          <w:rFonts w:hint="eastAsia" w:ascii="Times New Roman" w:hAnsi="Times New Roman" w:eastAsia="仿宋_GB2312" w:cs="Times New Roman"/>
          <w:kern w:val="2"/>
          <w:sz w:val="32"/>
          <w:szCs w:val="32"/>
        </w:rPr>
        <w:t>在标准制定过程中，广泛听取各方意见，充分调研实际需求、论证指标要求，确定培训要素，规定培训内容和打分方法</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为</w:t>
      </w:r>
      <w:r>
        <w:rPr>
          <w:rFonts w:hint="eastAsia" w:ascii="Times New Roman" w:hAnsi="Times New Roman" w:eastAsia="仿宋_GB2312" w:cs="Times New Roman"/>
          <w:kern w:val="2"/>
          <w:sz w:val="32"/>
          <w:szCs w:val="32"/>
          <w:lang w:val="en-US" w:eastAsia="zh-CN"/>
        </w:rPr>
        <w:t>企业工伤预防</w:t>
      </w:r>
      <w:r>
        <w:rPr>
          <w:rFonts w:hint="eastAsia" w:ascii="Times New Roman" w:hAnsi="Times New Roman" w:eastAsia="仿宋_GB2312" w:cs="Times New Roman"/>
          <w:kern w:val="2"/>
          <w:sz w:val="32"/>
          <w:szCs w:val="32"/>
        </w:rPr>
        <w:t>培训</w:t>
      </w:r>
      <w:r>
        <w:rPr>
          <w:rFonts w:hint="eastAsia" w:ascii="Times New Roman" w:hAnsi="Times New Roman" w:eastAsia="仿宋_GB2312" w:cs="Times New Roman"/>
          <w:kern w:val="2"/>
          <w:sz w:val="32"/>
          <w:szCs w:val="32"/>
          <w:lang w:val="en-US" w:eastAsia="zh-CN"/>
        </w:rPr>
        <w:t>工作</w:t>
      </w:r>
      <w:r>
        <w:rPr>
          <w:rFonts w:hint="eastAsia" w:ascii="Times New Roman" w:hAnsi="Times New Roman" w:eastAsia="仿宋_GB2312" w:cs="Times New Roman"/>
          <w:kern w:val="2"/>
          <w:sz w:val="32"/>
          <w:szCs w:val="32"/>
        </w:rPr>
        <w:t>提供了基础标准。</w:t>
      </w:r>
    </w:p>
    <w:p w14:paraId="20DE11D3">
      <w:pPr>
        <w:pStyle w:val="7"/>
        <w:widowControl w:val="0"/>
        <w:spacing w:before="0" w:beforeAutospacing="0" w:after="0" w:afterAutospacing="0" w:line="591" w:lineRule="exact"/>
        <w:ind w:firstLine="640" w:firstLineChars="200"/>
        <w:rPr>
          <w:rFonts w:hint="eastAsia" w:ascii="楷体_GB2312" w:hAnsi="Times New Roman" w:eastAsia="楷体_GB2312" w:cs="Times New Roman"/>
          <w:kern w:val="2"/>
          <w:sz w:val="32"/>
          <w:szCs w:val="32"/>
          <w:lang w:val="en-US" w:eastAsia="zh-CN"/>
        </w:rPr>
      </w:pPr>
      <w:r>
        <w:rPr>
          <w:rFonts w:hint="eastAsia" w:ascii="楷体_GB2312" w:hAnsi="Times New Roman" w:eastAsia="楷体_GB2312" w:cs="Times New Roman"/>
          <w:kern w:val="2"/>
          <w:sz w:val="32"/>
          <w:szCs w:val="32"/>
          <w:lang w:eastAsia="zh-CN"/>
        </w:rPr>
        <w:t>（</w:t>
      </w:r>
      <w:r>
        <w:rPr>
          <w:rFonts w:hint="eastAsia" w:ascii="楷体_GB2312" w:hAnsi="Times New Roman" w:eastAsia="楷体_GB2312" w:cs="Times New Roman"/>
          <w:kern w:val="2"/>
          <w:sz w:val="32"/>
          <w:szCs w:val="32"/>
          <w:lang w:val="en-US" w:eastAsia="zh-CN"/>
        </w:rPr>
        <w:t>二）</w:t>
      </w:r>
      <w:r>
        <w:rPr>
          <w:rFonts w:hint="eastAsia" w:ascii="楷体_GB2312" w:hAnsi="Times New Roman" w:eastAsia="楷体_GB2312" w:cs="Times New Roman"/>
          <w:kern w:val="2"/>
          <w:sz w:val="32"/>
          <w:szCs w:val="32"/>
          <w:lang w:eastAsia="zh-CN"/>
        </w:rPr>
        <w:t>制定标准的</w:t>
      </w:r>
      <w:r>
        <w:rPr>
          <w:rFonts w:hint="eastAsia" w:ascii="楷体_GB2312" w:hAnsi="Times New Roman" w:eastAsia="楷体_GB2312" w:cs="Times New Roman"/>
          <w:kern w:val="2"/>
          <w:sz w:val="32"/>
          <w:szCs w:val="32"/>
          <w:lang w:val="en-US" w:eastAsia="zh-CN"/>
        </w:rPr>
        <w:t>依据</w:t>
      </w:r>
    </w:p>
    <w:p w14:paraId="184DD318">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本团体标准《用人单位工伤预防培训指南》</w:t>
      </w:r>
      <w:r>
        <w:rPr>
          <w:rFonts w:hint="eastAsia" w:ascii="Times New Roman" w:hAnsi="Times New Roman" w:eastAsia="仿宋_GB2312" w:cs="Times New Roman"/>
          <w:kern w:val="2"/>
          <w:sz w:val="32"/>
          <w:szCs w:val="32"/>
          <w:lang w:val="en-US" w:eastAsia="zh-CN"/>
        </w:rPr>
        <w:t>中，</w:t>
      </w:r>
      <w:r>
        <w:rPr>
          <w:rFonts w:hint="eastAsia" w:ascii="Times New Roman" w:hAnsi="Times New Roman" w:eastAsia="仿宋_GB2312" w:cs="Times New Roman"/>
          <w:kern w:val="2"/>
          <w:sz w:val="32"/>
          <w:szCs w:val="32"/>
        </w:rPr>
        <w:t>“工伤预防导师”制定参照《国家职业技能标准编制技术规程（2018年版）》有关要求</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“三类”管理人员、岗位职工、岗位职工培训效果评估、岗位职工工伤风险评估的制定根据《关于实施矿山、机械制造、铁路运输、铁路建设施工等行业重点企业工伤预防能力提升培训工程的通知》</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人社厅函〔2023〕102 号</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、《工伤预防五年行动计划</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2021</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2025年</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》有关要求，运用标准化原理和方法，以GB/T 19025-2001 《质量管理培训指南》、GB/T 31596.1 社会保险术语、《工伤保险条例</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工伤预防费使用管理暂行办法</w:t>
      </w:r>
      <w:r>
        <w:rPr>
          <w:rFonts w:hint="eastAsia" w:ascii="Times New Roman" w:hAnsi="Times New Roman" w:eastAsia="仿宋_GB2312" w:cs="Times New Roman"/>
          <w:kern w:val="2"/>
          <w:sz w:val="32"/>
          <w:szCs w:val="32"/>
          <w:lang w:eastAsia="zh-CN"/>
        </w:rPr>
        <w:t>》等</w:t>
      </w:r>
      <w:r>
        <w:rPr>
          <w:rFonts w:hint="eastAsia" w:ascii="Times New Roman" w:hAnsi="Times New Roman" w:eastAsia="仿宋_GB2312" w:cs="Times New Roman"/>
          <w:kern w:val="2"/>
          <w:sz w:val="32"/>
          <w:szCs w:val="32"/>
        </w:rPr>
        <w:t>法律法规关键要素，确定标准整体框架及主要技术内容。</w:t>
      </w:r>
    </w:p>
    <w:p w14:paraId="2BA039DB">
      <w:pPr>
        <w:pStyle w:val="7"/>
        <w:widowControl w:val="0"/>
        <w:spacing w:before="0" w:beforeAutospacing="0" w:after="0" w:afterAutospacing="0" w:line="591" w:lineRule="exact"/>
        <w:ind w:firstLine="640" w:firstLineChars="200"/>
        <w:rPr>
          <w:rFonts w:hint="eastAsia" w:ascii="楷体_GB2312" w:hAnsi="Times New Roman" w:eastAsia="楷体_GB2312" w:cs="Times New Roman"/>
          <w:kern w:val="2"/>
          <w:sz w:val="32"/>
          <w:szCs w:val="32"/>
          <w:lang w:eastAsia="zh-CN"/>
        </w:rPr>
      </w:pPr>
      <w:r>
        <w:rPr>
          <w:rFonts w:hint="eastAsia" w:ascii="楷体_GB2312" w:hAnsi="Times New Roman" w:eastAsia="楷体_GB2312" w:cs="Times New Roman"/>
          <w:kern w:val="2"/>
          <w:sz w:val="32"/>
          <w:szCs w:val="32"/>
          <w:lang w:eastAsia="zh-CN"/>
        </w:rPr>
        <w:t>（</w:t>
      </w:r>
      <w:r>
        <w:rPr>
          <w:rFonts w:hint="eastAsia" w:ascii="楷体_GB2312" w:hAnsi="Times New Roman" w:eastAsia="楷体_GB2312" w:cs="Times New Roman"/>
          <w:kern w:val="2"/>
          <w:sz w:val="32"/>
          <w:szCs w:val="32"/>
          <w:lang w:val="en-US" w:eastAsia="zh-CN"/>
        </w:rPr>
        <w:t>三）</w:t>
      </w:r>
      <w:r>
        <w:rPr>
          <w:rFonts w:hint="eastAsia" w:ascii="楷体_GB2312" w:hAnsi="Times New Roman" w:eastAsia="楷体_GB2312" w:cs="Times New Roman"/>
          <w:kern w:val="2"/>
          <w:sz w:val="32"/>
          <w:szCs w:val="32"/>
          <w:lang w:eastAsia="zh-CN"/>
        </w:rPr>
        <w:t>与现行法律、法规、标准的关系</w:t>
      </w:r>
    </w:p>
    <w:p w14:paraId="2F82F1E3">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本标准与现行法律、法规、标准均不存在冲突。</w:t>
      </w:r>
    </w:p>
    <w:p w14:paraId="64C66DD4">
      <w:pPr>
        <w:pStyle w:val="7"/>
        <w:widowControl w:val="0"/>
        <w:spacing w:before="0" w:beforeAutospacing="0" w:after="0" w:afterAutospacing="0" w:line="591" w:lineRule="exact"/>
        <w:ind w:firstLine="640" w:firstLineChars="200"/>
        <w:rPr>
          <w:rFonts w:hint="eastAsia" w:ascii="Times New Roman" w:hAnsi="Times New Roman" w:eastAsia="黑体" w:cs="Times New Roman"/>
          <w:kern w:val="2"/>
          <w:sz w:val="32"/>
          <w:szCs w:val="32"/>
        </w:rPr>
      </w:pPr>
      <w:r>
        <w:rPr>
          <w:rFonts w:hint="eastAsia" w:ascii="Times New Roman" w:hAnsi="Times New Roman" w:eastAsia="黑体" w:cs="Times New Roman"/>
          <w:kern w:val="2"/>
          <w:sz w:val="32"/>
          <w:szCs w:val="32"/>
        </w:rPr>
        <w:t>五、主要条款的说明，主要技术指标的论述</w:t>
      </w:r>
    </w:p>
    <w:p w14:paraId="4B5A122B">
      <w:pPr>
        <w:pStyle w:val="7"/>
        <w:widowControl w:val="0"/>
        <w:spacing w:before="0" w:beforeAutospacing="0" w:after="0" w:afterAutospacing="0" w:line="591" w:lineRule="exact"/>
        <w:ind w:firstLine="640" w:firstLineChars="200"/>
        <w:jc w:val="both"/>
        <w:rPr>
          <w:rFonts w:ascii="华文宋体" w:hAnsi="华文宋体" w:eastAsia="华文宋体"/>
          <w:b/>
          <w:sz w:val="24"/>
          <w:szCs w:val="24"/>
        </w:rPr>
      </w:pP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用人单位工伤预防培训指南</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共包括5个部分，分别是：第1部分 工伤预防导师、第2部分“三类”管理人员、第3部分 岗位职工、第4部分 岗位职工培训效果评估、第5部 分岗位职工工伤风险评估。</w:t>
      </w:r>
    </w:p>
    <w:p w14:paraId="03C35DBF">
      <w:pPr>
        <w:pStyle w:val="7"/>
        <w:widowControl w:val="0"/>
        <w:spacing w:before="0" w:beforeAutospacing="0" w:after="0" w:afterAutospacing="0" w:line="591" w:lineRule="exact"/>
        <w:ind w:firstLine="640" w:firstLineChars="200"/>
        <w:rPr>
          <w:rFonts w:hint="eastAsia" w:ascii="楷体_GB2312" w:hAnsi="Times New Roman" w:eastAsia="楷体_GB2312" w:cs="Times New Roman"/>
          <w:kern w:val="2"/>
          <w:sz w:val="32"/>
          <w:szCs w:val="32"/>
          <w:lang w:eastAsia="zh-CN"/>
        </w:rPr>
      </w:pPr>
      <w:r>
        <w:rPr>
          <w:rFonts w:hint="eastAsia" w:ascii="楷体_GB2312" w:hAnsi="Times New Roman" w:eastAsia="楷体_GB2312" w:cs="Times New Roman"/>
          <w:kern w:val="2"/>
          <w:sz w:val="32"/>
          <w:szCs w:val="32"/>
          <w:lang w:eastAsia="zh-CN"/>
        </w:rPr>
        <w:t>（</w:t>
      </w:r>
      <w:r>
        <w:rPr>
          <w:rFonts w:hint="eastAsia" w:ascii="楷体_GB2312" w:hAnsi="Times New Roman" w:eastAsia="楷体_GB2312" w:cs="Times New Roman"/>
          <w:kern w:val="2"/>
          <w:sz w:val="32"/>
          <w:szCs w:val="32"/>
          <w:lang w:val="en-US" w:eastAsia="zh-CN"/>
        </w:rPr>
        <w:t>一）</w:t>
      </w:r>
      <w:r>
        <w:rPr>
          <w:rFonts w:hint="eastAsia" w:ascii="楷体_GB2312" w:hAnsi="Times New Roman" w:eastAsia="楷体_GB2312" w:cs="Times New Roman"/>
          <w:kern w:val="2"/>
          <w:sz w:val="32"/>
          <w:szCs w:val="32"/>
          <w:lang w:eastAsia="zh-CN"/>
        </w:rPr>
        <w:t>第1部分工伤预防导师主要技术</w:t>
      </w:r>
      <w:r>
        <w:rPr>
          <w:rFonts w:hint="eastAsia" w:ascii="楷体_GB2312" w:hAnsi="Times New Roman" w:eastAsia="楷体_GB2312" w:cs="Times New Roman"/>
          <w:kern w:val="2"/>
          <w:sz w:val="32"/>
          <w:szCs w:val="32"/>
          <w:lang w:val="en-US" w:eastAsia="zh-CN"/>
        </w:rPr>
        <w:t>指标、</w:t>
      </w:r>
      <w:r>
        <w:rPr>
          <w:rFonts w:hint="eastAsia" w:ascii="楷体_GB2312" w:hAnsi="Times New Roman" w:eastAsia="楷体_GB2312" w:cs="Times New Roman"/>
          <w:kern w:val="2"/>
          <w:sz w:val="32"/>
          <w:szCs w:val="32"/>
          <w:lang w:eastAsia="zh-CN"/>
        </w:rPr>
        <w:t>内容如下：</w:t>
      </w:r>
    </w:p>
    <w:p w14:paraId="72F5DE1A">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1.范围</w:t>
      </w:r>
    </w:p>
    <w:p w14:paraId="3203846A">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说明了标准的适用范围：本标准规定了用人单位工伤预防导师培训指南，适用于从事对工伤保险参保人员进行岗位工伤风险因素辨识、分析、工伤事故调查分析、工伤预防理念和技术指导、咨询、宣传、培训和教学活动的人员，并为其培训内容进行规范。</w:t>
      </w:r>
    </w:p>
    <w:p w14:paraId="5F0E511D">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2.规范性引用文件</w:t>
      </w:r>
    </w:p>
    <w:p w14:paraId="4A0C3A6D">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根据GB/T 1.1—2020《标准化工作导则 第1部分：标准化文件的结构和起草规则》规定，列出正文中引用的相关标准文件。</w:t>
      </w:r>
    </w:p>
    <w:p w14:paraId="2A205123">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3.术语和定义</w:t>
      </w:r>
    </w:p>
    <w:p w14:paraId="7A0444CF">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val="en-US" w:eastAsia="zh-CN"/>
        </w:rPr>
        <w:t>明确</w:t>
      </w:r>
      <w:r>
        <w:rPr>
          <w:rFonts w:hint="eastAsia" w:ascii="Times New Roman" w:hAnsi="Times New Roman" w:eastAsia="仿宋_GB2312" w:cs="Times New Roman"/>
          <w:kern w:val="2"/>
          <w:sz w:val="32"/>
          <w:szCs w:val="32"/>
          <w:lang w:eastAsia="zh-CN"/>
        </w:rPr>
        <w:t>GB/T 31596.1 社会保险术语、《工伤保险条例》《劳动合同法》《工伤预防费使用管理暂行办法》等法律法规中的定义适用于本标准。</w:t>
      </w:r>
    </w:p>
    <w:p w14:paraId="6EDFCA1D">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mc:AlternateContent>
          <mc:Choice Requires="wps">
            <w:drawing>
              <wp:anchor distT="0" distB="0" distL="114300" distR="114300" simplePos="0" relativeHeight="251659264" behindDoc="0" locked="0" layoutInCell="1" allowOverlap="1">
                <wp:simplePos x="0" y="0"/>
                <wp:positionH relativeFrom="column">
                  <wp:posOffset>-3402330</wp:posOffset>
                </wp:positionH>
                <wp:positionV relativeFrom="paragraph">
                  <wp:posOffset>243840</wp:posOffset>
                </wp:positionV>
                <wp:extent cx="18415" cy="18415"/>
                <wp:effectExtent l="0" t="0" r="0" b="0"/>
                <wp:wrapNone/>
                <wp:docPr id="1" name="墨迹 2"/>
                <wp:cNvGraphicFramePr/>
                <a:graphic xmlns:a="http://schemas.openxmlformats.org/drawingml/2006/main">
                  <a:graphicData uri="http://schemas.microsoft.com/office/word/2010/wordprocessingInk">
                    <mc:AlternateContent xmlns:a14="http://schemas.microsoft.com/office/drawing/2010/main">
                      <mc:Choice Requires="a14">
                        <w14:contentPart bwMode="clr" r:id="rId5">
                          <w14:nvContentPartPr>
                            <w14:cNvPr id="1" name="墨迹 2"/>
                            <w14:cNvContentPartPr/>
                          </w14:nvContentPartPr>
                          <w14:xfrm>
                            <a:off x="0" y="0"/>
                            <a:ext cx="18415" cy="18415"/>
                          </w14:xfrm>
                        </w14:contentPart>
                      </mc:Choice>
                    </mc:AlternateContent>
                  </a:graphicData>
                </a:graphic>
              </wp:anchor>
            </w:drawing>
          </mc:Choice>
          <mc:Fallback>
            <w:pict>
              <v:shape id="墨迹 2" o:spid="_x0000_s1026" o:spt="75" style="position:absolute;left:0pt;margin-left:-267.9pt;margin-top:19.2pt;height:1.45pt;width:1.45pt;z-index:251659264;mso-width-relative:page;mso-height-relative:page;" coordsize="21600,21600" o:gfxdata="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">
                <v:imagedata r:id="rId6" o:title=""/>
                <o:lock v:ext="edit"/>
              </v:shape>
            </w:pict>
          </mc:Fallback>
        </mc:AlternateContent>
      </w:r>
      <w:r>
        <w:rPr>
          <w:rFonts w:hint="eastAsia" w:ascii="Times New Roman" w:hAnsi="Times New Roman" w:eastAsia="仿宋_GB2312" w:cs="Times New Roman"/>
          <w:kern w:val="2"/>
          <w:sz w:val="32"/>
          <w:szCs w:val="32"/>
          <w:lang w:eastAsia="zh-CN"/>
        </w:rPr>
        <w:t>4.培训目的与要求</w:t>
      </w:r>
    </w:p>
    <w:p w14:paraId="597D9BC0">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4.1 培训目的：对工伤预防导师培训的目的进行明确，使其能够具备指导其行业与用人单位职工岗位工伤风险分析、工伤事故调查、工伤预防指导、咨询、培训工作的能力。</w:t>
      </w:r>
    </w:p>
    <w:p w14:paraId="450742A9">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4.2 培训要求：对学员的能力要求、基本文化程度、参加培训条件、工伤预防导师能力培训分为三级，应根据学员自身学历及工作经历水平参加不同等级的培训。</w:t>
      </w:r>
    </w:p>
    <w:p w14:paraId="4E28B970">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5.培训机构要求</w:t>
      </w:r>
    </w:p>
    <w:p w14:paraId="521423A3">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5.1 对教学发证资质提出了规定。</w:t>
      </w:r>
    </w:p>
    <w:p w14:paraId="34C774B4">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5.2 对培训机构从培训制度、培训场所、培训教师及管理人员、培训教学、线上培训、设备设施配备、培训档案管理等7个方面提出来具体要求。</w:t>
      </w:r>
    </w:p>
    <w:p w14:paraId="4FF269A9">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6.培训内容</w:t>
      </w:r>
    </w:p>
    <w:p w14:paraId="58B23F71">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6.1 对工伤预防的政策法规及标准培训内容进行了明确要求。</w:t>
      </w:r>
    </w:p>
    <w:p w14:paraId="0D7FFAC7">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6.2 对“三位一体”的工伤保险制度体系、职工岗位工伤预防体系基础、工伤风险管理、工伤事故调查与分析、工伤事故应急、管理岗位职工的职业健康管理、劳动防护用品的管理等工伤预防管理基础知识内容做了详细要求。</w:t>
      </w:r>
    </w:p>
    <w:p w14:paraId="58BFCE1B">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6.3 对本行业相关的工伤典型事故案例分析，单位职工岗位工伤事故风险辨识互动演练、单位个体防护装备配备互动演练提出了具体要求。</w:t>
      </w:r>
    </w:p>
    <w:p w14:paraId="254F4174">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6.4 提出了按照《职业大典》第六类：6(GBM 60000）生产制造及有关人员所在行业的职业（工种）、岗位任务、工伤风险分类进行培训的创新方法。并针对行业特点以《企业职工伤亡事故分类标准》（GB6441）20类伤害为核心，综合考虑起因物、引起事故的诱导性原因、致害物、伤害方式等，可将危险、有害因素进行分类.以及劳动防护用品使用技术、职业健康防护技术、工伤事故应急技能及现场急救技术等工伤预防技术能力培训内容进行安排。</w:t>
      </w:r>
    </w:p>
    <w:p w14:paraId="1AF7FC2E">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6.5 对岗位职工工伤预防互动式培训方法的主要内容进行了规定。</w:t>
      </w:r>
    </w:p>
    <w:p w14:paraId="57B9B3B3">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7.考核要点</w:t>
      </w:r>
    </w:p>
    <w:p w14:paraId="52FDA691">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规定了一至三级不同等级工伤预防导师考核要点。</w:t>
      </w:r>
    </w:p>
    <w:p w14:paraId="4E66D2B7">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8.考试方式</w:t>
      </w:r>
    </w:p>
    <w:p w14:paraId="401F5F29">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确定了考试以理论知识考试、技能考核以及综合评审。理论知识考试以笔试、机考等方式。并规定了监考人员、考评人员与考生配比、考试时间、考试场所设备、等级考试权重表具体要求。</w:t>
      </w:r>
    </w:p>
    <w:p w14:paraId="5F230EED">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bookmarkStart w:id="1" w:name="_Toc24802"/>
      <w:r>
        <w:rPr>
          <w:rFonts w:hint="eastAsia" w:ascii="Times New Roman" w:hAnsi="Times New Roman" w:eastAsia="仿宋_GB2312" w:cs="Times New Roman"/>
          <w:kern w:val="2"/>
          <w:sz w:val="32"/>
          <w:szCs w:val="32"/>
          <w:lang w:eastAsia="zh-CN"/>
        </w:rPr>
        <w:t>9.档案管理</w:t>
      </w:r>
      <w:bookmarkEnd w:id="1"/>
    </w:p>
    <w:p w14:paraId="235CB3D7">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提出了培训全过程档案管理严格要求。</w:t>
      </w:r>
    </w:p>
    <w:p w14:paraId="3A5716E0">
      <w:pPr>
        <w:pStyle w:val="7"/>
        <w:widowControl w:val="0"/>
        <w:spacing w:before="0" w:beforeAutospacing="0" w:after="0" w:afterAutospacing="0" w:line="591" w:lineRule="exact"/>
        <w:ind w:firstLine="640" w:firstLineChars="200"/>
        <w:rPr>
          <w:rFonts w:hint="eastAsia" w:ascii="楷体_GB2312" w:hAnsi="Times New Roman" w:eastAsia="楷体_GB2312" w:cs="Times New Roman"/>
          <w:kern w:val="2"/>
          <w:sz w:val="32"/>
          <w:szCs w:val="32"/>
          <w:lang w:eastAsia="zh-CN"/>
        </w:rPr>
      </w:pPr>
      <w:r>
        <w:rPr>
          <w:rFonts w:hint="eastAsia" w:ascii="楷体_GB2312" w:hAnsi="Times New Roman" w:eastAsia="楷体_GB2312" w:cs="Times New Roman"/>
          <w:kern w:val="2"/>
          <w:sz w:val="32"/>
          <w:szCs w:val="32"/>
          <w:lang w:eastAsia="zh-CN"/>
        </w:rPr>
        <w:t>（</w:t>
      </w:r>
      <w:r>
        <w:rPr>
          <w:rFonts w:hint="eastAsia" w:ascii="楷体_GB2312" w:hAnsi="Times New Roman" w:eastAsia="楷体_GB2312" w:cs="Times New Roman"/>
          <w:kern w:val="2"/>
          <w:sz w:val="32"/>
          <w:szCs w:val="32"/>
          <w:lang w:val="en-US" w:eastAsia="zh-CN"/>
        </w:rPr>
        <w:t>二）</w:t>
      </w:r>
      <w:r>
        <w:rPr>
          <w:rFonts w:hint="eastAsia" w:ascii="楷体_GB2312" w:hAnsi="Times New Roman" w:eastAsia="楷体_GB2312" w:cs="Times New Roman"/>
          <w:kern w:val="2"/>
          <w:sz w:val="32"/>
          <w:szCs w:val="32"/>
          <w:lang w:eastAsia="zh-CN"/>
        </w:rPr>
        <w:t>第2部分“三类”管理人员主要技术</w:t>
      </w:r>
      <w:r>
        <w:rPr>
          <w:rFonts w:hint="eastAsia" w:ascii="楷体_GB2312" w:hAnsi="Times New Roman" w:eastAsia="楷体_GB2312" w:cs="Times New Roman"/>
          <w:kern w:val="2"/>
          <w:sz w:val="32"/>
          <w:szCs w:val="32"/>
          <w:lang w:val="en-US" w:eastAsia="zh-CN"/>
        </w:rPr>
        <w:t>指标、</w:t>
      </w:r>
      <w:r>
        <w:rPr>
          <w:rFonts w:hint="eastAsia" w:ascii="楷体_GB2312" w:hAnsi="Times New Roman" w:eastAsia="楷体_GB2312" w:cs="Times New Roman"/>
          <w:kern w:val="2"/>
          <w:sz w:val="32"/>
          <w:szCs w:val="32"/>
          <w:lang w:eastAsia="zh-CN"/>
        </w:rPr>
        <w:t>内容如下：</w:t>
      </w:r>
    </w:p>
    <w:p w14:paraId="5D18112F">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1.范围</w:t>
      </w:r>
    </w:p>
    <w:p w14:paraId="3407D35A">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说明了标准的适用范围：本章明确了本标准的适用范围，即旨在用于用人单位经过工伤预防培训后，“三类”管理人员工伤预防知识、技能的提高及减少工伤事故，也适用于对培训机构的工伤预防培训工作的监督。</w:t>
      </w:r>
    </w:p>
    <w:p w14:paraId="42F5A0A5">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2.规范性引用文件</w:t>
      </w:r>
    </w:p>
    <w:p w14:paraId="5C041264">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根据GB/T 1.1—2020《标准化工作导则 第1部分：标准化文件的结构和起草规则》规定，列出正文中引用的相关标准文件。</w:t>
      </w:r>
    </w:p>
    <w:p w14:paraId="7A7D60E8">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3.术语和定义</w:t>
      </w:r>
    </w:p>
    <w:p w14:paraId="199C9D4D">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术语和定义：GB/T 31596.1 社会保险术语、《工伤保险条例》《劳动合同法》《工伤预防费使用管理暂行办法》等法律法规中的定义，适用于本标准。</w:t>
      </w:r>
    </w:p>
    <w:p w14:paraId="5FCDD7DE">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mc:AlternateContent>
          <mc:Choice Requires="wps">
            <w:drawing>
              <wp:anchor distT="0" distB="0" distL="114300" distR="114300" simplePos="0" relativeHeight="251660288" behindDoc="0" locked="0" layoutInCell="1" allowOverlap="1">
                <wp:simplePos x="0" y="0"/>
                <wp:positionH relativeFrom="column">
                  <wp:posOffset>-3402330</wp:posOffset>
                </wp:positionH>
                <wp:positionV relativeFrom="paragraph">
                  <wp:posOffset>243840</wp:posOffset>
                </wp:positionV>
                <wp:extent cx="18415" cy="18415"/>
                <wp:effectExtent l="0" t="0" r="0" b="0"/>
                <wp:wrapNone/>
                <wp:docPr id="2" name="墨迹 2"/>
                <wp:cNvGraphicFramePr/>
                <a:graphic xmlns:a="http://schemas.openxmlformats.org/drawingml/2006/main">
                  <a:graphicData uri="http://schemas.microsoft.com/office/word/2010/wordprocessingInk">
                    <mc:AlternateContent xmlns:a14="http://schemas.microsoft.com/office/drawing/2010/main">
                      <mc:Choice Requires="a14">
                        <w14:contentPart bwMode="clr" r:id="rId7">
                          <w14:nvContentPartPr>
                            <w14:cNvPr id="2" name="墨迹 2"/>
                            <w14:cNvContentPartPr/>
                          </w14:nvContentPartPr>
                          <w14:xfrm>
                            <a:off x="0" y="0"/>
                            <a:ext cx="18415" cy="18415"/>
                          </w14:xfrm>
                        </w14:contentPart>
                      </mc:Choice>
                    </mc:AlternateContent>
                  </a:graphicData>
                </a:graphic>
              </wp:anchor>
            </w:drawing>
          </mc:Choice>
          <mc:Fallback>
            <w:pict>
              <v:shape id="_x0000_s1026" o:spid="_x0000_s1026" o:spt="75" style="position:absolute;left:0pt;margin-left:-267.9pt;margin-top:19.2pt;height:1.45pt;width:1.45pt;z-index:251660288;mso-width-relative:page;mso-height-relative:page;" coordsize="21600,21600" o:gfxdata="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">
                <v:imagedata r:id="rId6" o:title=""/>
                <o:lock v:ext="edit"/>
              </v:shape>
            </w:pict>
          </mc:Fallback>
        </mc:AlternateContent>
      </w:r>
      <w:r>
        <w:rPr>
          <w:rFonts w:hint="eastAsia" w:ascii="Times New Roman" w:hAnsi="Times New Roman" w:eastAsia="仿宋_GB2312" w:cs="Times New Roman"/>
          <w:kern w:val="2"/>
          <w:sz w:val="32"/>
          <w:szCs w:val="32"/>
          <w:lang w:eastAsia="zh-CN"/>
        </w:rPr>
        <w:t>4.培训目的与要求</w:t>
      </w:r>
    </w:p>
    <w:p w14:paraId="7D7D4DFF">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4.1 培训目的：对用人单位“三类”管理人员的工伤预防培训的目的进行明确，并提出了要求。</w:t>
      </w:r>
    </w:p>
    <w:p w14:paraId="5C7326BF">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4.2 培训要求：对培训应坚持理论与实际相结合，采取线上学习与线下培训相结合的方式，加强案例互动教学，注重职业道德、工伤预防法律意识、工伤预防技术理论和工伤预防管理能力的综合培养等培训内容进行了明确要求。</w:t>
      </w:r>
    </w:p>
    <w:p w14:paraId="34958F0F">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5.培训机构要求</w:t>
      </w:r>
    </w:p>
    <w:p w14:paraId="3677C821">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对培训机构从培训制度、培训场所、培训教师及管理人员、培训教学、线上培训、设备设施配备、培训档案管理等7个方面提出具体要求。</w:t>
      </w:r>
    </w:p>
    <w:p w14:paraId="40E3BD54">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6.培训内容</w:t>
      </w:r>
    </w:p>
    <w:p w14:paraId="2ECF0D2F">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6.1 对工伤预防的政策法规及标准培训内容进行了明确要求。</w:t>
      </w:r>
    </w:p>
    <w:p w14:paraId="37250870">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6.2 工伤预防管理规章制度建设、职工岗位工伤预防管理及工伤预防标准化建设、企业工伤风险管理、工伤事故调查与分析、从业人员的职业健康管理、劳动防护及用品的管理、工伤典型事故案例分析、工伤预防技术知识等工伤预防管理基础知识内容做了详细要求。</w:t>
      </w:r>
    </w:p>
    <w:p w14:paraId="5FD2A829">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6.3 提出了按照《职业大典》第六类：6(GBM 60000）生产制造及有关人员所在行业的职业（工种）、岗位任务、工伤风险分类进行培训的创新方法。并针对行业特点以《企业职工伤亡事故分类标准》（GB6441）20类伤害为核心，综合考虑起因物、引起事故的诱导性原因、致害物、伤害方式等，可将危险、有害因素进行分类.以及劳动防护用品使用技术、职业健康防护技术、工伤事故应急技能及现场急救技术等工伤预防技术能力培训内容进行安排。</w:t>
      </w:r>
    </w:p>
    <w:p w14:paraId="53B47BDE">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6.4 企业成人（农民工）工伤预防互动式培训方法的主要内容进行了规定。</w:t>
      </w:r>
    </w:p>
    <w:p w14:paraId="7D418C75">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7.考核要点</w:t>
      </w:r>
    </w:p>
    <w:p w14:paraId="2789E2F8">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依据培训内容规定熟悉、掌握、了解等不同的方式及考核要求。</w:t>
      </w:r>
    </w:p>
    <w:p w14:paraId="6EED00BC">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8.培训学时安排</w:t>
      </w:r>
    </w:p>
    <w:p w14:paraId="6E67D14A">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根据文件要求和培训人员、内容、工伤预防费等情况，规定了线下线上的培训时间。</w:t>
      </w:r>
    </w:p>
    <w:p w14:paraId="490620D4">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9.档案管理</w:t>
      </w:r>
    </w:p>
    <w:p w14:paraId="29381417">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提出了培训全过程档案管理严格要求。</w:t>
      </w:r>
    </w:p>
    <w:p w14:paraId="53BAF413">
      <w:pPr>
        <w:pStyle w:val="7"/>
        <w:widowControl w:val="0"/>
        <w:spacing w:before="0" w:beforeAutospacing="0" w:after="0" w:afterAutospacing="0" w:line="591" w:lineRule="exact"/>
        <w:ind w:firstLine="640" w:firstLineChars="200"/>
        <w:rPr>
          <w:rFonts w:hint="eastAsia" w:ascii="楷体_GB2312" w:hAnsi="Times New Roman" w:eastAsia="楷体_GB2312" w:cs="Times New Roman"/>
          <w:kern w:val="2"/>
          <w:sz w:val="32"/>
          <w:szCs w:val="32"/>
          <w:lang w:eastAsia="zh-CN"/>
        </w:rPr>
      </w:pPr>
      <w:r>
        <w:rPr>
          <w:rFonts w:hint="eastAsia" w:ascii="楷体_GB2312" w:hAnsi="Times New Roman" w:eastAsia="楷体_GB2312" w:cs="Times New Roman"/>
          <w:kern w:val="2"/>
          <w:sz w:val="32"/>
          <w:szCs w:val="32"/>
          <w:lang w:eastAsia="zh-CN"/>
        </w:rPr>
        <w:t>（</w:t>
      </w:r>
      <w:r>
        <w:rPr>
          <w:rFonts w:hint="eastAsia" w:ascii="楷体_GB2312" w:hAnsi="Times New Roman" w:eastAsia="楷体_GB2312" w:cs="Times New Roman"/>
          <w:kern w:val="2"/>
          <w:sz w:val="32"/>
          <w:szCs w:val="32"/>
          <w:lang w:val="en-US" w:eastAsia="zh-CN"/>
        </w:rPr>
        <w:t>三）</w:t>
      </w:r>
      <w:r>
        <w:rPr>
          <w:rFonts w:hint="eastAsia" w:ascii="楷体_GB2312" w:hAnsi="Times New Roman" w:eastAsia="楷体_GB2312" w:cs="Times New Roman"/>
          <w:kern w:val="2"/>
          <w:sz w:val="32"/>
          <w:szCs w:val="32"/>
          <w:lang w:eastAsia="zh-CN"/>
        </w:rPr>
        <w:t>第3部分</w:t>
      </w:r>
      <w:r>
        <w:rPr>
          <w:rFonts w:hint="eastAsia" w:ascii="楷体_GB2312" w:hAnsi="Times New Roman" w:eastAsia="楷体_GB2312" w:cs="Times New Roman"/>
          <w:kern w:val="2"/>
          <w:sz w:val="32"/>
          <w:szCs w:val="32"/>
          <w:lang w:val="en-US" w:eastAsia="zh-CN"/>
        </w:rPr>
        <w:t xml:space="preserve"> </w:t>
      </w:r>
      <w:r>
        <w:rPr>
          <w:rFonts w:hint="eastAsia" w:ascii="楷体_GB2312" w:hAnsi="Times New Roman" w:eastAsia="楷体_GB2312" w:cs="Times New Roman"/>
          <w:kern w:val="2"/>
          <w:sz w:val="32"/>
          <w:szCs w:val="32"/>
          <w:lang w:eastAsia="zh-CN"/>
        </w:rPr>
        <w:t>岗位人员主要技术</w:t>
      </w:r>
      <w:r>
        <w:rPr>
          <w:rFonts w:hint="eastAsia" w:ascii="楷体_GB2312" w:hAnsi="Times New Roman" w:eastAsia="楷体_GB2312" w:cs="Times New Roman"/>
          <w:kern w:val="2"/>
          <w:sz w:val="32"/>
          <w:szCs w:val="32"/>
          <w:lang w:val="en-US" w:eastAsia="zh-CN"/>
        </w:rPr>
        <w:t>指标、</w:t>
      </w:r>
      <w:r>
        <w:rPr>
          <w:rFonts w:hint="eastAsia" w:ascii="楷体_GB2312" w:hAnsi="Times New Roman" w:eastAsia="楷体_GB2312" w:cs="Times New Roman"/>
          <w:kern w:val="2"/>
          <w:sz w:val="32"/>
          <w:szCs w:val="32"/>
          <w:lang w:eastAsia="zh-CN"/>
        </w:rPr>
        <w:t>内容如下：</w:t>
      </w:r>
    </w:p>
    <w:p w14:paraId="2194CED5">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1.范围</w:t>
      </w:r>
    </w:p>
    <w:p w14:paraId="22B8961E">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说明了标准的适用范围：本章明确了本标准的适用范围，即旨在用于用人单位经过工伤预防培训后，岗位职工工伤预防知识、技能的提高及减少工伤事故，也适用于对培训机构的工伤预防培训工作的监督。</w:t>
      </w:r>
    </w:p>
    <w:p w14:paraId="3EDBF965">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2.规范性引用文件</w:t>
      </w:r>
    </w:p>
    <w:p w14:paraId="65FAF898">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根据GB/T 1.1—2020《标准化工作导则 第1部分：标准化文件的结构和起草规则》规定，列出正文中引用的相关标准文件。</w:t>
      </w:r>
    </w:p>
    <w:p w14:paraId="419B761B">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3.术语和定义</w:t>
      </w:r>
    </w:p>
    <w:p w14:paraId="7E799E2A">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术语和定义：GB/T 31596.1 社会保险术语、《工伤保险条例》《劳动合同法》《工伤预防费使用管理暂行办法》等法律法规中的定义，适用于本标准。</w:t>
      </w:r>
    </w:p>
    <w:p w14:paraId="145E1D20">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mc:AlternateContent>
          <mc:Choice Requires="wps">
            <w:drawing>
              <wp:anchor distT="0" distB="0" distL="114300" distR="114300" simplePos="0" relativeHeight="251661312" behindDoc="0" locked="0" layoutInCell="1" allowOverlap="1">
                <wp:simplePos x="0" y="0"/>
                <wp:positionH relativeFrom="column">
                  <wp:posOffset>-3402330</wp:posOffset>
                </wp:positionH>
                <wp:positionV relativeFrom="paragraph">
                  <wp:posOffset>243840</wp:posOffset>
                </wp:positionV>
                <wp:extent cx="18415" cy="18415"/>
                <wp:effectExtent l="0" t="0" r="0" b="0"/>
                <wp:wrapNone/>
                <wp:docPr id="3" name="墨迹 3"/>
                <wp:cNvGraphicFramePr/>
                <a:graphic xmlns:a="http://schemas.openxmlformats.org/drawingml/2006/main">
                  <a:graphicData uri="http://schemas.microsoft.com/office/word/2010/wordprocessingInk">
                    <mc:AlternateContent xmlns:a14="http://schemas.microsoft.com/office/drawing/2010/main">
                      <mc:Choice Requires="a14">
                        <w14:contentPart bwMode="clr" r:id="rId8">
                          <w14:nvContentPartPr>
                            <w14:cNvPr id="3" name="墨迹 3"/>
                            <w14:cNvContentPartPr/>
                          </w14:nvContentPartPr>
                          <w14:xfrm>
                            <a:off x="0" y="0"/>
                            <a:ext cx="18415" cy="18415"/>
                          </w14:xfrm>
                        </w14:contentPart>
                      </mc:Choice>
                    </mc:AlternateContent>
                  </a:graphicData>
                </a:graphic>
              </wp:anchor>
            </w:drawing>
          </mc:Choice>
          <mc:Fallback>
            <w:pict>
              <v:shape id="_x0000_s1026" o:spid="_x0000_s1026" o:spt="75" style="position:absolute;left:0pt;margin-left:-267.9pt;margin-top:19.2pt;height:1.45pt;width:1.45pt;z-index:251661312;mso-width-relative:page;mso-height-relative:page;" coordsize="21600,21600" o:gfxdata="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">
                <v:imagedata r:id="rId6" o:title=""/>
                <o:lock v:ext="edit"/>
              </v:shape>
            </w:pict>
          </mc:Fallback>
        </mc:AlternateContent>
      </w:r>
      <w:r>
        <w:rPr>
          <w:rFonts w:hint="eastAsia" w:ascii="Times New Roman" w:hAnsi="Times New Roman" w:eastAsia="仿宋_GB2312" w:cs="Times New Roman"/>
          <w:kern w:val="2"/>
          <w:sz w:val="32"/>
          <w:szCs w:val="32"/>
          <w:lang w:eastAsia="zh-CN"/>
        </w:rPr>
        <w:t>4.培训目的与要求</w:t>
      </w:r>
    </w:p>
    <w:p w14:paraId="74094436">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4.1 培训目的：对用人单位岗位职工的工伤预防培训的目的进行明确，并提出了要求。</w:t>
      </w:r>
    </w:p>
    <w:p w14:paraId="5EB75094">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4.2 培训要求：按照本系列标准《用人单位工伤预防培训指南 第5部分 职工岗位工伤风险评估》规定的方法进行风险辨识和风险评估后，有针对性制定职业岗位培训计划、培训大纲，课程内容。</w:t>
      </w:r>
    </w:p>
    <w:p w14:paraId="65E17D68">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5.培训机构要求</w:t>
      </w:r>
    </w:p>
    <w:p w14:paraId="4E411070">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对培训机构从培训制度、培训场所、培训教师及管理人员、培训教学、线上培训、设备设施配备、培训档案管理等7个方面提出具体要求。</w:t>
      </w:r>
    </w:p>
    <w:p w14:paraId="46AE02AC">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6.培训阶段</w:t>
      </w:r>
    </w:p>
    <w:p w14:paraId="62B7B6EF">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工伤预防岗位人员培训分为三个阶段，应根据不同培训阶段和培训目标采取不同的培训方式，第一阶段基础知识培训、第二阶段能力提高培训第三阶段 互动实践培训。</w:t>
      </w:r>
    </w:p>
    <w:p w14:paraId="65F367E3">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7.培训方式</w:t>
      </w:r>
    </w:p>
    <w:p w14:paraId="54D1BE0D">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以线下集中授课培训、互动式培训为主，网络视频培训、自学为辅。</w:t>
      </w:r>
    </w:p>
    <w:p w14:paraId="22727DA8">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8.培训内容、教材及计划</w:t>
      </w:r>
    </w:p>
    <w:p w14:paraId="0E3BDBE0">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培训内容应包括：工伤预防法律法规讲解、职工岗位职业工伤风险现状分析、职工岗位职业工伤预防技术讲解、职工岗位职业工伤事故案例分析、其他培训内容及教材，并以附录形式提供了可参考的教学计划。</w:t>
      </w:r>
    </w:p>
    <w:p w14:paraId="4DD979D4">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9.培训跟进指导和回访</w:t>
      </w:r>
    </w:p>
    <w:p w14:paraId="47DF9C27">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对培训效果提出了培训后跟进辅导和回访要求，并确定了跟进及回访方式、跟进及回访内容、跟进及回访频率等。</w:t>
      </w:r>
    </w:p>
    <w:p w14:paraId="48535664">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10.档案管理</w:t>
      </w:r>
    </w:p>
    <w:p w14:paraId="64A18737">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提出了培训全过程档案管理严格要求，制定了培训档案信息内容和具体要求。</w:t>
      </w:r>
    </w:p>
    <w:p w14:paraId="557CF1AF">
      <w:pPr>
        <w:pStyle w:val="7"/>
        <w:widowControl w:val="0"/>
        <w:spacing w:before="0" w:beforeAutospacing="0" w:after="0" w:afterAutospacing="0" w:line="591" w:lineRule="exact"/>
        <w:ind w:firstLine="640" w:firstLineChars="200"/>
        <w:rPr>
          <w:rFonts w:hint="eastAsia" w:ascii="楷体_GB2312" w:hAnsi="Times New Roman" w:eastAsia="楷体_GB2312" w:cs="Times New Roman"/>
          <w:kern w:val="2"/>
          <w:sz w:val="32"/>
          <w:szCs w:val="32"/>
          <w:lang w:eastAsia="zh-CN"/>
        </w:rPr>
      </w:pPr>
      <w:r>
        <w:rPr>
          <w:rFonts w:hint="eastAsia" w:ascii="楷体_GB2312" w:hAnsi="Times New Roman" w:eastAsia="楷体_GB2312" w:cs="Times New Roman"/>
          <w:kern w:val="2"/>
          <w:sz w:val="32"/>
          <w:szCs w:val="32"/>
          <w:lang w:eastAsia="zh-CN"/>
        </w:rPr>
        <w:t>（</w:t>
      </w:r>
      <w:r>
        <w:rPr>
          <w:rFonts w:hint="eastAsia" w:ascii="楷体_GB2312" w:hAnsi="Times New Roman" w:eastAsia="楷体_GB2312" w:cs="Times New Roman"/>
          <w:kern w:val="2"/>
          <w:sz w:val="32"/>
          <w:szCs w:val="32"/>
          <w:lang w:val="en-US" w:eastAsia="zh-CN"/>
        </w:rPr>
        <w:t>四）</w:t>
      </w:r>
      <w:r>
        <w:rPr>
          <w:rFonts w:hint="eastAsia" w:ascii="楷体_GB2312" w:hAnsi="Times New Roman" w:eastAsia="楷体_GB2312" w:cs="Times New Roman"/>
          <w:kern w:val="2"/>
          <w:sz w:val="32"/>
          <w:szCs w:val="32"/>
          <w:lang w:eastAsia="zh-CN"/>
        </w:rPr>
        <w:t>第4部分</w:t>
      </w:r>
      <w:r>
        <w:rPr>
          <w:rFonts w:hint="eastAsia" w:ascii="楷体_GB2312" w:hAnsi="Times New Roman" w:eastAsia="楷体_GB2312" w:cs="Times New Roman"/>
          <w:kern w:val="2"/>
          <w:sz w:val="32"/>
          <w:szCs w:val="32"/>
          <w:lang w:val="en-US" w:eastAsia="zh-CN"/>
        </w:rPr>
        <w:t xml:space="preserve"> </w:t>
      </w:r>
      <w:r>
        <w:rPr>
          <w:rFonts w:hint="eastAsia" w:ascii="楷体_GB2312" w:hAnsi="Times New Roman" w:eastAsia="楷体_GB2312" w:cs="Times New Roman"/>
          <w:kern w:val="2"/>
          <w:sz w:val="32"/>
          <w:szCs w:val="32"/>
          <w:lang w:eastAsia="zh-CN"/>
        </w:rPr>
        <w:t>岗位职工培训效果评估主要技术</w:t>
      </w:r>
      <w:r>
        <w:rPr>
          <w:rFonts w:hint="eastAsia" w:ascii="楷体_GB2312" w:hAnsi="Times New Roman" w:eastAsia="楷体_GB2312" w:cs="Times New Roman"/>
          <w:kern w:val="2"/>
          <w:sz w:val="32"/>
          <w:szCs w:val="32"/>
          <w:lang w:val="en-US" w:eastAsia="zh-CN"/>
        </w:rPr>
        <w:t>指标、</w:t>
      </w:r>
      <w:r>
        <w:rPr>
          <w:rFonts w:hint="eastAsia" w:ascii="楷体_GB2312" w:hAnsi="Times New Roman" w:eastAsia="楷体_GB2312" w:cs="Times New Roman"/>
          <w:kern w:val="2"/>
          <w:sz w:val="32"/>
          <w:szCs w:val="32"/>
          <w:lang w:eastAsia="zh-CN"/>
        </w:rPr>
        <w:t>内容如下：</w:t>
      </w:r>
    </w:p>
    <w:p w14:paraId="0726D144">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1.范围</w:t>
      </w:r>
    </w:p>
    <w:p w14:paraId="694A29DB">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说明了标准的适用范围：本标准的预定使用者是那些参与工伤预防培训组织管理、宣传、培训机构的人员，给出了用人单位岗位职工工伤预防培训后的效果评估方法，并描述了框架、步骤、方法和工具等，并为其培训评估过程进行规范。</w:t>
      </w:r>
    </w:p>
    <w:p w14:paraId="46A5350B">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2.规范性引用文件</w:t>
      </w:r>
    </w:p>
    <w:p w14:paraId="13494FE0">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根据GB/T 1.1—2020《标准化工作导则 第1部分：标准化文件的结构和起草规则》规定，列出正文中引用的相关标准文件。</w:t>
      </w:r>
    </w:p>
    <w:p w14:paraId="48FEE437">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3.术语和定义</w:t>
      </w:r>
    </w:p>
    <w:p w14:paraId="17901E8F">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术语和定义采用GB/T 19025-2001 《质量管理培训指南》、GB/T 31596.1 社会保险术语、《工伤保险条例》《工伤预防费使用管理暂行办法》《劳动合同法》等法律法规中的定义来界定的，适用于本标准。</w:t>
      </w:r>
    </w:p>
    <w:p w14:paraId="21B053A5">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mc:AlternateContent>
          <mc:Choice Requires="wps">
            <w:drawing>
              <wp:anchor distT="0" distB="0" distL="114300" distR="114300" simplePos="0" relativeHeight="251662336" behindDoc="0" locked="0" layoutInCell="1" allowOverlap="1">
                <wp:simplePos x="0" y="0"/>
                <wp:positionH relativeFrom="column">
                  <wp:posOffset>-3402330</wp:posOffset>
                </wp:positionH>
                <wp:positionV relativeFrom="paragraph">
                  <wp:posOffset>243840</wp:posOffset>
                </wp:positionV>
                <wp:extent cx="18415" cy="18415"/>
                <wp:effectExtent l="0" t="0" r="0" b="0"/>
                <wp:wrapNone/>
                <wp:docPr id="4" name="墨迹 2"/>
                <wp:cNvGraphicFramePr/>
                <a:graphic xmlns:a="http://schemas.openxmlformats.org/drawingml/2006/main">
                  <a:graphicData uri="http://schemas.microsoft.com/office/word/2010/wordprocessingInk">
                    <mc:AlternateContent xmlns:a14="http://schemas.microsoft.com/office/drawing/2010/main">
                      <mc:Choice Requires="a14">
                        <w14:contentPart bwMode="clr" r:id="rId9">
                          <w14:nvContentPartPr>
                            <w14:cNvPr id="4" name="墨迹 2"/>
                            <w14:cNvContentPartPr/>
                          </w14:nvContentPartPr>
                          <w14:xfrm>
                            <a:off x="0" y="0"/>
                            <a:ext cx="18415" cy="18415"/>
                          </w14:xfrm>
                        </w14:contentPart>
                      </mc:Choice>
                    </mc:AlternateContent>
                  </a:graphicData>
                </a:graphic>
              </wp:anchor>
            </w:drawing>
          </mc:Choice>
          <mc:Fallback>
            <w:pict>
              <v:shape id="墨迹 2" o:spid="_x0000_s1026" o:spt="75" style="position:absolute;left:0pt;margin-left:-267.9pt;margin-top:19.2pt;height:1.45pt;width:1.45pt;z-index:251662336;mso-width-relative:page;mso-height-relative:page;" coordsize="21600,21600" o:gfxdata="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">
                <v:imagedata r:id="rId6" o:title=""/>
                <o:lock v:ext="edit"/>
              </v:shape>
            </w:pict>
          </mc:Fallback>
        </mc:AlternateContent>
      </w:r>
      <w:r>
        <w:rPr>
          <w:rFonts w:hint="eastAsia" w:ascii="Times New Roman" w:hAnsi="Times New Roman" w:eastAsia="仿宋_GB2312" w:cs="Times New Roman"/>
          <w:kern w:val="2"/>
          <w:sz w:val="32"/>
          <w:szCs w:val="32"/>
          <w:lang w:eastAsia="zh-CN"/>
        </w:rPr>
        <w:t>4.评估工具</w:t>
      </w:r>
    </w:p>
    <w:p w14:paraId="25AE43F7">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本标准采用的“四个阶段”的培训评估模型是由柯克派崔克 (Kirkpatrick)1959 提出的，被国内外广泛运用，这个模型中包括四个阶段的评估：</w:t>
      </w:r>
    </w:p>
    <w:p w14:paraId="35F0BD34">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5.评估方法</w:t>
      </w:r>
    </w:p>
    <w:p w14:paraId="1A8C9531">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（1）学员反应效果评估－对培训的组织和实施以及培训本身的质量进行评估；</w:t>
      </w:r>
    </w:p>
    <w:p w14:paraId="030AD394">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（2）学员学习效果评估－评估学员对培训内容的掌握情况；</w:t>
      </w:r>
    </w:p>
    <w:p w14:paraId="0D14D32C">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（3）学员行为效果评估－评估培训给学员带来的行为上的改变；</w:t>
      </w:r>
    </w:p>
    <w:p w14:paraId="5432F00C">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（4）学员绩效效果评估－评估培训是否使学员工伤预防能力提高、工伤事故率降低、工伤保险赔付减少。</w:t>
      </w:r>
    </w:p>
    <w:p w14:paraId="52874B88">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对以上评估通过第三方评估机构抽查加权修正确定最后得出结论。</w:t>
      </w:r>
    </w:p>
    <w:p w14:paraId="51B976B9">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6.培训资金使用情况分析</w:t>
      </w:r>
    </w:p>
    <w:p w14:paraId="465B1394">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为了保证工伤保险培训基金安全使用，对资金的使用提出了方法和内容。</w:t>
      </w:r>
    </w:p>
    <w:p w14:paraId="57DFBED7">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7.培训评估及评估信息化平台</w:t>
      </w:r>
    </w:p>
    <w:p w14:paraId="06B670D5">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确定了评估的时机、第三方评估机构的要求、评估信息化平台管理</w:t>
      </w:r>
    </w:p>
    <w:p w14:paraId="22133978">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8.培训评估报告</w:t>
      </w:r>
    </w:p>
    <w:p w14:paraId="0F27E494">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提出了评估报告编写内容及要求。</w:t>
      </w:r>
    </w:p>
    <w:p w14:paraId="027D48F7">
      <w:pPr>
        <w:pStyle w:val="7"/>
        <w:widowControl w:val="0"/>
        <w:spacing w:before="0" w:beforeAutospacing="0" w:after="0" w:afterAutospacing="0" w:line="591" w:lineRule="exact"/>
        <w:ind w:firstLine="640" w:firstLineChars="200"/>
        <w:rPr>
          <w:rFonts w:hint="eastAsia" w:ascii="楷体_GB2312" w:hAnsi="Times New Roman" w:eastAsia="楷体_GB2312" w:cs="Times New Roman"/>
          <w:kern w:val="2"/>
          <w:sz w:val="32"/>
          <w:szCs w:val="32"/>
          <w:lang w:eastAsia="zh-CN"/>
        </w:rPr>
      </w:pPr>
      <w:r>
        <w:rPr>
          <w:rFonts w:hint="eastAsia" w:ascii="楷体_GB2312" w:hAnsi="Times New Roman" w:eastAsia="楷体_GB2312" w:cs="Times New Roman"/>
          <w:kern w:val="2"/>
          <w:sz w:val="32"/>
          <w:szCs w:val="32"/>
          <w:lang w:eastAsia="zh-CN"/>
        </w:rPr>
        <w:t>（</w:t>
      </w:r>
      <w:r>
        <w:rPr>
          <w:rFonts w:hint="eastAsia" w:ascii="楷体_GB2312" w:hAnsi="Times New Roman" w:eastAsia="楷体_GB2312" w:cs="Times New Roman"/>
          <w:kern w:val="2"/>
          <w:sz w:val="32"/>
          <w:szCs w:val="32"/>
          <w:lang w:val="en-US" w:eastAsia="zh-CN"/>
        </w:rPr>
        <w:t>五）</w:t>
      </w:r>
      <w:r>
        <w:rPr>
          <w:rFonts w:hint="eastAsia" w:ascii="楷体_GB2312" w:hAnsi="Times New Roman" w:eastAsia="楷体_GB2312" w:cs="Times New Roman"/>
          <w:kern w:val="2"/>
          <w:sz w:val="32"/>
          <w:szCs w:val="32"/>
          <w:lang w:eastAsia="zh-CN"/>
        </w:rPr>
        <w:t>第5部分</w:t>
      </w:r>
      <w:r>
        <w:rPr>
          <w:rFonts w:hint="eastAsia" w:ascii="楷体_GB2312" w:hAnsi="Times New Roman" w:eastAsia="楷体_GB2312" w:cs="Times New Roman"/>
          <w:kern w:val="2"/>
          <w:sz w:val="32"/>
          <w:szCs w:val="32"/>
          <w:lang w:val="en-US" w:eastAsia="zh-CN"/>
        </w:rPr>
        <w:t xml:space="preserve"> </w:t>
      </w:r>
      <w:r>
        <w:rPr>
          <w:rFonts w:hint="eastAsia" w:ascii="楷体_GB2312" w:hAnsi="Times New Roman" w:eastAsia="楷体_GB2312" w:cs="Times New Roman"/>
          <w:kern w:val="2"/>
          <w:sz w:val="32"/>
          <w:szCs w:val="32"/>
          <w:lang w:eastAsia="zh-CN"/>
        </w:rPr>
        <w:t>岗位职工工伤风险评估主要技术</w:t>
      </w:r>
      <w:r>
        <w:rPr>
          <w:rFonts w:hint="eastAsia" w:ascii="楷体_GB2312" w:hAnsi="Times New Roman" w:eastAsia="楷体_GB2312" w:cs="Times New Roman"/>
          <w:kern w:val="2"/>
          <w:sz w:val="32"/>
          <w:szCs w:val="32"/>
          <w:lang w:val="en-US" w:eastAsia="zh-CN"/>
        </w:rPr>
        <w:t>指标、</w:t>
      </w:r>
      <w:r>
        <w:rPr>
          <w:rFonts w:hint="eastAsia" w:ascii="楷体_GB2312" w:hAnsi="Times New Roman" w:eastAsia="楷体_GB2312" w:cs="Times New Roman"/>
          <w:kern w:val="2"/>
          <w:sz w:val="32"/>
          <w:szCs w:val="32"/>
          <w:lang w:eastAsia="zh-CN"/>
        </w:rPr>
        <w:t>内容如下：</w:t>
      </w:r>
    </w:p>
    <w:p w14:paraId="4E88A297">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1.范围</w:t>
      </w:r>
    </w:p>
    <w:p w14:paraId="299D14B6">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说明了标准的适用范围：本标准旨在用于各类岗位职业（工种）由于工作任务复杂性不同所带来的潜在伤害方面进行风险评估，并为工伤预防培训前提供精准教学素材及依据。</w:t>
      </w:r>
    </w:p>
    <w:p w14:paraId="0589DDD7">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2.规范性引用文件</w:t>
      </w:r>
    </w:p>
    <w:p w14:paraId="782BF6E5">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根据GB/T 1.1—2020《标准化工作导则 第1部分：标准化文件的结构和起草规则》规定，列出正文中引用的相关标准文件。</w:t>
      </w:r>
    </w:p>
    <w:p w14:paraId="7708609B">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3.术语和定义</w:t>
      </w:r>
    </w:p>
    <w:p w14:paraId="30E7F9E9">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术语和定义采用《GB/T 31596.1 社会保险术语》《GB/T 24353-2022 风险管理 指南》技术标准中的定义来界定的，适用于本标准。</w:t>
      </w:r>
    </w:p>
    <w:p w14:paraId="6EA962A9">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mc:AlternateContent>
          <mc:Choice Requires="wps">
            <w:drawing>
              <wp:anchor distT="0" distB="0" distL="114300" distR="114300" simplePos="0" relativeHeight="251663360" behindDoc="0" locked="0" layoutInCell="1" allowOverlap="1">
                <wp:simplePos x="0" y="0"/>
                <wp:positionH relativeFrom="column">
                  <wp:posOffset>-3402330</wp:posOffset>
                </wp:positionH>
                <wp:positionV relativeFrom="paragraph">
                  <wp:posOffset>243840</wp:posOffset>
                </wp:positionV>
                <wp:extent cx="18415" cy="18415"/>
                <wp:effectExtent l="0" t="0" r="0" b="0"/>
                <wp:wrapNone/>
                <wp:docPr id="5" name="墨迹 2"/>
                <wp:cNvGraphicFramePr/>
                <a:graphic xmlns:a="http://schemas.openxmlformats.org/drawingml/2006/main">
                  <a:graphicData uri="http://schemas.microsoft.com/office/word/2010/wordprocessingInk">
                    <mc:AlternateContent xmlns:a14="http://schemas.microsoft.com/office/drawing/2010/main">
                      <mc:Choice Requires="a14">
                        <w14:contentPart bwMode="clr" r:id="rId10">
                          <w14:nvContentPartPr>
                            <w14:cNvPr id="5" name="墨迹 2"/>
                            <w14:cNvContentPartPr/>
                          </w14:nvContentPartPr>
                          <w14:xfrm>
                            <a:off x="0" y="0"/>
                            <a:ext cx="18415" cy="18415"/>
                          </w14:xfrm>
                        </w14:contentPart>
                      </mc:Choice>
                    </mc:AlternateContent>
                  </a:graphicData>
                </a:graphic>
              </wp:anchor>
            </w:drawing>
          </mc:Choice>
          <mc:Fallback>
            <w:pict>
              <v:shape id="墨迹 2" o:spid="_x0000_s1026" o:spt="75" style="position:absolute;left:0pt;margin-left:-267.9pt;margin-top:19.2pt;height:1.45pt;width:1.45pt;z-index:251663360;mso-width-relative:page;mso-height-relative:page;" coordsize="21600,21600" o:gfxdata="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">
                <v:imagedata r:id="rId6" o:title=""/>
                <o:lock v:ext="edit"/>
              </v:shape>
            </w:pict>
          </mc:Fallback>
        </mc:AlternateContent>
      </w:r>
      <w:r>
        <w:rPr>
          <w:rFonts w:hint="eastAsia" w:ascii="Times New Roman" w:hAnsi="Times New Roman" w:eastAsia="仿宋_GB2312" w:cs="Times New Roman"/>
          <w:kern w:val="2"/>
          <w:sz w:val="32"/>
          <w:szCs w:val="32"/>
          <w:lang w:eastAsia="zh-CN"/>
        </w:rPr>
        <w:t>4.风险评估目的和作用</w:t>
      </w:r>
    </w:p>
    <w:p w14:paraId="79FB0FD5">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4.1 风险评估目的：风险评估旨在为用人单位职工自身岗位职业风险应对提供基于证据的信息和分析。</w:t>
      </w:r>
    </w:p>
    <w:p w14:paraId="2B93DB7D">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4.2 风险评估的主要作用：分析出用人单位职工岗位职业工伤风险点、风险来源，根据风险高低进行排序，优先解决高工伤风险职业（工种）的工伤事故预防。</w:t>
      </w:r>
    </w:p>
    <w:p w14:paraId="15A0496A">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5.风险评估的准备</w:t>
      </w:r>
    </w:p>
    <w:p w14:paraId="1CC320CD">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bookmarkStart w:id="2" w:name="_Toc167717920"/>
      <w:r>
        <w:rPr>
          <w:rFonts w:hint="eastAsia" w:ascii="Times New Roman" w:hAnsi="Times New Roman" w:eastAsia="仿宋_GB2312" w:cs="Times New Roman"/>
          <w:kern w:val="2"/>
          <w:sz w:val="32"/>
          <w:szCs w:val="32"/>
          <w:lang w:eastAsia="zh-CN"/>
        </w:rPr>
        <w:t>5.1　一般要求</w:t>
      </w:r>
      <w:bookmarkEnd w:id="2"/>
      <w:r>
        <w:rPr>
          <w:rFonts w:hint="eastAsia" w:ascii="Times New Roman" w:hAnsi="Times New Roman" w:eastAsia="仿宋_GB2312" w:cs="Times New Roman"/>
          <w:kern w:val="2"/>
          <w:sz w:val="32"/>
          <w:szCs w:val="32"/>
          <w:lang w:eastAsia="zh-CN"/>
        </w:rPr>
        <w:t>：首先按照《中华人民共和国职业分类大典》给岗位职工进行分类，如类别、职业（工种）等，查找职工所从事职业（工种）的主要工作任务，明确风险评估的对象及范围。</w:t>
      </w:r>
    </w:p>
    <w:p w14:paraId="34D96DC9">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5.2 工作组成员能力的要求：根据行业风险选择技能和专业知识相对应的工作组成员</w:t>
      </w:r>
    </w:p>
    <w:p w14:paraId="0BD94E9B">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bookmarkStart w:id="3" w:name="_Toc167717922"/>
      <w:r>
        <w:rPr>
          <w:rFonts w:hint="eastAsia" w:ascii="Times New Roman" w:hAnsi="Times New Roman" w:eastAsia="仿宋_GB2312" w:cs="Times New Roman"/>
          <w:kern w:val="2"/>
          <w:sz w:val="32"/>
          <w:szCs w:val="32"/>
          <w:lang w:eastAsia="zh-CN"/>
        </w:rPr>
        <w:t>5.3　风险评估信息资源调查</w:t>
      </w:r>
      <w:bookmarkEnd w:id="3"/>
      <w:r>
        <w:rPr>
          <w:rFonts w:hint="eastAsia" w:ascii="Times New Roman" w:hAnsi="Times New Roman" w:eastAsia="仿宋_GB2312" w:cs="Times New Roman"/>
          <w:kern w:val="2"/>
          <w:sz w:val="32"/>
          <w:szCs w:val="32"/>
          <w:lang w:eastAsia="zh-CN"/>
        </w:rPr>
        <w:t>：风险评估前期需要进入评估企业搜集、调查、取证的内容。</w:t>
      </w:r>
    </w:p>
    <w:p w14:paraId="71ED3C36">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bookmarkStart w:id="4" w:name="_Toc167717923"/>
      <w:r>
        <w:rPr>
          <w:rFonts w:hint="eastAsia" w:ascii="Times New Roman" w:hAnsi="Times New Roman" w:eastAsia="仿宋_GB2312" w:cs="Times New Roman"/>
          <w:kern w:val="2"/>
          <w:sz w:val="32"/>
          <w:szCs w:val="32"/>
          <w:lang w:eastAsia="zh-CN"/>
        </w:rPr>
        <w:t>6.风险评估</w:t>
      </w:r>
      <w:bookmarkEnd w:id="4"/>
    </w:p>
    <w:p w14:paraId="25DAEBB3">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给出了风险评估过程中风险识别、风险分析、风险评价及每一步所涉及的内容。</w:t>
      </w:r>
    </w:p>
    <w:p w14:paraId="2E618EDD">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7.风险评估方法</w:t>
      </w:r>
    </w:p>
    <w:p w14:paraId="4C544162">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给出了风险评估常用方法，如风险矩阵法、风险图法、数值评分法、混合型工具等。</w:t>
      </w:r>
    </w:p>
    <w:p w14:paraId="6891816E">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本标准主要介绍了风险矩阵法应用。</w:t>
      </w:r>
    </w:p>
    <w:p w14:paraId="7628C7C0">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bookmarkStart w:id="5" w:name="_Toc167717950"/>
      <w:r>
        <w:rPr>
          <w:rFonts w:hint="eastAsia" w:ascii="Times New Roman" w:hAnsi="Times New Roman" w:eastAsia="仿宋_GB2312" w:cs="Times New Roman"/>
          <w:kern w:val="2"/>
          <w:sz w:val="32"/>
          <w:szCs w:val="32"/>
          <w:lang w:eastAsia="zh-CN"/>
        </w:rPr>
        <w:t>8.风险防控措施</w:t>
      </w:r>
      <w:bookmarkEnd w:id="5"/>
    </w:p>
    <w:p w14:paraId="16AEAFB9">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通过采纳风险评估过程中提出的建议，并采用符合相关标准来确定保护措施。在风险防控措施过程中，首先确定保护措施减少风险的相对优先级。</w:t>
      </w:r>
    </w:p>
    <w:p w14:paraId="06769AFB">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9.风险评估迭代</w:t>
      </w:r>
    </w:p>
    <w:p w14:paraId="799D86C7">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采取保护和风险防控措施时，确定了风险评估的所有阶段都应重复进行核查的内容，</w:t>
      </w:r>
    </w:p>
    <w:p w14:paraId="7CA48CBC">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保证保护措施的可靠性。</w:t>
      </w:r>
    </w:p>
    <w:p w14:paraId="7D142A67">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10.风险评估文件</w:t>
      </w:r>
    </w:p>
    <w:p w14:paraId="5217B0AE">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提出了评估完成后，要保留所有的风险评估书面报告作为工伤预防和培训工作前的素材及参考依据，并对其保留内容提出具体要求。</w:t>
      </w:r>
    </w:p>
    <w:p w14:paraId="263A886C">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11.附录</w:t>
      </w:r>
    </w:p>
    <w:p w14:paraId="334EB44F">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给出</w:t>
      </w:r>
      <w:bookmarkStart w:id="6" w:name="_Toc167717964"/>
      <w:r>
        <w:rPr>
          <w:rFonts w:hint="eastAsia" w:ascii="Times New Roman" w:hAnsi="Times New Roman" w:eastAsia="仿宋_GB2312" w:cs="Times New Roman"/>
          <w:kern w:val="2"/>
          <w:sz w:val="32"/>
          <w:szCs w:val="32"/>
          <w:lang w:eastAsia="zh-CN"/>
        </w:rPr>
        <w:t>用于风险评估过程的几个步骤的方法的示例</w:t>
      </w:r>
      <w:bookmarkEnd w:id="6"/>
      <w:r>
        <w:rPr>
          <w:rFonts w:hint="eastAsia" w:ascii="Times New Roman" w:hAnsi="Times New Roman" w:eastAsia="仿宋_GB2312" w:cs="Times New Roman"/>
          <w:kern w:val="2"/>
          <w:sz w:val="32"/>
          <w:szCs w:val="32"/>
          <w:lang w:eastAsia="zh-CN"/>
        </w:rPr>
        <w:t>，便于标准使用人对标准的加深理解。</w:t>
      </w:r>
    </w:p>
    <w:p w14:paraId="236EAE92">
      <w:pPr>
        <w:pStyle w:val="7"/>
        <w:widowControl w:val="0"/>
        <w:spacing w:before="0" w:beforeAutospacing="0" w:after="0" w:afterAutospacing="0" w:line="591" w:lineRule="exact"/>
        <w:ind w:firstLine="640" w:firstLineChars="200"/>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rPr>
        <w:t>六、对国际标准和国外先进标准的采标程度，以及与国内外同类标准水平的对比</w:t>
      </w:r>
    </w:p>
    <w:p w14:paraId="41331D49">
      <w:pPr>
        <w:pStyle w:val="7"/>
        <w:widowControl w:val="0"/>
        <w:spacing w:before="0" w:beforeAutospacing="0" w:after="0" w:afterAutospacing="0" w:line="591" w:lineRule="exact"/>
        <w:ind w:firstLine="640" w:firstLineChars="200"/>
        <w:rPr>
          <w:rFonts w:hint="eastAsia" w:ascii="楷体_GB2312" w:hAnsi="Times New Roman" w:eastAsia="楷体_GB2312" w:cs="Times New Roman"/>
          <w:kern w:val="2"/>
          <w:sz w:val="32"/>
          <w:szCs w:val="32"/>
        </w:rPr>
      </w:pPr>
      <w:r>
        <w:rPr>
          <w:rFonts w:hint="eastAsia" w:ascii="楷体_GB2312" w:hAnsi="Times New Roman" w:eastAsia="楷体_GB2312" w:cs="Times New Roman"/>
          <w:kern w:val="2"/>
          <w:sz w:val="32"/>
          <w:szCs w:val="32"/>
          <w:lang w:val="en-US" w:eastAsia="zh-CN"/>
        </w:rPr>
        <w:t>（一）</w:t>
      </w:r>
      <w:r>
        <w:rPr>
          <w:rFonts w:hint="eastAsia" w:ascii="楷体_GB2312" w:hAnsi="Times New Roman" w:eastAsia="楷体_GB2312" w:cs="Times New Roman"/>
          <w:kern w:val="2"/>
          <w:sz w:val="32"/>
          <w:szCs w:val="32"/>
        </w:rPr>
        <w:t>与国内相关标准间的关系</w:t>
      </w:r>
    </w:p>
    <w:p w14:paraId="229FC6CF">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《用人单位工伤预防培训指南》的第1部分工伤预防导师参照《国家职业技能标准编制技术规程（2018年版）》主体结构来编写培训指标体系，确定培训要素，规定培训内容和打分方法，是职业创建的基础标准。</w:t>
      </w:r>
    </w:p>
    <w:p w14:paraId="2A8A4BA3">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第2部分“三类”管理人员以及第3部分岗位职工确保相关的技术内容与国家和省市所发布的政策、技术文件相一致，与实际相协调；在此基础上，结合实际，以科学性、合理性和可操作性为原则，使标准内容更加可靠。</w:t>
      </w:r>
    </w:p>
    <w:p w14:paraId="232034A1">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第4部分岗位职工培训效果评估参照柯克派崔克 (Kirkpatrick</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的“四个阶段”的培训评估模型主体结构来编写培训指标体系，确定评估要素，规定评估内容和打分方法，为培训评估提供了基础标准。</w:t>
      </w:r>
    </w:p>
    <w:p w14:paraId="341D8C9C">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第5部分岗位职工工伤风险评估参照标准《GB/T 16856 -2015 机械安全 风险评估 实施指南和方法举例》是ISO/TR 14121.2-2007《机械安全风险评价第2部分：实施指南和方法举例》（英文版）转译版改编的，应用该标准主体结构来编写评估指标体系，确定评估要素，规定评估内容和打分方法，本标准为工伤预防工作的开展提供了科学基础标准。</w:t>
      </w:r>
    </w:p>
    <w:p w14:paraId="13C22C7A">
      <w:pPr>
        <w:pStyle w:val="7"/>
        <w:widowControl w:val="0"/>
        <w:spacing w:before="0" w:beforeAutospacing="0" w:after="0" w:afterAutospacing="0" w:line="591" w:lineRule="exact"/>
        <w:ind w:firstLine="640" w:firstLineChars="200"/>
        <w:rPr>
          <w:rFonts w:hint="eastAsia" w:ascii="楷体_GB2312" w:hAnsi="Times New Roman" w:eastAsia="楷体_GB2312" w:cs="Times New Roman"/>
          <w:kern w:val="2"/>
          <w:sz w:val="32"/>
          <w:szCs w:val="32"/>
          <w:lang w:val="en-US" w:eastAsia="zh-CN"/>
        </w:rPr>
      </w:pPr>
      <w:r>
        <w:rPr>
          <w:rFonts w:hint="eastAsia" w:ascii="楷体_GB2312" w:hAnsi="Times New Roman" w:eastAsia="楷体_GB2312" w:cs="Times New Roman"/>
          <w:kern w:val="2"/>
          <w:sz w:val="32"/>
          <w:szCs w:val="32"/>
          <w:lang w:val="en-US" w:eastAsia="zh-CN"/>
        </w:rPr>
        <w:t>（二）与国内相关标准间的关系</w:t>
      </w:r>
    </w:p>
    <w:p w14:paraId="0AC03E4E">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本团体标准《用人单位工伤预防培训指南》第1部分依据《国家职业技能标准编制技术规程（2018年版）》，第</w:t>
      </w:r>
      <w:r>
        <w:rPr>
          <w:rFonts w:hint="eastAsia"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 xml:space="preserve">第4部分依据《GB/T 19025-2001 《质量管理培训指南》、GB/T 31596.1 </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社会保险术语</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val="en-US" w:eastAsia="zh-CN"/>
        </w:rPr>
        <w:t>等</w:t>
      </w:r>
      <w:r>
        <w:rPr>
          <w:rFonts w:hint="eastAsia" w:ascii="Times New Roman" w:hAnsi="Times New Roman" w:eastAsia="仿宋_GB2312" w:cs="Times New Roman"/>
          <w:kern w:val="2"/>
          <w:sz w:val="32"/>
          <w:szCs w:val="32"/>
        </w:rPr>
        <w:t>采用成熟度培训内容和方法。本标准在设计培训指标体系时，</w:t>
      </w:r>
      <w:r>
        <w:rPr>
          <w:rFonts w:hint="eastAsia" w:ascii="Times New Roman" w:hAnsi="Times New Roman" w:eastAsia="仿宋_GB2312" w:cs="Times New Roman"/>
          <w:kern w:val="2"/>
          <w:sz w:val="32"/>
          <w:szCs w:val="32"/>
          <w:lang w:val="en-US" w:eastAsia="zh-CN"/>
        </w:rPr>
        <w:t>还</w:t>
      </w:r>
      <w:r>
        <w:rPr>
          <w:rFonts w:hint="eastAsia" w:ascii="Times New Roman" w:hAnsi="Times New Roman" w:eastAsia="仿宋_GB2312" w:cs="Times New Roman"/>
          <w:kern w:val="2"/>
          <w:sz w:val="32"/>
          <w:szCs w:val="32"/>
        </w:rPr>
        <w:t>参照了下列标准中的部分内容：《工伤保险条例</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工伤预防费使用管理暂行办法</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劳动合同法》</w:t>
      </w:r>
    </w:p>
    <w:p w14:paraId="40718CED">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第5部分的岗位职工工伤风险评估还依据《GB/T 16856 -2015 机械安全风险评估实施指南和方法举例》，是采用了成熟度评估内容和方法。在设计培训指标体系时，参照了下列标准中的部分内容：《GB/T 31596.1 社会保险术语</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GB/T 24353-2022 风险管理 指南</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GB 6441-86 企业职工伤亡事故分类》《工伤保险条例》。</w:t>
      </w:r>
    </w:p>
    <w:p w14:paraId="24316A74">
      <w:pPr>
        <w:pStyle w:val="7"/>
        <w:widowControl w:val="0"/>
        <w:spacing w:before="0" w:beforeAutospacing="0" w:after="0" w:afterAutospacing="0" w:line="591" w:lineRule="exact"/>
        <w:ind w:firstLine="640" w:firstLineChars="200"/>
        <w:rPr>
          <w:rFonts w:hint="eastAsia" w:ascii="Times New Roman" w:hAnsi="Times New Roman" w:eastAsia="黑体" w:cs="Times New Roman"/>
          <w:kern w:val="2"/>
          <w:sz w:val="32"/>
          <w:szCs w:val="32"/>
        </w:rPr>
      </w:pPr>
      <w:r>
        <w:rPr>
          <w:rFonts w:hint="eastAsia" w:ascii="Times New Roman" w:hAnsi="Times New Roman" w:eastAsia="黑体" w:cs="Times New Roman"/>
          <w:kern w:val="2"/>
          <w:sz w:val="32"/>
          <w:szCs w:val="32"/>
        </w:rPr>
        <w:t>七、重大意见分歧的处理依据和结果</w:t>
      </w:r>
    </w:p>
    <w:p w14:paraId="16CDB990">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无重大意见分歧。</w:t>
      </w:r>
    </w:p>
    <w:p w14:paraId="6D547F7C">
      <w:pPr>
        <w:pStyle w:val="7"/>
        <w:widowControl w:val="0"/>
        <w:spacing w:before="0" w:beforeAutospacing="0" w:after="0" w:afterAutospacing="0" w:line="591" w:lineRule="exact"/>
        <w:ind w:firstLine="640" w:firstLineChars="200"/>
        <w:rPr>
          <w:rFonts w:hint="eastAsia" w:ascii="Times New Roman" w:hAnsi="Times New Roman" w:eastAsia="黑体" w:cs="Times New Roman"/>
          <w:kern w:val="2"/>
          <w:sz w:val="32"/>
          <w:szCs w:val="32"/>
        </w:rPr>
      </w:pPr>
      <w:r>
        <w:rPr>
          <w:rFonts w:hint="eastAsia" w:ascii="Times New Roman" w:hAnsi="Times New Roman" w:eastAsia="黑体" w:cs="Times New Roman"/>
          <w:kern w:val="2"/>
          <w:sz w:val="32"/>
          <w:szCs w:val="32"/>
        </w:rPr>
        <w:t>八、其他事项说明</w:t>
      </w:r>
    </w:p>
    <w:p w14:paraId="5DAB9E66">
      <w:pPr>
        <w:pStyle w:val="7"/>
        <w:widowControl w:val="0"/>
        <w:spacing w:before="0" w:beforeAutospacing="0" w:after="0" w:afterAutospacing="0" w:line="591"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本标准不涉及专利、商标等知识产权问题。</w:t>
      </w:r>
    </w:p>
    <w:p w14:paraId="43908296">
      <w:pPr>
        <w:ind w:firstLine="480" w:firstLineChars="200"/>
        <w:rPr>
          <w:sz w:val="24"/>
          <w:szCs w:val="24"/>
        </w:rPr>
      </w:pPr>
    </w:p>
    <w:p w14:paraId="6B215294">
      <w:pPr>
        <w:ind w:firstLine="480" w:firstLineChars="200"/>
        <w:rPr>
          <w:sz w:val="24"/>
          <w:szCs w:val="24"/>
        </w:rPr>
      </w:pPr>
    </w:p>
    <w:p w14:paraId="19EE92AE">
      <w:pPr>
        <w:pStyle w:val="7"/>
        <w:widowControl w:val="0"/>
        <w:spacing w:before="0" w:beforeAutospacing="0" w:after="0" w:afterAutospacing="0" w:line="591" w:lineRule="exact"/>
        <w:ind w:firstLine="4800" w:firstLineChars="15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中国中小企业协会</w:t>
      </w:r>
    </w:p>
    <w:p w14:paraId="78298997">
      <w:pPr>
        <w:pStyle w:val="7"/>
        <w:widowControl w:val="0"/>
        <w:spacing w:before="0" w:beforeAutospacing="0" w:after="0" w:afterAutospacing="0" w:line="591" w:lineRule="exact"/>
        <w:ind w:firstLine="5120" w:firstLineChars="16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20</w:t>
      </w:r>
      <w:r>
        <w:rPr>
          <w:rFonts w:hint="eastAsia" w:ascii="Times New Roman" w:hAnsi="Times New Roman" w:eastAsia="仿宋_GB2312" w:cs="Times New Roman"/>
          <w:kern w:val="2"/>
          <w:sz w:val="32"/>
          <w:szCs w:val="32"/>
          <w:lang w:val="en-US" w:eastAsia="zh-CN"/>
        </w:rPr>
        <w:t>24</w:t>
      </w:r>
      <w:r>
        <w:rPr>
          <w:rFonts w:hint="eastAsia" w:ascii="Times New Roman" w:hAnsi="Times New Roman" w:eastAsia="仿宋_GB2312" w:cs="Times New Roman"/>
          <w:kern w:val="2"/>
          <w:sz w:val="32"/>
          <w:szCs w:val="32"/>
        </w:rPr>
        <w:t>年</w:t>
      </w:r>
      <w:r>
        <w:rPr>
          <w:rFonts w:hint="eastAsia" w:ascii="Times New Roman" w:hAnsi="Times New Roman" w:eastAsia="仿宋_GB2312" w:cs="Times New Roman"/>
          <w:kern w:val="2"/>
          <w:sz w:val="32"/>
          <w:szCs w:val="32"/>
          <w:lang w:val="en-US" w:eastAsia="zh-CN"/>
        </w:rPr>
        <w:t>9</w:t>
      </w:r>
      <w:r>
        <w:rPr>
          <w:rFonts w:hint="eastAsia"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5</w:t>
      </w:r>
      <w:r>
        <w:rPr>
          <w:rFonts w:hint="eastAsia" w:ascii="Times New Roman" w:hAnsi="Times New Roman" w:eastAsia="仿宋_GB2312" w:cs="Times New Roman"/>
          <w:kern w:val="2"/>
          <w:sz w:val="32"/>
          <w:szCs w:val="32"/>
        </w:rPr>
        <w:t>日</w:t>
      </w:r>
    </w:p>
    <w:sectPr>
      <w:footerReference r:id="rId3" w:type="default"/>
      <w:pgSz w:w="11906" w:h="16838"/>
      <w:pgMar w:top="187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docPartObj>
        <w:docPartGallery w:val="autotext"/>
      </w:docPartObj>
    </w:sdtPr>
    <w:sdtContent>
      <w:p w14:paraId="3B9C1C53">
        <w:pPr>
          <w:pStyle w:val="5"/>
          <w:jc w:val="cente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2</w:t>
        </w:r>
        <w:r>
          <w:rPr>
            <w:rFonts w:hint="eastAsia" w:ascii="宋体" w:hAnsi="宋体" w:eastAsia="宋体" w:cs="宋体"/>
            <w:sz w:val="21"/>
            <w:szCs w:val="21"/>
          </w:rPr>
          <w:fldChar w:fldCharType="end"/>
        </w:r>
      </w:p>
    </w:sdtContent>
  </w:sdt>
  <w:p w14:paraId="4ED9B5C0">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5"/>
      <w:suff w:val="nothing"/>
      <w:lvlText w:val="%1%2　"/>
      <w:lvlJc w:val="left"/>
      <w:pPr>
        <w:ind w:left="0" w:firstLine="0"/>
      </w:pPr>
      <w:rPr>
        <w:rFonts w:hint="eastAsia" w:ascii="黑体" w:eastAsia="黑体"/>
        <w:b w:val="0"/>
        <w:i w:val="0"/>
        <w:sz w:val="21"/>
      </w:rPr>
    </w:lvl>
    <w:lvl w:ilvl="2" w:tentative="0">
      <w:start w:val="1"/>
      <w:numFmt w:val="decimal"/>
      <w:pStyle w:val="1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lMTE2OTAyODcwNzQyZjlhN2I4YmZjNTlhNzAyOTIifQ=="/>
  </w:docVars>
  <w:rsids>
    <w:rsidRoot w:val="00374338"/>
    <w:rsid w:val="000125A8"/>
    <w:rsid w:val="00111026"/>
    <w:rsid w:val="001F703B"/>
    <w:rsid w:val="00207C81"/>
    <w:rsid w:val="0022020F"/>
    <w:rsid w:val="00374338"/>
    <w:rsid w:val="003A3501"/>
    <w:rsid w:val="004731BB"/>
    <w:rsid w:val="004D31B6"/>
    <w:rsid w:val="00503232"/>
    <w:rsid w:val="00675856"/>
    <w:rsid w:val="006956BB"/>
    <w:rsid w:val="00813B78"/>
    <w:rsid w:val="008310B7"/>
    <w:rsid w:val="00912660"/>
    <w:rsid w:val="00A66ACC"/>
    <w:rsid w:val="00AB2A0A"/>
    <w:rsid w:val="00AD2E45"/>
    <w:rsid w:val="00B70051"/>
    <w:rsid w:val="00B90213"/>
    <w:rsid w:val="00D61393"/>
    <w:rsid w:val="00EA1E91"/>
    <w:rsid w:val="00FD05E7"/>
    <w:rsid w:val="0DF23178"/>
    <w:rsid w:val="0EC252C3"/>
    <w:rsid w:val="12023FC7"/>
    <w:rsid w:val="1CD84D05"/>
    <w:rsid w:val="27231C84"/>
    <w:rsid w:val="3303363D"/>
    <w:rsid w:val="5E174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0"/>
    <w:pPr>
      <w:spacing w:after="12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99"/>
    <w:pPr>
      <w:ind w:firstLine="420" w:firstLineChars="200"/>
    </w:p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Calibri" w:eastAsia="Times New Roman" w:cs="宋体"/>
      <w:sz w:val="21"/>
      <w:szCs w:val="21"/>
      <w:lang w:val="en-US" w:eastAsia="zh-CN" w:bidi="ar-SA"/>
    </w:rPr>
  </w:style>
  <w:style w:type="paragraph" w:customStyle="1" w:styleId="14">
    <w:name w:val="标准文件_一级条标题"/>
    <w:basedOn w:val="15"/>
    <w:next w:val="16"/>
    <w:autoRedefine/>
    <w:qFormat/>
    <w:uiPriority w:val="0"/>
    <w:pPr>
      <w:numPr>
        <w:ilvl w:val="2"/>
      </w:numPr>
      <w:spacing w:before="50" w:beforeLines="50" w:after="50" w:afterLines="50"/>
      <w:outlineLvl w:val="1"/>
    </w:pPr>
  </w:style>
  <w:style w:type="paragraph" w:customStyle="1" w:styleId="15">
    <w:name w:val="标准文件_章标题"/>
    <w:next w:val="16"/>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6">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ink/ink4.xml"/><Relationship Id="rId8" Type="http://schemas.openxmlformats.org/officeDocument/2006/relationships/customXml" Target="ink/ink3.xml"/><Relationship Id="rId7" Type="http://schemas.openxmlformats.org/officeDocument/2006/relationships/customXml" Target="ink/ink2.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ustomXml" Target="ink/ink5.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4-08-28T15:52:46"/>
    </inkml:context>
    <inkml:brush xml:id="br0">
      <inkml:brushProperty name="width" value="0.05" units="cm"/>
      <inkml:brushProperty name="height" value="0.05" units="cm"/>
      <inkml:brushProperty name="color" value="#000000"/>
    </inkml:brush>
  </inkml:definitions>
  <inkml:trace contextRef="#ctx0" brushRef="#br0">0.000 0.000,'0.000'0.000</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4-08-28T15:52:46"/>
    </inkml:context>
    <inkml:brush xml:id="br0">
      <inkml:brushProperty name="width" value="0.05" units="cm"/>
      <inkml:brushProperty name="height" value="0.05" units="cm"/>
      <inkml:brushProperty name="color" value="#000000"/>
    </inkml:brush>
  </inkml:definitions>
  <inkml:trace contextRef="#ctx0" brushRef="#br0">0.000 0.000,'0.000'0.000</inkml:trace>
</inkml:ink>
</file>

<file path=word/ink/ink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4-08-28T15:52:46"/>
    </inkml:context>
    <inkml:brush xml:id="br0">
      <inkml:brushProperty name="width" value="0.05" units="cm"/>
      <inkml:brushProperty name="height" value="0.05" units="cm"/>
      <inkml:brushProperty name="color" value="#000000"/>
    </inkml:brush>
  </inkml:definitions>
  <inkml:trace contextRef="#ctx0" brushRef="#br0">0.000 0.000,'0.000'0.000</inkml:trace>
</inkml:ink>
</file>

<file path=word/ink/ink4.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4-08-28T15:52:46"/>
    </inkml:context>
    <inkml:brush xml:id="br0">
      <inkml:brushProperty name="width" value="0.05" units="cm"/>
      <inkml:brushProperty name="height" value="0.05" units="cm"/>
      <inkml:brushProperty name="color" value="#000000"/>
    </inkml:brush>
  </inkml:definitions>
  <inkml:trace contextRef="#ctx0" brushRef="#br0">0.000 0.000,'0.000'0.000</inkml:trace>
</inkml:ink>
</file>

<file path=word/ink/ink5.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4-08-28T15:52:46"/>
    </inkml:context>
    <inkml:brush xml:id="br0">
      <inkml:brushProperty name="width" value="0.05" units="cm"/>
      <inkml:brushProperty name="height" value="0.05" units="cm"/>
      <inkml:brushProperty name="color" value="#000000"/>
    </inkml:brush>
  </inkml:definitions>
  <inkml:trace contextRef="#ctx0" brushRef="#br0">0.000 0.000,'0.000'0.000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7779</Words>
  <Characters>8290</Characters>
  <Lines>19</Lines>
  <Paragraphs>5</Paragraphs>
  <TotalTime>4</TotalTime>
  <ScaleCrop>false</ScaleCrop>
  <LinksUpToDate>false</LinksUpToDate>
  <CharactersWithSpaces>8382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桦树林(李华)</cp:lastModifiedBy>
  <dcterms:modified xsi:type="dcterms:W3CDTF">2024-11-03T07:54:25Z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EC7CBCA1BA0848E49970A2517789F0D3_13</vt:lpwstr>
  </property>
</Properties>
</file>