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C682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C9E99CA">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69B5F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p>
        </w:tc>
      </w:tr>
      <w:tr w14:paraId="7126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6FD3D07">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35E5EB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p w14:paraId="0BE46BBC">
      <w:pPr>
        <w:pStyle w:val="50"/>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14:paraId="6BA8D5D7">
      <w:pPr>
        <w:pStyle w:val="195"/>
      </w:pPr>
      <w:r>
        <w:t>T/CASMES XX.5—XXXX</w:t>
      </w:r>
    </w:p>
    <w:p w14:paraId="220170CB">
      <w:pPr>
        <w:pStyle w:val="196"/>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
    </w:p>
    <w:p w14:paraId="2D162C9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CE3996B">
      <w:pPr>
        <w:pStyle w:val="50"/>
        <w:framePr w:w="9639" w:h="6976" w:hRule="exact" w:hSpace="0" w:vSpace="0" w:wrap="around" w:hAnchor="page" w:y="6408"/>
        <w:jc w:val="center"/>
        <w:rPr>
          <w:rFonts w:ascii="黑体" w:hAnsi="黑体" w:eastAsia="黑体"/>
          <w:b w:val="0"/>
          <w:bCs w:val="0"/>
          <w:w w:val="100"/>
        </w:rPr>
      </w:pPr>
    </w:p>
    <w:p w14:paraId="7C8567E6">
      <w:pPr>
        <w:pStyle w:val="197"/>
        <w:framePr w:h="6974" w:hRule="exact" w:wrap="around" w:x="1419" w:anchorLock="1"/>
      </w:pPr>
      <w:r>
        <w:rPr>
          <w:rFonts w:hint="eastAsia"/>
        </w:rPr>
        <w:t>用人单位工伤预防培训指南</w:t>
      </w:r>
      <w:r>
        <w:br w:type="textWrapping"/>
      </w:r>
      <w:r>
        <w:rPr>
          <w:rFonts w:hint="eastAsia"/>
        </w:rPr>
        <w:t>第5部分：职工岗位工伤风险评估</w:t>
      </w:r>
    </w:p>
    <w:p w14:paraId="7DD55163">
      <w:pPr>
        <w:framePr w:w="9639" w:h="6974" w:hRule="exact" w:wrap="around" w:vAnchor="page" w:hAnchor="page" w:x="1419" w:y="6408" w:anchorLock="1"/>
        <w:ind w:left="-1418"/>
      </w:pPr>
    </w:p>
    <w:p w14:paraId="146DAB49">
      <w:pPr>
        <w:pStyle w:val="125"/>
        <w:framePr w:w="9639" w:h="6974" w:hRule="exact" w:wrap="around" w:vAnchor="page" w:hAnchor="page" w:x="1419" w:y="6408" w:anchorLock="1"/>
        <w:textAlignment w:val="bottom"/>
        <w:rPr>
          <w:rFonts w:eastAsia="黑体"/>
          <w:szCs w:val="28"/>
        </w:rPr>
      </w:pPr>
      <w:r>
        <w:rPr>
          <w:rFonts w:eastAsia="黑体"/>
          <w:szCs w:val="28"/>
        </w:rPr>
        <w:t xml:space="preserve">Employers' industrial injury prevention training guide </w:t>
      </w:r>
    </w:p>
    <w:p w14:paraId="579C1BAF">
      <w:pPr>
        <w:pStyle w:val="125"/>
        <w:framePr w:w="9639" w:h="6974" w:hRule="exact" w:wrap="around" w:vAnchor="page" w:hAnchor="page" w:x="1419" w:y="6408" w:anchorLock="1"/>
        <w:textAlignment w:val="bottom"/>
        <w:rPr>
          <w:rFonts w:eastAsia="黑体"/>
          <w:szCs w:val="28"/>
        </w:rPr>
      </w:pPr>
      <w:r>
        <w:rPr>
          <w:rFonts w:eastAsia="黑体"/>
          <w:szCs w:val="28"/>
        </w:rPr>
        <w:t>Part 5: Risk assessment of industrial injury of employees</w:t>
      </w:r>
    </w:p>
    <w:p w14:paraId="3404E91F">
      <w:pPr>
        <w:framePr w:w="9639" w:h="6974" w:hRule="exact" w:wrap="around" w:vAnchor="page" w:hAnchor="page" w:x="1419" w:y="6408" w:anchorLock="1"/>
        <w:spacing w:line="760" w:lineRule="exact"/>
        <w:ind w:left="-1418"/>
      </w:pPr>
    </w:p>
    <w:p w14:paraId="2249D39D">
      <w:pPr>
        <w:pStyle w:val="125"/>
        <w:framePr w:w="9639" w:h="6974" w:hRule="exact" w:wrap="around" w:vAnchor="page" w:hAnchor="page" w:x="1419" w:y="6408" w:anchorLock="1"/>
        <w:textAlignment w:val="bottom"/>
        <w:rPr>
          <w:rFonts w:eastAsia="黑体"/>
          <w:szCs w:val="28"/>
        </w:rPr>
      </w:pPr>
    </w:p>
    <w:p w14:paraId="03D4373E">
      <w:pPr>
        <w:pStyle w:val="125"/>
        <w:framePr w:w="9639" w:h="6974" w:hRule="exact" w:wrap="around" w:vAnchor="page" w:hAnchor="page" w:x="1419" w:y="6408" w:anchorLock="1"/>
        <w:spacing w:before="440" w:after="160"/>
        <w:textAlignment w:val="bottom"/>
        <w:rPr>
          <w:sz w:val="24"/>
          <w:szCs w:val="28"/>
        </w:rPr>
      </w:pPr>
      <w:r>
        <w:rPr>
          <w:rFonts w:hint="eastAsia" w:eastAsia="黑体"/>
          <w:szCs w:val="28"/>
          <w:lang w:eastAsia="zh-CN"/>
        </w:rPr>
        <w:t>（</w:t>
      </w:r>
      <w:r>
        <w:rPr>
          <w:rFonts w:hint="eastAsia" w:eastAsia="黑体"/>
          <w:szCs w:val="28"/>
          <w:lang w:val="en-US" w:eastAsia="zh-CN"/>
        </w:rPr>
        <w:t>征求意见稿</w:t>
      </w:r>
      <w:r>
        <w:rPr>
          <w:rFonts w:hint="eastAsia" w:eastAsia="黑体"/>
          <w:szCs w:val="28"/>
          <w:lang w:eastAsia="zh-CN"/>
        </w:rPr>
        <w:t>）</w:t>
      </w:r>
    </w:p>
    <w:p w14:paraId="24ED5034">
      <w:pPr>
        <w:pStyle w:val="125"/>
        <w:framePr w:w="9639" w:h="6974" w:hRule="exact" w:wrap="around" w:vAnchor="page" w:hAnchor="page" w:x="1419" w:y="6408" w:anchorLock="1"/>
        <w:spacing w:before="180" w:line="240" w:lineRule="atLeast"/>
        <w:textAlignment w:val="bottom"/>
        <w:rPr>
          <w:sz w:val="21"/>
          <w:szCs w:val="28"/>
        </w:rPr>
      </w:pPr>
    </w:p>
    <w:p w14:paraId="030E9C5E">
      <w:pPr>
        <w:pStyle w:val="125"/>
        <w:framePr w:w="9639" w:h="6974" w:hRule="exact" w:wrap="around" w:vAnchor="page" w:hAnchor="page" w:x="1419" w:y="6408" w:anchorLock="1"/>
        <w:spacing w:before="720" w:beforeLines="300" w:after="72" w:afterLines="30" w:line="240" w:lineRule="auto"/>
        <w:textAlignment w:val="bottom"/>
        <w:rPr>
          <w:b/>
          <w:sz w:val="21"/>
          <w:szCs w:val="28"/>
        </w:rPr>
      </w:pPr>
    </w:p>
    <w:p w14:paraId="60D011FE">
      <w:pPr>
        <w:pStyle w:val="193"/>
        <w:framePr w:wrap="around" w:y="14176"/>
      </w:pPr>
      <w:r>
        <w:rPr>
          <w:rFonts w:hint="eastAsia" w:ascii="黑体"/>
        </w:rPr>
        <w:t>XXXX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ascii="黑体"/>
        </w:rPr>
        <w:t>XX</w:t>
      </w:r>
      <w:r>
        <w:rPr>
          <w:rFonts w:hint="eastAsia"/>
        </w:rPr>
        <w:t>发布</w:t>
      </w:r>
    </w:p>
    <w:p w14:paraId="3E69C3BA">
      <w:pPr>
        <w:pStyle w:val="194"/>
        <w:framePr w:wrap="around" w:y="14176"/>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17E98121">
      <w:pPr>
        <w:pStyle w:val="151"/>
        <w:framePr w:h="584" w:hRule="exact" w:hSpace="181" w:vSpace="181" w:wrap="around" w:y="14800"/>
        <w:rPr>
          <w:rFonts w:hAnsi="黑体"/>
        </w:rPr>
      </w:pPr>
      <w:r>
        <w:rPr>
          <w:rFonts w:hint="eastAsia" w:ascii="Times New Roman"/>
          <w:w w:val="100"/>
          <w:sz w:val="28"/>
        </w:rPr>
        <w:t>中国中小企业协会</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7674A7A">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387C7EB">
      <w:pPr>
        <w:pStyle w:val="91"/>
        <w:spacing w:after="360"/>
      </w:pPr>
      <w:bookmarkStart w:id="2" w:name="BookMark1"/>
      <w:bookmarkStart w:id="3" w:name="_Toc150014764"/>
      <w:r>
        <w:rPr>
          <w:rFonts w:hint="eastAsia"/>
          <w:spacing w:val="320"/>
        </w:rPr>
        <w:t>目</w:t>
      </w:r>
      <w:r>
        <w:rPr>
          <w:rFonts w:hint="eastAsia"/>
        </w:rPr>
        <w:t>次</w:t>
      </w:r>
    </w:p>
    <w:p w14:paraId="7457D52D">
      <w:pPr>
        <w:pStyle w:val="19"/>
        <w:tabs>
          <w:tab w:val="right" w:leader="dot" w:pos="9354"/>
        </w:tabs>
        <w:rPr>
          <w:rFonts w:hAnsi="宋体"/>
        </w:rPr>
      </w:pPr>
      <w:r>
        <w:rPr>
          <w:rFonts w:hint="eastAsia" w:hAnsi="宋体"/>
        </w:rPr>
        <w:t>前言</w:t>
      </w:r>
      <w:r>
        <w:rPr>
          <w:rFonts w:hAnsi="宋体"/>
        </w:rPr>
        <w:fldChar w:fldCharType="begin"/>
      </w:r>
      <w:r>
        <w:rPr>
          <w:rFonts w:hAnsi="宋体"/>
        </w:rPr>
        <w:instrText xml:space="preserve"> TOC \o "1-1" \h \t "标准文件_一级条标题,2,标准文件_附录一级条标题,2," </w:instrText>
      </w:r>
      <w:r>
        <w:rPr>
          <w:rFonts w:hAnsi="宋体"/>
        </w:rPr>
        <w:fldChar w:fldCharType="separate"/>
      </w:r>
      <w:r>
        <w:fldChar w:fldCharType="begin"/>
      </w:r>
      <w:r>
        <w:instrText xml:space="preserve"> HYPERLINK \l "_Toc29180" </w:instrText>
      </w:r>
      <w:r>
        <w:fldChar w:fldCharType="separate"/>
      </w:r>
      <w:r>
        <w:rPr>
          <w:rFonts w:hAnsi="宋体"/>
        </w:rPr>
        <w:tab/>
      </w:r>
      <w:r>
        <w:rPr>
          <w:rFonts w:hAnsi="宋体"/>
        </w:rPr>
        <w:fldChar w:fldCharType="begin"/>
      </w:r>
      <w:r>
        <w:rPr>
          <w:rFonts w:hAnsi="宋体"/>
        </w:rPr>
        <w:instrText xml:space="preserve"> PAGEREF _Toc29180 \h </w:instrText>
      </w:r>
      <w:r>
        <w:rPr>
          <w:rFonts w:hAnsi="宋体"/>
        </w:rPr>
        <w:fldChar w:fldCharType="separate"/>
      </w:r>
      <w:r>
        <w:rPr>
          <w:rFonts w:hAnsi="宋体"/>
        </w:rPr>
        <w:t>II</w:t>
      </w:r>
      <w:r>
        <w:rPr>
          <w:rFonts w:hAnsi="宋体"/>
        </w:rPr>
        <w:fldChar w:fldCharType="end"/>
      </w:r>
      <w:r>
        <w:rPr>
          <w:rFonts w:hAnsi="宋体"/>
        </w:rPr>
        <w:fldChar w:fldCharType="end"/>
      </w:r>
    </w:p>
    <w:p w14:paraId="18958B93">
      <w:pPr>
        <w:pStyle w:val="19"/>
        <w:tabs>
          <w:tab w:val="right" w:leader="dot" w:pos="9354"/>
        </w:tabs>
        <w:rPr>
          <w:rFonts w:hAnsi="宋体"/>
        </w:rPr>
      </w:pPr>
      <w:r>
        <w:fldChar w:fldCharType="begin"/>
      </w:r>
      <w:r>
        <w:instrText xml:space="preserve"> HYPERLINK \l "_Toc15891" </w:instrText>
      </w:r>
      <w:r>
        <w:fldChar w:fldCharType="separate"/>
      </w:r>
      <w:r>
        <w:rPr>
          <w:rFonts w:hint="eastAsia" w:hAnsi="宋体" w:eastAsia="黑体"/>
        </w:rPr>
        <w:t xml:space="preserve">1 </w:t>
      </w:r>
      <w:r>
        <w:rPr>
          <w:rFonts w:hint="eastAsia" w:hAnsi="宋体"/>
        </w:rPr>
        <w:t>范围</w:t>
      </w:r>
      <w:r>
        <w:rPr>
          <w:rFonts w:hAnsi="宋体"/>
        </w:rPr>
        <w:tab/>
      </w:r>
      <w:r>
        <w:rPr>
          <w:rFonts w:hAnsi="宋体"/>
        </w:rPr>
        <w:fldChar w:fldCharType="begin"/>
      </w:r>
      <w:r>
        <w:rPr>
          <w:rFonts w:hAnsi="宋体"/>
        </w:rPr>
        <w:instrText xml:space="preserve"> PAGEREF _Toc15891 \h </w:instrText>
      </w:r>
      <w:r>
        <w:rPr>
          <w:rFonts w:hAnsi="宋体"/>
        </w:rPr>
        <w:fldChar w:fldCharType="separate"/>
      </w:r>
      <w:r>
        <w:rPr>
          <w:rFonts w:hAnsi="宋体"/>
        </w:rPr>
        <w:t>1</w:t>
      </w:r>
      <w:r>
        <w:rPr>
          <w:rFonts w:hAnsi="宋体"/>
        </w:rPr>
        <w:fldChar w:fldCharType="end"/>
      </w:r>
      <w:r>
        <w:rPr>
          <w:rFonts w:hAnsi="宋体"/>
        </w:rPr>
        <w:fldChar w:fldCharType="end"/>
      </w:r>
    </w:p>
    <w:p w14:paraId="7B2F259B">
      <w:pPr>
        <w:pStyle w:val="19"/>
        <w:tabs>
          <w:tab w:val="right" w:leader="dot" w:pos="9354"/>
        </w:tabs>
        <w:rPr>
          <w:rFonts w:hAnsi="宋体"/>
        </w:rPr>
      </w:pPr>
      <w:r>
        <w:fldChar w:fldCharType="begin"/>
      </w:r>
      <w:r>
        <w:instrText xml:space="preserve"> HYPERLINK \l "_Toc8473" </w:instrText>
      </w:r>
      <w:r>
        <w:fldChar w:fldCharType="separate"/>
      </w:r>
      <w:r>
        <w:rPr>
          <w:rFonts w:hint="eastAsia" w:hAnsi="宋体" w:eastAsia="黑体"/>
        </w:rPr>
        <w:t xml:space="preserve">2 </w:t>
      </w:r>
      <w:r>
        <w:rPr>
          <w:rFonts w:hint="eastAsia" w:hAnsi="宋体"/>
        </w:rPr>
        <w:t>规范性引用文件</w:t>
      </w:r>
      <w:r>
        <w:rPr>
          <w:rFonts w:hAnsi="宋体"/>
        </w:rPr>
        <w:tab/>
      </w:r>
      <w:r>
        <w:rPr>
          <w:rFonts w:hAnsi="宋体"/>
        </w:rPr>
        <w:fldChar w:fldCharType="begin"/>
      </w:r>
      <w:r>
        <w:rPr>
          <w:rFonts w:hAnsi="宋体"/>
        </w:rPr>
        <w:instrText xml:space="preserve"> PAGEREF _Toc8473 \h </w:instrText>
      </w:r>
      <w:r>
        <w:rPr>
          <w:rFonts w:hAnsi="宋体"/>
        </w:rPr>
        <w:fldChar w:fldCharType="separate"/>
      </w:r>
      <w:r>
        <w:rPr>
          <w:rFonts w:hAnsi="宋体"/>
        </w:rPr>
        <w:t>1</w:t>
      </w:r>
      <w:r>
        <w:rPr>
          <w:rFonts w:hAnsi="宋体"/>
        </w:rPr>
        <w:fldChar w:fldCharType="end"/>
      </w:r>
      <w:r>
        <w:rPr>
          <w:rFonts w:hAnsi="宋体"/>
        </w:rPr>
        <w:fldChar w:fldCharType="end"/>
      </w:r>
    </w:p>
    <w:p w14:paraId="4BBB4290">
      <w:pPr>
        <w:pStyle w:val="19"/>
        <w:tabs>
          <w:tab w:val="right" w:leader="dot" w:pos="9354"/>
        </w:tabs>
        <w:rPr>
          <w:rFonts w:hAnsi="宋体"/>
        </w:rPr>
      </w:pPr>
      <w:r>
        <w:fldChar w:fldCharType="begin"/>
      </w:r>
      <w:r>
        <w:instrText xml:space="preserve"> HYPERLINK \l "_Toc10966" </w:instrText>
      </w:r>
      <w:r>
        <w:fldChar w:fldCharType="separate"/>
      </w:r>
      <w:r>
        <w:rPr>
          <w:rFonts w:hint="eastAsia" w:hAnsi="宋体" w:eastAsia="黑体"/>
        </w:rPr>
        <w:t xml:space="preserve">3 </w:t>
      </w:r>
      <w:r>
        <w:rPr>
          <w:rFonts w:hint="eastAsia" w:hAnsi="宋体"/>
        </w:rPr>
        <w:t>术语和定义</w:t>
      </w:r>
      <w:r>
        <w:rPr>
          <w:rFonts w:hAnsi="宋体"/>
        </w:rPr>
        <w:tab/>
      </w:r>
      <w:r>
        <w:rPr>
          <w:rFonts w:hAnsi="宋体"/>
        </w:rPr>
        <w:fldChar w:fldCharType="begin"/>
      </w:r>
      <w:r>
        <w:rPr>
          <w:rFonts w:hAnsi="宋体"/>
        </w:rPr>
        <w:instrText xml:space="preserve"> PAGEREF _Toc10966 \h </w:instrText>
      </w:r>
      <w:r>
        <w:rPr>
          <w:rFonts w:hAnsi="宋体"/>
        </w:rPr>
        <w:fldChar w:fldCharType="separate"/>
      </w:r>
      <w:r>
        <w:rPr>
          <w:rFonts w:hAnsi="宋体"/>
        </w:rPr>
        <w:t>1</w:t>
      </w:r>
      <w:r>
        <w:rPr>
          <w:rFonts w:hAnsi="宋体"/>
        </w:rPr>
        <w:fldChar w:fldCharType="end"/>
      </w:r>
      <w:r>
        <w:rPr>
          <w:rFonts w:hAnsi="宋体"/>
        </w:rPr>
        <w:fldChar w:fldCharType="end"/>
      </w:r>
    </w:p>
    <w:p w14:paraId="3E0A366B">
      <w:pPr>
        <w:pStyle w:val="19"/>
        <w:tabs>
          <w:tab w:val="right" w:leader="dot" w:pos="9354"/>
        </w:tabs>
        <w:rPr>
          <w:rFonts w:hAnsi="宋体"/>
        </w:rPr>
      </w:pPr>
      <w:r>
        <w:fldChar w:fldCharType="begin"/>
      </w:r>
      <w:r>
        <w:instrText xml:space="preserve"> HYPERLINK \l "_Toc6942" </w:instrText>
      </w:r>
      <w:r>
        <w:fldChar w:fldCharType="separate"/>
      </w:r>
      <w:r>
        <w:rPr>
          <w:rFonts w:hint="eastAsia" w:hAnsi="宋体" w:eastAsia="黑体"/>
        </w:rPr>
        <w:t xml:space="preserve">4 </w:t>
      </w:r>
      <w:r>
        <w:rPr>
          <w:rFonts w:hint="eastAsia" w:hAnsi="宋体"/>
        </w:rPr>
        <w:t>风险评估目的和作用</w:t>
      </w:r>
      <w:r>
        <w:rPr>
          <w:rFonts w:hAnsi="宋体"/>
        </w:rPr>
        <w:tab/>
      </w:r>
      <w:r>
        <w:rPr>
          <w:rFonts w:hAnsi="宋体"/>
        </w:rPr>
        <w:fldChar w:fldCharType="begin"/>
      </w:r>
      <w:r>
        <w:rPr>
          <w:rFonts w:hAnsi="宋体"/>
        </w:rPr>
        <w:instrText xml:space="preserve"> PAGEREF _Toc6942 \h </w:instrText>
      </w:r>
      <w:r>
        <w:rPr>
          <w:rFonts w:hAnsi="宋体"/>
        </w:rPr>
        <w:fldChar w:fldCharType="separate"/>
      </w:r>
      <w:r>
        <w:rPr>
          <w:rFonts w:hAnsi="宋体"/>
        </w:rPr>
        <w:t>3</w:t>
      </w:r>
      <w:r>
        <w:rPr>
          <w:rFonts w:hAnsi="宋体"/>
        </w:rPr>
        <w:fldChar w:fldCharType="end"/>
      </w:r>
      <w:r>
        <w:rPr>
          <w:rFonts w:hAnsi="宋体"/>
        </w:rPr>
        <w:fldChar w:fldCharType="end"/>
      </w:r>
    </w:p>
    <w:p w14:paraId="23333102">
      <w:pPr>
        <w:pStyle w:val="24"/>
        <w:tabs>
          <w:tab w:val="right" w:leader="dot" w:pos="9354"/>
          <w:tab w:val="clear" w:pos="9344"/>
        </w:tabs>
        <w:rPr>
          <w:rFonts w:hAnsi="宋体"/>
        </w:rPr>
      </w:pPr>
      <w:r>
        <w:fldChar w:fldCharType="begin"/>
      </w:r>
      <w:r>
        <w:instrText xml:space="preserve"> HYPERLINK \l "_Toc28670" </w:instrText>
      </w:r>
      <w:r>
        <w:fldChar w:fldCharType="separate"/>
      </w:r>
      <w:r>
        <w:rPr>
          <w:rFonts w:hint="eastAsia" w:hAnsi="宋体" w:eastAsia="黑体"/>
          <w:kern w:val="0"/>
          <w14:scene3d>
            <w14:lightRig w14:rig="threePt" w14:dir="t">
              <w14:rot w14:lat="0" w14:lon="0" w14:rev="0"/>
            </w14:lightRig>
          </w14:scene3d>
        </w:rPr>
        <w:t xml:space="preserve">4.1 </w:t>
      </w:r>
      <w:r>
        <w:rPr>
          <w:rFonts w:hint="eastAsia" w:hAnsi="宋体"/>
        </w:rPr>
        <w:t>风险评估目的</w:t>
      </w:r>
      <w:r>
        <w:rPr>
          <w:rFonts w:hAnsi="宋体"/>
        </w:rPr>
        <w:tab/>
      </w:r>
      <w:r>
        <w:rPr>
          <w:rFonts w:hAnsi="宋体"/>
        </w:rPr>
        <w:fldChar w:fldCharType="begin"/>
      </w:r>
      <w:r>
        <w:rPr>
          <w:rFonts w:hAnsi="宋体"/>
        </w:rPr>
        <w:instrText xml:space="preserve"> PAGEREF _Toc28670 \h </w:instrText>
      </w:r>
      <w:r>
        <w:rPr>
          <w:rFonts w:hAnsi="宋体"/>
        </w:rPr>
        <w:fldChar w:fldCharType="separate"/>
      </w:r>
      <w:r>
        <w:rPr>
          <w:rFonts w:hAnsi="宋体"/>
        </w:rPr>
        <w:t>3</w:t>
      </w:r>
      <w:r>
        <w:rPr>
          <w:rFonts w:hAnsi="宋体"/>
        </w:rPr>
        <w:fldChar w:fldCharType="end"/>
      </w:r>
      <w:r>
        <w:rPr>
          <w:rFonts w:hAnsi="宋体"/>
        </w:rPr>
        <w:fldChar w:fldCharType="end"/>
      </w:r>
    </w:p>
    <w:p w14:paraId="362D89F8">
      <w:pPr>
        <w:pStyle w:val="24"/>
        <w:tabs>
          <w:tab w:val="right" w:leader="dot" w:pos="9354"/>
          <w:tab w:val="clear" w:pos="9344"/>
        </w:tabs>
        <w:rPr>
          <w:rFonts w:hAnsi="宋体"/>
        </w:rPr>
      </w:pPr>
      <w:r>
        <w:fldChar w:fldCharType="begin"/>
      </w:r>
      <w:r>
        <w:instrText xml:space="preserve"> HYPERLINK \l "_Toc21929" </w:instrText>
      </w:r>
      <w:r>
        <w:fldChar w:fldCharType="separate"/>
      </w:r>
      <w:r>
        <w:rPr>
          <w:rFonts w:hint="eastAsia" w:hAnsi="宋体" w:eastAsia="黑体"/>
          <w:kern w:val="0"/>
          <w14:scene3d>
            <w14:lightRig w14:rig="threePt" w14:dir="t">
              <w14:rot w14:lat="0" w14:lon="0" w14:rev="0"/>
            </w14:lightRig>
          </w14:scene3d>
        </w:rPr>
        <w:t xml:space="preserve">4.2 </w:t>
      </w:r>
      <w:r>
        <w:rPr>
          <w:rFonts w:hint="eastAsia" w:hAnsi="宋体"/>
        </w:rPr>
        <w:t>风险评估的主要作用</w:t>
      </w:r>
      <w:r>
        <w:rPr>
          <w:rFonts w:hAnsi="宋体"/>
        </w:rPr>
        <w:tab/>
      </w:r>
      <w:r>
        <w:rPr>
          <w:rFonts w:hAnsi="宋体"/>
        </w:rPr>
        <w:fldChar w:fldCharType="begin"/>
      </w:r>
      <w:r>
        <w:rPr>
          <w:rFonts w:hAnsi="宋体"/>
        </w:rPr>
        <w:instrText xml:space="preserve"> PAGEREF _Toc21929 \h </w:instrText>
      </w:r>
      <w:r>
        <w:rPr>
          <w:rFonts w:hAnsi="宋体"/>
        </w:rPr>
        <w:fldChar w:fldCharType="separate"/>
      </w:r>
      <w:r>
        <w:rPr>
          <w:rFonts w:hAnsi="宋体"/>
        </w:rPr>
        <w:t>3</w:t>
      </w:r>
      <w:r>
        <w:rPr>
          <w:rFonts w:hAnsi="宋体"/>
        </w:rPr>
        <w:fldChar w:fldCharType="end"/>
      </w:r>
      <w:r>
        <w:rPr>
          <w:rFonts w:hAnsi="宋体"/>
        </w:rPr>
        <w:fldChar w:fldCharType="end"/>
      </w:r>
    </w:p>
    <w:p w14:paraId="58A84ECE">
      <w:pPr>
        <w:pStyle w:val="19"/>
        <w:tabs>
          <w:tab w:val="right" w:leader="dot" w:pos="9354"/>
        </w:tabs>
        <w:rPr>
          <w:rFonts w:hAnsi="宋体"/>
        </w:rPr>
      </w:pPr>
      <w:r>
        <w:fldChar w:fldCharType="begin"/>
      </w:r>
      <w:r>
        <w:instrText xml:space="preserve"> HYPERLINK \l "_Toc14196" </w:instrText>
      </w:r>
      <w:r>
        <w:fldChar w:fldCharType="separate"/>
      </w:r>
      <w:r>
        <w:rPr>
          <w:rFonts w:hint="eastAsia" w:hAnsi="宋体" w:eastAsia="黑体"/>
        </w:rPr>
        <w:t xml:space="preserve">5 </w:t>
      </w:r>
      <w:r>
        <w:rPr>
          <w:rFonts w:hint="eastAsia" w:hAnsi="宋体"/>
        </w:rPr>
        <w:t>风险评估的准备</w:t>
      </w:r>
      <w:r>
        <w:rPr>
          <w:rFonts w:hAnsi="宋体"/>
        </w:rPr>
        <w:tab/>
      </w:r>
      <w:r>
        <w:rPr>
          <w:rFonts w:hAnsi="宋体"/>
        </w:rPr>
        <w:fldChar w:fldCharType="begin"/>
      </w:r>
      <w:r>
        <w:rPr>
          <w:rFonts w:hAnsi="宋体"/>
        </w:rPr>
        <w:instrText xml:space="preserve"> PAGEREF _Toc14196 \h </w:instrText>
      </w:r>
      <w:r>
        <w:rPr>
          <w:rFonts w:hAnsi="宋体"/>
        </w:rPr>
        <w:fldChar w:fldCharType="separate"/>
      </w:r>
      <w:r>
        <w:rPr>
          <w:rFonts w:hAnsi="宋体"/>
        </w:rPr>
        <w:t>3</w:t>
      </w:r>
      <w:r>
        <w:rPr>
          <w:rFonts w:hAnsi="宋体"/>
        </w:rPr>
        <w:fldChar w:fldCharType="end"/>
      </w:r>
      <w:r>
        <w:rPr>
          <w:rFonts w:hAnsi="宋体"/>
        </w:rPr>
        <w:fldChar w:fldCharType="end"/>
      </w:r>
    </w:p>
    <w:p w14:paraId="5DE1BFE1">
      <w:pPr>
        <w:pStyle w:val="24"/>
        <w:tabs>
          <w:tab w:val="right" w:leader="dot" w:pos="9354"/>
          <w:tab w:val="clear" w:pos="9344"/>
        </w:tabs>
        <w:rPr>
          <w:rFonts w:hAnsi="宋体"/>
        </w:rPr>
      </w:pPr>
      <w:r>
        <w:fldChar w:fldCharType="begin"/>
      </w:r>
      <w:r>
        <w:instrText xml:space="preserve"> HYPERLINK \l "_Toc23201" </w:instrText>
      </w:r>
      <w:r>
        <w:fldChar w:fldCharType="separate"/>
      </w:r>
      <w:r>
        <w:rPr>
          <w:rFonts w:hint="eastAsia" w:hAnsi="宋体" w:eastAsia="黑体"/>
          <w:kern w:val="0"/>
          <w14:scene3d>
            <w14:lightRig w14:rig="threePt" w14:dir="t">
              <w14:rot w14:lat="0" w14:lon="0" w14:rev="0"/>
            </w14:lightRig>
          </w14:scene3d>
        </w:rPr>
        <w:t xml:space="preserve">5.1 </w:t>
      </w:r>
      <w:r>
        <w:rPr>
          <w:rFonts w:hint="eastAsia" w:hAnsi="宋体"/>
        </w:rPr>
        <w:t>一般要求</w:t>
      </w:r>
      <w:r>
        <w:rPr>
          <w:rFonts w:hAnsi="宋体"/>
        </w:rPr>
        <w:tab/>
      </w:r>
      <w:r>
        <w:rPr>
          <w:rFonts w:hAnsi="宋体"/>
        </w:rPr>
        <w:fldChar w:fldCharType="begin"/>
      </w:r>
      <w:r>
        <w:rPr>
          <w:rFonts w:hAnsi="宋体"/>
        </w:rPr>
        <w:instrText xml:space="preserve"> PAGEREF _Toc23201 \h </w:instrText>
      </w:r>
      <w:r>
        <w:rPr>
          <w:rFonts w:hAnsi="宋体"/>
        </w:rPr>
        <w:fldChar w:fldCharType="separate"/>
      </w:r>
      <w:r>
        <w:rPr>
          <w:rFonts w:hAnsi="宋体"/>
        </w:rPr>
        <w:t>3</w:t>
      </w:r>
      <w:r>
        <w:rPr>
          <w:rFonts w:hAnsi="宋体"/>
        </w:rPr>
        <w:fldChar w:fldCharType="end"/>
      </w:r>
      <w:r>
        <w:rPr>
          <w:rFonts w:hAnsi="宋体"/>
        </w:rPr>
        <w:fldChar w:fldCharType="end"/>
      </w:r>
    </w:p>
    <w:p w14:paraId="44502FEA">
      <w:pPr>
        <w:pStyle w:val="24"/>
        <w:tabs>
          <w:tab w:val="right" w:leader="dot" w:pos="9354"/>
          <w:tab w:val="clear" w:pos="9344"/>
        </w:tabs>
        <w:rPr>
          <w:rFonts w:hAnsi="宋体"/>
        </w:rPr>
      </w:pPr>
      <w:r>
        <w:fldChar w:fldCharType="begin"/>
      </w:r>
      <w:r>
        <w:instrText xml:space="preserve"> HYPERLINK \l "_Toc21665" </w:instrText>
      </w:r>
      <w:r>
        <w:fldChar w:fldCharType="separate"/>
      </w:r>
      <w:r>
        <w:rPr>
          <w:rFonts w:hint="eastAsia" w:hAnsi="宋体" w:eastAsia="黑体"/>
          <w:kern w:val="0"/>
          <w14:scene3d>
            <w14:lightRig w14:rig="threePt" w14:dir="t">
              <w14:rot w14:lat="0" w14:lon="0" w14:rev="0"/>
            </w14:lightRig>
          </w14:scene3d>
        </w:rPr>
        <w:t xml:space="preserve">5.2 </w:t>
      </w:r>
      <w:r>
        <w:rPr>
          <w:rFonts w:hint="eastAsia" w:hAnsi="宋体"/>
        </w:rPr>
        <w:t>工作组成员能力的要求</w:t>
      </w:r>
      <w:r>
        <w:rPr>
          <w:rFonts w:hAnsi="宋体"/>
        </w:rPr>
        <w:tab/>
      </w:r>
      <w:r>
        <w:rPr>
          <w:rFonts w:hAnsi="宋体"/>
        </w:rPr>
        <w:fldChar w:fldCharType="begin"/>
      </w:r>
      <w:r>
        <w:rPr>
          <w:rFonts w:hAnsi="宋体"/>
        </w:rPr>
        <w:instrText xml:space="preserve"> PAGEREF _Toc21665 \h </w:instrText>
      </w:r>
      <w:r>
        <w:rPr>
          <w:rFonts w:hAnsi="宋体"/>
        </w:rPr>
        <w:fldChar w:fldCharType="separate"/>
      </w:r>
      <w:r>
        <w:rPr>
          <w:rFonts w:hAnsi="宋体"/>
        </w:rPr>
        <w:t>3</w:t>
      </w:r>
      <w:r>
        <w:rPr>
          <w:rFonts w:hAnsi="宋体"/>
        </w:rPr>
        <w:fldChar w:fldCharType="end"/>
      </w:r>
      <w:r>
        <w:rPr>
          <w:rFonts w:hAnsi="宋体"/>
        </w:rPr>
        <w:fldChar w:fldCharType="end"/>
      </w:r>
    </w:p>
    <w:p w14:paraId="6D85A9D4">
      <w:pPr>
        <w:pStyle w:val="24"/>
        <w:tabs>
          <w:tab w:val="right" w:leader="dot" w:pos="9354"/>
          <w:tab w:val="clear" w:pos="9344"/>
        </w:tabs>
        <w:rPr>
          <w:rFonts w:hAnsi="宋体"/>
        </w:rPr>
      </w:pPr>
      <w:r>
        <w:fldChar w:fldCharType="begin"/>
      </w:r>
      <w:r>
        <w:instrText xml:space="preserve"> HYPERLINK \l "_Toc17531" </w:instrText>
      </w:r>
      <w:r>
        <w:fldChar w:fldCharType="separate"/>
      </w:r>
      <w:r>
        <w:rPr>
          <w:rFonts w:hint="eastAsia" w:hAnsi="宋体" w:eastAsia="黑体"/>
          <w:kern w:val="0"/>
          <w14:scene3d>
            <w14:lightRig w14:rig="threePt" w14:dir="t">
              <w14:rot w14:lat="0" w14:lon="0" w14:rev="0"/>
            </w14:lightRig>
          </w14:scene3d>
        </w:rPr>
        <w:t xml:space="preserve">5.3 </w:t>
      </w:r>
      <w:r>
        <w:rPr>
          <w:rFonts w:hint="eastAsia" w:hAnsi="宋体"/>
        </w:rPr>
        <w:t>风险评估信息资源调查</w:t>
      </w:r>
      <w:r>
        <w:rPr>
          <w:rFonts w:hAnsi="宋体"/>
        </w:rPr>
        <w:tab/>
      </w:r>
      <w:r>
        <w:rPr>
          <w:rFonts w:hAnsi="宋体"/>
        </w:rPr>
        <w:fldChar w:fldCharType="begin"/>
      </w:r>
      <w:r>
        <w:rPr>
          <w:rFonts w:hAnsi="宋体"/>
        </w:rPr>
        <w:instrText xml:space="preserve"> PAGEREF _Toc17531 \h </w:instrText>
      </w:r>
      <w:r>
        <w:rPr>
          <w:rFonts w:hAnsi="宋体"/>
        </w:rPr>
        <w:fldChar w:fldCharType="separate"/>
      </w:r>
      <w:r>
        <w:rPr>
          <w:rFonts w:hAnsi="宋体"/>
        </w:rPr>
        <w:t>4</w:t>
      </w:r>
      <w:r>
        <w:rPr>
          <w:rFonts w:hAnsi="宋体"/>
        </w:rPr>
        <w:fldChar w:fldCharType="end"/>
      </w:r>
      <w:r>
        <w:rPr>
          <w:rFonts w:hAnsi="宋体"/>
        </w:rPr>
        <w:fldChar w:fldCharType="end"/>
      </w:r>
    </w:p>
    <w:p w14:paraId="170CBBF5">
      <w:pPr>
        <w:pStyle w:val="19"/>
        <w:tabs>
          <w:tab w:val="right" w:leader="dot" w:pos="9354"/>
        </w:tabs>
        <w:rPr>
          <w:rFonts w:hAnsi="宋体"/>
        </w:rPr>
      </w:pPr>
      <w:r>
        <w:fldChar w:fldCharType="begin"/>
      </w:r>
      <w:r>
        <w:instrText xml:space="preserve"> HYPERLINK \l "_Toc527" </w:instrText>
      </w:r>
      <w:r>
        <w:fldChar w:fldCharType="separate"/>
      </w:r>
      <w:r>
        <w:rPr>
          <w:rFonts w:hint="eastAsia" w:hAnsi="宋体" w:eastAsia="黑体"/>
        </w:rPr>
        <w:t xml:space="preserve">6 </w:t>
      </w:r>
      <w:r>
        <w:rPr>
          <w:rFonts w:hint="eastAsia" w:hAnsi="宋体"/>
        </w:rPr>
        <w:t>风险评估</w:t>
      </w:r>
      <w:r>
        <w:rPr>
          <w:rFonts w:hAnsi="宋体"/>
        </w:rPr>
        <w:tab/>
      </w:r>
      <w:r>
        <w:rPr>
          <w:rFonts w:hAnsi="宋体"/>
        </w:rPr>
        <w:fldChar w:fldCharType="begin"/>
      </w:r>
      <w:r>
        <w:rPr>
          <w:rFonts w:hAnsi="宋体"/>
        </w:rPr>
        <w:instrText xml:space="preserve"> PAGEREF _Toc527 \h </w:instrText>
      </w:r>
      <w:r>
        <w:rPr>
          <w:rFonts w:hAnsi="宋体"/>
        </w:rPr>
        <w:fldChar w:fldCharType="separate"/>
      </w:r>
      <w:r>
        <w:rPr>
          <w:rFonts w:hAnsi="宋体"/>
        </w:rPr>
        <w:t>4</w:t>
      </w:r>
      <w:r>
        <w:rPr>
          <w:rFonts w:hAnsi="宋体"/>
        </w:rPr>
        <w:fldChar w:fldCharType="end"/>
      </w:r>
      <w:r>
        <w:rPr>
          <w:rFonts w:hAnsi="宋体"/>
        </w:rPr>
        <w:fldChar w:fldCharType="end"/>
      </w:r>
    </w:p>
    <w:p w14:paraId="54F68A83">
      <w:pPr>
        <w:pStyle w:val="24"/>
        <w:tabs>
          <w:tab w:val="right" w:leader="dot" w:pos="9354"/>
          <w:tab w:val="clear" w:pos="9344"/>
        </w:tabs>
        <w:rPr>
          <w:rFonts w:hAnsi="宋体"/>
        </w:rPr>
      </w:pPr>
      <w:r>
        <w:fldChar w:fldCharType="begin"/>
      </w:r>
      <w:r>
        <w:instrText xml:space="preserve"> HYPERLINK \l "_Toc28124" </w:instrText>
      </w:r>
      <w:r>
        <w:fldChar w:fldCharType="separate"/>
      </w:r>
      <w:r>
        <w:rPr>
          <w:rFonts w:hint="eastAsia" w:hAnsi="宋体" w:eastAsia="黑体"/>
          <w:kern w:val="0"/>
          <w14:scene3d>
            <w14:lightRig w14:rig="threePt" w14:dir="t">
              <w14:rot w14:lat="0" w14:lon="0" w14:rev="0"/>
            </w14:lightRig>
          </w14:scene3d>
        </w:rPr>
        <w:t xml:space="preserve">6.1 </w:t>
      </w:r>
      <w:r>
        <w:rPr>
          <w:rFonts w:hint="eastAsia" w:hAnsi="宋体"/>
        </w:rPr>
        <w:t>风险评估过程</w:t>
      </w:r>
      <w:r>
        <w:rPr>
          <w:rFonts w:hAnsi="宋体"/>
        </w:rPr>
        <w:tab/>
      </w:r>
      <w:r>
        <w:rPr>
          <w:rFonts w:hAnsi="宋体"/>
        </w:rPr>
        <w:fldChar w:fldCharType="begin"/>
      </w:r>
      <w:r>
        <w:rPr>
          <w:rFonts w:hAnsi="宋体"/>
        </w:rPr>
        <w:instrText xml:space="preserve"> PAGEREF _Toc28124 \h </w:instrText>
      </w:r>
      <w:r>
        <w:rPr>
          <w:rFonts w:hAnsi="宋体"/>
        </w:rPr>
        <w:fldChar w:fldCharType="separate"/>
      </w:r>
      <w:r>
        <w:rPr>
          <w:rFonts w:hAnsi="宋体"/>
        </w:rPr>
        <w:t>4</w:t>
      </w:r>
      <w:r>
        <w:rPr>
          <w:rFonts w:hAnsi="宋体"/>
        </w:rPr>
        <w:fldChar w:fldCharType="end"/>
      </w:r>
      <w:r>
        <w:rPr>
          <w:rFonts w:hAnsi="宋体"/>
        </w:rPr>
        <w:fldChar w:fldCharType="end"/>
      </w:r>
    </w:p>
    <w:p w14:paraId="7C49F4DB">
      <w:pPr>
        <w:pStyle w:val="24"/>
        <w:tabs>
          <w:tab w:val="right" w:leader="dot" w:pos="9354"/>
          <w:tab w:val="clear" w:pos="9344"/>
        </w:tabs>
        <w:rPr>
          <w:rFonts w:hAnsi="宋体"/>
        </w:rPr>
      </w:pPr>
      <w:r>
        <w:fldChar w:fldCharType="begin"/>
      </w:r>
      <w:r>
        <w:instrText xml:space="preserve"> HYPERLINK \l "_Toc6409" </w:instrText>
      </w:r>
      <w:r>
        <w:fldChar w:fldCharType="separate"/>
      </w:r>
      <w:r>
        <w:rPr>
          <w:rFonts w:hint="eastAsia" w:hAnsi="宋体" w:eastAsia="黑体"/>
          <w:kern w:val="0"/>
          <w14:scene3d>
            <w14:lightRig w14:rig="threePt" w14:dir="t">
              <w14:rot w14:lat="0" w14:lon="0" w14:rev="0"/>
            </w14:lightRig>
          </w14:scene3d>
        </w:rPr>
        <w:t xml:space="preserve">6.2 </w:t>
      </w:r>
      <w:r>
        <w:rPr>
          <w:rFonts w:hint="eastAsia" w:hAnsi="宋体"/>
        </w:rPr>
        <w:t>职工岗位职业工作过程确定</w:t>
      </w:r>
      <w:r>
        <w:rPr>
          <w:rFonts w:hAnsi="宋体"/>
        </w:rPr>
        <w:tab/>
      </w:r>
      <w:r>
        <w:rPr>
          <w:rFonts w:hAnsi="宋体"/>
        </w:rPr>
        <w:fldChar w:fldCharType="begin"/>
      </w:r>
      <w:r>
        <w:rPr>
          <w:rFonts w:hAnsi="宋体"/>
        </w:rPr>
        <w:instrText xml:space="preserve"> PAGEREF _Toc6409 \h </w:instrText>
      </w:r>
      <w:r>
        <w:rPr>
          <w:rFonts w:hAnsi="宋体"/>
        </w:rPr>
        <w:fldChar w:fldCharType="separate"/>
      </w:r>
      <w:r>
        <w:rPr>
          <w:rFonts w:hAnsi="宋体"/>
        </w:rPr>
        <w:t>4</w:t>
      </w:r>
      <w:r>
        <w:rPr>
          <w:rFonts w:hAnsi="宋体"/>
        </w:rPr>
        <w:fldChar w:fldCharType="end"/>
      </w:r>
      <w:r>
        <w:rPr>
          <w:rFonts w:hAnsi="宋体"/>
        </w:rPr>
        <w:fldChar w:fldCharType="end"/>
      </w:r>
    </w:p>
    <w:p w14:paraId="7B8412E1">
      <w:pPr>
        <w:pStyle w:val="24"/>
        <w:tabs>
          <w:tab w:val="right" w:leader="dot" w:pos="9354"/>
          <w:tab w:val="clear" w:pos="9344"/>
        </w:tabs>
        <w:rPr>
          <w:rFonts w:hAnsi="宋体"/>
        </w:rPr>
      </w:pPr>
      <w:r>
        <w:fldChar w:fldCharType="begin"/>
      </w:r>
      <w:r>
        <w:instrText xml:space="preserve"> HYPERLINK \l "_Toc30517" </w:instrText>
      </w:r>
      <w:r>
        <w:fldChar w:fldCharType="separate"/>
      </w:r>
      <w:r>
        <w:rPr>
          <w:rFonts w:hint="eastAsia" w:hAnsi="宋体" w:eastAsia="黑体"/>
          <w:kern w:val="0"/>
          <w14:scene3d>
            <w14:lightRig w14:rig="threePt" w14:dir="t">
              <w14:rot w14:lat="0" w14:lon="0" w14:rev="0"/>
            </w14:lightRig>
          </w14:scene3d>
        </w:rPr>
        <w:t xml:space="preserve">6.3 </w:t>
      </w:r>
      <w:r>
        <w:rPr>
          <w:rFonts w:hint="eastAsia" w:hAnsi="宋体"/>
        </w:rPr>
        <w:t>风险识别</w:t>
      </w:r>
      <w:r>
        <w:rPr>
          <w:rFonts w:hAnsi="宋体"/>
        </w:rPr>
        <w:tab/>
      </w:r>
      <w:r>
        <w:rPr>
          <w:rFonts w:hAnsi="宋体"/>
        </w:rPr>
        <w:fldChar w:fldCharType="begin"/>
      </w:r>
      <w:r>
        <w:rPr>
          <w:rFonts w:hAnsi="宋体"/>
        </w:rPr>
        <w:instrText xml:space="preserve"> PAGEREF _Toc30517 \h </w:instrText>
      </w:r>
      <w:r>
        <w:rPr>
          <w:rFonts w:hAnsi="宋体"/>
        </w:rPr>
        <w:fldChar w:fldCharType="separate"/>
      </w:r>
      <w:r>
        <w:rPr>
          <w:rFonts w:hAnsi="宋体"/>
        </w:rPr>
        <w:t>5</w:t>
      </w:r>
      <w:r>
        <w:rPr>
          <w:rFonts w:hAnsi="宋体"/>
        </w:rPr>
        <w:fldChar w:fldCharType="end"/>
      </w:r>
      <w:r>
        <w:rPr>
          <w:rFonts w:hAnsi="宋体"/>
        </w:rPr>
        <w:fldChar w:fldCharType="end"/>
      </w:r>
    </w:p>
    <w:p w14:paraId="718095FF">
      <w:pPr>
        <w:pStyle w:val="24"/>
        <w:tabs>
          <w:tab w:val="right" w:leader="dot" w:pos="9354"/>
          <w:tab w:val="clear" w:pos="9344"/>
        </w:tabs>
        <w:rPr>
          <w:rFonts w:hAnsi="宋体"/>
        </w:rPr>
      </w:pPr>
      <w:r>
        <w:fldChar w:fldCharType="begin"/>
      </w:r>
      <w:r>
        <w:instrText xml:space="preserve"> HYPERLINK \l "_Toc31557" </w:instrText>
      </w:r>
      <w:r>
        <w:fldChar w:fldCharType="separate"/>
      </w:r>
      <w:r>
        <w:rPr>
          <w:rFonts w:hint="eastAsia" w:hAnsi="宋体" w:eastAsia="黑体"/>
          <w:kern w:val="0"/>
          <w14:scene3d>
            <w14:lightRig w14:rig="threePt" w14:dir="t">
              <w14:rot w14:lat="0" w14:lon="0" w14:rev="0"/>
            </w14:lightRig>
          </w14:scene3d>
        </w:rPr>
        <w:t xml:space="preserve">6.4 </w:t>
      </w:r>
      <w:r>
        <w:rPr>
          <w:rFonts w:hint="eastAsia" w:hAnsi="宋体"/>
        </w:rPr>
        <w:t>风险评估</w:t>
      </w:r>
      <w:r>
        <w:rPr>
          <w:rFonts w:hAnsi="宋体"/>
        </w:rPr>
        <w:tab/>
      </w:r>
      <w:r>
        <w:rPr>
          <w:rFonts w:hAnsi="宋体"/>
        </w:rPr>
        <w:fldChar w:fldCharType="begin"/>
      </w:r>
      <w:r>
        <w:rPr>
          <w:rFonts w:hAnsi="宋体"/>
        </w:rPr>
        <w:instrText xml:space="preserve"> PAGEREF _Toc31557 \h </w:instrText>
      </w:r>
      <w:r>
        <w:rPr>
          <w:rFonts w:hAnsi="宋体"/>
        </w:rPr>
        <w:fldChar w:fldCharType="separate"/>
      </w:r>
      <w:r>
        <w:rPr>
          <w:rFonts w:hAnsi="宋体"/>
        </w:rPr>
        <w:t>6</w:t>
      </w:r>
      <w:r>
        <w:rPr>
          <w:rFonts w:hAnsi="宋体"/>
        </w:rPr>
        <w:fldChar w:fldCharType="end"/>
      </w:r>
      <w:r>
        <w:rPr>
          <w:rFonts w:hAnsi="宋体"/>
        </w:rPr>
        <w:fldChar w:fldCharType="end"/>
      </w:r>
    </w:p>
    <w:p w14:paraId="0EAB0221">
      <w:pPr>
        <w:pStyle w:val="19"/>
        <w:tabs>
          <w:tab w:val="right" w:leader="dot" w:pos="9354"/>
        </w:tabs>
        <w:rPr>
          <w:rFonts w:hAnsi="宋体"/>
        </w:rPr>
      </w:pPr>
      <w:r>
        <w:fldChar w:fldCharType="begin"/>
      </w:r>
      <w:r>
        <w:instrText xml:space="preserve"> HYPERLINK \l "_Toc6726" </w:instrText>
      </w:r>
      <w:r>
        <w:fldChar w:fldCharType="separate"/>
      </w:r>
      <w:r>
        <w:rPr>
          <w:rFonts w:hint="eastAsia" w:hAnsi="宋体" w:eastAsia="黑体"/>
        </w:rPr>
        <w:t xml:space="preserve">7 </w:t>
      </w:r>
      <w:r>
        <w:rPr>
          <w:rFonts w:hint="eastAsia" w:hAnsi="宋体"/>
        </w:rPr>
        <w:t>风险评估方法</w:t>
      </w:r>
      <w:r>
        <w:rPr>
          <w:rFonts w:hAnsi="宋体"/>
        </w:rPr>
        <w:tab/>
      </w:r>
      <w:r>
        <w:rPr>
          <w:rFonts w:hAnsi="宋体"/>
        </w:rPr>
        <w:fldChar w:fldCharType="begin"/>
      </w:r>
      <w:r>
        <w:rPr>
          <w:rFonts w:hAnsi="宋体"/>
        </w:rPr>
        <w:instrText xml:space="preserve"> PAGEREF _Toc6726 \h </w:instrText>
      </w:r>
      <w:r>
        <w:rPr>
          <w:rFonts w:hAnsi="宋体"/>
        </w:rPr>
        <w:fldChar w:fldCharType="separate"/>
      </w:r>
      <w:r>
        <w:rPr>
          <w:rFonts w:hAnsi="宋体"/>
        </w:rPr>
        <w:t>7</w:t>
      </w:r>
      <w:r>
        <w:rPr>
          <w:rFonts w:hAnsi="宋体"/>
        </w:rPr>
        <w:fldChar w:fldCharType="end"/>
      </w:r>
      <w:r>
        <w:rPr>
          <w:rFonts w:hAnsi="宋体"/>
        </w:rPr>
        <w:fldChar w:fldCharType="end"/>
      </w:r>
    </w:p>
    <w:p w14:paraId="2ACAD55F">
      <w:pPr>
        <w:pStyle w:val="24"/>
        <w:tabs>
          <w:tab w:val="right" w:leader="dot" w:pos="9354"/>
          <w:tab w:val="clear" w:pos="9344"/>
        </w:tabs>
        <w:rPr>
          <w:rFonts w:hAnsi="宋体"/>
        </w:rPr>
      </w:pPr>
      <w:r>
        <w:fldChar w:fldCharType="begin"/>
      </w:r>
      <w:r>
        <w:instrText xml:space="preserve"> HYPERLINK \l "_Toc26337" </w:instrText>
      </w:r>
      <w:r>
        <w:fldChar w:fldCharType="separate"/>
      </w:r>
      <w:r>
        <w:rPr>
          <w:rFonts w:hint="eastAsia" w:hAnsi="宋体" w:eastAsia="黑体"/>
          <w:kern w:val="0"/>
          <w14:scene3d>
            <w14:lightRig w14:rig="threePt" w14:dir="t">
              <w14:rot w14:lat="0" w14:lon="0" w14:rev="0"/>
            </w14:lightRig>
          </w14:scene3d>
        </w:rPr>
        <w:t xml:space="preserve">7.1 </w:t>
      </w:r>
      <w:r>
        <w:rPr>
          <w:rFonts w:hint="eastAsia" w:hAnsi="宋体"/>
        </w:rPr>
        <w:t>一般要求</w:t>
      </w:r>
      <w:r>
        <w:rPr>
          <w:rFonts w:hAnsi="宋体"/>
        </w:rPr>
        <w:tab/>
      </w:r>
      <w:r>
        <w:rPr>
          <w:rFonts w:hAnsi="宋体"/>
        </w:rPr>
        <w:fldChar w:fldCharType="begin"/>
      </w:r>
      <w:r>
        <w:rPr>
          <w:rFonts w:hAnsi="宋体"/>
        </w:rPr>
        <w:instrText xml:space="preserve"> PAGEREF _Toc26337 \h </w:instrText>
      </w:r>
      <w:r>
        <w:rPr>
          <w:rFonts w:hAnsi="宋体"/>
        </w:rPr>
        <w:fldChar w:fldCharType="separate"/>
      </w:r>
      <w:r>
        <w:rPr>
          <w:rFonts w:hAnsi="宋体"/>
        </w:rPr>
        <w:t>7</w:t>
      </w:r>
      <w:r>
        <w:rPr>
          <w:rFonts w:hAnsi="宋体"/>
        </w:rPr>
        <w:fldChar w:fldCharType="end"/>
      </w:r>
      <w:r>
        <w:rPr>
          <w:rFonts w:hAnsi="宋体"/>
        </w:rPr>
        <w:fldChar w:fldCharType="end"/>
      </w:r>
    </w:p>
    <w:p w14:paraId="06045BA0">
      <w:pPr>
        <w:pStyle w:val="24"/>
        <w:tabs>
          <w:tab w:val="right" w:leader="dot" w:pos="9354"/>
          <w:tab w:val="clear" w:pos="9344"/>
        </w:tabs>
        <w:rPr>
          <w:rFonts w:hAnsi="宋体"/>
        </w:rPr>
      </w:pPr>
      <w:r>
        <w:fldChar w:fldCharType="begin"/>
      </w:r>
      <w:r>
        <w:instrText xml:space="preserve"> HYPERLINK \l "_Toc17066" </w:instrText>
      </w:r>
      <w:r>
        <w:fldChar w:fldCharType="separate"/>
      </w:r>
      <w:r>
        <w:rPr>
          <w:rFonts w:hint="eastAsia" w:hAnsi="宋体" w:eastAsia="黑体"/>
          <w:kern w:val="0"/>
          <w14:scene3d>
            <w14:lightRig w14:rig="threePt" w14:dir="t">
              <w14:rot w14:lat="0" w14:lon="0" w14:rev="0"/>
            </w14:lightRig>
          </w14:scene3d>
        </w:rPr>
        <w:t xml:space="preserve">7.2 </w:t>
      </w:r>
      <w:r>
        <w:rPr>
          <w:rFonts w:hint="eastAsia" w:hAnsi="宋体"/>
        </w:rPr>
        <w:t>风险矩阵法</w:t>
      </w:r>
      <w:r>
        <w:rPr>
          <w:rFonts w:hAnsi="宋体"/>
        </w:rPr>
        <w:tab/>
      </w:r>
      <w:r>
        <w:rPr>
          <w:rFonts w:hAnsi="宋体"/>
        </w:rPr>
        <w:fldChar w:fldCharType="begin"/>
      </w:r>
      <w:r>
        <w:rPr>
          <w:rFonts w:hAnsi="宋体"/>
        </w:rPr>
        <w:instrText xml:space="preserve"> PAGEREF _Toc17066 \h </w:instrText>
      </w:r>
      <w:r>
        <w:rPr>
          <w:rFonts w:hAnsi="宋体"/>
        </w:rPr>
        <w:fldChar w:fldCharType="separate"/>
      </w:r>
      <w:r>
        <w:rPr>
          <w:rFonts w:hAnsi="宋体"/>
        </w:rPr>
        <w:t>7</w:t>
      </w:r>
      <w:r>
        <w:rPr>
          <w:rFonts w:hAnsi="宋体"/>
        </w:rPr>
        <w:fldChar w:fldCharType="end"/>
      </w:r>
      <w:r>
        <w:rPr>
          <w:rFonts w:hAnsi="宋体"/>
        </w:rPr>
        <w:fldChar w:fldCharType="end"/>
      </w:r>
    </w:p>
    <w:p w14:paraId="0630578E">
      <w:pPr>
        <w:pStyle w:val="19"/>
        <w:tabs>
          <w:tab w:val="right" w:leader="dot" w:pos="9354"/>
        </w:tabs>
        <w:rPr>
          <w:rFonts w:hAnsi="宋体"/>
        </w:rPr>
      </w:pPr>
      <w:r>
        <w:fldChar w:fldCharType="begin"/>
      </w:r>
      <w:r>
        <w:instrText xml:space="preserve"> HYPERLINK \l "_Toc28467" </w:instrText>
      </w:r>
      <w:r>
        <w:fldChar w:fldCharType="separate"/>
      </w:r>
      <w:r>
        <w:rPr>
          <w:rFonts w:hint="eastAsia" w:hAnsi="宋体" w:eastAsia="黑体"/>
        </w:rPr>
        <w:t xml:space="preserve">8 </w:t>
      </w:r>
      <w:r>
        <w:rPr>
          <w:rFonts w:hint="eastAsia" w:hAnsi="宋体"/>
        </w:rPr>
        <w:t>风险防控措施</w:t>
      </w:r>
      <w:r>
        <w:rPr>
          <w:rFonts w:hAnsi="宋体"/>
        </w:rPr>
        <w:tab/>
      </w:r>
      <w:r>
        <w:rPr>
          <w:rFonts w:hAnsi="宋体"/>
        </w:rPr>
        <w:fldChar w:fldCharType="begin"/>
      </w:r>
      <w:r>
        <w:rPr>
          <w:rFonts w:hAnsi="宋体"/>
        </w:rPr>
        <w:instrText xml:space="preserve"> PAGEREF _Toc28467 \h </w:instrText>
      </w:r>
      <w:r>
        <w:rPr>
          <w:rFonts w:hAnsi="宋体"/>
        </w:rPr>
        <w:fldChar w:fldCharType="separate"/>
      </w:r>
      <w:r>
        <w:rPr>
          <w:rFonts w:hAnsi="宋体"/>
        </w:rPr>
        <w:t>9</w:t>
      </w:r>
      <w:r>
        <w:rPr>
          <w:rFonts w:hAnsi="宋体"/>
        </w:rPr>
        <w:fldChar w:fldCharType="end"/>
      </w:r>
      <w:r>
        <w:rPr>
          <w:rFonts w:hAnsi="宋体"/>
        </w:rPr>
        <w:fldChar w:fldCharType="end"/>
      </w:r>
    </w:p>
    <w:p w14:paraId="3E719664">
      <w:pPr>
        <w:pStyle w:val="24"/>
        <w:tabs>
          <w:tab w:val="right" w:leader="dot" w:pos="9354"/>
          <w:tab w:val="clear" w:pos="9344"/>
        </w:tabs>
        <w:rPr>
          <w:rFonts w:hAnsi="宋体"/>
        </w:rPr>
      </w:pPr>
      <w:r>
        <w:fldChar w:fldCharType="begin"/>
      </w:r>
      <w:r>
        <w:instrText xml:space="preserve"> HYPERLINK \l "_Toc23516" </w:instrText>
      </w:r>
      <w:r>
        <w:fldChar w:fldCharType="separate"/>
      </w:r>
      <w:r>
        <w:rPr>
          <w:rFonts w:hint="eastAsia" w:hAnsi="宋体" w:eastAsia="黑体"/>
          <w:kern w:val="0"/>
          <w14:scene3d>
            <w14:lightRig w14:rig="threePt" w14:dir="t">
              <w14:rot w14:lat="0" w14:lon="0" w14:rev="0"/>
            </w14:lightRig>
          </w14:scene3d>
        </w:rPr>
        <w:t xml:space="preserve">8.1 </w:t>
      </w:r>
      <w:r>
        <w:rPr>
          <w:rFonts w:hint="eastAsia" w:hAnsi="宋体"/>
        </w:rPr>
        <w:t>风险的降低措施</w:t>
      </w:r>
      <w:r>
        <w:rPr>
          <w:rFonts w:hAnsi="宋体"/>
        </w:rPr>
        <w:tab/>
      </w:r>
      <w:r>
        <w:rPr>
          <w:rFonts w:hAnsi="宋体"/>
        </w:rPr>
        <w:fldChar w:fldCharType="begin"/>
      </w:r>
      <w:r>
        <w:rPr>
          <w:rFonts w:hAnsi="宋体"/>
        </w:rPr>
        <w:instrText xml:space="preserve"> PAGEREF _Toc23516 \h </w:instrText>
      </w:r>
      <w:r>
        <w:rPr>
          <w:rFonts w:hAnsi="宋体"/>
        </w:rPr>
        <w:fldChar w:fldCharType="separate"/>
      </w:r>
      <w:r>
        <w:rPr>
          <w:rFonts w:hAnsi="宋体"/>
        </w:rPr>
        <w:t>9</w:t>
      </w:r>
      <w:r>
        <w:rPr>
          <w:rFonts w:hAnsi="宋体"/>
        </w:rPr>
        <w:fldChar w:fldCharType="end"/>
      </w:r>
      <w:r>
        <w:rPr>
          <w:rFonts w:hAnsi="宋体"/>
        </w:rPr>
        <w:fldChar w:fldCharType="end"/>
      </w:r>
    </w:p>
    <w:p w14:paraId="39864096">
      <w:pPr>
        <w:pStyle w:val="24"/>
        <w:tabs>
          <w:tab w:val="right" w:leader="dot" w:pos="9354"/>
          <w:tab w:val="clear" w:pos="9344"/>
        </w:tabs>
        <w:rPr>
          <w:rFonts w:hAnsi="宋体"/>
        </w:rPr>
      </w:pPr>
      <w:r>
        <w:fldChar w:fldCharType="begin"/>
      </w:r>
      <w:r>
        <w:instrText xml:space="preserve"> HYPERLINK \l "_Toc26947" </w:instrText>
      </w:r>
      <w:r>
        <w:fldChar w:fldCharType="separate"/>
      </w:r>
      <w:r>
        <w:rPr>
          <w:rFonts w:hint="eastAsia" w:hAnsi="宋体" w:eastAsia="黑体"/>
          <w:kern w:val="0"/>
          <w14:scene3d>
            <w14:lightRig w14:rig="threePt" w14:dir="t">
              <w14:rot w14:lat="0" w14:lon="0" w14:rev="0"/>
            </w14:lightRig>
          </w14:scene3d>
        </w:rPr>
        <w:t xml:space="preserve">8.2 </w:t>
      </w:r>
      <w:r>
        <w:rPr>
          <w:rFonts w:hint="eastAsia" w:hAnsi="宋体"/>
          <w14:scene3d>
            <w14:lightRig w14:rig="threePt" w14:dir="t">
              <w14:rot w14:lat="0" w14:lon="0" w14:rev="0"/>
            </w14:lightRig>
          </w14:scene3d>
        </w:rPr>
        <w:t>通过安全设计清除风险（本质安全）</w:t>
      </w:r>
      <w:r>
        <w:rPr>
          <w:rFonts w:hAnsi="宋体"/>
        </w:rPr>
        <w:tab/>
      </w:r>
      <w:r>
        <w:rPr>
          <w:rFonts w:hAnsi="宋体"/>
        </w:rPr>
        <w:fldChar w:fldCharType="begin"/>
      </w:r>
      <w:r>
        <w:rPr>
          <w:rFonts w:hAnsi="宋体"/>
        </w:rPr>
        <w:instrText xml:space="preserve"> PAGEREF _Toc26947 \h </w:instrText>
      </w:r>
      <w:r>
        <w:rPr>
          <w:rFonts w:hAnsi="宋体"/>
        </w:rPr>
        <w:fldChar w:fldCharType="separate"/>
      </w:r>
      <w:r>
        <w:rPr>
          <w:rFonts w:hAnsi="宋体"/>
        </w:rPr>
        <w:t>9</w:t>
      </w:r>
      <w:r>
        <w:rPr>
          <w:rFonts w:hAnsi="宋体"/>
        </w:rPr>
        <w:fldChar w:fldCharType="end"/>
      </w:r>
      <w:r>
        <w:rPr>
          <w:rFonts w:hAnsi="宋体"/>
        </w:rPr>
        <w:fldChar w:fldCharType="end"/>
      </w:r>
    </w:p>
    <w:p w14:paraId="004794BF">
      <w:pPr>
        <w:pStyle w:val="24"/>
        <w:tabs>
          <w:tab w:val="right" w:leader="dot" w:pos="9354"/>
          <w:tab w:val="clear" w:pos="9344"/>
        </w:tabs>
        <w:rPr>
          <w:rFonts w:hAnsi="宋体"/>
        </w:rPr>
      </w:pPr>
      <w:r>
        <w:fldChar w:fldCharType="begin"/>
      </w:r>
      <w:r>
        <w:instrText xml:space="preserve"> HYPERLINK \l "_Toc2137" </w:instrText>
      </w:r>
      <w:r>
        <w:fldChar w:fldCharType="separate"/>
      </w:r>
      <w:r>
        <w:rPr>
          <w:rFonts w:hint="eastAsia" w:hAnsi="宋体" w:eastAsia="黑体"/>
          <w:kern w:val="0"/>
          <w14:scene3d>
            <w14:lightRig w14:rig="threePt" w14:dir="t">
              <w14:rot w14:lat="0" w14:lon="0" w14:rev="0"/>
            </w14:lightRig>
          </w14:scene3d>
        </w:rPr>
        <w:t xml:space="preserve">8.3 </w:t>
      </w:r>
      <w:r>
        <w:rPr>
          <w:rFonts w:hint="eastAsia" w:hAnsi="宋体"/>
        </w:rPr>
        <w:t>通过安全辅助设计降低风险</w:t>
      </w:r>
      <w:r>
        <w:rPr>
          <w:rFonts w:hAnsi="宋体"/>
        </w:rPr>
        <w:tab/>
      </w:r>
      <w:r>
        <w:rPr>
          <w:rFonts w:hAnsi="宋体"/>
        </w:rPr>
        <w:fldChar w:fldCharType="begin"/>
      </w:r>
      <w:r>
        <w:rPr>
          <w:rFonts w:hAnsi="宋体"/>
        </w:rPr>
        <w:instrText xml:space="preserve"> PAGEREF _Toc2137 \h </w:instrText>
      </w:r>
      <w:r>
        <w:rPr>
          <w:rFonts w:hAnsi="宋体"/>
        </w:rPr>
        <w:fldChar w:fldCharType="separate"/>
      </w:r>
      <w:r>
        <w:rPr>
          <w:rFonts w:hAnsi="宋体"/>
        </w:rPr>
        <w:t>9</w:t>
      </w:r>
      <w:r>
        <w:rPr>
          <w:rFonts w:hAnsi="宋体"/>
        </w:rPr>
        <w:fldChar w:fldCharType="end"/>
      </w:r>
      <w:r>
        <w:rPr>
          <w:rFonts w:hAnsi="宋体"/>
        </w:rPr>
        <w:fldChar w:fldCharType="end"/>
      </w:r>
    </w:p>
    <w:p w14:paraId="0E73B33C">
      <w:pPr>
        <w:pStyle w:val="24"/>
        <w:tabs>
          <w:tab w:val="right" w:leader="dot" w:pos="9354"/>
          <w:tab w:val="clear" w:pos="9344"/>
        </w:tabs>
        <w:rPr>
          <w:rFonts w:hAnsi="宋体"/>
        </w:rPr>
      </w:pPr>
      <w:r>
        <w:fldChar w:fldCharType="begin"/>
      </w:r>
      <w:r>
        <w:instrText xml:space="preserve"> HYPERLINK \l "_Toc20710" </w:instrText>
      </w:r>
      <w:r>
        <w:fldChar w:fldCharType="separate"/>
      </w:r>
      <w:r>
        <w:rPr>
          <w:rFonts w:hint="eastAsia" w:hAnsi="宋体" w:eastAsia="黑体"/>
          <w:kern w:val="0"/>
          <w14:scene3d>
            <w14:lightRig w14:rig="threePt" w14:dir="t">
              <w14:rot w14:lat="0" w14:lon="0" w14:rev="0"/>
            </w14:lightRig>
          </w14:scene3d>
        </w:rPr>
        <w:t xml:space="preserve">8.4 </w:t>
      </w:r>
      <w:r>
        <w:rPr>
          <w:rFonts w:hint="eastAsia" w:hAnsi="宋体"/>
        </w:rPr>
        <w:t>安全防护和补充保护措施</w:t>
      </w:r>
      <w:r>
        <w:rPr>
          <w:rFonts w:hAnsi="宋体"/>
        </w:rPr>
        <w:tab/>
      </w:r>
      <w:r>
        <w:rPr>
          <w:rFonts w:hAnsi="宋体"/>
        </w:rPr>
        <w:fldChar w:fldCharType="begin"/>
      </w:r>
      <w:r>
        <w:rPr>
          <w:rFonts w:hAnsi="宋体"/>
        </w:rPr>
        <w:instrText xml:space="preserve"> PAGEREF _Toc20710 \h </w:instrText>
      </w:r>
      <w:r>
        <w:rPr>
          <w:rFonts w:hAnsi="宋体"/>
        </w:rPr>
        <w:fldChar w:fldCharType="separate"/>
      </w:r>
      <w:r>
        <w:rPr>
          <w:rFonts w:hAnsi="宋体"/>
        </w:rPr>
        <w:t>10</w:t>
      </w:r>
      <w:r>
        <w:rPr>
          <w:rFonts w:hAnsi="宋体"/>
        </w:rPr>
        <w:fldChar w:fldCharType="end"/>
      </w:r>
      <w:r>
        <w:rPr>
          <w:rFonts w:hAnsi="宋体"/>
        </w:rPr>
        <w:fldChar w:fldCharType="end"/>
      </w:r>
    </w:p>
    <w:p w14:paraId="4C5388CB">
      <w:pPr>
        <w:pStyle w:val="24"/>
        <w:tabs>
          <w:tab w:val="right" w:leader="dot" w:pos="9354"/>
          <w:tab w:val="clear" w:pos="9344"/>
        </w:tabs>
        <w:rPr>
          <w:rFonts w:hAnsi="宋体"/>
        </w:rPr>
      </w:pPr>
      <w:r>
        <w:fldChar w:fldCharType="begin"/>
      </w:r>
      <w:r>
        <w:instrText xml:space="preserve"> HYPERLINK \l "_Toc21187" </w:instrText>
      </w:r>
      <w:r>
        <w:fldChar w:fldCharType="separate"/>
      </w:r>
      <w:r>
        <w:rPr>
          <w:rFonts w:hint="eastAsia" w:hAnsi="宋体" w:eastAsia="黑体"/>
          <w:kern w:val="0"/>
          <w14:scene3d>
            <w14:lightRig w14:rig="threePt" w14:dir="t">
              <w14:rot w14:lat="0" w14:lon="0" w14:rev="0"/>
            </w14:lightRig>
          </w14:scene3d>
        </w:rPr>
        <w:t xml:space="preserve">8.5 </w:t>
      </w:r>
      <w:r>
        <w:rPr>
          <w:rFonts w:hint="eastAsia" w:hAnsi="宋体"/>
        </w:rPr>
        <w:t>补充保护和（或）风险防控措施</w:t>
      </w:r>
      <w:r>
        <w:rPr>
          <w:rFonts w:hAnsi="宋体"/>
        </w:rPr>
        <w:tab/>
      </w:r>
      <w:r>
        <w:rPr>
          <w:rFonts w:hAnsi="宋体"/>
        </w:rPr>
        <w:fldChar w:fldCharType="begin"/>
      </w:r>
      <w:r>
        <w:rPr>
          <w:rFonts w:hAnsi="宋体"/>
        </w:rPr>
        <w:instrText xml:space="preserve"> PAGEREF _Toc21187 \h </w:instrText>
      </w:r>
      <w:r>
        <w:rPr>
          <w:rFonts w:hAnsi="宋体"/>
        </w:rPr>
        <w:fldChar w:fldCharType="separate"/>
      </w:r>
      <w:r>
        <w:rPr>
          <w:rFonts w:hAnsi="宋体"/>
        </w:rPr>
        <w:t>10</w:t>
      </w:r>
      <w:r>
        <w:rPr>
          <w:rFonts w:hAnsi="宋体"/>
        </w:rPr>
        <w:fldChar w:fldCharType="end"/>
      </w:r>
      <w:r>
        <w:rPr>
          <w:rFonts w:hAnsi="宋体"/>
        </w:rPr>
        <w:fldChar w:fldCharType="end"/>
      </w:r>
    </w:p>
    <w:p w14:paraId="0B4BCC6F">
      <w:pPr>
        <w:pStyle w:val="24"/>
        <w:tabs>
          <w:tab w:val="right" w:leader="dot" w:pos="9354"/>
          <w:tab w:val="clear" w:pos="9344"/>
        </w:tabs>
        <w:rPr>
          <w:rFonts w:hAnsi="宋体"/>
        </w:rPr>
      </w:pPr>
      <w:r>
        <w:fldChar w:fldCharType="begin"/>
      </w:r>
      <w:r>
        <w:instrText xml:space="preserve"> HYPERLINK \l "_Toc5070" </w:instrText>
      </w:r>
      <w:r>
        <w:fldChar w:fldCharType="separate"/>
      </w:r>
      <w:r>
        <w:rPr>
          <w:rFonts w:hint="eastAsia" w:hAnsi="宋体" w:eastAsia="黑体"/>
          <w:kern w:val="0"/>
          <w14:scene3d>
            <w14:lightRig w14:rig="threePt" w14:dir="t">
              <w14:rot w14:lat="0" w14:lon="0" w14:rev="0"/>
            </w14:lightRig>
          </w14:scene3d>
        </w:rPr>
        <w:t xml:space="preserve">8.6 </w:t>
      </w:r>
      <w:r>
        <w:rPr>
          <w:rFonts w:hint="eastAsia" w:hAnsi="宋体"/>
        </w:rPr>
        <w:t>设备供应商提供信息</w:t>
      </w:r>
      <w:r>
        <w:rPr>
          <w:rFonts w:hAnsi="宋体"/>
        </w:rPr>
        <w:tab/>
      </w:r>
      <w:r>
        <w:rPr>
          <w:rFonts w:hAnsi="宋体"/>
        </w:rPr>
        <w:fldChar w:fldCharType="begin"/>
      </w:r>
      <w:r>
        <w:rPr>
          <w:rFonts w:hAnsi="宋体"/>
        </w:rPr>
        <w:instrText xml:space="preserve"> PAGEREF _Toc5070 \h </w:instrText>
      </w:r>
      <w:r>
        <w:rPr>
          <w:rFonts w:hAnsi="宋体"/>
        </w:rPr>
        <w:fldChar w:fldCharType="separate"/>
      </w:r>
      <w:r>
        <w:rPr>
          <w:rFonts w:hAnsi="宋体"/>
        </w:rPr>
        <w:t>10</w:t>
      </w:r>
      <w:r>
        <w:rPr>
          <w:rFonts w:hAnsi="宋体"/>
        </w:rPr>
        <w:fldChar w:fldCharType="end"/>
      </w:r>
      <w:r>
        <w:rPr>
          <w:rFonts w:hAnsi="宋体"/>
        </w:rPr>
        <w:fldChar w:fldCharType="end"/>
      </w:r>
    </w:p>
    <w:p w14:paraId="77CB89F2">
      <w:pPr>
        <w:pStyle w:val="19"/>
        <w:tabs>
          <w:tab w:val="right" w:leader="dot" w:pos="9354"/>
        </w:tabs>
        <w:rPr>
          <w:rFonts w:hAnsi="宋体"/>
        </w:rPr>
      </w:pPr>
      <w:r>
        <w:fldChar w:fldCharType="begin"/>
      </w:r>
      <w:r>
        <w:instrText xml:space="preserve"> HYPERLINK \l "_Toc12598" </w:instrText>
      </w:r>
      <w:r>
        <w:fldChar w:fldCharType="separate"/>
      </w:r>
      <w:r>
        <w:rPr>
          <w:rFonts w:hint="eastAsia" w:hAnsi="宋体" w:eastAsia="黑体"/>
        </w:rPr>
        <w:t xml:space="preserve">9 </w:t>
      </w:r>
      <w:r>
        <w:rPr>
          <w:rFonts w:hint="eastAsia" w:hAnsi="宋体"/>
        </w:rPr>
        <w:t>风险评估迭代</w:t>
      </w:r>
      <w:r>
        <w:rPr>
          <w:rFonts w:hAnsi="宋体"/>
        </w:rPr>
        <w:tab/>
      </w:r>
      <w:r>
        <w:rPr>
          <w:rFonts w:hAnsi="宋体"/>
        </w:rPr>
        <w:fldChar w:fldCharType="begin"/>
      </w:r>
      <w:r>
        <w:rPr>
          <w:rFonts w:hAnsi="宋体"/>
        </w:rPr>
        <w:instrText xml:space="preserve"> PAGEREF _Toc12598 \h </w:instrText>
      </w:r>
      <w:r>
        <w:rPr>
          <w:rFonts w:hAnsi="宋体"/>
        </w:rPr>
        <w:fldChar w:fldCharType="separate"/>
      </w:r>
      <w:r>
        <w:rPr>
          <w:rFonts w:hAnsi="宋体"/>
        </w:rPr>
        <w:t>12</w:t>
      </w:r>
      <w:r>
        <w:rPr>
          <w:rFonts w:hAnsi="宋体"/>
        </w:rPr>
        <w:fldChar w:fldCharType="end"/>
      </w:r>
      <w:r>
        <w:rPr>
          <w:rFonts w:hAnsi="宋体"/>
        </w:rPr>
        <w:fldChar w:fldCharType="end"/>
      </w:r>
    </w:p>
    <w:p w14:paraId="55BB220A">
      <w:pPr>
        <w:pStyle w:val="19"/>
        <w:tabs>
          <w:tab w:val="right" w:leader="dot" w:pos="9354"/>
        </w:tabs>
        <w:rPr>
          <w:rFonts w:hAnsi="宋体"/>
        </w:rPr>
      </w:pPr>
      <w:r>
        <w:fldChar w:fldCharType="begin"/>
      </w:r>
      <w:r>
        <w:instrText xml:space="preserve"> HYPERLINK \l "_Toc23058" </w:instrText>
      </w:r>
      <w:r>
        <w:fldChar w:fldCharType="separate"/>
      </w:r>
      <w:r>
        <w:rPr>
          <w:rFonts w:hint="eastAsia" w:hAnsi="宋体" w:eastAsia="黑体"/>
        </w:rPr>
        <w:t xml:space="preserve">10 </w:t>
      </w:r>
      <w:r>
        <w:rPr>
          <w:rFonts w:hint="eastAsia" w:hAnsi="宋体"/>
        </w:rPr>
        <w:t>风险评估文件</w:t>
      </w:r>
      <w:r>
        <w:rPr>
          <w:rFonts w:hAnsi="宋体"/>
        </w:rPr>
        <w:tab/>
      </w:r>
      <w:r>
        <w:rPr>
          <w:rFonts w:hAnsi="宋体"/>
        </w:rPr>
        <w:fldChar w:fldCharType="begin"/>
      </w:r>
      <w:r>
        <w:rPr>
          <w:rFonts w:hAnsi="宋体"/>
        </w:rPr>
        <w:instrText xml:space="preserve"> PAGEREF _Toc23058 \h </w:instrText>
      </w:r>
      <w:r>
        <w:rPr>
          <w:rFonts w:hAnsi="宋体"/>
        </w:rPr>
        <w:fldChar w:fldCharType="separate"/>
      </w:r>
      <w:r>
        <w:rPr>
          <w:rFonts w:hAnsi="宋体"/>
        </w:rPr>
        <w:t>12</w:t>
      </w:r>
      <w:r>
        <w:rPr>
          <w:rFonts w:hAnsi="宋体"/>
        </w:rPr>
        <w:fldChar w:fldCharType="end"/>
      </w:r>
      <w:r>
        <w:rPr>
          <w:rFonts w:hAnsi="宋体"/>
        </w:rPr>
        <w:fldChar w:fldCharType="end"/>
      </w:r>
    </w:p>
    <w:p w14:paraId="1839A03D">
      <w:pPr>
        <w:pStyle w:val="19"/>
        <w:tabs>
          <w:tab w:val="right" w:leader="dot" w:pos="9354"/>
        </w:tabs>
        <w:rPr>
          <w:rFonts w:hAnsi="宋体"/>
        </w:rPr>
      </w:pPr>
      <w:r>
        <w:fldChar w:fldCharType="begin"/>
      </w:r>
      <w:r>
        <w:instrText xml:space="preserve"> HYPERLINK \l "_Toc13359" </w:instrText>
      </w:r>
      <w:r>
        <w:fldChar w:fldCharType="separate"/>
      </w:r>
      <w:r>
        <w:rPr>
          <w:rFonts w:hint="eastAsia" w:hAnsi="宋体"/>
        </w:rPr>
        <w:t>附录A（资料性）</w:t>
      </w:r>
      <w:r>
        <w:rPr>
          <w:rFonts w:hAnsi="宋体"/>
        </w:rPr>
        <w:t xml:space="preserve"> </w:t>
      </w:r>
      <w:r>
        <w:rPr>
          <w:rFonts w:hint="eastAsia" w:hAnsi="宋体"/>
        </w:rPr>
        <w:t>用于风险评估过程的几个步骤的方法的示例</w:t>
      </w:r>
      <w:r>
        <w:rPr>
          <w:rFonts w:hAnsi="宋体"/>
        </w:rPr>
        <w:tab/>
      </w:r>
      <w:r>
        <w:rPr>
          <w:rFonts w:hAnsi="宋体"/>
        </w:rPr>
        <w:fldChar w:fldCharType="begin"/>
      </w:r>
      <w:r>
        <w:rPr>
          <w:rFonts w:hAnsi="宋体"/>
        </w:rPr>
        <w:instrText xml:space="preserve"> PAGEREF _Toc13359 \h </w:instrText>
      </w:r>
      <w:r>
        <w:rPr>
          <w:rFonts w:hAnsi="宋体"/>
        </w:rPr>
        <w:fldChar w:fldCharType="separate"/>
      </w:r>
      <w:r>
        <w:rPr>
          <w:rFonts w:hAnsi="宋体"/>
        </w:rPr>
        <w:t>13</w:t>
      </w:r>
      <w:r>
        <w:rPr>
          <w:rFonts w:hAnsi="宋体"/>
        </w:rPr>
        <w:fldChar w:fldCharType="end"/>
      </w:r>
      <w:r>
        <w:rPr>
          <w:rFonts w:hAnsi="宋体"/>
        </w:rPr>
        <w:fldChar w:fldCharType="end"/>
      </w:r>
    </w:p>
    <w:p w14:paraId="6C0A8F35">
      <w:pPr>
        <w:pStyle w:val="24"/>
        <w:tabs>
          <w:tab w:val="right" w:leader="dot" w:pos="9354"/>
          <w:tab w:val="clear" w:pos="9344"/>
        </w:tabs>
        <w:rPr>
          <w:rFonts w:hAnsi="宋体"/>
        </w:rPr>
      </w:pPr>
      <w:r>
        <w:fldChar w:fldCharType="begin"/>
      </w:r>
      <w:r>
        <w:instrText xml:space="preserve"> HYPERLINK \l "_Toc24569" </w:instrText>
      </w:r>
      <w:r>
        <w:fldChar w:fldCharType="separate"/>
      </w:r>
      <w:r>
        <w:rPr>
          <w:rFonts w:hint="eastAsia" w:hAnsi="宋体" w:eastAsia="黑体"/>
        </w:rPr>
        <w:t xml:space="preserve">A.1 </w:t>
      </w:r>
      <w:r>
        <w:rPr>
          <w:rFonts w:hint="eastAsia" w:hAnsi="宋体"/>
        </w:rPr>
        <w:t>概述</w:t>
      </w:r>
      <w:r>
        <w:rPr>
          <w:rFonts w:hAnsi="宋体"/>
        </w:rPr>
        <w:tab/>
      </w:r>
      <w:r>
        <w:rPr>
          <w:rFonts w:hAnsi="宋体"/>
        </w:rPr>
        <w:fldChar w:fldCharType="begin"/>
      </w:r>
      <w:r>
        <w:rPr>
          <w:rFonts w:hAnsi="宋体"/>
        </w:rPr>
        <w:instrText xml:space="preserve"> PAGEREF _Toc24569 \h </w:instrText>
      </w:r>
      <w:r>
        <w:rPr>
          <w:rFonts w:hAnsi="宋体"/>
        </w:rPr>
        <w:fldChar w:fldCharType="separate"/>
      </w:r>
      <w:r>
        <w:rPr>
          <w:rFonts w:hAnsi="宋体"/>
        </w:rPr>
        <w:t>13</w:t>
      </w:r>
      <w:r>
        <w:rPr>
          <w:rFonts w:hAnsi="宋体"/>
        </w:rPr>
        <w:fldChar w:fldCharType="end"/>
      </w:r>
      <w:r>
        <w:rPr>
          <w:rFonts w:hAnsi="宋体"/>
        </w:rPr>
        <w:fldChar w:fldCharType="end"/>
      </w:r>
    </w:p>
    <w:p w14:paraId="122EC3C6">
      <w:pPr>
        <w:pStyle w:val="24"/>
        <w:tabs>
          <w:tab w:val="right" w:leader="dot" w:pos="9354"/>
          <w:tab w:val="clear" w:pos="9344"/>
        </w:tabs>
        <w:rPr>
          <w:rFonts w:hAnsi="宋体"/>
        </w:rPr>
      </w:pPr>
      <w:r>
        <w:fldChar w:fldCharType="begin"/>
      </w:r>
      <w:r>
        <w:instrText xml:space="preserve"> HYPERLINK \l "_Toc17838" </w:instrText>
      </w:r>
      <w:r>
        <w:fldChar w:fldCharType="separate"/>
      </w:r>
      <w:r>
        <w:rPr>
          <w:rFonts w:hint="eastAsia" w:hAnsi="宋体" w:eastAsia="黑体"/>
        </w:rPr>
        <w:t xml:space="preserve">A.2 </w:t>
      </w:r>
      <w:r>
        <w:rPr>
          <w:rFonts w:hint="eastAsia" w:hAnsi="宋体"/>
        </w:rPr>
        <w:t>通过使用表格的风险识别</w:t>
      </w:r>
      <w:r>
        <w:rPr>
          <w:rFonts w:hAnsi="宋体"/>
        </w:rPr>
        <w:tab/>
      </w:r>
      <w:r>
        <w:rPr>
          <w:rFonts w:hAnsi="宋体"/>
        </w:rPr>
        <w:fldChar w:fldCharType="begin"/>
      </w:r>
      <w:r>
        <w:rPr>
          <w:rFonts w:hAnsi="宋体"/>
        </w:rPr>
        <w:instrText xml:space="preserve"> PAGEREF _Toc17838 \h </w:instrText>
      </w:r>
      <w:r>
        <w:rPr>
          <w:rFonts w:hAnsi="宋体"/>
        </w:rPr>
        <w:fldChar w:fldCharType="separate"/>
      </w:r>
      <w:r>
        <w:rPr>
          <w:rFonts w:hAnsi="宋体"/>
        </w:rPr>
        <w:t>13</w:t>
      </w:r>
      <w:r>
        <w:rPr>
          <w:rFonts w:hAnsi="宋体"/>
        </w:rPr>
        <w:fldChar w:fldCharType="end"/>
      </w:r>
      <w:r>
        <w:rPr>
          <w:rFonts w:hAnsi="宋体"/>
        </w:rPr>
        <w:fldChar w:fldCharType="end"/>
      </w:r>
    </w:p>
    <w:p w14:paraId="568F6B3F">
      <w:pPr>
        <w:pStyle w:val="24"/>
        <w:tabs>
          <w:tab w:val="right" w:leader="dot" w:pos="9354"/>
          <w:tab w:val="clear" w:pos="9344"/>
        </w:tabs>
        <w:rPr>
          <w:rFonts w:hAnsi="宋体"/>
        </w:rPr>
      </w:pPr>
      <w:r>
        <w:fldChar w:fldCharType="begin"/>
      </w:r>
      <w:r>
        <w:instrText xml:space="preserve"> HYPERLINK \l "_Toc21255" </w:instrText>
      </w:r>
      <w:r>
        <w:fldChar w:fldCharType="separate"/>
      </w:r>
      <w:r>
        <w:rPr>
          <w:rFonts w:hint="eastAsia" w:hAnsi="宋体" w:eastAsia="黑体"/>
        </w:rPr>
        <w:t xml:space="preserve">A.3 </w:t>
      </w:r>
      <w:r>
        <w:rPr>
          <w:rFonts w:hint="eastAsia" w:hAnsi="宋体"/>
        </w:rPr>
        <w:t>使用风险矩阵法的风险评价</w:t>
      </w:r>
      <w:r>
        <w:rPr>
          <w:rFonts w:hAnsi="宋体"/>
        </w:rPr>
        <w:tab/>
      </w:r>
      <w:r>
        <w:rPr>
          <w:rFonts w:hAnsi="宋体"/>
        </w:rPr>
        <w:fldChar w:fldCharType="begin"/>
      </w:r>
      <w:r>
        <w:rPr>
          <w:rFonts w:hAnsi="宋体"/>
        </w:rPr>
        <w:instrText xml:space="preserve"> PAGEREF _Toc21255 \h </w:instrText>
      </w:r>
      <w:r>
        <w:rPr>
          <w:rFonts w:hAnsi="宋体"/>
        </w:rPr>
        <w:fldChar w:fldCharType="separate"/>
      </w:r>
      <w:r>
        <w:rPr>
          <w:rFonts w:hAnsi="宋体"/>
        </w:rPr>
        <w:t>15</w:t>
      </w:r>
      <w:r>
        <w:rPr>
          <w:rFonts w:hAnsi="宋体"/>
        </w:rPr>
        <w:fldChar w:fldCharType="end"/>
      </w:r>
      <w:r>
        <w:rPr>
          <w:rFonts w:hAnsi="宋体"/>
        </w:rPr>
        <w:fldChar w:fldCharType="end"/>
      </w:r>
    </w:p>
    <w:p w14:paraId="229E0673">
      <w:pPr>
        <w:pStyle w:val="19"/>
        <w:tabs>
          <w:tab w:val="right" w:leader="dot" w:pos="9354"/>
        </w:tabs>
        <w:rPr>
          <w:rFonts w:hAnsi="宋体"/>
        </w:rPr>
      </w:pPr>
      <w:r>
        <w:fldChar w:fldCharType="begin"/>
      </w:r>
      <w:r>
        <w:instrText xml:space="preserve"> HYPERLINK \l "_Toc17027" </w:instrText>
      </w:r>
      <w:r>
        <w:fldChar w:fldCharType="separate"/>
      </w:r>
      <w:r>
        <w:rPr>
          <w:rFonts w:hint="eastAsia" w:hAnsi="宋体"/>
        </w:rPr>
        <w:t>参考文献</w:t>
      </w:r>
      <w:r>
        <w:rPr>
          <w:rFonts w:hAnsi="宋体"/>
        </w:rPr>
        <w:tab/>
      </w:r>
      <w:r>
        <w:rPr>
          <w:rFonts w:hint="eastAsia" w:hAnsi="宋体"/>
        </w:rPr>
        <w:t>..........................................</w:t>
      </w:r>
      <w:r>
        <w:rPr>
          <w:rFonts w:hAnsi="宋体"/>
        </w:rPr>
        <w:fldChar w:fldCharType="begin"/>
      </w:r>
      <w:r>
        <w:rPr>
          <w:rFonts w:hAnsi="宋体"/>
        </w:rPr>
        <w:instrText xml:space="preserve"> PAGEREF _Toc17027 \h </w:instrText>
      </w:r>
      <w:r>
        <w:rPr>
          <w:rFonts w:hAnsi="宋体"/>
        </w:rPr>
        <w:fldChar w:fldCharType="separate"/>
      </w:r>
      <w:r>
        <w:rPr>
          <w:rFonts w:hAnsi="宋体"/>
        </w:rPr>
        <w:t>19</w:t>
      </w:r>
      <w:r>
        <w:rPr>
          <w:rFonts w:hAnsi="宋体"/>
        </w:rPr>
        <w:fldChar w:fldCharType="end"/>
      </w:r>
      <w:r>
        <w:rPr>
          <w:rFonts w:hAnsi="宋体"/>
        </w:rPr>
        <w:fldChar w:fldCharType="end"/>
      </w:r>
    </w:p>
    <w:p w14:paraId="3E591E6B">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rPr>
          <w:rFonts w:ascii="宋体" w:hAnsi="宋体"/>
        </w:rPr>
        <w:fldChar w:fldCharType="end"/>
      </w:r>
    </w:p>
    <w:bookmarkEnd w:id="2"/>
    <w:p w14:paraId="56516B57">
      <w:pPr>
        <w:pStyle w:val="89"/>
        <w:spacing w:before="900" w:after="360"/>
      </w:pPr>
      <w:bookmarkStart w:id="4" w:name="_Toc29180"/>
      <w:bookmarkStart w:id="5" w:name="BookMark2"/>
      <w:r>
        <w:rPr>
          <w:spacing w:val="320"/>
        </w:rPr>
        <w:t>前</w:t>
      </w:r>
      <w:r>
        <w:t>言</w:t>
      </w:r>
      <w:bookmarkEnd w:id="3"/>
      <w:bookmarkEnd w:id="4"/>
    </w:p>
    <w:p w14:paraId="2093B31E">
      <w:pPr>
        <w:pStyle w:val="56"/>
        <w:ind w:firstLine="420"/>
      </w:pPr>
      <w:r>
        <w:rPr>
          <w:rFonts w:hint="eastAsia"/>
        </w:rPr>
        <w:t>本文件按照GB/T 1.1—2020《标准化工作导则 第1部分：标准化文件的结构和起草规则》的规定起草。</w:t>
      </w:r>
    </w:p>
    <w:p w14:paraId="071236E3">
      <w:pPr>
        <w:pStyle w:val="56"/>
        <w:ind w:firstLine="420"/>
      </w:pPr>
      <w:r>
        <w:rPr>
          <w:rFonts w:hint="eastAsia"/>
        </w:rPr>
        <w:t>T/CASMES 《用人单位工伤预防培训指南》分为以下五部分：</w:t>
      </w:r>
    </w:p>
    <w:p w14:paraId="0252CFD6">
      <w:pPr>
        <w:pStyle w:val="56"/>
        <w:ind w:firstLine="420"/>
      </w:pPr>
      <w:r>
        <w:rPr>
          <w:rFonts w:hint="eastAsia"/>
        </w:rPr>
        <w:t>—— 第1部分：工伤预防导师；</w:t>
      </w:r>
    </w:p>
    <w:p w14:paraId="27FAB8DB">
      <w:pPr>
        <w:pStyle w:val="56"/>
        <w:ind w:firstLine="420"/>
      </w:pPr>
      <w:r>
        <w:rPr>
          <w:rFonts w:hint="eastAsia"/>
        </w:rPr>
        <w:t>—— 第2部分：“三类”管理人员；</w:t>
      </w:r>
    </w:p>
    <w:p w14:paraId="767D8365">
      <w:pPr>
        <w:pStyle w:val="56"/>
        <w:ind w:firstLine="420"/>
      </w:pPr>
      <w:r>
        <w:rPr>
          <w:rFonts w:hint="eastAsia"/>
        </w:rPr>
        <w:t>—— 第3部分：岗位职工；</w:t>
      </w:r>
    </w:p>
    <w:p w14:paraId="2CA413ED">
      <w:pPr>
        <w:pStyle w:val="56"/>
        <w:ind w:firstLine="420"/>
      </w:pPr>
      <w:r>
        <w:rPr>
          <w:rFonts w:hint="eastAsia"/>
        </w:rPr>
        <w:t>—— 第4部分：岗位职工培训效果评估；</w:t>
      </w:r>
    </w:p>
    <w:p w14:paraId="02A5EFA0">
      <w:pPr>
        <w:pStyle w:val="56"/>
        <w:ind w:firstLine="420"/>
      </w:pPr>
      <w:r>
        <w:rPr>
          <w:rFonts w:hint="eastAsia"/>
        </w:rPr>
        <w:t>—— 第5部分：职工岗位工伤风险评估</w:t>
      </w:r>
    </w:p>
    <w:p w14:paraId="67622E2C">
      <w:pPr>
        <w:pStyle w:val="56"/>
        <w:ind w:firstLine="420"/>
      </w:pPr>
      <w:r>
        <w:rPr>
          <w:rFonts w:hint="eastAsia"/>
        </w:rPr>
        <w:t>本文件为T/CASMES XXX 第5部分 职工岗位工伤风险评估。</w:t>
      </w:r>
    </w:p>
    <w:p w14:paraId="4453EF59">
      <w:pPr>
        <w:pStyle w:val="56"/>
        <w:ind w:firstLine="420"/>
      </w:pPr>
    </w:p>
    <w:p w14:paraId="3CB2E05D">
      <w:pPr>
        <w:pStyle w:val="56"/>
        <w:ind w:firstLine="420"/>
      </w:pPr>
      <w:r>
        <w:rPr>
          <w:rFonts w:hint="eastAsia"/>
        </w:rPr>
        <w:t>请注意本文件的某些内容可能涉及专利。本文件的发布机构不承担识别专利的责任。</w:t>
      </w:r>
    </w:p>
    <w:p w14:paraId="24E95A97">
      <w:pPr>
        <w:pStyle w:val="56"/>
        <w:ind w:firstLine="420"/>
      </w:pPr>
      <w:r>
        <w:rPr>
          <w:rFonts w:hint="eastAsia"/>
        </w:rPr>
        <w:t>本文件由中国中小企业协会提出。</w:t>
      </w:r>
    </w:p>
    <w:p w14:paraId="3DB8BE23">
      <w:pPr>
        <w:pStyle w:val="56"/>
        <w:ind w:firstLine="420"/>
      </w:pPr>
      <w:r>
        <w:rPr>
          <w:rFonts w:hint="eastAsia"/>
        </w:rPr>
        <w:t>本文件由中国中小企业协会归口。</w:t>
      </w:r>
    </w:p>
    <w:p w14:paraId="3A3A355F">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 w:val="0"/>
          <w:bCs w:val="0"/>
          <w:sz w:val="21"/>
          <w:szCs w:val="21"/>
          <w:lang w:val="en-US" w:eastAsia="zh-CN"/>
        </w:rPr>
      </w:pPr>
      <w:r>
        <w:rPr>
          <w:rFonts w:hint="eastAsia"/>
        </w:rPr>
        <w:t>本文件起草单位：</w:t>
      </w:r>
      <w:r>
        <w:rPr>
          <w:rFonts w:hint="eastAsia"/>
          <w:lang w:val="en-US" w:eastAsia="zh-CN"/>
        </w:rPr>
        <w:t>中国工伤预防专业委员会、天津东方泰瑞科技有限公的司、广东省工伤康复中心、中质应安（浙江）科技有限公司、天津市天科安全生产科学研究院有限公司、百诚（北京）工程咨询有限公司、长沙妍泽教育咨询有限公司、</w:t>
      </w:r>
      <w:r>
        <w:rPr>
          <w:rFonts w:hint="eastAsia"/>
        </w:rPr>
        <w:t>浙江沪杭甬高速公路股份有限公司</w:t>
      </w:r>
      <w:r>
        <w:rPr>
          <w:rFonts w:hint="eastAsia"/>
          <w:lang w:eastAsia="zh-CN"/>
        </w:rPr>
        <w:t>、</w:t>
      </w:r>
      <w:r>
        <w:rPr>
          <w:rFonts w:hint="eastAsia"/>
          <w:lang w:val="en-US" w:eastAsia="zh-CN"/>
        </w:rPr>
        <w:t>浙江申嘉湖杭高速公路有限公司、浙江省交通集团有限公司申苏浙皖分公司、浙江杭宁高速公路有限责任公司、浙江舟山跨海大桥有限公司、国网湖州供电公司、世财认证（天津）有限公司</w:t>
      </w:r>
      <w:r>
        <w:rPr>
          <w:rFonts w:hint="eastAsia" w:ascii="宋体" w:hAnsi="宋体" w:eastAsia="宋体" w:cs="宋体"/>
          <w:b w:val="0"/>
          <w:bCs w:val="0"/>
          <w:sz w:val="21"/>
          <w:szCs w:val="21"/>
          <w:lang w:val="en-US" w:eastAsia="zh-CN"/>
        </w:rPr>
        <w:t>。</w:t>
      </w:r>
    </w:p>
    <w:p w14:paraId="3C9FD692">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eastAsia="宋体"/>
          <w:lang w:eastAsia="zh-CN"/>
        </w:rPr>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linePitch="312" w:charSpace="0"/>
        </w:sectPr>
      </w:pPr>
      <w:r>
        <w:rPr>
          <w:rFonts w:hint="eastAsia"/>
        </w:rPr>
        <w:t>本文件主要起草人：</w:t>
      </w:r>
      <w:r>
        <w:rPr>
          <w:rFonts w:hint="eastAsia"/>
          <w:lang w:val="en-US" w:eastAsia="zh-CN"/>
        </w:rPr>
        <w:t>李华、</w:t>
      </w:r>
      <w:r>
        <w:rPr>
          <w:rFonts w:hint="eastAsia" w:ascii="宋体" w:hAnsi="宋体" w:eastAsia="宋体" w:cs="宋体"/>
          <w:b w:val="0"/>
          <w:bCs w:val="0"/>
          <w:sz w:val="21"/>
          <w:szCs w:val="21"/>
          <w:lang w:val="en-US" w:eastAsia="zh-CN"/>
        </w:rPr>
        <w:t>刘辉霞、王绪亭</w:t>
      </w:r>
      <w:r>
        <w:rPr>
          <w:rFonts w:hint="eastAsia" w:ascii="宋体" w:hAnsi="宋体" w:eastAsia="宋体" w:cs="宋体"/>
          <w:b w:val="0"/>
          <w:bCs w:val="0"/>
          <w:snapToGrid/>
          <w:spacing w:val="0"/>
          <w:kern w:val="2"/>
          <w:sz w:val="21"/>
          <w:szCs w:val="21"/>
          <w:lang w:val="en-US" w:eastAsia="zh-CN" w:bidi="ar-SA"/>
        </w:rPr>
        <w:t>、</w:t>
      </w:r>
      <w:r>
        <w:rPr>
          <w:rFonts w:hint="eastAsia" w:ascii="宋体" w:hAnsi="宋体" w:eastAsia="宋体" w:cs="宋体"/>
          <w:b w:val="0"/>
          <w:bCs w:val="0"/>
          <w:sz w:val="21"/>
          <w:szCs w:val="21"/>
          <w:u w:val="none"/>
          <w:lang w:val="en-US" w:eastAsia="zh-CN"/>
        </w:rPr>
        <w:t>戴琤</w:t>
      </w:r>
      <w:r>
        <w:rPr>
          <w:rFonts w:hint="eastAsia" w:ascii="宋体" w:hAnsi="宋体" w:eastAsia="宋体" w:cs="宋体"/>
          <w:b w:val="0"/>
          <w:bCs w:val="0"/>
          <w:sz w:val="21"/>
          <w:szCs w:val="21"/>
          <w:lang w:val="en-US" w:eastAsia="zh-CN"/>
        </w:rPr>
        <w:t>、</w:t>
      </w:r>
      <w:r>
        <w:rPr>
          <w:rFonts w:hint="eastAsia" w:ascii="宋体" w:hAnsi="宋体" w:eastAsia="宋体" w:cs="宋体"/>
          <w:b w:val="0"/>
          <w:bCs w:val="0"/>
          <w:snapToGrid/>
          <w:spacing w:val="0"/>
          <w:kern w:val="2"/>
          <w:sz w:val="21"/>
          <w:szCs w:val="21"/>
          <w:lang w:val="en-US" w:eastAsia="zh-CN" w:bidi="ar-SA"/>
        </w:rPr>
        <w:t>汤成江、周永安、张宸荣、</w:t>
      </w:r>
      <w:r>
        <w:rPr>
          <w:rFonts w:hint="eastAsia" w:ascii="宋体" w:hAnsi="宋体" w:eastAsia="宋体" w:cs="宋体"/>
          <w:b w:val="0"/>
          <w:bCs w:val="0"/>
          <w:sz w:val="21"/>
          <w:szCs w:val="21"/>
          <w:lang w:val="en-US" w:eastAsia="zh-CN"/>
        </w:rPr>
        <w:t>李艳波、 黄晨、王绪亭、马亚琦、付强、王冠妍、</w:t>
      </w:r>
      <w:r>
        <w:rPr>
          <w:rFonts w:hint="eastAsia" w:ascii="宋体" w:hAnsi="宋体" w:eastAsia="宋体" w:cs="宋体"/>
          <w:b w:val="0"/>
          <w:bCs w:val="0"/>
          <w:sz w:val="21"/>
          <w:szCs w:val="21"/>
          <w:u w:val="none"/>
          <w:lang w:val="en-US" w:eastAsia="zh-CN"/>
        </w:rPr>
        <w:t>王义金、王法欣、</w:t>
      </w:r>
      <w:r>
        <w:rPr>
          <w:rFonts w:hint="eastAsia" w:ascii="宋体" w:hAnsi="宋体" w:eastAsia="宋体" w:cs="宋体"/>
          <w:b w:val="0"/>
          <w:bCs w:val="0"/>
          <w:sz w:val="21"/>
          <w:szCs w:val="21"/>
          <w:lang w:val="en-US" w:eastAsia="zh-CN"/>
        </w:rPr>
        <w:t>朱培林、吴健华</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lang w:val="en-US" w:eastAsia="zh-CN"/>
        </w:rPr>
        <w:t>梁培、王立君、纪宏涛、蒙二虎、毛金坚、殳铭洁、李君、姚利华、王杰亮、李重阳、葛文俊、徐雯、戴宗丞</w:t>
      </w:r>
      <w:r>
        <w:rPr>
          <w:rFonts w:hint="eastAsia" w:ascii="宋体" w:hAnsi="宋体" w:cs="宋体"/>
          <w:b w:val="0"/>
          <w:bCs w:val="0"/>
          <w:sz w:val="21"/>
          <w:szCs w:val="21"/>
          <w:lang w:val="en-US" w:eastAsia="zh-CN"/>
        </w:rPr>
        <w:t>、</w:t>
      </w:r>
      <w:r>
        <w:rPr>
          <w:rFonts w:hint="eastAsia" w:ascii="宋体" w:hAnsi="宋体" w:eastAsia="宋体" w:cs="宋体"/>
          <w:b w:val="0"/>
          <w:bCs w:val="0"/>
          <w:snapToGrid/>
          <w:spacing w:val="0"/>
          <w:kern w:val="2"/>
          <w:sz w:val="21"/>
          <w:szCs w:val="21"/>
        </w:rPr>
        <w:t>金梅花、张春英</w:t>
      </w:r>
      <w:r>
        <w:rPr>
          <w:rFonts w:hint="eastAsia" w:ascii="宋体" w:hAnsi="宋体" w:eastAsia="宋体" w:cs="宋体"/>
          <w:b w:val="0"/>
          <w:bCs w:val="0"/>
          <w:snapToGrid/>
          <w:spacing w:val="0"/>
          <w:kern w:val="2"/>
          <w:sz w:val="21"/>
          <w:szCs w:val="21"/>
          <w:lang w:eastAsia="zh-CN"/>
        </w:rPr>
        <w:t>。</w:t>
      </w:r>
    </w:p>
    <w:p w14:paraId="78253E46">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cols w:space="425" w:num="1"/>
          <w:formProt w:val="0"/>
          <w:docGrid w:linePitch="312" w:charSpace="0"/>
        </w:sectPr>
      </w:pPr>
      <w:r>
        <w:rPr>
          <w:rFonts w:hint="eastAsia" w:ascii="宋体" w:hAnsi="宋体" w:eastAsia="宋体" w:cs="宋体"/>
          <w:b w:val="0"/>
          <w:bCs w:val="0"/>
          <w:sz w:val="21"/>
          <w:szCs w:val="21"/>
          <w:lang w:val="en-US" w:eastAsia="zh-CN"/>
        </w:rPr>
        <w:t>、天津市天科安全生产科学研究院有限公司</w:t>
      </w:r>
    </w:p>
    <w:p w14:paraId="095A4FC6">
      <w:pPr>
        <w:pStyle w:val="56"/>
        <w:ind w:left="0" w:leftChars="0" w:firstLine="0" w:firstLineChars="0"/>
      </w:pPr>
    </w:p>
    <w:bookmarkEnd w:id="5"/>
    <w:p w14:paraId="75F7960D">
      <w:pPr>
        <w:pStyle w:val="56"/>
        <w:ind w:firstLine="0" w:firstLineChars="0"/>
      </w:pPr>
      <w:bookmarkStart w:id="6" w:name="BookMark3"/>
    </w:p>
    <w:bookmarkEnd w:id="6"/>
    <w:p w14:paraId="4B58474E">
      <w:pPr>
        <w:spacing w:line="20" w:lineRule="exact"/>
        <w:jc w:val="center"/>
        <w:rPr>
          <w:rFonts w:ascii="黑体" w:hAnsi="黑体" w:eastAsia="黑体"/>
          <w:sz w:val="32"/>
          <w:szCs w:val="32"/>
        </w:rPr>
      </w:pPr>
      <w:bookmarkStart w:id="7" w:name="BookMark4"/>
    </w:p>
    <w:p w14:paraId="4509EE02">
      <w:pPr>
        <w:spacing w:line="20" w:lineRule="exact"/>
        <w:jc w:val="center"/>
        <w:rPr>
          <w:rFonts w:ascii="黑体" w:hAnsi="黑体" w:eastAsia="黑体"/>
          <w:sz w:val="32"/>
          <w:szCs w:val="32"/>
        </w:rPr>
      </w:pPr>
    </w:p>
    <w:sdt>
      <w:sdtPr>
        <w:tag w:val="NEW_STAND_NAME"/>
        <w:id w:val="595910757"/>
        <w:lock w:val="sdtLocked"/>
        <w:placeholder>
          <w:docPart w:val="40BAD1D096DA435C958A3CC3CE42E1DA"/>
        </w:placeholder>
      </w:sdtPr>
      <w:sdtContent>
        <w:p w14:paraId="1F970102">
          <w:pPr>
            <w:pStyle w:val="177"/>
          </w:pPr>
          <w:bookmarkStart w:id="8" w:name="NEW_STAND_NAME"/>
          <w:r>
            <w:rPr>
              <w:rFonts w:hint="eastAsia"/>
            </w:rPr>
            <w:t>用人单位工伤预防培训指南</w:t>
          </w:r>
        </w:p>
        <w:p w14:paraId="017FBF72">
          <w:pPr>
            <w:pStyle w:val="177"/>
          </w:pPr>
          <w:r>
            <w:rPr>
              <w:rFonts w:hint="eastAsia"/>
            </w:rPr>
            <w:t>第5部分：职工岗位工伤风险评估</w:t>
          </w:r>
        </w:p>
      </w:sdtContent>
    </w:sdt>
    <w:bookmarkEnd w:id="8"/>
    <w:p w14:paraId="7B7E0603">
      <w:pPr>
        <w:pStyle w:val="104"/>
        <w:spacing w:before="312" w:after="312"/>
      </w:pPr>
      <w:bookmarkStart w:id="9" w:name="_Toc97192964"/>
      <w:bookmarkStart w:id="10" w:name="_Toc17233333"/>
      <w:bookmarkStart w:id="11" w:name="_Toc26718930"/>
      <w:bookmarkStart w:id="12" w:name="_Toc17233325"/>
      <w:bookmarkStart w:id="13" w:name="_Toc15891"/>
      <w:bookmarkStart w:id="14" w:name="_Toc26986771"/>
      <w:bookmarkStart w:id="15" w:name="_Toc24884211"/>
      <w:bookmarkStart w:id="16" w:name="_Toc150014766"/>
      <w:bookmarkStart w:id="17" w:name="_Toc26986530"/>
      <w:bookmarkStart w:id="18" w:name="_Toc26648465"/>
      <w:bookmarkStart w:id="19" w:name="_Toc24884218"/>
      <w:r>
        <w:rPr>
          <w:rFonts w:hint="eastAsia"/>
        </w:rPr>
        <w:t>范围</w:t>
      </w:r>
      <w:bookmarkEnd w:id="9"/>
      <w:bookmarkEnd w:id="10"/>
      <w:bookmarkEnd w:id="11"/>
      <w:bookmarkEnd w:id="12"/>
      <w:bookmarkEnd w:id="13"/>
      <w:bookmarkEnd w:id="14"/>
      <w:bookmarkEnd w:id="15"/>
      <w:bookmarkEnd w:id="16"/>
      <w:bookmarkEnd w:id="17"/>
      <w:bookmarkEnd w:id="18"/>
      <w:bookmarkEnd w:id="19"/>
    </w:p>
    <w:p w14:paraId="41B472AB">
      <w:pPr>
        <w:pStyle w:val="56"/>
        <w:ind w:firstLine="420"/>
      </w:pPr>
      <w:r>
        <w:rPr>
          <w:rFonts w:hint="eastAsia"/>
        </w:rPr>
        <w:t>本文件给出了对用人单位职工岗位工伤风险评估的实施指南，并描述了过程中每一步有关的各种方法和工具。</w:t>
      </w:r>
    </w:p>
    <w:p w14:paraId="1BDE628B">
      <w:pPr>
        <w:pStyle w:val="56"/>
        <w:ind w:firstLine="420"/>
      </w:pPr>
      <w:r>
        <w:rPr>
          <w:rFonts w:hint="eastAsia"/>
        </w:rPr>
        <w:t>本文件旨在用于各类岗位职业（工种）由于工作任务复杂性不同所带来的潜在伤害方面进行风险评估，并为工伤预防培训提供精准教学素材及依据。</w:t>
      </w:r>
    </w:p>
    <w:p w14:paraId="62A51DDC">
      <w:pPr>
        <w:pStyle w:val="56"/>
        <w:ind w:firstLine="420"/>
      </w:pPr>
      <w:r>
        <w:rPr>
          <w:rFonts w:hint="eastAsia"/>
        </w:rPr>
        <w:t>本文件的预定使用者是那些参与工伤风险分析、事故调查，工伤保险费率调节、工伤预防培训的人员。</w:t>
      </w:r>
      <w:bookmarkStart w:id="20" w:name="_Toc17233326"/>
      <w:bookmarkStart w:id="21" w:name="_Toc17233334"/>
      <w:bookmarkStart w:id="22" w:name="_Toc26648466"/>
      <w:bookmarkStart w:id="23" w:name="_Toc24884212"/>
      <w:bookmarkStart w:id="24" w:name="_Toc24884219"/>
    </w:p>
    <w:p w14:paraId="0955ACDD">
      <w:pPr>
        <w:pStyle w:val="104"/>
        <w:spacing w:before="312" w:after="312"/>
      </w:pPr>
      <w:bookmarkStart w:id="25" w:name="_Toc26986531"/>
      <w:bookmarkStart w:id="26" w:name="_Toc26986772"/>
      <w:bookmarkStart w:id="27" w:name="_Toc26718931"/>
      <w:bookmarkStart w:id="28" w:name="_Toc150014767"/>
      <w:bookmarkStart w:id="29" w:name="_Toc97192965"/>
      <w:bookmarkStart w:id="30" w:name="_Toc8473"/>
      <w:r>
        <w:rPr>
          <w:rFonts w:hint="eastAsia"/>
        </w:rPr>
        <w:t>规范性引用文件</w:t>
      </w:r>
      <w:bookmarkEnd w:id="20"/>
      <w:bookmarkEnd w:id="21"/>
      <w:bookmarkEnd w:id="22"/>
      <w:bookmarkEnd w:id="23"/>
      <w:bookmarkEnd w:id="24"/>
      <w:bookmarkEnd w:id="25"/>
      <w:bookmarkEnd w:id="26"/>
      <w:bookmarkEnd w:id="27"/>
      <w:bookmarkEnd w:id="28"/>
      <w:bookmarkEnd w:id="29"/>
      <w:bookmarkEnd w:id="30"/>
    </w:p>
    <w:sdt>
      <w:sdtPr>
        <w:rPr>
          <w:rFonts w:hint="eastAsia"/>
        </w:rPr>
        <w:id w:val="715848253"/>
        <w:placeholder>
          <w:docPart w:val="5FE49046297C4A68A6C5EFDE3F02774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9A299A">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3E4F420">
      <w:pPr>
        <w:pStyle w:val="56"/>
        <w:ind w:firstLine="420"/>
      </w:pPr>
      <w:r>
        <w:rPr>
          <w:rFonts w:hint="eastAsia"/>
        </w:rPr>
        <w:t>GB/T 31596.1 社会保险术语 第1部分通用</w:t>
      </w:r>
    </w:p>
    <w:p w14:paraId="7B6DD3E7">
      <w:pPr>
        <w:pStyle w:val="56"/>
        <w:ind w:firstLine="420"/>
      </w:pPr>
      <w:r>
        <w:rPr>
          <w:rFonts w:hint="eastAsia"/>
        </w:rPr>
        <w:t>GB/T 31596.5 社会保险术语 第5部分工伤保险</w:t>
      </w:r>
    </w:p>
    <w:p w14:paraId="530B06B7">
      <w:pPr>
        <w:pStyle w:val="56"/>
        <w:ind w:firstLine="420"/>
      </w:pPr>
      <w:r>
        <w:rPr>
          <w:rFonts w:hint="eastAsia"/>
        </w:rPr>
        <w:t>GB/T 23694 风险管理 术语</w:t>
      </w:r>
    </w:p>
    <w:p w14:paraId="7D3C7DB9">
      <w:pPr>
        <w:pStyle w:val="104"/>
        <w:spacing w:before="312" w:after="312"/>
      </w:pPr>
      <w:bookmarkStart w:id="31" w:name="_Toc97192966"/>
      <w:bookmarkStart w:id="32" w:name="_Toc150014768"/>
      <w:bookmarkStart w:id="33" w:name="_Toc10966"/>
      <w:r>
        <w:rPr>
          <w:rFonts w:hint="eastAsia"/>
          <w:szCs w:val="21"/>
        </w:rPr>
        <w:t>术语和定义</w:t>
      </w:r>
      <w:bookmarkEnd w:id="31"/>
      <w:bookmarkEnd w:id="32"/>
      <w:bookmarkEnd w:id="33"/>
    </w:p>
    <w:sdt>
      <w:sdtPr>
        <w:id w:val="-1909835108"/>
        <w:placeholder>
          <w:docPart w:val="82FAD4B12AFB42FD997383B282BB9FD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682B8D5">
          <w:pPr>
            <w:pStyle w:val="56"/>
            <w:ind w:firstLine="420"/>
          </w:pPr>
          <w:bookmarkStart w:id="34" w:name="_Toc26986532"/>
          <w:bookmarkEnd w:id="34"/>
          <w:r>
            <w:t>下列术语和定义适用于本文件。</w:t>
          </w:r>
        </w:p>
      </w:sdtContent>
    </w:sdt>
    <w:p w14:paraId="6CF0E700">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用人单位  employer</w:t>
      </w:r>
    </w:p>
    <w:p w14:paraId="1A673844">
      <w:pPr>
        <w:pStyle w:val="56"/>
        <w:ind w:firstLine="420"/>
      </w:pPr>
      <w:r>
        <w:rPr>
          <w:rFonts w:hint="eastAsia"/>
        </w:rPr>
        <w:t>中华人民共和国境内的企业、事业单位、社会团体、民办非企业单位、基金会、律师事务所、会计师事务所等组织和有雇工的个体工商户的简称。</w:t>
      </w:r>
    </w:p>
    <w:p w14:paraId="194B0B39">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职业  profession</w:t>
      </w:r>
    </w:p>
    <w:p w14:paraId="0C175DF4">
      <w:pPr>
        <w:pStyle w:val="56"/>
        <w:ind w:firstLine="420"/>
      </w:pPr>
      <w:r>
        <w:rPr>
          <w:rFonts w:hint="eastAsia"/>
        </w:rPr>
        <w:t>是指职工为获取主要生活来源所从事的社会工作类别。</w:t>
      </w:r>
    </w:p>
    <w:p w14:paraId="08C674E2">
      <w:pPr>
        <w:pStyle w:val="223"/>
        <w:ind w:left="420" w:hanging="420" w:hangingChars="200"/>
        <w:rPr>
          <w:rFonts w:ascii="黑体" w:hAnsi="黑体" w:eastAsia="黑体"/>
        </w:rPr>
      </w:pPr>
    </w:p>
    <w:p w14:paraId="17E0AE04">
      <w:pPr>
        <w:pStyle w:val="223"/>
        <w:numPr>
          <w:ilvl w:val="2"/>
          <w:numId w:val="0"/>
        </w:numPr>
        <w:ind w:left="-420" w:leftChars="-200" w:firstLine="840" w:firstLineChars="400"/>
        <w:rPr>
          <w:rFonts w:ascii="黑体" w:hAnsi="黑体" w:eastAsia="黑体"/>
        </w:rPr>
      </w:pPr>
      <w:r>
        <w:rPr>
          <w:rFonts w:hint="eastAsia" w:ascii="黑体" w:hAnsi="黑体" w:eastAsia="黑体"/>
        </w:rPr>
        <w:t>工伤  Injury</w:t>
      </w:r>
    </w:p>
    <w:p w14:paraId="4D1053F4">
      <w:pPr>
        <w:pStyle w:val="56"/>
        <w:ind w:firstLine="420"/>
      </w:pPr>
      <w:r>
        <w:rPr>
          <w:rFonts w:hint="eastAsia"/>
        </w:rPr>
        <w:t>职工因工作遭受事故伤害或患职业病。</w:t>
      </w:r>
    </w:p>
    <w:p w14:paraId="058568AD">
      <w:pPr>
        <w:pStyle w:val="56"/>
        <w:ind w:firstLine="420"/>
      </w:pPr>
      <w:r>
        <w:rPr>
          <w:rFonts w:hint="eastAsia"/>
        </w:rPr>
        <w:t>[来源：GB/T 31596.5-2015 2.1]</w:t>
      </w:r>
    </w:p>
    <w:p w14:paraId="3B3247EC">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事故伤害  Accident injuries </w:t>
      </w:r>
    </w:p>
    <w:p w14:paraId="457F9CD3">
      <w:pPr>
        <w:pStyle w:val="56"/>
        <w:ind w:firstLine="420"/>
      </w:pPr>
      <w:r>
        <w:rPr>
          <w:rFonts w:hint="eastAsia"/>
        </w:rPr>
        <w:t>职工在工作过程中因安全生产事故等导致的伤亡。</w:t>
      </w:r>
    </w:p>
    <w:p w14:paraId="3B97BEA6">
      <w:pPr>
        <w:pStyle w:val="56"/>
        <w:ind w:firstLine="420"/>
      </w:pPr>
      <w:r>
        <w:rPr>
          <w:rFonts w:hint="eastAsia"/>
        </w:rPr>
        <w:t>[来源：GB/T 31596.5-2015 2.1.1]</w:t>
      </w:r>
    </w:p>
    <w:p w14:paraId="60B82CDB">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职业病  profession disease </w:t>
      </w:r>
    </w:p>
    <w:p w14:paraId="5745B1DE">
      <w:pPr>
        <w:pStyle w:val="56"/>
        <w:ind w:firstLine="420"/>
      </w:pPr>
      <w:r>
        <w:rPr>
          <w:rFonts w:hint="eastAsia"/>
        </w:rPr>
        <w:t>职工在工作过程中，因接触粉尘、放射性物质和其他有毒、有害物质等因素引起的疾病。</w:t>
      </w:r>
    </w:p>
    <w:p w14:paraId="524A3C3C">
      <w:pPr>
        <w:pStyle w:val="56"/>
        <w:ind w:firstLine="420"/>
      </w:pPr>
      <w:r>
        <w:rPr>
          <w:rFonts w:hint="eastAsia"/>
        </w:rPr>
        <w:t>[来源：GB/T 31596.5-2015 2.1.2]</w:t>
      </w:r>
    </w:p>
    <w:p w14:paraId="7518D227">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工伤风险  Risk of work-related injuries</w:t>
      </w:r>
    </w:p>
    <w:p w14:paraId="6B60C821">
      <w:pPr>
        <w:pStyle w:val="56"/>
        <w:ind w:firstLine="420"/>
      </w:pPr>
      <w:r>
        <w:rPr>
          <w:rFonts w:hint="eastAsia"/>
        </w:rPr>
        <w:t>在工作过程中工伤发生的概率和造成危害的程度。</w:t>
      </w:r>
    </w:p>
    <w:p w14:paraId="627E4EE4">
      <w:pPr>
        <w:pStyle w:val="56"/>
        <w:ind w:firstLine="420"/>
      </w:pPr>
      <w:r>
        <w:rPr>
          <w:rFonts w:hint="eastAsia"/>
        </w:rPr>
        <w:t>[来源：GB/T31596.5-2015 4.1]</w:t>
      </w:r>
    </w:p>
    <w:p w14:paraId="7885B212">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工伤发生率  Incidence of work-related injuries</w:t>
      </w:r>
    </w:p>
    <w:p w14:paraId="671B3108">
      <w:pPr>
        <w:pStyle w:val="56"/>
        <w:ind w:firstLine="420"/>
      </w:pPr>
      <w:r>
        <w:rPr>
          <w:rFonts w:hint="eastAsia"/>
        </w:rPr>
        <w:t>在一定时期内，用人单位（或统筹地区）发生工伤（3.3）的人次数占职工总人数的比率。</w:t>
      </w:r>
    </w:p>
    <w:p w14:paraId="7951C160">
      <w:pPr>
        <w:pStyle w:val="56"/>
        <w:ind w:firstLine="420"/>
      </w:pPr>
      <w:r>
        <w:rPr>
          <w:rFonts w:hint="eastAsia"/>
        </w:rPr>
        <w:t>[来源：GB/T 31596.5-2015 4.2]</w:t>
      </w:r>
    </w:p>
    <w:p w14:paraId="0F5ECD4D">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工伤预防  Work-related injury prevention</w:t>
      </w:r>
    </w:p>
    <w:p w14:paraId="42E39445">
      <w:pPr>
        <w:pStyle w:val="56"/>
        <w:ind w:firstLine="420"/>
      </w:pPr>
      <w:r>
        <w:rPr>
          <w:rFonts w:hint="eastAsia"/>
        </w:rPr>
        <w:t>避免与降低工伤风险所采取的宣传和培训等手段和措施。</w:t>
      </w:r>
    </w:p>
    <w:p w14:paraId="4F9494D4">
      <w:pPr>
        <w:pStyle w:val="56"/>
        <w:ind w:firstLine="420"/>
      </w:pPr>
      <w:r>
        <w:rPr>
          <w:rFonts w:hint="eastAsia"/>
        </w:rPr>
        <w:t>[来源：GB/T 31596.5-2015 4.3]</w:t>
      </w:r>
    </w:p>
    <w:p w14:paraId="49314824">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工伤风险评估  Work-related injury risk assessment</w:t>
      </w:r>
    </w:p>
    <w:p w14:paraId="4EBB232F">
      <w:pPr>
        <w:pStyle w:val="56"/>
        <w:ind w:firstLine="420"/>
      </w:pPr>
      <w:r>
        <w:rPr>
          <w:rFonts w:hint="eastAsia"/>
        </w:rPr>
        <w:t>包括工伤风险识别、工伤风险分析和工伤风险评价的全过程。</w:t>
      </w:r>
    </w:p>
    <w:p w14:paraId="70354CBD">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工伤风险识别  Identification of work-related injury risks </w:t>
      </w:r>
    </w:p>
    <w:p w14:paraId="325F5689">
      <w:pPr>
        <w:pStyle w:val="56"/>
        <w:ind w:firstLine="420"/>
      </w:pPr>
      <w:r>
        <w:rPr>
          <w:rFonts w:hint="eastAsia"/>
        </w:rPr>
        <w:t>发现、确认和描述工伤风险的过程。</w:t>
      </w:r>
    </w:p>
    <w:p w14:paraId="24D33AD8">
      <w:pPr>
        <w:pStyle w:val="180"/>
        <w:numPr>
          <w:ilvl w:val="0"/>
          <w:numId w:val="32"/>
        </w:numPr>
      </w:pPr>
      <w:r>
        <w:rPr>
          <w:rFonts w:hint="eastAsia"/>
        </w:rPr>
        <w:t>风险识别包括对风险源，事件及其原因和潜在后果的识别。</w:t>
      </w:r>
    </w:p>
    <w:p w14:paraId="43F80C9C">
      <w:pPr>
        <w:pStyle w:val="180"/>
        <w:numPr>
          <w:ilvl w:val="0"/>
          <w:numId w:val="32"/>
        </w:numPr>
      </w:pPr>
      <w:r>
        <w:rPr>
          <w:rFonts w:hint="eastAsia"/>
        </w:rPr>
        <w:t>风险识别可能涉及历史数据，理论分析、专家意见以及利益相关者的需求。</w:t>
      </w:r>
    </w:p>
    <w:p w14:paraId="1F815457">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工伤风险分析  Work-related injury risk analysis </w:t>
      </w:r>
    </w:p>
    <w:p w14:paraId="79F15FD7">
      <w:pPr>
        <w:pStyle w:val="56"/>
        <w:ind w:firstLine="420"/>
      </w:pPr>
      <w:r>
        <w:rPr>
          <w:rFonts w:hint="eastAsia"/>
        </w:rPr>
        <w:t>理解工伤风险性质、确定工伤风险等级的过程。</w:t>
      </w:r>
    </w:p>
    <w:p w14:paraId="65969515">
      <w:pPr>
        <w:pStyle w:val="180"/>
        <w:numPr>
          <w:ilvl w:val="0"/>
          <w:numId w:val="33"/>
        </w:numPr>
      </w:pPr>
      <w:r>
        <w:rPr>
          <w:rFonts w:hint="eastAsia"/>
        </w:rPr>
        <w:t>风险分析是风险评价和风险应对决策的基础。</w:t>
      </w:r>
    </w:p>
    <w:p w14:paraId="38991907">
      <w:pPr>
        <w:pStyle w:val="180"/>
        <w:numPr>
          <w:ilvl w:val="0"/>
          <w:numId w:val="33"/>
        </w:numPr>
      </w:pPr>
      <w:r>
        <w:rPr>
          <w:rFonts w:hint="eastAsia"/>
        </w:rPr>
        <w:t>风险分析包括风险估计。</w:t>
      </w:r>
    </w:p>
    <w:p w14:paraId="4F6B259F">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工伤风险评价  Work-related injury risk evaluation </w:t>
      </w:r>
    </w:p>
    <w:p w14:paraId="5B653350">
      <w:pPr>
        <w:pStyle w:val="56"/>
        <w:ind w:firstLine="420"/>
      </w:pPr>
      <w:r>
        <w:rPr>
          <w:rFonts w:hint="eastAsia"/>
        </w:rPr>
        <w:t>对比工伤风险分析结果和工伤风险准则，以确定工伤风险和/或其大小是否可以接受或容忍的过程。</w:t>
      </w:r>
    </w:p>
    <w:p w14:paraId="31AA663A">
      <w:pPr>
        <w:pStyle w:val="179"/>
      </w:pPr>
      <w:r>
        <w:rPr>
          <w:rFonts w:hint="eastAsia"/>
        </w:rPr>
        <w:t>风险评价有助于风险应对决策。</w:t>
      </w:r>
    </w:p>
    <w:p w14:paraId="48880B36">
      <w:pPr>
        <w:pStyle w:val="223"/>
        <w:ind w:left="420" w:hanging="420" w:hangingChars="200"/>
        <w:rPr>
          <w:rFonts w:ascii="黑体" w:hAnsi="黑体" w:eastAsia="黑体"/>
        </w:rPr>
      </w:pPr>
    </w:p>
    <w:p w14:paraId="1F09CA52">
      <w:pPr>
        <w:pStyle w:val="223"/>
        <w:numPr>
          <w:ilvl w:val="2"/>
          <w:numId w:val="0"/>
        </w:numPr>
        <w:ind w:left="-420" w:leftChars="-200" w:firstLine="840" w:firstLineChars="400"/>
        <w:rPr>
          <w:rFonts w:ascii="黑体" w:hAnsi="黑体" w:eastAsia="黑体"/>
        </w:rPr>
      </w:pPr>
      <w:r>
        <w:rPr>
          <w:rFonts w:hint="eastAsia" w:ascii="黑体" w:hAnsi="黑体" w:eastAsia="黑体"/>
        </w:rPr>
        <w:t>工伤风险控制  Work-related injury risk control</w:t>
      </w:r>
    </w:p>
    <w:p w14:paraId="3897F8F3">
      <w:pPr>
        <w:widowControl/>
        <w:kinsoku w:val="0"/>
        <w:autoSpaceDE w:val="0"/>
        <w:autoSpaceDN w:val="0"/>
        <w:snapToGrid w:val="0"/>
        <w:spacing w:line="288" w:lineRule="auto"/>
        <w:ind w:firstLine="436" w:firstLineChars="200"/>
        <w:textAlignment w:val="baseline"/>
        <w:rPr>
          <w:rFonts w:ascii="宋体" w:hAnsi="宋体" w:cs="宋体"/>
          <w:spacing w:val="4"/>
        </w:rPr>
      </w:pPr>
      <w:r>
        <w:rPr>
          <w:rFonts w:hint="eastAsia" w:ascii="宋体" w:hAnsi="宋体" w:cs="宋体"/>
          <w:spacing w:val="4"/>
        </w:rPr>
        <w:t>处理工伤风险的措施。</w:t>
      </w:r>
    </w:p>
    <w:p w14:paraId="432AEA86">
      <w:pPr>
        <w:pStyle w:val="180"/>
        <w:numPr>
          <w:ilvl w:val="0"/>
          <w:numId w:val="34"/>
        </w:numPr>
      </w:pPr>
      <w:r>
        <w:rPr>
          <w:rFonts w:hint="eastAsia"/>
        </w:rPr>
        <w:t>控制包括处理风险的任何流程、策略、设施、操作或其他行动。</w:t>
      </w:r>
    </w:p>
    <w:p w14:paraId="583FF899">
      <w:pPr>
        <w:pStyle w:val="180"/>
        <w:numPr>
          <w:ilvl w:val="0"/>
          <w:numId w:val="34"/>
        </w:numPr>
      </w:pPr>
      <w:r>
        <w:rPr>
          <w:rFonts w:hint="eastAsia"/>
        </w:rPr>
        <w:t>控制并非总能取得预期效果。</w:t>
      </w:r>
    </w:p>
    <w:p w14:paraId="1F666214">
      <w:pPr>
        <w:pStyle w:val="224"/>
        <w:ind w:left="420" w:hanging="420" w:hangingChars="200"/>
        <w:rPr>
          <w:rFonts w:ascii="黑体" w:hAnsi="黑体" w:eastAsia="黑体"/>
        </w:rPr>
      </w:pPr>
      <w:r>
        <w:rPr>
          <w:rFonts w:hint="eastAsia" w:ascii="黑体" w:hAnsi="黑体" w:eastAsia="黑体"/>
        </w:rPr>
        <w:t xml:space="preserve"> </w:t>
      </w:r>
    </w:p>
    <w:p w14:paraId="78C8885E">
      <w:pPr>
        <w:pStyle w:val="224"/>
        <w:numPr>
          <w:ilvl w:val="3"/>
          <w:numId w:val="0"/>
        </w:numPr>
        <w:ind w:left="-420" w:leftChars="-200" w:firstLine="840" w:firstLineChars="400"/>
        <w:rPr>
          <w:rFonts w:ascii="黑体" w:hAnsi="黑体" w:eastAsia="黑体"/>
        </w:rPr>
      </w:pPr>
      <w:r>
        <w:rPr>
          <w:rFonts w:hint="eastAsia" w:ascii="黑体" w:hAnsi="黑体" w:eastAsia="黑体"/>
        </w:rPr>
        <w:t xml:space="preserve">工伤风险规避  Risk avoidance of work-related injuries </w:t>
      </w:r>
    </w:p>
    <w:p w14:paraId="1636CE16">
      <w:pPr>
        <w:pStyle w:val="230"/>
        <w:ind w:firstLine="436"/>
        <w:rPr>
          <w:rFonts w:hAnsi="宋体" w:eastAsia="宋体" w:cs="宋体"/>
          <w:spacing w:val="4"/>
          <w:szCs w:val="21"/>
        </w:rPr>
      </w:pPr>
      <w:r>
        <w:rPr>
          <w:rFonts w:hint="eastAsia" w:hAnsi="宋体" w:eastAsia="宋体" w:cs="宋体"/>
          <w:spacing w:val="4"/>
          <w:szCs w:val="21"/>
        </w:rPr>
        <w:t>决定不参与或退出某一活动，以避免暴露于特定工伤风险。</w:t>
      </w:r>
    </w:p>
    <w:p w14:paraId="7EDDBAB3">
      <w:pPr>
        <w:pStyle w:val="179"/>
      </w:pPr>
      <w:r>
        <w:rPr>
          <w:rFonts w:hint="eastAsia"/>
        </w:rPr>
        <w:t>风险规避可依据风险评价的结果和/或法律法规。</w:t>
      </w:r>
    </w:p>
    <w:p w14:paraId="38CC024E">
      <w:pPr>
        <w:pStyle w:val="224"/>
        <w:ind w:left="420" w:hanging="420" w:hangingChars="200"/>
        <w:rPr>
          <w:rFonts w:ascii="黑体" w:hAnsi="黑体" w:eastAsia="黑体"/>
        </w:rPr>
      </w:pPr>
      <w:r>
        <w:rPr>
          <w:rFonts w:hint="eastAsia" w:ascii="黑体" w:hAnsi="黑体" w:eastAsia="黑体"/>
        </w:rPr>
        <w:t xml:space="preserve"> </w:t>
      </w:r>
    </w:p>
    <w:p w14:paraId="1F58311B">
      <w:pPr>
        <w:pStyle w:val="224"/>
        <w:numPr>
          <w:ilvl w:val="3"/>
          <w:numId w:val="0"/>
        </w:numPr>
        <w:ind w:left="-420" w:leftChars="-200" w:firstLine="840" w:firstLineChars="400"/>
        <w:rPr>
          <w:rFonts w:ascii="黑体" w:hAnsi="黑体" w:eastAsia="黑体"/>
        </w:rPr>
      </w:pPr>
      <w:r>
        <w:rPr>
          <w:rFonts w:hint="eastAsia" w:ascii="黑体" w:hAnsi="黑体" w:eastAsia="黑体"/>
        </w:rPr>
        <w:t xml:space="preserve">工伤风险分担  Work-related injury risk sharing </w:t>
      </w:r>
    </w:p>
    <w:p w14:paraId="05C692D7">
      <w:pPr>
        <w:pStyle w:val="56"/>
        <w:ind w:firstLine="420"/>
      </w:pPr>
      <w:r>
        <w:rPr>
          <w:rFonts w:hint="eastAsia"/>
        </w:rPr>
        <w:t>涉及与其他各方就工伤风险分配达成协议的工伤风险应对形式。</w:t>
      </w:r>
    </w:p>
    <w:p w14:paraId="3574287B">
      <w:pPr>
        <w:pStyle w:val="180"/>
        <w:numPr>
          <w:ilvl w:val="0"/>
          <w:numId w:val="35"/>
        </w:numPr>
      </w:pPr>
      <w:r>
        <w:rPr>
          <w:rFonts w:hint="eastAsia"/>
        </w:rPr>
        <w:t>法律法规可能会限制，禁止或强制进行风险分担。</w:t>
      </w:r>
    </w:p>
    <w:p w14:paraId="03530B37">
      <w:pPr>
        <w:pStyle w:val="180"/>
        <w:numPr>
          <w:ilvl w:val="0"/>
          <w:numId w:val="35"/>
        </w:numPr>
      </w:pPr>
      <w:r>
        <w:rPr>
          <w:rFonts w:hint="eastAsia"/>
        </w:rPr>
        <w:t>风险分担可以通过保险或其他合同形式实现。</w:t>
      </w:r>
    </w:p>
    <w:p w14:paraId="5D8A3EC1">
      <w:pPr>
        <w:pStyle w:val="180"/>
        <w:numPr>
          <w:ilvl w:val="0"/>
          <w:numId w:val="35"/>
        </w:numPr>
      </w:pPr>
      <w:r>
        <w:rPr>
          <w:rFonts w:hint="eastAsia"/>
        </w:rPr>
        <w:t>风险分配程度取决于分担方案的可信性和透明度。</w:t>
      </w:r>
    </w:p>
    <w:p w14:paraId="700FCF46">
      <w:pPr>
        <w:pStyle w:val="180"/>
        <w:numPr>
          <w:ilvl w:val="0"/>
          <w:numId w:val="35"/>
        </w:numPr>
      </w:pPr>
      <w:r>
        <w:rPr>
          <w:rFonts w:hint="eastAsia"/>
        </w:rPr>
        <w:t>风险转移是风险分担的一种形式。</w:t>
      </w:r>
    </w:p>
    <w:p w14:paraId="5F1825B5">
      <w:pPr>
        <w:pStyle w:val="224"/>
        <w:ind w:left="420" w:hanging="420" w:hangingChars="200"/>
      </w:pPr>
    </w:p>
    <w:p w14:paraId="25921028">
      <w:pPr>
        <w:pStyle w:val="224"/>
        <w:numPr>
          <w:ilvl w:val="3"/>
          <w:numId w:val="0"/>
        </w:numPr>
        <w:ind w:left="-420" w:leftChars="-200" w:firstLine="840" w:firstLineChars="400"/>
        <w:rPr>
          <w:rFonts w:ascii="黑体" w:hAnsi="黑体" w:eastAsia="黑体"/>
        </w:rPr>
      </w:pPr>
      <w:r>
        <w:rPr>
          <w:rFonts w:hint="eastAsia" w:ascii="黑体" w:hAnsi="黑体" w:eastAsia="黑体"/>
        </w:rPr>
        <w:t xml:space="preserve">剩余工伤风险  Residual injury risk </w:t>
      </w:r>
    </w:p>
    <w:p w14:paraId="2E4DD192">
      <w:pPr>
        <w:pStyle w:val="56"/>
        <w:ind w:firstLine="420"/>
      </w:pPr>
      <w:r>
        <w:rPr>
          <w:rFonts w:hint="eastAsia"/>
        </w:rPr>
        <w:t>工伤风险应对之后仍然存在的工伤风险。</w:t>
      </w:r>
    </w:p>
    <w:p w14:paraId="68B73461">
      <w:pPr>
        <w:pStyle w:val="180"/>
        <w:numPr>
          <w:ilvl w:val="0"/>
          <w:numId w:val="36"/>
        </w:numPr>
      </w:pPr>
      <w:r>
        <w:rPr>
          <w:rFonts w:hint="eastAsia"/>
        </w:rPr>
        <w:t>剩余风险可包括未识别的风险。</w:t>
      </w:r>
    </w:p>
    <w:p w14:paraId="54A7BF7B">
      <w:pPr>
        <w:pStyle w:val="180"/>
        <w:numPr>
          <w:ilvl w:val="0"/>
          <w:numId w:val="36"/>
        </w:numPr>
      </w:pPr>
      <w:r>
        <w:rPr>
          <w:rFonts w:hint="eastAsia"/>
        </w:rPr>
        <w:t>剩余风险还被称为“留存的风险”。</w:t>
      </w:r>
    </w:p>
    <w:p w14:paraId="29D79867">
      <w:pPr>
        <w:pStyle w:val="104"/>
        <w:spacing w:before="312" w:after="312"/>
      </w:pPr>
      <w:bookmarkStart w:id="35" w:name="_Toc6942"/>
      <w:r>
        <w:rPr>
          <w:rFonts w:hint="eastAsia"/>
        </w:rPr>
        <w:t>风险评估目的和作用</w:t>
      </w:r>
      <w:bookmarkEnd w:id="35"/>
    </w:p>
    <w:p w14:paraId="36E05E61">
      <w:pPr>
        <w:pStyle w:val="105"/>
        <w:spacing w:before="156" w:after="156"/>
      </w:pPr>
      <w:bookmarkStart w:id="36" w:name="_Toc28670"/>
      <w:r>
        <w:rPr>
          <w:rFonts w:hint="eastAsia"/>
        </w:rPr>
        <w:t>风险评估目的</w:t>
      </w:r>
      <w:bookmarkEnd w:id="36"/>
    </w:p>
    <w:p w14:paraId="6F31B045">
      <w:pPr>
        <w:pStyle w:val="56"/>
        <w:ind w:firstLine="420"/>
      </w:pPr>
      <w:r>
        <w:rPr>
          <w:rFonts w:hint="eastAsia"/>
        </w:rPr>
        <w:t>风险评估旨在为用人单位职工自身岗位职业风险应对提供基于证据的信息和分析。</w:t>
      </w:r>
    </w:p>
    <w:p w14:paraId="757E231F">
      <w:pPr>
        <w:pStyle w:val="105"/>
        <w:spacing w:before="156" w:after="156"/>
      </w:pPr>
      <w:bookmarkStart w:id="37" w:name="_Toc21929"/>
      <w:r>
        <w:rPr>
          <w:rFonts w:hint="eastAsia"/>
        </w:rPr>
        <w:t>风险评估的主要作用</w:t>
      </w:r>
      <w:bookmarkEnd w:id="37"/>
    </w:p>
    <w:p w14:paraId="00300E5E">
      <w:pPr>
        <w:pStyle w:val="56"/>
        <w:ind w:firstLine="420"/>
      </w:pPr>
      <w:r>
        <w:t>风险评估的主要作用</w:t>
      </w:r>
      <w:r>
        <w:rPr>
          <w:rFonts w:hint="eastAsia"/>
        </w:rPr>
        <w:t>如下：</w:t>
      </w:r>
    </w:p>
    <w:p w14:paraId="60A0C3F9">
      <w:pPr>
        <w:pStyle w:val="174"/>
        <w:numPr>
          <w:ilvl w:val="0"/>
          <w:numId w:val="37"/>
        </w:numPr>
        <w:tabs>
          <w:tab w:val="clear" w:pos="851"/>
        </w:tabs>
        <w:ind w:left="851" w:hanging="426"/>
      </w:pPr>
      <w:r>
        <w:rPr>
          <w:rFonts w:hint="eastAsia"/>
        </w:rPr>
        <w:t>认识职业风险及其对岗位职工的潜在影响；</w:t>
      </w:r>
    </w:p>
    <w:p w14:paraId="491119BB">
      <w:pPr>
        <w:pStyle w:val="174"/>
        <w:numPr>
          <w:ilvl w:val="0"/>
          <w:numId w:val="37"/>
        </w:numPr>
        <w:tabs>
          <w:tab w:val="clear" w:pos="851"/>
        </w:tabs>
        <w:ind w:left="851" w:leftChars="0" w:hanging="426" w:firstLineChars="0"/>
      </w:pPr>
      <w:r>
        <w:rPr>
          <w:rFonts w:hint="eastAsia"/>
        </w:rPr>
        <w:t>为工伤预防和培训工作提供素材及参考依据；</w:t>
      </w:r>
    </w:p>
    <w:p w14:paraId="0DC99761">
      <w:pPr>
        <w:pStyle w:val="174"/>
        <w:numPr>
          <w:ilvl w:val="0"/>
          <w:numId w:val="37"/>
        </w:numPr>
        <w:tabs>
          <w:tab w:val="clear" w:pos="851"/>
        </w:tabs>
        <w:ind w:left="851" w:leftChars="0" w:hanging="426" w:firstLineChars="0"/>
      </w:pPr>
      <w:r>
        <w:rPr>
          <w:rFonts w:hint="eastAsia"/>
        </w:rPr>
        <w:t>增进岗位职工对风险的理解，以利于职业风险应对方法的正确选择；</w:t>
      </w:r>
    </w:p>
    <w:p w14:paraId="599E4CD9">
      <w:pPr>
        <w:pStyle w:val="174"/>
        <w:numPr>
          <w:ilvl w:val="0"/>
          <w:numId w:val="37"/>
        </w:numPr>
        <w:tabs>
          <w:tab w:val="clear" w:pos="851"/>
        </w:tabs>
        <w:ind w:left="851" w:leftChars="0" w:hanging="426" w:firstLineChars="0"/>
      </w:pPr>
      <w:r>
        <w:rPr>
          <w:rFonts w:hint="eastAsia"/>
        </w:rPr>
        <w:t>识别职业风险的主要因素，以及职工岗位环境和工作程序的薄弱环节；</w:t>
      </w:r>
    </w:p>
    <w:p w14:paraId="459F258A">
      <w:pPr>
        <w:pStyle w:val="174"/>
        <w:numPr>
          <w:ilvl w:val="0"/>
          <w:numId w:val="37"/>
        </w:numPr>
        <w:tabs>
          <w:tab w:val="clear" w:pos="851"/>
        </w:tabs>
        <w:ind w:left="851" w:leftChars="0" w:hanging="426" w:firstLineChars="0"/>
      </w:pPr>
      <w:r>
        <w:rPr>
          <w:rFonts w:hint="eastAsia"/>
        </w:rPr>
        <w:t>确定职业风险的不确定性；</w:t>
      </w:r>
    </w:p>
    <w:p w14:paraId="65350469">
      <w:pPr>
        <w:pStyle w:val="174"/>
        <w:numPr>
          <w:ilvl w:val="0"/>
          <w:numId w:val="37"/>
        </w:numPr>
        <w:tabs>
          <w:tab w:val="clear" w:pos="851"/>
        </w:tabs>
        <w:ind w:left="851" w:leftChars="0" w:hanging="426" w:firstLineChars="0"/>
      </w:pPr>
      <w:r>
        <w:rPr>
          <w:rFonts w:hint="eastAsia"/>
        </w:rPr>
        <w:t>有助于建立职业风险优先顺序；</w:t>
      </w:r>
    </w:p>
    <w:p w14:paraId="0F1DD68C">
      <w:pPr>
        <w:pStyle w:val="174"/>
        <w:numPr>
          <w:ilvl w:val="0"/>
          <w:numId w:val="37"/>
        </w:numPr>
        <w:tabs>
          <w:tab w:val="clear" w:pos="851"/>
        </w:tabs>
        <w:ind w:left="851" w:leftChars="0" w:hanging="426" w:firstLineChars="0"/>
      </w:pPr>
      <w:r>
        <w:rPr>
          <w:rFonts w:hint="eastAsia"/>
        </w:rPr>
        <w:t>帮助确定职业风险是否可接受；</w:t>
      </w:r>
    </w:p>
    <w:p w14:paraId="1B43CB61">
      <w:pPr>
        <w:pStyle w:val="174"/>
        <w:numPr>
          <w:ilvl w:val="0"/>
          <w:numId w:val="37"/>
        </w:numPr>
        <w:tabs>
          <w:tab w:val="clear" w:pos="851"/>
        </w:tabs>
        <w:ind w:left="851" w:leftChars="0" w:hanging="426" w:firstLineChars="0"/>
      </w:pPr>
      <w:r>
        <w:rPr>
          <w:rFonts w:hint="eastAsia"/>
        </w:rPr>
        <w:t>满足监管要求。</w:t>
      </w:r>
    </w:p>
    <w:p w14:paraId="76018647">
      <w:pPr>
        <w:pStyle w:val="104"/>
        <w:spacing w:before="312" w:after="312"/>
      </w:pPr>
      <w:bookmarkStart w:id="38" w:name="_Toc14196"/>
      <w:r>
        <w:rPr>
          <w:rFonts w:hint="eastAsia"/>
        </w:rPr>
        <w:t>风险评估的准备</w:t>
      </w:r>
      <w:bookmarkEnd w:id="38"/>
    </w:p>
    <w:p w14:paraId="547629A1">
      <w:pPr>
        <w:pStyle w:val="105"/>
        <w:spacing w:before="156" w:after="156"/>
      </w:pPr>
      <w:r>
        <w:rPr>
          <w:rFonts w:hint="eastAsia" w:ascii="黑体" w:hAnsi="黑体" w:eastAsia="黑体" w:cs="黑体"/>
          <w:sz w:val="24"/>
          <w:szCs w:val="24"/>
        </w:rPr>
        <w:t>确定风险评估对象及范围</w:t>
      </w:r>
    </w:p>
    <w:p w14:paraId="40F189FE">
      <w:pPr>
        <w:pStyle w:val="56"/>
        <w:ind w:firstLine="420"/>
      </w:pPr>
      <w:r>
        <w:rPr>
          <w:rFonts w:hint="eastAsia"/>
        </w:rPr>
        <w:t>按照《中华人民共和国职业分类大典》确定用人单位岗位的类别、职业（工种），查找职工所从事职业（工种）的主要工作任务，明确风险评估的对象及范围。</w:t>
      </w:r>
    </w:p>
    <w:p w14:paraId="16E34B68">
      <w:pPr>
        <w:pStyle w:val="105"/>
        <w:spacing w:before="156" w:after="156"/>
      </w:pPr>
      <w:bookmarkStart w:id="39" w:name="_Toc21665"/>
      <w:r>
        <w:rPr>
          <w:rFonts w:hint="eastAsia"/>
        </w:rPr>
        <w:t>工作组成员能力的要求</w:t>
      </w:r>
      <w:bookmarkEnd w:id="39"/>
    </w:p>
    <w:p w14:paraId="01A316B8">
      <w:pPr>
        <w:pStyle w:val="56"/>
        <w:ind w:firstLine="420"/>
      </w:pPr>
      <w:r>
        <w:rPr>
          <w:rFonts w:hint="eastAsia"/>
        </w:rPr>
        <w:t>应根据风险评估需要的技能和专业知识选择工作组成员。</w:t>
      </w:r>
    </w:p>
    <w:p w14:paraId="7AC4525A">
      <w:pPr>
        <w:pStyle w:val="56"/>
        <w:ind w:firstLine="420"/>
      </w:pPr>
      <w:r>
        <w:rPr>
          <w:rFonts w:hint="eastAsia"/>
        </w:rPr>
        <w:t>工作组成员应具备下列能力：</w:t>
      </w:r>
    </w:p>
    <w:p w14:paraId="1C54A07F">
      <w:pPr>
        <w:pStyle w:val="56"/>
        <w:ind w:firstLine="420"/>
      </w:pPr>
      <w:r>
        <w:rPr>
          <w:rFonts w:hint="eastAsia"/>
          <w:b/>
          <w:bCs/>
        </w:rPr>
        <w:t>a)</w:t>
      </w:r>
      <w:r>
        <w:rPr>
          <w:rFonts w:hint="eastAsia"/>
        </w:rPr>
        <w:t xml:space="preserve"> 经培训具备工伤预防方面技术能力的人员；</w:t>
      </w:r>
    </w:p>
    <w:p w14:paraId="5D0F32A0">
      <w:pPr>
        <w:pStyle w:val="56"/>
        <w:ind w:firstLine="420"/>
      </w:pPr>
      <w:r>
        <w:rPr>
          <w:rFonts w:hint="eastAsia" w:ascii="黑体" w:hAnsi="黑体" w:eastAsia="黑体" w:cs="黑体"/>
        </w:rPr>
        <w:t>b)</w:t>
      </w:r>
      <w:r>
        <w:rPr>
          <w:rFonts w:hint="eastAsia"/>
        </w:rPr>
        <w:t xml:space="preserve"> 熟悉职工岗位所涉及的环境、生产设备、装置及其布置、物料及中间产品、安全设施运行情况等的人员；</w:t>
      </w:r>
    </w:p>
    <w:p w14:paraId="3831E89D">
      <w:pPr>
        <w:pStyle w:val="56"/>
        <w:ind w:firstLine="420"/>
      </w:pPr>
      <w:r>
        <w:rPr>
          <w:rFonts w:hint="eastAsia" w:ascii="黑体" w:hAnsi="黑体" w:eastAsia="黑体" w:cs="黑体"/>
        </w:rPr>
        <w:t>c)</w:t>
      </w:r>
      <w:r>
        <w:rPr>
          <w:rFonts w:hint="eastAsia"/>
        </w:rPr>
        <w:t xml:space="preserve"> 具备该行业工伤事故调查处理能力的人员；</w:t>
      </w:r>
    </w:p>
    <w:p w14:paraId="48BFB3B6">
      <w:pPr>
        <w:pStyle w:val="56"/>
        <w:ind w:firstLine="420"/>
      </w:pPr>
      <w:r>
        <w:rPr>
          <w:rFonts w:hint="eastAsia" w:ascii="黑体" w:hAnsi="黑体" w:eastAsia="黑体" w:cs="黑体"/>
        </w:rPr>
        <w:t>d)</w:t>
      </w:r>
      <w:r>
        <w:rPr>
          <w:rFonts w:hint="eastAsia"/>
        </w:rPr>
        <w:t xml:space="preserve"> 熟悉该行业相关的法律、法规及标准的人员。</w:t>
      </w:r>
    </w:p>
    <w:p w14:paraId="61D4A11D">
      <w:pPr>
        <w:pStyle w:val="105"/>
        <w:spacing w:before="156" w:after="156"/>
      </w:pPr>
      <w:bookmarkStart w:id="40" w:name="_Toc17531"/>
      <w:r>
        <w:rPr>
          <w:rFonts w:hint="eastAsia"/>
        </w:rPr>
        <w:t>风险评估信息资源调查</w:t>
      </w:r>
      <w:bookmarkEnd w:id="40"/>
    </w:p>
    <w:p w14:paraId="35ABEFE7">
      <w:pPr>
        <w:pStyle w:val="56"/>
        <w:ind w:firstLine="436"/>
      </w:pPr>
      <w:r>
        <w:rPr>
          <w:rFonts w:hint="eastAsia" w:hAnsi="宋体" w:cs="宋体"/>
          <w:spacing w:val="4"/>
        </w:rPr>
        <w:t>风险评估所需信息包括用人单位提供的相关文件、记录、台账、资料、检测检验数据、职工岗位职业工作环境的生产设备、装置及其布置、物料及中间产品、安全设施运行情况、个体劳动防护用品佩戴等，实际调查拍摄的作业现场照片和风险部位照片等，相关工伤事故的案例信息</w:t>
      </w:r>
      <w:r>
        <w:rPr>
          <w:rFonts w:hint="eastAsia"/>
        </w:rPr>
        <w:t>。</w:t>
      </w:r>
    </w:p>
    <w:p w14:paraId="7476981E">
      <w:pPr>
        <w:pStyle w:val="104"/>
        <w:spacing w:before="312" w:after="312"/>
      </w:pPr>
      <w:bookmarkStart w:id="41" w:name="_Toc527"/>
      <w:r>
        <w:rPr>
          <w:rFonts w:hint="eastAsia"/>
        </w:rPr>
        <w:t>风险评估</w:t>
      </w:r>
      <w:bookmarkEnd w:id="41"/>
    </w:p>
    <w:p w14:paraId="1F2B0F91">
      <w:pPr>
        <w:pStyle w:val="105"/>
        <w:spacing w:before="156" w:after="156"/>
      </w:pPr>
      <w:bookmarkStart w:id="42" w:name="_Toc28124"/>
      <w:r>
        <w:rPr>
          <w:rFonts w:hint="eastAsia"/>
        </w:rPr>
        <w:t>风险评估过程</w:t>
      </w:r>
      <w:bookmarkEnd w:id="42"/>
    </w:p>
    <w:p w14:paraId="7A791518">
      <w:pPr>
        <w:pStyle w:val="56"/>
        <w:ind w:firstLine="420"/>
      </w:pPr>
      <w:r>
        <w:rPr>
          <w:rFonts w:hint="eastAsia"/>
        </w:rPr>
        <w:t>风险评估过程主要包括风险识别、风险分析、风险评价。风险评估过程每一步所涉及的内容是一个充分减小风险的迭代过程。如图1所示。</w:t>
      </w:r>
    </w:p>
    <w:p w14:paraId="64BC3FD2">
      <w:pPr>
        <w:pStyle w:val="56"/>
        <w:ind w:firstLine="420"/>
        <w:jc w:val="center"/>
      </w:pPr>
      <w:r>
        <w:rPr>
          <w:rFonts w:hint="eastAsia"/>
        </w:rPr>
        <w:drawing>
          <wp:inline distT="0" distB="0" distL="114300" distR="114300">
            <wp:extent cx="2898140" cy="2247265"/>
            <wp:effectExtent l="0" t="0" r="5715" b="889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34"/>
                    <a:stretch>
                      <a:fillRect/>
                    </a:stretch>
                  </pic:blipFill>
                  <pic:spPr>
                    <a:xfrm>
                      <a:off x="0" y="0"/>
                      <a:ext cx="2898140" cy="2247265"/>
                    </a:xfrm>
                    <a:prstGeom prst="rect">
                      <a:avLst/>
                    </a:prstGeom>
                  </pic:spPr>
                </pic:pic>
              </a:graphicData>
            </a:graphic>
          </wp:inline>
        </w:drawing>
      </w:r>
    </w:p>
    <w:p w14:paraId="75A61802">
      <w:pPr>
        <w:pStyle w:val="114"/>
        <w:spacing w:before="156" w:after="156"/>
      </w:pPr>
      <w:r>
        <w:rPr>
          <w:rFonts w:hint="eastAsia"/>
        </w:rPr>
        <w:t>风险评估过程图</w:t>
      </w:r>
      <w:r>
        <w:fldChar w:fldCharType="begin"/>
      </w:r>
      <w:r>
        <w:instrText xml:space="preserve"> XE "</w:instrText>
      </w:r>
      <w:r>
        <w:rPr>
          <w:rFonts w:hint="eastAsia"/>
        </w:rPr>
        <w:instrText xml:space="preserve">电视</w:instrText>
      </w:r>
      <w:r>
        <w:instrText xml:space="preserve">" </w:instrText>
      </w:r>
      <w:r>
        <w:fldChar w:fldCharType="end"/>
      </w:r>
    </w:p>
    <w:p w14:paraId="7D8A9130">
      <w:pPr>
        <w:pStyle w:val="105"/>
        <w:spacing w:before="156" w:after="156"/>
      </w:pPr>
      <w:bookmarkStart w:id="43" w:name="_Toc6409"/>
      <w:r>
        <w:rPr>
          <w:rFonts w:hint="eastAsia"/>
        </w:rPr>
        <w:t>职工岗位职业工作过程确定</w:t>
      </w:r>
      <w:bookmarkEnd w:id="43"/>
    </w:p>
    <w:p w14:paraId="77C727D8">
      <w:pPr>
        <w:pStyle w:val="56"/>
        <w:ind w:firstLine="420"/>
      </w:pPr>
      <w:r>
        <w:t>风险评估的主要作用</w:t>
      </w:r>
      <w:r>
        <w:rPr>
          <w:rFonts w:hint="eastAsia"/>
        </w:rPr>
        <w:t>如下：</w:t>
      </w:r>
    </w:p>
    <w:p w14:paraId="5CC0E6A2">
      <w:pPr>
        <w:pStyle w:val="174"/>
        <w:numPr>
          <w:ilvl w:val="0"/>
          <w:numId w:val="38"/>
        </w:numPr>
        <w:tabs>
          <w:tab w:val="clear" w:pos="851"/>
        </w:tabs>
        <w:ind w:left="851" w:hanging="426"/>
      </w:pPr>
      <w:r>
        <w:rPr>
          <w:rFonts w:hint="eastAsia"/>
        </w:rPr>
        <w:t>认识职业风险及其对岗位职工的潜在影响；</w:t>
      </w:r>
    </w:p>
    <w:p w14:paraId="71C5152A">
      <w:pPr>
        <w:pStyle w:val="174"/>
        <w:numPr>
          <w:ilvl w:val="0"/>
          <w:numId w:val="38"/>
        </w:numPr>
        <w:tabs>
          <w:tab w:val="clear" w:pos="851"/>
        </w:tabs>
        <w:ind w:left="851" w:leftChars="0" w:hanging="426" w:firstLineChars="0"/>
      </w:pPr>
      <w:r>
        <w:rPr>
          <w:rFonts w:hint="eastAsia"/>
        </w:rPr>
        <w:t>为工伤预防和培训工作提供素材及参考依据；</w:t>
      </w:r>
    </w:p>
    <w:p w14:paraId="53C86A45">
      <w:pPr>
        <w:pStyle w:val="174"/>
        <w:numPr>
          <w:ilvl w:val="0"/>
          <w:numId w:val="38"/>
        </w:numPr>
        <w:tabs>
          <w:tab w:val="clear" w:pos="851"/>
        </w:tabs>
        <w:ind w:left="851" w:leftChars="0" w:hanging="426" w:firstLineChars="0"/>
      </w:pPr>
      <w:r>
        <w:rPr>
          <w:rFonts w:hint="eastAsia"/>
        </w:rPr>
        <w:t>增进岗位职工对风险的理解，以利于职业风险应对方法的正确选择；</w:t>
      </w:r>
    </w:p>
    <w:p w14:paraId="14980B2A">
      <w:pPr>
        <w:pStyle w:val="174"/>
        <w:numPr>
          <w:ilvl w:val="0"/>
          <w:numId w:val="38"/>
        </w:numPr>
        <w:tabs>
          <w:tab w:val="clear" w:pos="851"/>
        </w:tabs>
        <w:ind w:left="851" w:leftChars="0" w:hanging="426" w:firstLineChars="0"/>
      </w:pPr>
      <w:r>
        <w:rPr>
          <w:rFonts w:hint="eastAsia"/>
        </w:rPr>
        <w:t>识别职业风险的主要因素，以及职工岗位环境和工作程序的薄弱环节；</w:t>
      </w:r>
    </w:p>
    <w:p w14:paraId="7F1DA28D">
      <w:pPr>
        <w:pStyle w:val="174"/>
        <w:numPr>
          <w:ilvl w:val="0"/>
          <w:numId w:val="38"/>
        </w:numPr>
        <w:tabs>
          <w:tab w:val="clear" w:pos="851"/>
        </w:tabs>
        <w:ind w:left="851" w:leftChars="0" w:hanging="426" w:firstLineChars="0"/>
      </w:pPr>
      <w:r>
        <w:rPr>
          <w:rFonts w:hint="eastAsia"/>
        </w:rPr>
        <w:t>确定职业风险的不确定性；</w:t>
      </w:r>
    </w:p>
    <w:p w14:paraId="42DDAB35">
      <w:pPr>
        <w:pStyle w:val="174"/>
        <w:numPr>
          <w:ilvl w:val="0"/>
          <w:numId w:val="38"/>
        </w:numPr>
        <w:tabs>
          <w:tab w:val="clear" w:pos="851"/>
        </w:tabs>
        <w:ind w:left="851" w:leftChars="0" w:hanging="426" w:firstLineChars="0"/>
      </w:pPr>
      <w:r>
        <w:rPr>
          <w:rFonts w:hint="eastAsia"/>
        </w:rPr>
        <w:t>有助于建立职业风险优先顺序；</w:t>
      </w:r>
    </w:p>
    <w:p w14:paraId="23E45F36">
      <w:pPr>
        <w:pStyle w:val="174"/>
        <w:numPr>
          <w:ilvl w:val="0"/>
          <w:numId w:val="38"/>
        </w:numPr>
        <w:tabs>
          <w:tab w:val="clear" w:pos="851"/>
        </w:tabs>
        <w:ind w:left="851" w:leftChars="0" w:hanging="426" w:firstLineChars="0"/>
      </w:pPr>
      <w:r>
        <w:rPr>
          <w:rFonts w:hint="eastAsia"/>
        </w:rPr>
        <w:t>帮助确定职业风险是否可接受；</w:t>
      </w:r>
    </w:p>
    <w:p w14:paraId="49B1241F">
      <w:pPr>
        <w:pStyle w:val="174"/>
        <w:numPr>
          <w:ilvl w:val="0"/>
          <w:numId w:val="38"/>
        </w:numPr>
        <w:tabs>
          <w:tab w:val="clear" w:pos="851"/>
        </w:tabs>
        <w:ind w:left="851" w:leftChars="0" w:hanging="426" w:firstLineChars="0"/>
      </w:pPr>
      <w:r>
        <w:rPr>
          <w:rFonts w:hint="eastAsia"/>
        </w:rPr>
        <w:t>满足监管要求。</w:t>
      </w:r>
    </w:p>
    <w:p w14:paraId="359B33C1">
      <w:pPr>
        <w:pStyle w:val="65"/>
        <w:spacing w:before="156" w:after="156"/>
      </w:pPr>
      <w:r>
        <w:rPr>
          <w:rFonts w:hint="eastAsia"/>
        </w:rPr>
        <w:t>一般要求</w:t>
      </w:r>
    </w:p>
    <w:p w14:paraId="2380E131">
      <w:pPr>
        <w:pStyle w:val="56"/>
        <w:ind w:firstLine="420"/>
      </w:pPr>
      <w:r>
        <w:rPr>
          <w:rFonts w:hint="eastAsia"/>
        </w:rPr>
        <w:t>职工岗位职业工作过程确定的一般要求：</w:t>
      </w:r>
    </w:p>
    <w:p w14:paraId="77A348C7">
      <w:pPr>
        <w:pStyle w:val="174"/>
        <w:numPr>
          <w:ilvl w:val="0"/>
          <w:numId w:val="0"/>
        </w:numPr>
        <w:tabs>
          <w:tab w:val="clear" w:pos="851"/>
        </w:tabs>
        <w:ind w:left="425"/>
      </w:pPr>
      <w:r>
        <w:rPr>
          <w:rFonts w:hint="eastAsia"/>
        </w:rPr>
        <w:t>a)</w:t>
      </w:r>
      <w:r>
        <w:rPr>
          <w:rFonts w:hint="eastAsia"/>
          <w:lang w:val="en-US" w:eastAsia="zh-CN"/>
        </w:rPr>
        <w:t xml:space="preserve"> </w:t>
      </w:r>
      <w:r>
        <w:rPr>
          <w:rFonts w:hint="eastAsia"/>
        </w:rPr>
        <w:t>按照《中华人民共和国职业分类大典》确定已选定的职业（工种）的定义及任务；</w:t>
      </w:r>
    </w:p>
    <w:p w14:paraId="4D03F9DF">
      <w:pPr>
        <w:pStyle w:val="174"/>
        <w:numPr>
          <w:ilvl w:val="0"/>
          <w:numId w:val="0"/>
        </w:numPr>
        <w:tabs>
          <w:tab w:val="clear" w:pos="851"/>
        </w:tabs>
        <w:ind w:left="425"/>
      </w:pPr>
      <w:r>
        <w:rPr>
          <w:rFonts w:hint="eastAsia"/>
        </w:rPr>
        <w:t>b)</w:t>
      </w:r>
      <w:r>
        <w:rPr>
          <w:rFonts w:hint="eastAsia"/>
          <w:lang w:val="en-US" w:eastAsia="zh-CN"/>
        </w:rPr>
        <w:t xml:space="preserve"> </w:t>
      </w:r>
      <w:r>
        <w:rPr>
          <w:rFonts w:hint="eastAsia"/>
        </w:rPr>
        <w:t>应对职工岗位职业的定义、预定工作过程、可预见的事故及工作所处环境类别给予描述。</w:t>
      </w:r>
    </w:p>
    <w:p w14:paraId="6BD88358">
      <w:pPr>
        <w:pStyle w:val="65"/>
        <w:spacing w:before="156" w:after="156"/>
      </w:pPr>
      <w:r>
        <w:rPr>
          <w:rFonts w:hint="eastAsia"/>
        </w:rPr>
        <w:t>岗位工种的工作过程要素</w:t>
      </w:r>
    </w:p>
    <w:p w14:paraId="2BF3D92D">
      <w:pPr>
        <w:pStyle w:val="56"/>
        <w:ind w:firstLine="420"/>
      </w:pPr>
      <w:r>
        <w:rPr>
          <w:rFonts w:hint="eastAsia"/>
        </w:rPr>
        <w:t>在职业工作任务内容的基础上，依据现场实际情况确认岗位职业（工种）工作过程要素，主要包括：</w:t>
      </w:r>
    </w:p>
    <w:p w14:paraId="69BF55CC">
      <w:pPr>
        <w:pStyle w:val="56"/>
        <w:ind w:firstLine="420"/>
      </w:pPr>
      <w:r>
        <w:rPr>
          <w:rFonts w:hint="eastAsia"/>
        </w:rPr>
        <w:t>——使用工具、设备；</w:t>
      </w:r>
    </w:p>
    <w:p w14:paraId="14224300">
      <w:pPr>
        <w:pStyle w:val="56"/>
        <w:ind w:firstLine="420"/>
      </w:pPr>
      <w:r>
        <w:rPr>
          <w:rFonts w:hint="eastAsia"/>
        </w:rPr>
        <w:t>——人工、自控；</w:t>
      </w:r>
    </w:p>
    <w:p w14:paraId="6BC032E5">
      <w:pPr>
        <w:pStyle w:val="56"/>
        <w:ind w:firstLine="420"/>
      </w:pPr>
      <w:r>
        <w:rPr>
          <w:rFonts w:hint="eastAsia"/>
        </w:rPr>
        <w:t>——加工制品；</w:t>
      </w:r>
    </w:p>
    <w:p w14:paraId="5D8A147D">
      <w:pPr>
        <w:pStyle w:val="56"/>
        <w:ind w:firstLine="420"/>
      </w:pPr>
      <w:r>
        <w:rPr>
          <w:rFonts w:hint="eastAsia"/>
        </w:rPr>
        <w:t>——工作运动/移动范围；</w:t>
      </w:r>
    </w:p>
    <w:p w14:paraId="10910149">
      <w:pPr>
        <w:pStyle w:val="56"/>
        <w:ind w:firstLine="420"/>
      </w:pPr>
      <w:r>
        <w:rPr>
          <w:rFonts w:hint="eastAsia"/>
        </w:rPr>
        <w:t>——设备维修；</w:t>
      </w:r>
    </w:p>
    <w:p w14:paraId="71EED701">
      <w:pPr>
        <w:pStyle w:val="56"/>
        <w:ind w:firstLine="420"/>
      </w:pPr>
      <w:r>
        <w:rPr>
          <w:rFonts w:hint="eastAsia"/>
        </w:rPr>
        <w:t>——提供辅助工作的设备及平台稳定性/机动性；</w:t>
      </w:r>
    </w:p>
    <w:p w14:paraId="76699BCF">
      <w:pPr>
        <w:pStyle w:val="56"/>
        <w:ind w:firstLine="420"/>
      </w:pPr>
      <w:r>
        <w:rPr>
          <w:rFonts w:hint="eastAsia"/>
        </w:rPr>
        <w:t>——所处环境类别。</w:t>
      </w:r>
    </w:p>
    <w:p w14:paraId="48DA1BE3">
      <w:pPr>
        <w:pStyle w:val="56"/>
        <w:ind w:firstLine="420"/>
      </w:pPr>
      <w:r>
        <w:rPr>
          <w:rFonts w:hint="eastAsia"/>
        </w:rPr>
        <w:t>依据工伤保险已确定的行业风险等级，风险评估应依次查看每个职业任务要达到的目的，确保正确考虑各种任务模式和所有工作过程。</w:t>
      </w:r>
    </w:p>
    <w:p w14:paraId="68317017">
      <w:pPr>
        <w:pStyle w:val="65"/>
        <w:spacing w:before="156" w:after="156"/>
      </w:pPr>
      <w:r>
        <w:rPr>
          <w:rFonts w:hint="eastAsia"/>
        </w:rPr>
        <w:t>职工岗位职业工作过程的确定</w:t>
      </w:r>
    </w:p>
    <w:p w14:paraId="0A44773C">
      <w:pPr>
        <w:pStyle w:val="56"/>
        <w:ind w:firstLine="420"/>
      </w:pPr>
      <w:r>
        <w:rPr>
          <w:rFonts w:hint="eastAsia"/>
        </w:rPr>
        <w:t>依据给定的职工岗位周围作业环境，与职业相互作用的所有人员，根据与职业预定和可预见工伤事件相关的任务来描述职业工种的工作过程。</w:t>
      </w:r>
    </w:p>
    <w:p w14:paraId="208F5FE5">
      <w:pPr>
        <w:pStyle w:val="56"/>
        <w:ind w:firstLine="420"/>
      </w:pPr>
      <w:r>
        <w:rPr>
          <w:rFonts w:hint="eastAsia"/>
        </w:rPr>
        <w:t>风险评估工作组工作人员与岗位人员应互动沟通，尽可能确保识别包括可预见风险事件在内的所有工作过程。因此，分析工作任务和实际工作情况时除了包括操作和维修外，还应考虑下述情况：</w:t>
      </w:r>
    </w:p>
    <w:p w14:paraId="5657A2CF">
      <w:pPr>
        <w:pStyle w:val="174"/>
        <w:numPr>
          <w:ilvl w:val="0"/>
          <w:numId w:val="39"/>
        </w:numPr>
        <w:tabs>
          <w:tab w:val="clear" w:pos="851"/>
        </w:tabs>
        <w:ind w:left="851" w:hanging="426"/>
      </w:pPr>
      <w:r>
        <w:rPr>
          <w:rFonts w:hint="eastAsia"/>
        </w:rPr>
        <w:t>用人单位提供的有效的安全管理信息；</w:t>
      </w:r>
    </w:p>
    <w:p w14:paraId="335F4627">
      <w:pPr>
        <w:pStyle w:val="174"/>
        <w:numPr>
          <w:ilvl w:val="0"/>
          <w:numId w:val="39"/>
        </w:numPr>
        <w:tabs>
          <w:tab w:val="clear" w:pos="851"/>
        </w:tabs>
        <w:ind w:left="851" w:leftChars="0" w:hanging="426" w:firstLineChars="0"/>
      </w:pPr>
      <w:r>
        <w:rPr>
          <w:rFonts w:hint="eastAsia"/>
        </w:rPr>
        <w:t>日常习惯完成任务最简便或最快捷的方法可能与安全操作规程规定不同；</w:t>
      </w:r>
    </w:p>
    <w:p w14:paraId="5945198E">
      <w:pPr>
        <w:pStyle w:val="174"/>
        <w:numPr>
          <w:ilvl w:val="0"/>
          <w:numId w:val="39"/>
        </w:numPr>
        <w:tabs>
          <w:tab w:val="clear" w:pos="851"/>
        </w:tabs>
        <w:ind w:left="851" w:leftChars="0" w:hanging="426" w:firstLineChars="0"/>
      </w:pPr>
      <w:r>
        <w:rPr>
          <w:rFonts w:hint="eastAsia"/>
        </w:rPr>
        <w:t>职工在操作设备时，面对故障、事件或失效时的反应。</w:t>
      </w:r>
    </w:p>
    <w:p w14:paraId="60D97F8A">
      <w:pPr>
        <w:pStyle w:val="105"/>
        <w:spacing w:before="156" w:after="156"/>
      </w:pPr>
      <w:bookmarkStart w:id="44" w:name="_Toc30517"/>
      <w:r>
        <w:rPr>
          <w:rFonts w:hint="eastAsia"/>
        </w:rPr>
        <w:t>风险识别</w:t>
      </w:r>
      <w:bookmarkEnd w:id="44"/>
    </w:p>
    <w:p w14:paraId="67601ECE">
      <w:pPr>
        <w:pStyle w:val="65"/>
        <w:spacing w:before="156" w:after="156"/>
      </w:pPr>
      <w:r>
        <w:rPr>
          <w:rFonts w:hint="eastAsia"/>
        </w:rPr>
        <w:t>一般要求</w:t>
      </w:r>
    </w:p>
    <w:p w14:paraId="5473B58B">
      <w:pPr>
        <w:pStyle w:val="56"/>
        <w:ind w:firstLine="420"/>
      </w:pPr>
      <w:r>
        <w:rPr>
          <w:rFonts w:hint="eastAsia"/>
        </w:rPr>
        <w:t>风险识别的一般要求：</w:t>
      </w:r>
    </w:p>
    <w:p w14:paraId="4F2EF827">
      <w:pPr>
        <w:pStyle w:val="174"/>
        <w:numPr>
          <w:ilvl w:val="0"/>
          <w:numId w:val="0"/>
        </w:numPr>
        <w:tabs>
          <w:tab w:val="clear" w:pos="851"/>
        </w:tabs>
        <w:ind w:left="425"/>
      </w:pPr>
      <w:r>
        <w:rPr>
          <w:rFonts w:hint="eastAsia"/>
        </w:rPr>
        <w:t>a)</w:t>
      </w:r>
      <w:r>
        <w:rPr>
          <w:rFonts w:hint="eastAsia"/>
          <w:lang w:val="en-US" w:eastAsia="zh-CN"/>
        </w:rPr>
        <w:t xml:space="preserve"> </w:t>
      </w:r>
      <w:r>
        <w:rPr>
          <w:rFonts w:hint="eastAsia"/>
        </w:rPr>
        <w:t>风险识别要系统和全面；</w:t>
      </w:r>
    </w:p>
    <w:p w14:paraId="50BAE170">
      <w:pPr>
        <w:pStyle w:val="174"/>
        <w:numPr>
          <w:ilvl w:val="0"/>
          <w:numId w:val="0"/>
        </w:numPr>
        <w:tabs>
          <w:tab w:val="clear" w:pos="851"/>
        </w:tabs>
        <w:ind w:firstLine="420" w:firstLineChars="200"/>
      </w:pPr>
      <w:r>
        <w:rPr>
          <w:rFonts w:hint="eastAsia"/>
        </w:rPr>
        <w:t>b）自下而上法。以检查所有的风险作为起点，考虑在所确定的危险状态下所有可能出错的途径及其导致伤害的方式（见表 A.1和表A.2）。</w:t>
      </w:r>
    </w:p>
    <w:p w14:paraId="5BEA48EA">
      <w:pPr>
        <w:pStyle w:val="174"/>
        <w:numPr>
          <w:ilvl w:val="0"/>
          <w:numId w:val="0"/>
        </w:numPr>
        <w:tabs>
          <w:tab w:val="clear" w:pos="851"/>
        </w:tabs>
        <w:ind w:left="425"/>
      </w:pPr>
    </w:p>
    <w:p w14:paraId="7A7B080D">
      <w:pPr>
        <w:pStyle w:val="65"/>
        <w:spacing w:before="156" w:after="156"/>
      </w:pPr>
      <w:r>
        <w:rPr>
          <w:rFonts w:hint="eastAsia"/>
        </w:rPr>
        <w:t>风险识别的方法</w:t>
      </w:r>
    </w:p>
    <w:p w14:paraId="664EFFA3">
      <w:pPr>
        <w:pStyle w:val="56"/>
        <w:ind w:firstLine="420"/>
      </w:pPr>
      <w:r>
        <w:rPr>
          <w:rFonts w:hint="eastAsia"/>
        </w:rPr>
        <w:t>采用能够确保全面检查职工岗位、工作时间内所有阶段与职业有关的所有任务工作模式、所有人的行为、所有生产工艺安全设施和所有环境影响的技术方法。</w:t>
      </w:r>
    </w:p>
    <w:p w14:paraId="0711B0FE">
      <w:pPr>
        <w:pStyle w:val="174"/>
        <w:numPr>
          <w:ilvl w:val="0"/>
          <w:numId w:val="0"/>
        </w:numPr>
        <w:tabs>
          <w:tab w:val="clear" w:pos="851"/>
        </w:tabs>
        <w:ind w:left="851" w:hanging="426"/>
      </w:pPr>
      <w:r>
        <w:rPr>
          <w:rFonts w:hint="eastAsia"/>
        </w:rPr>
        <w:t>下面建议采用一般最常用的有下述两种方法（见图2）：</w:t>
      </w:r>
    </w:p>
    <w:p w14:paraId="6661E19E">
      <w:pPr>
        <w:pStyle w:val="174"/>
        <w:numPr>
          <w:ilvl w:val="0"/>
          <w:numId w:val="0"/>
        </w:numPr>
        <w:tabs>
          <w:tab w:val="clear" w:pos="851"/>
        </w:tabs>
        <w:ind w:left="851" w:hanging="426"/>
        <w:jc w:val="center"/>
      </w:pPr>
      <w:r>
        <w:rPr>
          <w:rFonts w:hint="eastAsia"/>
        </w:rPr>
        <w:drawing>
          <wp:inline distT="0" distB="0" distL="114300" distR="114300">
            <wp:extent cx="3620770" cy="1800225"/>
            <wp:effectExtent l="0" t="0" r="0" b="0"/>
            <wp:docPr id="8" name="图片 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2"/>
                    <pic:cNvPicPr>
                      <a:picLocks noChangeAspect="1"/>
                    </pic:cNvPicPr>
                  </pic:nvPicPr>
                  <pic:blipFill>
                    <a:blip r:embed="rId35"/>
                    <a:stretch>
                      <a:fillRect/>
                    </a:stretch>
                  </pic:blipFill>
                  <pic:spPr>
                    <a:xfrm>
                      <a:off x="0" y="0"/>
                      <a:ext cx="3620770" cy="1800225"/>
                    </a:xfrm>
                    <a:prstGeom prst="rect">
                      <a:avLst/>
                    </a:prstGeom>
                  </pic:spPr>
                </pic:pic>
              </a:graphicData>
            </a:graphic>
          </wp:inline>
        </w:drawing>
      </w:r>
    </w:p>
    <w:p w14:paraId="01CF5BEF">
      <w:pPr>
        <w:pStyle w:val="114"/>
        <w:spacing w:before="156" w:after="156"/>
      </w:pPr>
      <w:r>
        <w:rPr>
          <w:rFonts w:hint="eastAsia"/>
        </w:rPr>
        <w:t>自上而下和自下而上的方法</w:t>
      </w:r>
      <w:r>
        <w:fldChar w:fldCharType="begin"/>
      </w:r>
      <w:r>
        <w:instrText xml:space="preserve"> XE "</w:instrText>
      </w:r>
      <w:r>
        <w:rPr>
          <w:rFonts w:hint="eastAsia"/>
        </w:rPr>
        <w:instrText xml:space="preserve">电视</w:instrText>
      </w:r>
      <w:r>
        <w:instrText xml:space="preserve">" </w:instrText>
      </w:r>
      <w:r>
        <w:fldChar w:fldCharType="end"/>
      </w:r>
    </w:p>
    <w:p w14:paraId="71E1A0B4">
      <w:pPr>
        <w:pStyle w:val="174"/>
        <w:numPr>
          <w:ilvl w:val="0"/>
          <w:numId w:val="40"/>
        </w:numPr>
        <w:tabs>
          <w:tab w:val="clear" w:pos="851"/>
        </w:tabs>
        <w:ind w:left="0" w:firstLine="420" w:firstLineChars="200"/>
      </w:pPr>
      <w:r>
        <w:rPr>
          <w:rFonts w:hint="eastAsia"/>
        </w:rPr>
        <w:t>自上而下法。该方法以潜在后果（伤害形式见 表A.1和表 A.2 中的潜在后果）的核查清单为起点，确定引起伤害的风险（识别过程是由风险事件追溯到危险状态，再追溯到风险本身）。该核查清单中的每一项被依次应用于职工岗位操作的每个阶段、每个操作或任务。</w:t>
      </w:r>
    </w:p>
    <w:p w14:paraId="37DDA5B1">
      <w:pPr>
        <w:pStyle w:val="174"/>
        <w:numPr>
          <w:ilvl w:val="0"/>
          <w:numId w:val="40"/>
        </w:numPr>
        <w:tabs>
          <w:tab w:val="clear" w:pos="851"/>
        </w:tabs>
        <w:ind w:left="0" w:firstLine="420" w:firstLineChars="200"/>
      </w:pPr>
      <w:r>
        <w:rPr>
          <w:rFonts w:hint="eastAsia"/>
        </w:rPr>
        <w:t>自下而上法。以检查所有的风险作为起点，考虑在所确定的危险状态下所有可能出错的途径及其导致伤害的方式（见表 A.1和表A.2）。</w:t>
      </w:r>
    </w:p>
    <w:p w14:paraId="684FC721">
      <w:pPr>
        <w:pStyle w:val="180"/>
        <w:numPr>
          <w:ilvl w:val="0"/>
          <w:numId w:val="0"/>
        </w:numPr>
        <w:ind w:left="363"/>
      </w:pPr>
      <w:r>
        <w:rPr>
          <w:rFonts w:hint="eastAsia" w:ascii="黑体" w:hAnsi="黑体" w:eastAsia="黑体" w:cs="黑体"/>
        </w:rPr>
        <w:t>注：</w:t>
      </w:r>
      <w:r>
        <w:rPr>
          <w:rFonts w:hint="eastAsia"/>
        </w:rPr>
        <w:t>图2解释了危险识别方法的结构，但流程图中并不是定义危险状态、危险事件和伤害之间的关系。</w:t>
      </w:r>
    </w:p>
    <w:p w14:paraId="31D86B15">
      <w:pPr>
        <w:pStyle w:val="65"/>
        <w:spacing w:before="156" w:after="156"/>
      </w:pPr>
      <w:r>
        <w:rPr>
          <w:rFonts w:hint="eastAsia"/>
        </w:rPr>
        <w:t>风险识别的结果</w:t>
      </w:r>
    </w:p>
    <w:p w14:paraId="753CAB34">
      <w:pPr>
        <w:pStyle w:val="56"/>
        <w:ind w:firstLine="420"/>
      </w:pPr>
      <w:r>
        <w:rPr>
          <w:rFonts w:hint="eastAsia"/>
        </w:rPr>
        <w:t>记录风险识别应该清楚的描述下列内容：</w:t>
      </w:r>
    </w:p>
    <w:p w14:paraId="6C6DAF7A">
      <w:pPr>
        <w:pStyle w:val="174"/>
        <w:numPr>
          <w:ilvl w:val="0"/>
          <w:numId w:val="41"/>
        </w:numPr>
        <w:tabs>
          <w:tab w:val="clear" w:pos="851"/>
        </w:tabs>
        <w:ind w:left="851" w:hanging="426"/>
      </w:pPr>
      <w:r>
        <w:rPr>
          <w:rFonts w:hint="eastAsia"/>
        </w:rPr>
        <w:t>风险点及其位置（职工岗位风险区）；</w:t>
      </w:r>
    </w:p>
    <w:p w14:paraId="2BB68772">
      <w:pPr>
        <w:pStyle w:val="174"/>
        <w:numPr>
          <w:ilvl w:val="0"/>
          <w:numId w:val="41"/>
        </w:numPr>
        <w:tabs>
          <w:tab w:val="clear" w:pos="851"/>
        </w:tabs>
        <w:ind w:left="851" w:leftChars="0" w:hanging="426" w:firstLineChars="0"/>
      </w:pPr>
      <w:r>
        <w:rPr>
          <w:rFonts w:hint="eastAsia"/>
        </w:rPr>
        <w:t>指明职工岗位职业的类别以及他们工作时暴露于风险中的任务或活动；</w:t>
      </w:r>
    </w:p>
    <w:p w14:paraId="6927E34B">
      <w:pPr>
        <w:pStyle w:val="174"/>
        <w:numPr>
          <w:ilvl w:val="0"/>
          <w:numId w:val="41"/>
        </w:numPr>
        <w:tabs>
          <w:tab w:val="clear" w:pos="851"/>
        </w:tabs>
        <w:ind w:left="851" w:leftChars="0" w:hanging="426" w:firstLineChars="0"/>
      </w:pPr>
      <w:r>
        <w:rPr>
          <w:rFonts w:hint="eastAsia"/>
        </w:rPr>
        <w:t>因工伤风险事件或长时间暴露导致职业伤害的原因；</w:t>
      </w:r>
    </w:p>
    <w:p w14:paraId="219868A9">
      <w:pPr>
        <w:pStyle w:val="174"/>
        <w:numPr>
          <w:ilvl w:val="0"/>
          <w:numId w:val="41"/>
        </w:numPr>
        <w:tabs>
          <w:tab w:val="clear" w:pos="851"/>
        </w:tabs>
        <w:ind w:left="851" w:leftChars="0" w:hanging="426" w:firstLineChars="0"/>
      </w:pPr>
      <w:r>
        <w:rPr>
          <w:rFonts w:hint="eastAsia"/>
        </w:rPr>
        <w:t>具体操作伤害（后果）的性质和严重程度；</w:t>
      </w:r>
    </w:p>
    <w:p w14:paraId="38900FAD">
      <w:pPr>
        <w:pStyle w:val="174"/>
        <w:numPr>
          <w:ilvl w:val="0"/>
          <w:numId w:val="41"/>
        </w:numPr>
        <w:tabs>
          <w:tab w:val="clear" w:pos="851"/>
        </w:tabs>
        <w:ind w:left="851" w:leftChars="0" w:hanging="426" w:firstLineChars="0"/>
      </w:pPr>
      <w:r>
        <w:rPr>
          <w:rFonts w:hint="eastAsia"/>
        </w:rPr>
        <w:t>现有的保护措施及有效性。</w:t>
      </w:r>
    </w:p>
    <w:p w14:paraId="29FD9E82">
      <w:pPr>
        <w:pStyle w:val="105"/>
        <w:spacing w:before="156" w:after="156"/>
      </w:pPr>
      <w:bookmarkStart w:id="45" w:name="_Toc31557"/>
      <w:r>
        <w:rPr>
          <w:rFonts w:hint="eastAsia"/>
        </w:rPr>
        <w:t>风险评估</w:t>
      </w:r>
      <w:bookmarkEnd w:id="45"/>
    </w:p>
    <w:p w14:paraId="2659572A">
      <w:pPr>
        <w:pStyle w:val="65"/>
        <w:spacing w:before="156" w:after="156"/>
      </w:pPr>
      <w:r>
        <w:rPr>
          <w:rFonts w:hint="eastAsia"/>
        </w:rPr>
        <w:t>风险评估的目标</w:t>
      </w:r>
    </w:p>
    <w:p w14:paraId="35A21F85">
      <w:pPr>
        <w:pStyle w:val="56"/>
        <w:ind w:firstLine="420"/>
      </w:pPr>
      <w:r>
        <w:rPr>
          <w:rFonts w:hint="eastAsia"/>
        </w:rPr>
        <w:t>风险评估的目标是确定哪些危险状态需要进一步减小风险；是否达到所要求的风险防控措施，且没有增加其他风险。</w:t>
      </w:r>
    </w:p>
    <w:p w14:paraId="65289A48">
      <w:pPr>
        <w:pStyle w:val="65"/>
        <w:spacing w:before="156" w:after="156"/>
      </w:pPr>
      <w:r>
        <w:rPr>
          <w:rFonts w:hint="eastAsia"/>
        </w:rPr>
        <w:t>一般要求</w:t>
      </w:r>
    </w:p>
    <w:p w14:paraId="0F0EC4F3">
      <w:pPr>
        <w:pStyle w:val="56"/>
        <w:ind w:firstLine="420"/>
      </w:pPr>
      <w:r>
        <w:rPr>
          <w:rFonts w:hint="eastAsia"/>
        </w:rPr>
        <w:t>风险评估的一般要求：</w:t>
      </w:r>
    </w:p>
    <w:p w14:paraId="2F26E6B4">
      <w:pPr>
        <w:pStyle w:val="56"/>
        <w:numPr>
          <w:ilvl w:val="0"/>
          <w:numId w:val="42"/>
        </w:numPr>
        <w:ind w:firstLine="420"/>
      </w:pPr>
      <w:r>
        <w:rPr>
          <w:rFonts w:hint="eastAsia"/>
        </w:rPr>
        <w:t>对主要工伤风险要素的辨识记录中的伤害严重程度和该严重程度伤害发生的概率的基本特征进行分析；</w:t>
      </w:r>
    </w:p>
    <w:p w14:paraId="1FDFAF80">
      <w:pPr>
        <w:pStyle w:val="56"/>
        <w:numPr>
          <w:ilvl w:val="0"/>
          <w:numId w:val="42"/>
        </w:numPr>
        <w:ind w:left="0" w:leftChars="0" w:firstLine="420" w:firstLineChars="200"/>
      </w:pPr>
      <w:r>
        <w:rPr>
          <w:rFonts w:hint="eastAsia"/>
        </w:rPr>
        <w:t>确定每个工伤危险状态或工伤事故场景的最高风险，并以等级表示被评估风险的大小。</w:t>
      </w:r>
    </w:p>
    <w:p w14:paraId="31704D93">
      <w:pPr>
        <w:pStyle w:val="65"/>
        <w:spacing w:before="156" w:after="156"/>
      </w:pPr>
      <w:r>
        <w:rPr>
          <w:rFonts w:hint="eastAsia"/>
        </w:rPr>
        <w:t>伤害的严重程度</w:t>
      </w:r>
    </w:p>
    <w:p w14:paraId="0B392D01">
      <w:pPr>
        <w:pStyle w:val="65"/>
        <w:numPr>
          <w:ilvl w:val="3"/>
          <w:numId w:val="0"/>
        </w:numPr>
        <w:spacing w:before="156" w:after="156"/>
        <w:ind w:firstLine="420" w:firstLineChars="200"/>
        <w:rPr>
          <w:rFonts w:ascii="宋体" w:hAnsi="宋体" w:eastAsia="宋体" w:cs="宋体"/>
        </w:rPr>
      </w:pPr>
      <w:bookmarkStart w:id="46" w:name="_Toc176862459"/>
      <w:bookmarkStart w:id="47" w:name="_Toc4166"/>
      <w:r>
        <w:rPr>
          <w:rFonts w:hint="eastAsia" w:ascii="宋体" w:hAnsi="宋体" w:eastAsia="宋体" w:cs="宋体"/>
        </w:rPr>
        <w:t>每个危险事件可能造成几种不同严重程度的伤害。评估一系列具有代表性严重程度的风险并考虑能够实际发生的最严重的伤害。</w:t>
      </w:r>
      <w:bookmarkEnd w:id="46"/>
      <w:bookmarkEnd w:id="47"/>
    </w:p>
    <w:p w14:paraId="7F90DAB6">
      <w:pPr>
        <w:pStyle w:val="65"/>
        <w:spacing w:before="156" w:after="156"/>
      </w:pPr>
      <w:r>
        <w:rPr>
          <w:rFonts w:hint="eastAsia"/>
        </w:rPr>
        <w:t>伤害的发生概率</w:t>
      </w:r>
    </w:p>
    <w:p w14:paraId="0A45C478">
      <w:pPr>
        <w:pStyle w:val="65"/>
        <w:numPr>
          <w:ilvl w:val="3"/>
          <w:numId w:val="0"/>
        </w:numPr>
        <w:spacing w:before="156" w:after="156"/>
        <w:ind w:firstLine="420" w:firstLineChars="200"/>
        <w:rPr>
          <w:rFonts w:ascii="宋体" w:hAnsi="宋体" w:eastAsia="宋体" w:cs="宋体"/>
        </w:rPr>
      </w:pPr>
      <w:r>
        <w:rPr>
          <w:rFonts w:hint="eastAsia" w:ascii="宋体" w:hAnsi="宋体" w:eastAsia="宋体" w:cs="宋体"/>
        </w:rPr>
        <w:t>每个危险事件可能造成几种不同严重程度的伤害。评估一系列具有代表性严重程度的风险并考虑能够实际发生的最严重的伤害。</w:t>
      </w:r>
    </w:p>
    <w:p w14:paraId="3FE32B72">
      <w:pPr>
        <w:pStyle w:val="94"/>
        <w:spacing w:before="156" w:after="156"/>
      </w:pPr>
      <w:r>
        <w:rPr>
          <w:rFonts w:hint="eastAsia"/>
        </w:rPr>
        <w:t>事故伤害的发生概率</w:t>
      </w:r>
    </w:p>
    <w:p w14:paraId="70448A01">
      <w:pPr>
        <w:pStyle w:val="56"/>
        <w:ind w:firstLine="420"/>
      </w:pPr>
      <w:r>
        <w:rPr>
          <w:rFonts w:hint="eastAsia"/>
        </w:rPr>
        <w:t>风险评估的所有方法均需要分析事故伤害发生的概率，在分析事故伤害发生概率时应考虑下列情况：</w:t>
      </w:r>
    </w:p>
    <w:p w14:paraId="0669FB96">
      <w:pPr>
        <w:pStyle w:val="174"/>
        <w:numPr>
          <w:ilvl w:val="0"/>
          <w:numId w:val="43"/>
        </w:numPr>
        <w:tabs>
          <w:tab w:val="clear" w:pos="851"/>
        </w:tabs>
        <w:ind w:left="851" w:hanging="426"/>
      </w:pPr>
      <w:r>
        <w:rPr>
          <w:rFonts w:hint="eastAsia"/>
        </w:rPr>
        <w:t>岗位人员在风险中的暴露程度；</w:t>
      </w:r>
    </w:p>
    <w:p w14:paraId="7D789D03">
      <w:pPr>
        <w:pStyle w:val="174"/>
        <w:numPr>
          <w:ilvl w:val="0"/>
          <w:numId w:val="43"/>
        </w:numPr>
        <w:tabs>
          <w:tab w:val="clear" w:pos="851"/>
        </w:tabs>
        <w:ind w:left="851" w:leftChars="0" w:hanging="426" w:firstLineChars="0"/>
      </w:pPr>
      <w:r>
        <w:rPr>
          <w:rFonts w:hint="eastAsia"/>
        </w:rPr>
        <w:t>风险事件发生的概率；</w:t>
      </w:r>
    </w:p>
    <w:p w14:paraId="1A0E80AF">
      <w:pPr>
        <w:pStyle w:val="174"/>
        <w:numPr>
          <w:ilvl w:val="0"/>
          <w:numId w:val="43"/>
        </w:numPr>
        <w:tabs>
          <w:tab w:val="clear" w:pos="851"/>
        </w:tabs>
        <w:kinsoku w:val="0"/>
        <w:autoSpaceDE w:val="0"/>
        <w:autoSpaceDN w:val="0"/>
        <w:snapToGrid w:val="0"/>
        <w:ind w:left="851" w:leftChars="0" w:hanging="426" w:firstLineChars="0"/>
        <w:textAlignment w:val="baseline"/>
      </w:pPr>
      <w:r>
        <w:rPr>
          <w:rFonts w:hint="eastAsia"/>
        </w:rPr>
        <w:t xml:space="preserve">在技术和人员方面规避职业任务带来伤害的可能性。 </w:t>
      </w:r>
    </w:p>
    <w:p w14:paraId="44CCB757">
      <w:pPr>
        <w:pStyle w:val="94"/>
        <w:spacing w:before="156" w:after="156"/>
      </w:pPr>
      <w:r>
        <w:rPr>
          <w:rFonts w:hint="eastAsia"/>
        </w:rPr>
        <w:t>职业病伤害的发生概率</w:t>
      </w:r>
    </w:p>
    <w:p w14:paraId="403FBB11">
      <w:pPr>
        <w:pStyle w:val="56"/>
        <w:ind w:firstLine="420"/>
      </w:pPr>
      <w:r>
        <w:rPr>
          <w:rFonts w:hint="eastAsia"/>
        </w:rPr>
        <w:t>职业病伤害发生的概率取决于风险的累积暴露，累积伤害发生概率的总量由暴露次数、不同的持续时间和相应量组成。</w:t>
      </w:r>
    </w:p>
    <w:p w14:paraId="70BF5C3F">
      <w:pPr>
        <w:pStyle w:val="132"/>
        <w:ind w:left="850" w:hanging="425"/>
      </w:pPr>
      <w:r>
        <w:rPr>
          <w:rFonts w:hint="eastAsia"/>
        </w:rPr>
        <w:t>对于呼吸伤害，总量取决于物质的浓度；</w:t>
      </w:r>
    </w:p>
    <w:p w14:paraId="0FC8FE11">
      <w:pPr>
        <w:pStyle w:val="132"/>
        <w:ind w:left="850" w:hanging="425"/>
      </w:pPr>
      <w:r>
        <w:rPr>
          <w:rFonts w:hint="eastAsia"/>
        </w:rPr>
        <w:t>对于听力损失，总量取决于噪声等级；</w:t>
      </w:r>
    </w:p>
    <w:p w14:paraId="55EE2D7D">
      <w:pPr>
        <w:pStyle w:val="132"/>
        <w:ind w:left="850" w:hanging="425"/>
      </w:pPr>
      <w:r>
        <w:rPr>
          <w:rFonts w:hint="eastAsia"/>
        </w:rPr>
        <w:t>对于重复性劳损，总量取决于有关过劳程度和动作的重复率。</w:t>
      </w:r>
    </w:p>
    <w:p w14:paraId="2FDA7DDA">
      <w:pPr>
        <w:pStyle w:val="104"/>
        <w:spacing w:before="312" w:after="312"/>
      </w:pPr>
      <w:bookmarkStart w:id="48" w:name="_Toc6726"/>
      <w:r>
        <w:rPr>
          <w:rFonts w:hint="eastAsia"/>
        </w:rPr>
        <w:t>风险评估方法</w:t>
      </w:r>
      <w:bookmarkEnd w:id="48"/>
    </w:p>
    <w:p w14:paraId="3B09A02E">
      <w:pPr>
        <w:pStyle w:val="105"/>
        <w:spacing w:before="156" w:after="156"/>
      </w:pPr>
      <w:r>
        <w:rPr>
          <w:rFonts w:hint="eastAsia"/>
        </w:rPr>
        <w:t>常用方法</w:t>
      </w:r>
    </w:p>
    <w:p w14:paraId="0387AD45">
      <w:pPr>
        <w:pStyle w:val="56"/>
        <w:ind w:firstLine="420"/>
      </w:pPr>
      <w:r>
        <w:rPr>
          <w:rFonts w:hint="eastAsia"/>
        </w:rPr>
        <w:t>风险评估常用方法如下：</w:t>
      </w:r>
    </w:p>
    <w:p w14:paraId="45F898C1">
      <w:pPr>
        <w:pStyle w:val="56"/>
        <w:numPr>
          <w:ilvl w:val="0"/>
          <w:numId w:val="44"/>
        </w:numPr>
        <w:ind w:firstLine="420"/>
      </w:pPr>
      <w:r>
        <w:rPr>
          <w:rFonts w:hint="eastAsia"/>
        </w:rPr>
        <w:t>风险矩阵法；</w:t>
      </w:r>
    </w:p>
    <w:p w14:paraId="72CF58EF">
      <w:pPr>
        <w:pStyle w:val="56"/>
        <w:numPr>
          <w:ilvl w:val="0"/>
          <w:numId w:val="44"/>
        </w:numPr>
        <w:ind w:left="0" w:leftChars="0" w:firstLine="420" w:firstLineChars="200"/>
      </w:pPr>
      <w:r>
        <w:rPr>
          <w:rFonts w:hint="eastAsia"/>
        </w:rPr>
        <w:t>风险图法；</w:t>
      </w:r>
    </w:p>
    <w:p w14:paraId="0BEE877B">
      <w:pPr>
        <w:pStyle w:val="56"/>
        <w:numPr>
          <w:ilvl w:val="0"/>
          <w:numId w:val="44"/>
        </w:numPr>
        <w:ind w:left="0" w:leftChars="0" w:firstLine="420" w:firstLineChars="200"/>
      </w:pPr>
      <w:r>
        <w:rPr>
          <w:rFonts w:hint="eastAsia"/>
        </w:rPr>
        <w:t>数值评分法；</w:t>
      </w:r>
    </w:p>
    <w:p w14:paraId="5320AA88">
      <w:pPr>
        <w:pStyle w:val="56"/>
        <w:numPr>
          <w:ilvl w:val="0"/>
          <w:numId w:val="44"/>
        </w:numPr>
        <w:ind w:left="0" w:leftChars="0" w:firstLine="420" w:firstLineChars="200"/>
      </w:pPr>
      <w:r>
        <w:rPr>
          <w:rFonts w:hint="eastAsia"/>
        </w:rPr>
        <w:t>混合型工具。</w:t>
      </w:r>
    </w:p>
    <w:p w14:paraId="3B666F31">
      <w:pPr>
        <w:pStyle w:val="56"/>
        <w:ind w:firstLine="420"/>
      </w:pPr>
      <w:r>
        <w:rPr>
          <w:rFonts w:hint="eastAsia"/>
        </w:rPr>
        <w:t>依据GB/T 15706-2012中5.5.2描述，对于特定的风险评估方法，每个参数应选择一个最符合危险状态和（或）危险事件（即事故场合）的等级。然后用简单的算术、表格、曲线或图表把所选的等级综合起来估计风险。</w:t>
      </w:r>
    </w:p>
    <w:p w14:paraId="4B15352C">
      <w:pPr>
        <w:pStyle w:val="105"/>
        <w:spacing w:before="156" w:after="156"/>
      </w:pPr>
      <w:bookmarkStart w:id="49" w:name="_Toc17066"/>
      <w:r>
        <w:rPr>
          <w:rFonts w:hint="eastAsia"/>
        </w:rPr>
        <w:t>风险矩阵法</w:t>
      </w:r>
      <w:bookmarkEnd w:id="49"/>
    </w:p>
    <w:p w14:paraId="341C0775">
      <w:pPr>
        <w:pStyle w:val="65"/>
        <w:spacing w:before="156" w:after="156"/>
      </w:pPr>
      <w:r>
        <w:rPr>
          <w:rFonts w:hint="eastAsia"/>
        </w:rPr>
        <w:t>概述</w:t>
      </w:r>
    </w:p>
    <w:p w14:paraId="50ACE328">
      <w:pPr>
        <w:pStyle w:val="56"/>
        <w:ind w:firstLine="420"/>
      </w:pPr>
      <w:r>
        <w:rPr>
          <w:rFonts w:hint="eastAsia"/>
        </w:rPr>
        <w:t>风险矩阵分析法常用于进行风险估算，此分析法是将决定危险事件风险的两种因素，即危险事件的严重性和危险事件发生的可能性，按其特点相对地划分等级，形成一种风险评价矩阵，并赋以一定的加权值定性衡量风险的大小。</w:t>
      </w:r>
    </w:p>
    <w:p w14:paraId="6DD6B7BC">
      <w:pPr>
        <w:pStyle w:val="56"/>
        <w:ind w:firstLine="420"/>
      </w:pPr>
      <w:r>
        <w:rPr>
          <w:rFonts w:hint="eastAsia"/>
        </w:rPr>
        <w:t>风险矩阵是一个多维表格，该表能够把各等级的伤害严重程度与所有等级的伤害发生概率进行综合。较常用的矩阵是二维的，但也可能达到四维。</w:t>
      </w:r>
    </w:p>
    <w:p w14:paraId="45F718BA">
      <w:pPr>
        <w:pStyle w:val="56"/>
        <w:ind w:firstLine="420"/>
      </w:pPr>
      <w:r>
        <w:rPr>
          <w:rFonts w:hint="eastAsia"/>
        </w:rPr>
        <w:t>对于每个已被识别的危险状态，根据规定的定义为每个参数选择一个等级。对应每个选择等级的矩阵行和列的交叉单元的内容，给出了被识别危险状态的风险等级。该估计可以表示成一个指标，或表示成定性的术语，如“低”“中”“高”或其他类似的术语。</w:t>
      </w:r>
    </w:p>
    <w:p w14:paraId="0051A780">
      <w:pPr>
        <w:pStyle w:val="174"/>
        <w:numPr>
          <w:ilvl w:val="0"/>
          <w:numId w:val="0"/>
        </w:numPr>
        <w:tabs>
          <w:tab w:val="clear" w:pos="851"/>
        </w:tabs>
        <w:ind w:left="425"/>
      </w:pPr>
      <w:r>
        <w:rPr>
          <w:rFonts w:hint="eastAsia"/>
        </w:rPr>
        <w:t>用于估计风险的矩阵有许多， 7.2.2中只列举出了其中一种风险矩阵方法。</w:t>
      </w:r>
    </w:p>
    <w:p w14:paraId="396D2566">
      <w:pPr>
        <w:pStyle w:val="65"/>
        <w:spacing w:before="156" w:after="156"/>
      </w:pPr>
      <w:r>
        <w:rPr>
          <w:rFonts w:hint="eastAsia"/>
        </w:rPr>
        <w:t>风险矩阵评估方法</w:t>
      </w:r>
    </w:p>
    <w:p w14:paraId="53E0FD96">
      <w:pPr>
        <w:pStyle w:val="56"/>
        <w:ind w:firstLine="420"/>
      </w:pPr>
      <w:r>
        <w:rPr>
          <w:rFonts w:hint="eastAsia"/>
        </w:rPr>
        <w:t>风险矩阵分析法常用于进行风险估算，此分析法是将决定危险事件风险的两种因素，即危险事件的严重性和危险事件发生的可能性，按其特点相对地划分等级，形成一种风险评价矩阵，并赋以一定的加权值定性衡量风险的大小。</w:t>
      </w:r>
    </w:p>
    <w:p w14:paraId="2DC7ED7B">
      <w:pPr>
        <w:pStyle w:val="94"/>
        <w:spacing w:before="156" w:after="156"/>
      </w:pPr>
      <w:r>
        <w:rPr>
          <w:rFonts w:hint="eastAsia"/>
        </w:rPr>
        <w:t>事故伤害的发生概率</w:t>
      </w:r>
    </w:p>
    <w:p w14:paraId="2936A788">
      <w:pPr>
        <w:pStyle w:val="56"/>
        <w:ind w:firstLine="420"/>
        <w:rPr>
          <w:rFonts w:ascii="黑体" w:hAnsi="黑体" w:eastAsia="黑体" w:cs="黑体"/>
          <w:spacing w:val="-3"/>
          <w:szCs w:val="21"/>
        </w:rPr>
      </w:pPr>
      <w:r>
        <w:rPr>
          <w:rFonts w:hint="eastAsia"/>
        </w:rPr>
        <w:t>针对每个风险因素，不同的风险矩阵选择了不同的等级。如表1风险估计矩阵示例，伤害发生的概率就有四级，级的范围通常为三到十级，最常见的是四级或五级。</w:t>
      </w:r>
    </w:p>
    <w:p w14:paraId="5E509906">
      <w:pPr>
        <w:pStyle w:val="112"/>
        <w:spacing w:before="156" w:after="156"/>
      </w:pPr>
      <w:r>
        <w:rPr>
          <w:rFonts w:hint="eastAsia"/>
        </w:rPr>
        <w:t>风险估计矩阵</w:t>
      </w:r>
    </w:p>
    <w:tbl>
      <w:tblPr>
        <w:tblStyle w:val="231"/>
        <w:tblW w:w="913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3"/>
        <w:gridCol w:w="1784"/>
        <w:gridCol w:w="1784"/>
        <w:gridCol w:w="1802"/>
        <w:gridCol w:w="1976"/>
      </w:tblGrid>
      <w:tr w14:paraId="63DD5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793" w:type="dxa"/>
            <w:vMerge w:val="restart"/>
            <w:tcBorders>
              <w:top w:val="single" w:color="000000" w:sz="8" w:space="0"/>
              <w:left w:val="single" w:color="000000" w:sz="8" w:space="0"/>
              <w:bottom w:val="single" w:color="000000" w:sz="4" w:space="0"/>
              <w:right w:val="single" w:color="000000" w:sz="8" w:space="0"/>
            </w:tcBorders>
            <w:vAlign w:val="center"/>
          </w:tcPr>
          <w:p w14:paraId="5BC74C13">
            <w:pPr>
              <w:pStyle w:val="178"/>
            </w:pPr>
            <w:r>
              <w:rPr>
                <w:rFonts w:hint="eastAsia"/>
              </w:rPr>
              <w:t>伤害发生的概率</w:t>
            </w:r>
          </w:p>
        </w:tc>
        <w:tc>
          <w:tcPr>
            <w:tcW w:w="7346" w:type="dxa"/>
            <w:gridSpan w:val="4"/>
            <w:tcBorders>
              <w:top w:val="single" w:color="000000" w:sz="8" w:space="0"/>
              <w:left w:val="single" w:color="000000" w:sz="8" w:space="0"/>
              <w:bottom w:val="single" w:color="000000" w:sz="4" w:space="0"/>
              <w:right w:val="single" w:color="000000" w:sz="8" w:space="0"/>
            </w:tcBorders>
            <w:vAlign w:val="center"/>
          </w:tcPr>
          <w:p w14:paraId="4201056B">
            <w:pPr>
              <w:pStyle w:val="178"/>
            </w:pPr>
            <w:r>
              <w:rPr>
                <w:rFonts w:hint="eastAsia"/>
              </w:rPr>
              <w:t>伤害的严重程度</w:t>
            </w:r>
          </w:p>
        </w:tc>
      </w:tr>
      <w:tr w14:paraId="70593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793" w:type="dxa"/>
            <w:vMerge w:val="continue"/>
            <w:tcBorders>
              <w:top w:val="single" w:color="000000" w:sz="4" w:space="0"/>
              <w:left w:val="single" w:color="000000" w:sz="8" w:space="0"/>
              <w:bottom w:val="single" w:color="000000" w:sz="8" w:space="0"/>
              <w:right w:val="single" w:color="000000" w:sz="8" w:space="0"/>
            </w:tcBorders>
            <w:vAlign w:val="center"/>
          </w:tcPr>
          <w:p w14:paraId="4A366E1E">
            <w:pPr>
              <w:pStyle w:val="178"/>
            </w:pPr>
          </w:p>
        </w:tc>
        <w:tc>
          <w:tcPr>
            <w:tcW w:w="1784" w:type="dxa"/>
            <w:tcBorders>
              <w:top w:val="single" w:color="000000" w:sz="4" w:space="0"/>
              <w:left w:val="single" w:color="000000" w:sz="8" w:space="0"/>
              <w:bottom w:val="single" w:color="000000" w:sz="8" w:space="0"/>
            </w:tcBorders>
            <w:vAlign w:val="center"/>
          </w:tcPr>
          <w:p w14:paraId="4F97A741">
            <w:pPr>
              <w:pStyle w:val="178"/>
            </w:pPr>
            <w:r>
              <w:rPr>
                <w:rFonts w:hint="eastAsia"/>
              </w:rPr>
              <w:t>灾难性的</w:t>
            </w:r>
          </w:p>
        </w:tc>
        <w:tc>
          <w:tcPr>
            <w:tcW w:w="1784" w:type="dxa"/>
            <w:tcBorders>
              <w:top w:val="single" w:color="000000" w:sz="4" w:space="0"/>
              <w:bottom w:val="single" w:color="000000" w:sz="8" w:space="0"/>
            </w:tcBorders>
            <w:vAlign w:val="center"/>
          </w:tcPr>
          <w:p w14:paraId="00FF3C8B">
            <w:pPr>
              <w:pStyle w:val="178"/>
            </w:pPr>
            <w:r>
              <w:rPr>
                <w:rFonts w:hint="eastAsia"/>
              </w:rPr>
              <w:t>严重的</w:t>
            </w:r>
          </w:p>
        </w:tc>
        <w:tc>
          <w:tcPr>
            <w:tcW w:w="1802" w:type="dxa"/>
            <w:tcBorders>
              <w:top w:val="single" w:color="000000" w:sz="4" w:space="0"/>
              <w:bottom w:val="single" w:color="000000" w:sz="8" w:space="0"/>
            </w:tcBorders>
            <w:vAlign w:val="center"/>
          </w:tcPr>
          <w:p w14:paraId="53CD020F">
            <w:pPr>
              <w:pStyle w:val="178"/>
            </w:pPr>
            <w:r>
              <w:rPr>
                <w:rFonts w:hint="eastAsia"/>
              </w:rPr>
              <w:t>中等的</w:t>
            </w:r>
          </w:p>
        </w:tc>
        <w:tc>
          <w:tcPr>
            <w:tcW w:w="1976" w:type="dxa"/>
            <w:tcBorders>
              <w:top w:val="single" w:color="000000" w:sz="4" w:space="0"/>
              <w:bottom w:val="single" w:color="000000" w:sz="8" w:space="0"/>
              <w:right w:val="single" w:color="000000" w:sz="8" w:space="0"/>
            </w:tcBorders>
            <w:vAlign w:val="center"/>
          </w:tcPr>
          <w:p w14:paraId="0A485605">
            <w:pPr>
              <w:pStyle w:val="178"/>
            </w:pPr>
            <w:r>
              <w:rPr>
                <w:rFonts w:hint="eastAsia"/>
              </w:rPr>
              <w:t>轻微的</w:t>
            </w:r>
          </w:p>
        </w:tc>
      </w:tr>
      <w:tr w14:paraId="6458E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793" w:type="dxa"/>
            <w:tcBorders>
              <w:top w:val="single" w:color="000000" w:sz="8" w:space="0"/>
              <w:left w:val="single" w:color="000000" w:sz="8" w:space="0"/>
              <w:bottom w:val="single" w:color="000000" w:sz="4" w:space="0"/>
              <w:right w:val="single" w:color="000000" w:sz="8" w:space="0"/>
            </w:tcBorders>
            <w:vAlign w:val="center"/>
          </w:tcPr>
          <w:p w14:paraId="3BCB86F5">
            <w:pPr>
              <w:pStyle w:val="178"/>
            </w:pPr>
            <w:r>
              <w:rPr>
                <w:rFonts w:hint="eastAsia"/>
              </w:rPr>
              <w:t>非常可能</w:t>
            </w:r>
          </w:p>
        </w:tc>
        <w:tc>
          <w:tcPr>
            <w:tcW w:w="1784" w:type="dxa"/>
            <w:tcBorders>
              <w:top w:val="single" w:color="000000" w:sz="8" w:space="0"/>
              <w:left w:val="single" w:color="000000" w:sz="8" w:space="0"/>
              <w:bottom w:val="single" w:color="000000" w:sz="4" w:space="0"/>
            </w:tcBorders>
            <w:vAlign w:val="center"/>
          </w:tcPr>
          <w:p w14:paraId="44455D57">
            <w:pPr>
              <w:pStyle w:val="178"/>
            </w:pPr>
            <w:r>
              <w:rPr>
                <w:rFonts w:hint="eastAsia"/>
              </w:rPr>
              <w:t>高</w:t>
            </w:r>
          </w:p>
        </w:tc>
        <w:tc>
          <w:tcPr>
            <w:tcW w:w="1784" w:type="dxa"/>
            <w:tcBorders>
              <w:top w:val="single" w:color="000000" w:sz="8" w:space="0"/>
              <w:bottom w:val="single" w:color="000000" w:sz="4" w:space="0"/>
            </w:tcBorders>
            <w:vAlign w:val="center"/>
          </w:tcPr>
          <w:p w14:paraId="6F473DFA">
            <w:pPr>
              <w:pStyle w:val="178"/>
            </w:pPr>
            <w:r>
              <w:rPr>
                <w:rFonts w:hint="eastAsia"/>
              </w:rPr>
              <w:t>高</w:t>
            </w:r>
          </w:p>
        </w:tc>
        <w:tc>
          <w:tcPr>
            <w:tcW w:w="1802" w:type="dxa"/>
            <w:tcBorders>
              <w:top w:val="single" w:color="000000" w:sz="8" w:space="0"/>
              <w:bottom w:val="single" w:color="000000" w:sz="4" w:space="0"/>
            </w:tcBorders>
            <w:vAlign w:val="center"/>
          </w:tcPr>
          <w:p w14:paraId="77D97CAC">
            <w:pPr>
              <w:pStyle w:val="178"/>
            </w:pPr>
            <w:r>
              <w:rPr>
                <w:rFonts w:hint="eastAsia"/>
              </w:rPr>
              <w:t>高</w:t>
            </w:r>
          </w:p>
        </w:tc>
        <w:tc>
          <w:tcPr>
            <w:tcW w:w="1976" w:type="dxa"/>
            <w:tcBorders>
              <w:top w:val="single" w:color="000000" w:sz="8" w:space="0"/>
              <w:bottom w:val="single" w:color="000000" w:sz="4" w:space="0"/>
              <w:right w:val="single" w:color="000000" w:sz="8" w:space="0"/>
            </w:tcBorders>
            <w:vAlign w:val="center"/>
          </w:tcPr>
          <w:p w14:paraId="35DCBCC5">
            <w:pPr>
              <w:pStyle w:val="178"/>
            </w:pPr>
            <w:r>
              <w:rPr>
                <w:rFonts w:hint="eastAsia"/>
              </w:rPr>
              <w:t>中</w:t>
            </w:r>
          </w:p>
        </w:tc>
      </w:tr>
      <w:tr w14:paraId="37620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793" w:type="dxa"/>
            <w:tcBorders>
              <w:top w:val="single" w:color="000000" w:sz="4" w:space="0"/>
              <w:left w:val="single" w:color="000000" w:sz="8" w:space="0"/>
              <w:bottom w:val="single" w:color="000000" w:sz="4" w:space="0"/>
              <w:right w:val="single" w:color="000000" w:sz="8" w:space="0"/>
            </w:tcBorders>
            <w:vAlign w:val="center"/>
          </w:tcPr>
          <w:p w14:paraId="394ECDF3">
            <w:pPr>
              <w:pStyle w:val="178"/>
            </w:pPr>
            <w:r>
              <w:rPr>
                <w:rFonts w:hint="eastAsia"/>
              </w:rPr>
              <w:t>可能</w:t>
            </w:r>
          </w:p>
        </w:tc>
        <w:tc>
          <w:tcPr>
            <w:tcW w:w="1784" w:type="dxa"/>
            <w:tcBorders>
              <w:top w:val="single" w:color="000000" w:sz="4" w:space="0"/>
              <w:left w:val="single" w:color="000000" w:sz="8" w:space="0"/>
              <w:bottom w:val="single" w:color="000000" w:sz="4" w:space="0"/>
            </w:tcBorders>
            <w:vAlign w:val="center"/>
          </w:tcPr>
          <w:p w14:paraId="3C0B83E9">
            <w:pPr>
              <w:pStyle w:val="178"/>
            </w:pPr>
            <w:r>
              <w:rPr>
                <w:rFonts w:hint="eastAsia"/>
              </w:rPr>
              <w:t>高</w:t>
            </w:r>
          </w:p>
        </w:tc>
        <w:tc>
          <w:tcPr>
            <w:tcW w:w="1784" w:type="dxa"/>
            <w:tcBorders>
              <w:top w:val="single" w:color="000000" w:sz="4" w:space="0"/>
              <w:bottom w:val="single" w:color="000000" w:sz="4" w:space="0"/>
            </w:tcBorders>
            <w:vAlign w:val="center"/>
          </w:tcPr>
          <w:p w14:paraId="199103D8">
            <w:pPr>
              <w:pStyle w:val="178"/>
            </w:pPr>
            <w:r>
              <w:rPr>
                <w:rFonts w:hint="eastAsia"/>
              </w:rPr>
              <w:t>高</w:t>
            </w:r>
          </w:p>
        </w:tc>
        <w:tc>
          <w:tcPr>
            <w:tcW w:w="1802" w:type="dxa"/>
            <w:tcBorders>
              <w:top w:val="single" w:color="000000" w:sz="4" w:space="0"/>
              <w:bottom w:val="single" w:color="000000" w:sz="4" w:space="0"/>
            </w:tcBorders>
            <w:vAlign w:val="center"/>
          </w:tcPr>
          <w:p w14:paraId="6F89CEA4">
            <w:pPr>
              <w:pStyle w:val="178"/>
            </w:pPr>
            <w:r>
              <w:rPr>
                <w:rFonts w:hint="eastAsia"/>
              </w:rPr>
              <w:t>中</w:t>
            </w:r>
          </w:p>
        </w:tc>
        <w:tc>
          <w:tcPr>
            <w:tcW w:w="1976" w:type="dxa"/>
            <w:tcBorders>
              <w:top w:val="single" w:color="000000" w:sz="4" w:space="0"/>
              <w:bottom w:val="single" w:color="000000" w:sz="4" w:space="0"/>
              <w:right w:val="single" w:color="000000" w:sz="8" w:space="0"/>
            </w:tcBorders>
            <w:vAlign w:val="center"/>
          </w:tcPr>
          <w:p w14:paraId="44D9A034">
            <w:pPr>
              <w:pStyle w:val="178"/>
            </w:pPr>
            <w:r>
              <w:rPr>
                <w:rFonts w:hint="eastAsia"/>
              </w:rPr>
              <w:t>低</w:t>
            </w:r>
          </w:p>
        </w:tc>
      </w:tr>
      <w:tr w14:paraId="3D925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793" w:type="dxa"/>
            <w:tcBorders>
              <w:top w:val="single" w:color="000000" w:sz="4" w:space="0"/>
              <w:left w:val="single" w:color="000000" w:sz="8" w:space="0"/>
              <w:bottom w:val="single" w:color="000000" w:sz="4" w:space="0"/>
              <w:right w:val="single" w:color="000000" w:sz="8" w:space="0"/>
            </w:tcBorders>
            <w:vAlign w:val="center"/>
          </w:tcPr>
          <w:p w14:paraId="5B554CB9">
            <w:pPr>
              <w:pStyle w:val="178"/>
            </w:pPr>
            <w:r>
              <w:rPr>
                <w:rFonts w:hint="eastAsia"/>
              </w:rPr>
              <w:t>不太可能</w:t>
            </w:r>
          </w:p>
        </w:tc>
        <w:tc>
          <w:tcPr>
            <w:tcW w:w="1784" w:type="dxa"/>
            <w:tcBorders>
              <w:top w:val="single" w:color="000000" w:sz="4" w:space="0"/>
              <w:left w:val="single" w:color="000000" w:sz="8" w:space="0"/>
              <w:bottom w:val="single" w:color="000000" w:sz="4" w:space="0"/>
            </w:tcBorders>
            <w:vAlign w:val="center"/>
          </w:tcPr>
          <w:p w14:paraId="7775B9FE">
            <w:pPr>
              <w:pStyle w:val="178"/>
            </w:pPr>
            <w:r>
              <w:rPr>
                <w:rFonts w:hint="eastAsia"/>
              </w:rPr>
              <w:t>中</w:t>
            </w:r>
          </w:p>
        </w:tc>
        <w:tc>
          <w:tcPr>
            <w:tcW w:w="1784" w:type="dxa"/>
            <w:tcBorders>
              <w:top w:val="single" w:color="000000" w:sz="4" w:space="0"/>
              <w:bottom w:val="single" w:color="000000" w:sz="4" w:space="0"/>
            </w:tcBorders>
            <w:vAlign w:val="center"/>
          </w:tcPr>
          <w:p w14:paraId="0A8930EC">
            <w:pPr>
              <w:pStyle w:val="178"/>
            </w:pPr>
            <w:r>
              <w:rPr>
                <w:rFonts w:hint="eastAsia"/>
              </w:rPr>
              <w:t>中</w:t>
            </w:r>
          </w:p>
        </w:tc>
        <w:tc>
          <w:tcPr>
            <w:tcW w:w="1802" w:type="dxa"/>
            <w:tcBorders>
              <w:top w:val="single" w:color="000000" w:sz="4" w:space="0"/>
              <w:bottom w:val="single" w:color="000000" w:sz="4" w:space="0"/>
            </w:tcBorders>
            <w:vAlign w:val="center"/>
          </w:tcPr>
          <w:p w14:paraId="52173D6F">
            <w:pPr>
              <w:pStyle w:val="178"/>
            </w:pPr>
            <w:r>
              <w:rPr>
                <w:rFonts w:hint="eastAsia"/>
              </w:rPr>
              <w:t>低</w:t>
            </w:r>
          </w:p>
        </w:tc>
        <w:tc>
          <w:tcPr>
            <w:tcW w:w="1976" w:type="dxa"/>
            <w:tcBorders>
              <w:top w:val="single" w:color="000000" w:sz="4" w:space="0"/>
              <w:bottom w:val="single" w:color="000000" w:sz="4" w:space="0"/>
              <w:right w:val="single" w:color="000000" w:sz="8" w:space="0"/>
            </w:tcBorders>
            <w:vAlign w:val="center"/>
          </w:tcPr>
          <w:p w14:paraId="411BF86E">
            <w:pPr>
              <w:pStyle w:val="178"/>
            </w:pPr>
            <w:r>
              <w:rPr>
                <w:rFonts w:hint="eastAsia"/>
              </w:rPr>
              <w:t>可忽略</w:t>
            </w:r>
          </w:p>
        </w:tc>
      </w:tr>
      <w:tr w14:paraId="0A135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793" w:type="dxa"/>
            <w:tcBorders>
              <w:top w:val="single" w:color="000000" w:sz="4" w:space="0"/>
              <w:left w:val="single" w:color="000000" w:sz="8" w:space="0"/>
              <w:bottom w:val="single" w:color="000000" w:sz="8" w:space="0"/>
              <w:right w:val="single" w:color="000000" w:sz="8" w:space="0"/>
            </w:tcBorders>
            <w:vAlign w:val="center"/>
          </w:tcPr>
          <w:p w14:paraId="78EF14F3">
            <w:pPr>
              <w:pStyle w:val="178"/>
            </w:pPr>
            <w:r>
              <w:rPr>
                <w:rFonts w:hint="eastAsia"/>
              </w:rPr>
              <w:t>几乎不可能</w:t>
            </w:r>
          </w:p>
        </w:tc>
        <w:tc>
          <w:tcPr>
            <w:tcW w:w="1784" w:type="dxa"/>
            <w:tcBorders>
              <w:top w:val="single" w:color="000000" w:sz="4" w:space="0"/>
              <w:left w:val="single" w:color="000000" w:sz="8" w:space="0"/>
              <w:bottom w:val="single" w:color="000000" w:sz="8" w:space="0"/>
            </w:tcBorders>
            <w:vAlign w:val="center"/>
          </w:tcPr>
          <w:p w14:paraId="6F4DFF79">
            <w:pPr>
              <w:pStyle w:val="178"/>
            </w:pPr>
            <w:r>
              <w:rPr>
                <w:rFonts w:hint="eastAsia"/>
              </w:rPr>
              <w:t>低</w:t>
            </w:r>
          </w:p>
        </w:tc>
        <w:tc>
          <w:tcPr>
            <w:tcW w:w="1784" w:type="dxa"/>
            <w:tcBorders>
              <w:top w:val="single" w:color="000000" w:sz="4" w:space="0"/>
              <w:bottom w:val="single" w:color="000000" w:sz="8" w:space="0"/>
            </w:tcBorders>
            <w:vAlign w:val="center"/>
          </w:tcPr>
          <w:p w14:paraId="37576025">
            <w:pPr>
              <w:pStyle w:val="178"/>
            </w:pPr>
            <w:r>
              <w:rPr>
                <w:rFonts w:hint="eastAsia"/>
              </w:rPr>
              <w:t>低</w:t>
            </w:r>
          </w:p>
        </w:tc>
        <w:tc>
          <w:tcPr>
            <w:tcW w:w="1802" w:type="dxa"/>
            <w:tcBorders>
              <w:top w:val="single" w:color="000000" w:sz="4" w:space="0"/>
              <w:bottom w:val="single" w:color="000000" w:sz="8" w:space="0"/>
            </w:tcBorders>
            <w:vAlign w:val="center"/>
          </w:tcPr>
          <w:p w14:paraId="423A74EC">
            <w:pPr>
              <w:pStyle w:val="178"/>
            </w:pPr>
            <w:r>
              <w:rPr>
                <w:rFonts w:hint="eastAsia"/>
              </w:rPr>
              <w:t>可忽略</w:t>
            </w:r>
          </w:p>
        </w:tc>
        <w:tc>
          <w:tcPr>
            <w:tcW w:w="1976" w:type="dxa"/>
            <w:tcBorders>
              <w:top w:val="single" w:color="000000" w:sz="4" w:space="0"/>
              <w:bottom w:val="single" w:color="000000" w:sz="8" w:space="0"/>
              <w:right w:val="single" w:color="000000" w:sz="8" w:space="0"/>
            </w:tcBorders>
            <w:vAlign w:val="center"/>
          </w:tcPr>
          <w:p w14:paraId="08B5DD5A">
            <w:pPr>
              <w:pStyle w:val="178"/>
            </w:pPr>
            <w:r>
              <w:rPr>
                <w:rFonts w:hint="eastAsia"/>
              </w:rPr>
              <w:t>可忽略</w:t>
            </w:r>
          </w:p>
        </w:tc>
      </w:tr>
    </w:tbl>
    <w:p w14:paraId="7DFB1791">
      <w:pPr>
        <w:pStyle w:val="174"/>
        <w:numPr>
          <w:ilvl w:val="0"/>
          <w:numId w:val="0"/>
        </w:numPr>
        <w:tabs>
          <w:tab w:val="clear" w:pos="851"/>
        </w:tabs>
        <w:kinsoku w:val="0"/>
        <w:autoSpaceDE w:val="0"/>
        <w:autoSpaceDN w:val="0"/>
        <w:snapToGrid w:val="0"/>
        <w:textAlignment w:val="baseline"/>
      </w:pPr>
      <w:r>
        <w:rPr>
          <w:rFonts w:hint="eastAsia"/>
        </w:rPr>
        <w:t xml:space="preserve"> </w:t>
      </w:r>
    </w:p>
    <w:p w14:paraId="6B49011C">
      <w:pPr>
        <w:pStyle w:val="94"/>
        <w:spacing w:before="156" w:after="156"/>
      </w:pPr>
      <w:r>
        <w:rPr>
          <w:rFonts w:hint="eastAsia"/>
        </w:rPr>
        <w:t>严重程度的估计</w:t>
      </w:r>
    </w:p>
    <w:p w14:paraId="70DF6A92">
      <w:pPr>
        <w:pStyle w:val="56"/>
        <w:ind w:firstLine="420"/>
      </w:pPr>
      <w:r>
        <w:rPr>
          <w:rFonts w:hint="eastAsia"/>
        </w:rPr>
        <w:t>对于每个危险或危险状态（任务），应估计其可能引起的伤害或后果的严重程度。历史数据作为基 础资料可能具有很大价值。当人体受伤或健康受到损害时经常要估计严重程度。</w:t>
      </w:r>
    </w:p>
    <w:p w14:paraId="6C47D14E">
      <w:pPr>
        <w:pStyle w:val="56"/>
        <w:ind w:firstLine="420"/>
      </w:pPr>
      <w:r>
        <w:rPr>
          <w:rFonts w:hint="eastAsia"/>
        </w:rPr>
        <w:t xml:space="preserve">可以用所选择的风险矩阵来完成对严重程度的估计。示例，表1中的严重程度等级如下： </w:t>
      </w:r>
    </w:p>
    <w:p w14:paraId="50260982">
      <w:pPr>
        <w:pStyle w:val="132"/>
      </w:pPr>
      <w:r>
        <w:rPr>
          <w:rFonts w:hint="eastAsia"/>
        </w:rPr>
        <w:t>灾难性的：导致死亡或永久残疾的伤害或疾病（不能返回工作岗位）；</w:t>
      </w:r>
    </w:p>
    <w:p w14:paraId="787C7E05">
      <w:pPr>
        <w:pStyle w:val="132"/>
      </w:pPr>
      <w:r>
        <w:rPr>
          <w:rFonts w:hint="eastAsia"/>
        </w:rPr>
        <w:t>严重的：导致人体严重虚弱的伤害或疾病（可能返回到某些岗位工作）；</w:t>
      </w:r>
    </w:p>
    <w:p w14:paraId="1F6D9864">
      <w:pPr>
        <w:pStyle w:val="132"/>
      </w:pPr>
      <w:r>
        <w:rPr>
          <w:rFonts w:hint="eastAsia"/>
        </w:rPr>
        <w:t>中等的：要求救护的显著伤害或疾病（能够回到相同岗位上工作）；</w:t>
      </w:r>
    </w:p>
    <w:p w14:paraId="03AC014F">
      <w:pPr>
        <w:pStyle w:val="132"/>
      </w:pPr>
      <w:r>
        <w:rPr>
          <w:rFonts w:hint="eastAsia"/>
        </w:rPr>
        <w:t>轻微的：至多需要急救的轻伤或没有受伤（很少或几乎没有损失工作时间）。</w:t>
      </w:r>
    </w:p>
    <w:p w14:paraId="54BED07F">
      <w:pPr>
        <w:pStyle w:val="56"/>
        <w:ind w:firstLine="420"/>
        <w:rPr>
          <w:rFonts w:ascii="黑体" w:eastAsia="黑体"/>
        </w:rPr>
      </w:pPr>
      <w:r>
        <w:rPr>
          <w:rFonts w:hint="eastAsia"/>
        </w:rPr>
        <w:t>估计严重程度通常关注的是实际能够发生的最严重的伤害（最可信的），而不是最糟糕的可能后果。</w:t>
      </w:r>
    </w:p>
    <w:p w14:paraId="11A12F17">
      <w:pPr>
        <w:pStyle w:val="94"/>
        <w:spacing w:before="156" w:after="156"/>
      </w:pPr>
      <w:r>
        <w:rPr>
          <w:rFonts w:hint="eastAsia"/>
        </w:rPr>
        <w:t>伤害发生概率的估计</w:t>
      </w:r>
    </w:p>
    <w:p w14:paraId="1B50CA85">
      <w:pPr>
        <w:pStyle w:val="56"/>
        <w:ind w:firstLine="420"/>
      </w:pPr>
      <w:r>
        <w:rPr>
          <w:rFonts w:hint="eastAsia"/>
        </w:rPr>
        <w:t>对于每个危险或危险状态（任务），都应估计伤害发生的概率。除非经验数据有效（这种情况很少）， 而选择事故发生概率的过程也是凭主观意念的。基于这个原因，应采取具有相关专业知识的研究人员进行概率分析。</w:t>
      </w:r>
    </w:p>
    <w:p w14:paraId="69C33C8A">
      <w:pPr>
        <w:pStyle w:val="56"/>
        <w:ind w:firstLine="420"/>
      </w:pPr>
      <w:r>
        <w:rPr>
          <w:rFonts w:hint="eastAsia"/>
        </w:rPr>
        <w:t>估计伤害发生的概率基本包括：</w:t>
      </w:r>
    </w:p>
    <w:p w14:paraId="156A59A9">
      <w:pPr>
        <w:pStyle w:val="174"/>
        <w:numPr>
          <w:ilvl w:val="0"/>
          <w:numId w:val="45"/>
        </w:numPr>
        <w:tabs>
          <w:tab w:val="clear" w:pos="851"/>
        </w:tabs>
        <w:ind w:left="851" w:hanging="426"/>
      </w:pPr>
      <w:r>
        <w:rPr>
          <w:rFonts w:hint="eastAsia"/>
        </w:rPr>
        <w:t>暴露于危险的频次和持续时间；</w:t>
      </w:r>
    </w:p>
    <w:p w14:paraId="7CC9DC15">
      <w:pPr>
        <w:pStyle w:val="174"/>
        <w:numPr>
          <w:ilvl w:val="0"/>
          <w:numId w:val="45"/>
        </w:numPr>
        <w:tabs>
          <w:tab w:val="clear" w:pos="851"/>
        </w:tabs>
        <w:ind w:left="851" w:leftChars="0" w:hanging="426" w:firstLineChars="0"/>
      </w:pPr>
      <w:r>
        <w:rPr>
          <w:rFonts w:hint="eastAsia"/>
        </w:rPr>
        <w:t>暴露人数；</w:t>
      </w:r>
    </w:p>
    <w:p w14:paraId="4BDFD8D4">
      <w:pPr>
        <w:pStyle w:val="174"/>
        <w:numPr>
          <w:ilvl w:val="0"/>
          <w:numId w:val="45"/>
        </w:numPr>
        <w:tabs>
          <w:tab w:val="clear" w:pos="851"/>
        </w:tabs>
        <w:ind w:left="851" w:leftChars="0" w:hanging="426" w:firstLineChars="0"/>
      </w:pPr>
      <w:r>
        <w:rPr>
          <w:rFonts w:hint="eastAsia"/>
        </w:rPr>
        <w:t>执行任务的人员；</w:t>
      </w:r>
    </w:p>
    <w:p w14:paraId="48670429">
      <w:pPr>
        <w:pStyle w:val="174"/>
        <w:numPr>
          <w:ilvl w:val="0"/>
          <w:numId w:val="45"/>
        </w:numPr>
        <w:tabs>
          <w:tab w:val="clear" w:pos="851"/>
        </w:tabs>
        <w:ind w:left="851" w:leftChars="0" w:hanging="426" w:firstLineChars="0"/>
      </w:pPr>
      <w:r>
        <w:rPr>
          <w:rFonts w:hint="eastAsia"/>
        </w:rPr>
        <w:t>工伤事故和（或）事件的历史资料；</w:t>
      </w:r>
    </w:p>
    <w:p w14:paraId="68D1B93E">
      <w:pPr>
        <w:pStyle w:val="174"/>
        <w:numPr>
          <w:ilvl w:val="0"/>
          <w:numId w:val="45"/>
        </w:numPr>
        <w:tabs>
          <w:tab w:val="clear" w:pos="851"/>
        </w:tabs>
        <w:ind w:left="851" w:leftChars="0" w:hanging="426" w:firstLineChars="0"/>
      </w:pPr>
      <w:r>
        <w:rPr>
          <w:rFonts w:hint="eastAsia"/>
        </w:rPr>
        <w:t xml:space="preserve">工作场所的环境； </w:t>
      </w:r>
    </w:p>
    <w:p w14:paraId="2CE8AD6F">
      <w:pPr>
        <w:pStyle w:val="174"/>
        <w:numPr>
          <w:ilvl w:val="0"/>
          <w:numId w:val="45"/>
        </w:numPr>
        <w:tabs>
          <w:tab w:val="clear" w:pos="851"/>
        </w:tabs>
        <w:ind w:left="851" w:leftChars="0" w:hanging="426" w:firstLineChars="0"/>
      </w:pPr>
      <w:r>
        <w:rPr>
          <w:rFonts w:hint="eastAsia"/>
        </w:rPr>
        <w:t>人为因素；</w:t>
      </w:r>
    </w:p>
    <w:p w14:paraId="113808ED">
      <w:pPr>
        <w:pStyle w:val="174"/>
        <w:numPr>
          <w:ilvl w:val="0"/>
          <w:numId w:val="45"/>
        </w:numPr>
        <w:tabs>
          <w:tab w:val="clear" w:pos="851"/>
        </w:tabs>
        <w:ind w:left="851" w:leftChars="0" w:hanging="426" w:firstLineChars="0"/>
      </w:pPr>
      <w:r>
        <w:rPr>
          <w:rFonts w:hint="eastAsia"/>
        </w:rPr>
        <w:t>安全功能的可靠性；</w:t>
      </w:r>
    </w:p>
    <w:p w14:paraId="3E1AFD5A">
      <w:pPr>
        <w:pStyle w:val="174"/>
        <w:numPr>
          <w:ilvl w:val="0"/>
          <w:numId w:val="45"/>
        </w:numPr>
        <w:tabs>
          <w:tab w:val="clear" w:pos="851"/>
        </w:tabs>
        <w:ind w:left="851" w:leftChars="0" w:hanging="426" w:firstLineChars="0"/>
      </w:pPr>
      <w:r>
        <w:rPr>
          <w:rFonts w:hint="eastAsia"/>
        </w:rPr>
        <w:t>使保护和（或）风险防控措施失效或绕开保护和（或）风险防控措施的可能性；</w:t>
      </w:r>
    </w:p>
    <w:p w14:paraId="7C913D50">
      <w:pPr>
        <w:pStyle w:val="174"/>
        <w:numPr>
          <w:ilvl w:val="0"/>
          <w:numId w:val="45"/>
        </w:numPr>
        <w:tabs>
          <w:tab w:val="clear" w:pos="851"/>
        </w:tabs>
        <w:ind w:left="851" w:leftChars="0" w:hanging="426" w:firstLineChars="0"/>
      </w:pPr>
      <w:r>
        <w:rPr>
          <w:rFonts w:hint="eastAsia"/>
        </w:rPr>
        <w:t>维持保护措施的能力；</w:t>
      </w:r>
    </w:p>
    <w:p w14:paraId="7B7A2040">
      <w:pPr>
        <w:pStyle w:val="174"/>
        <w:numPr>
          <w:ilvl w:val="0"/>
          <w:numId w:val="45"/>
        </w:numPr>
        <w:tabs>
          <w:tab w:val="clear" w:pos="851"/>
        </w:tabs>
        <w:ind w:left="851" w:leftChars="0" w:hanging="426" w:firstLineChars="0"/>
      </w:pPr>
      <w:r>
        <w:rPr>
          <w:rFonts w:hint="eastAsia"/>
        </w:rPr>
        <w:t>规避伤害的能力。</w:t>
      </w:r>
    </w:p>
    <w:p w14:paraId="12BCB2D7">
      <w:pPr>
        <w:pStyle w:val="56"/>
        <w:ind w:firstLine="420"/>
      </w:pPr>
      <w:r>
        <w:rPr>
          <w:rFonts w:hint="eastAsia"/>
        </w:rPr>
        <w:t>与严重程度类似，估计伤害发生概率的尺度有许多。有些方法只提供了所用的术语而未提供说明。有的矩阵则提供了如表1一样的附加说明；</w:t>
      </w:r>
    </w:p>
    <w:p w14:paraId="60D0FB15">
      <w:pPr>
        <w:pStyle w:val="132"/>
      </w:pPr>
      <w:r>
        <w:rPr>
          <w:rFonts w:hint="eastAsia"/>
        </w:rPr>
        <w:t>非常可能：几乎确定发生；</w:t>
      </w:r>
    </w:p>
    <w:p w14:paraId="0B2521B7">
      <w:pPr>
        <w:pStyle w:val="132"/>
      </w:pPr>
      <w:r>
        <w:rPr>
          <w:rFonts w:hint="eastAsia"/>
        </w:rPr>
        <w:t>可能：能够发生；</w:t>
      </w:r>
    </w:p>
    <w:p w14:paraId="2F3ADAA1">
      <w:pPr>
        <w:pStyle w:val="132"/>
      </w:pPr>
      <w:r>
        <w:rPr>
          <w:rFonts w:hint="eastAsia"/>
        </w:rPr>
        <w:t>不太可能：不太可能发生；</w:t>
      </w:r>
    </w:p>
    <w:p w14:paraId="14F032CE">
      <w:pPr>
        <w:pStyle w:val="132"/>
      </w:pPr>
      <w:r>
        <w:rPr>
          <w:rFonts w:hint="eastAsia"/>
        </w:rPr>
        <w:t>几乎不可能：可能性接近零。</w:t>
      </w:r>
    </w:p>
    <w:p w14:paraId="26169D99">
      <w:pPr>
        <w:pStyle w:val="56"/>
        <w:ind w:firstLine="420"/>
      </w:pPr>
      <w:r>
        <w:rPr>
          <w:rFonts w:hint="eastAsia"/>
        </w:rPr>
        <w:t>有些方法指出了可能性和概率之间的区别；概率是介于0和1之间的一个数值，可能性则是概率的定性描述。然而，许多方法并不区分概率和可能性之间的差别，而是把它们作为同义词使用。</w:t>
      </w:r>
    </w:p>
    <w:p w14:paraId="4CDC1D82">
      <w:pPr>
        <w:pStyle w:val="56"/>
        <w:ind w:firstLine="420"/>
        <w:rPr>
          <w:rFonts w:ascii="黑体" w:eastAsia="黑体"/>
        </w:rPr>
      </w:pPr>
      <w:r>
        <w:rPr>
          <w:rFonts w:hint="eastAsia"/>
        </w:rPr>
        <w:t>概率应与某种区间基数相关，示例时间、事件或活动、生产单位、设施、设备、过程。</w:t>
      </w:r>
    </w:p>
    <w:p w14:paraId="3E9E6BEB">
      <w:pPr>
        <w:pStyle w:val="94"/>
        <w:spacing w:before="156" w:after="156"/>
      </w:pPr>
      <w:r>
        <w:rPr>
          <w:rFonts w:hint="eastAsia"/>
        </w:rPr>
        <w:t>风险等级的提出</w:t>
      </w:r>
    </w:p>
    <w:p w14:paraId="18AB709B">
      <w:pPr>
        <w:pStyle w:val="56"/>
        <w:ind w:firstLine="420"/>
      </w:pPr>
      <w:r>
        <w:rPr>
          <w:rFonts w:hint="eastAsia"/>
        </w:rPr>
        <w:t>一旦做完了对严重程度和概率的估计，便可从所选择的风险矩阵得出初始风险等级。风险矩阵描绘了风险要素与风险等级之间的关系，如表1所示。</w:t>
      </w:r>
    </w:p>
    <w:p w14:paraId="4CFAB389">
      <w:pPr>
        <w:pStyle w:val="56"/>
        <w:ind w:firstLine="420"/>
      </w:pPr>
      <w:r>
        <w:rPr>
          <w:rFonts w:hint="eastAsia"/>
        </w:rPr>
        <w:t>以使用表1为例，一个“严重的”严重程度和一个“可能”的概率造成一个“高”的风险等级。严重程度和概率的风险要素的组合随不同的风险矩阵而变化。这一组合结果将产生一个典型的由低到高的风险排列。由于风险估计过程通常是主观的，因此该风险等级也将是主观的。</w:t>
      </w:r>
    </w:p>
    <w:p w14:paraId="4B438F9C">
      <w:pPr>
        <w:pStyle w:val="104"/>
        <w:spacing w:before="312" w:after="312"/>
      </w:pPr>
      <w:bookmarkStart w:id="50" w:name="_Toc28467"/>
      <w:r>
        <w:rPr>
          <w:rFonts w:hint="eastAsia"/>
        </w:rPr>
        <w:t>风险防控措施</w:t>
      </w:r>
      <w:bookmarkEnd w:id="50"/>
    </w:p>
    <w:p w14:paraId="5B8ECD0C">
      <w:pPr>
        <w:pStyle w:val="105"/>
        <w:spacing w:before="156" w:after="156"/>
      </w:pPr>
      <w:bookmarkStart w:id="51" w:name="_Toc23516"/>
      <w:r>
        <w:rPr>
          <w:rFonts w:hint="eastAsia"/>
        </w:rPr>
        <w:t>风险的降低措施</w:t>
      </w:r>
      <w:bookmarkEnd w:id="51"/>
    </w:p>
    <w:p w14:paraId="6D327788">
      <w:pPr>
        <w:pStyle w:val="56"/>
        <w:ind w:firstLine="420"/>
      </w:pPr>
      <w:r>
        <w:rPr>
          <w:rFonts w:hint="eastAsia"/>
        </w:rPr>
        <w:t>风险防控措施是通过采纳风险评估过程中提出的建议，并采用符合相关标准的保护措施而达到的。在风险防控措施过程中，需要做出有关做什么、谁来做、何时做和花多少成本的决定。</w:t>
      </w:r>
    </w:p>
    <w:p w14:paraId="6FA032DC">
      <w:pPr>
        <w:pStyle w:val="56"/>
        <w:ind w:firstLine="420"/>
      </w:pPr>
      <w:r>
        <w:rPr>
          <w:rFonts w:hint="eastAsia"/>
        </w:rPr>
        <w:t>表2描述了决定的过程，说明了各种保护措施减少风险的相对优先级。</w:t>
      </w:r>
    </w:p>
    <w:p w14:paraId="1BDEE8D6">
      <w:pPr>
        <w:pStyle w:val="112"/>
        <w:spacing w:before="156" w:after="156"/>
      </w:pPr>
      <w:r>
        <w:rPr>
          <w:rFonts w:hint="eastAsia"/>
        </w:rPr>
        <w:t>降低风险的各种保护措施的优先级</w:t>
      </w:r>
    </w:p>
    <w:tbl>
      <w:tblPr>
        <w:tblStyle w:val="231"/>
        <w:tblW w:w="8460"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0"/>
        <w:gridCol w:w="1095"/>
        <w:gridCol w:w="4815"/>
      </w:tblGrid>
      <w:tr w14:paraId="23788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550" w:type="dxa"/>
            <w:tcBorders>
              <w:top w:val="single" w:color="000000" w:sz="8" w:space="0"/>
              <w:left w:val="single" w:color="000000" w:sz="8" w:space="0"/>
              <w:bottom w:val="single" w:color="000000" w:sz="4" w:space="0"/>
              <w:right w:val="single" w:color="000000" w:sz="4" w:space="0"/>
            </w:tcBorders>
            <w:vAlign w:val="center"/>
          </w:tcPr>
          <w:p w14:paraId="40636309">
            <w:pPr>
              <w:pStyle w:val="178"/>
            </w:pPr>
            <w:r>
              <w:rPr>
                <w:rFonts w:hint="eastAsia"/>
              </w:rPr>
              <w:t>推荐做法</w:t>
            </w:r>
          </w:p>
        </w:tc>
        <w:tc>
          <w:tcPr>
            <w:tcW w:w="1095" w:type="dxa"/>
            <w:tcBorders>
              <w:top w:val="single" w:color="000000" w:sz="8" w:space="0"/>
              <w:left w:val="single" w:color="000000" w:sz="4" w:space="0"/>
              <w:bottom w:val="single" w:color="000000" w:sz="4" w:space="0"/>
              <w:right w:val="single" w:color="000000" w:sz="4" w:space="0"/>
            </w:tcBorders>
            <w:vAlign w:val="center"/>
          </w:tcPr>
          <w:p w14:paraId="728A6C60">
            <w:pPr>
              <w:pStyle w:val="178"/>
            </w:pPr>
            <w:r>
              <w:rPr>
                <w:rFonts w:hint="eastAsia"/>
              </w:rPr>
              <w:t>优先级*</w:t>
            </w:r>
          </w:p>
        </w:tc>
        <w:tc>
          <w:tcPr>
            <w:tcW w:w="4815" w:type="dxa"/>
            <w:tcBorders>
              <w:top w:val="single" w:color="000000" w:sz="8" w:space="0"/>
              <w:left w:val="single" w:color="000000" w:sz="4" w:space="0"/>
              <w:bottom w:val="single" w:color="000000" w:sz="4" w:space="0"/>
              <w:right w:val="single" w:color="000000" w:sz="8" w:space="0"/>
            </w:tcBorders>
            <w:vAlign w:val="center"/>
          </w:tcPr>
          <w:p w14:paraId="7237473D">
            <w:pPr>
              <w:pStyle w:val="178"/>
            </w:pPr>
            <w:r>
              <w:rPr>
                <w:rFonts w:hint="eastAsia"/>
              </w:rPr>
              <w:t>替代做法</w:t>
            </w:r>
          </w:p>
        </w:tc>
      </w:tr>
      <w:tr w14:paraId="77697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550" w:type="dxa"/>
            <w:tcBorders>
              <w:top w:val="single" w:color="000000" w:sz="4" w:space="0"/>
              <w:left w:val="single" w:color="000000" w:sz="8" w:space="0"/>
              <w:bottom w:val="single" w:color="000000" w:sz="4" w:space="0"/>
              <w:right w:val="single" w:color="000000" w:sz="4" w:space="0"/>
            </w:tcBorders>
            <w:vAlign w:val="center"/>
          </w:tcPr>
          <w:p w14:paraId="42B22009">
            <w:pPr>
              <w:pStyle w:val="178"/>
            </w:pPr>
            <w:r>
              <w:rPr>
                <w:rFonts w:hint="eastAsia"/>
              </w:rPr>
              <w:t>消除风险</w:t>
            </w:r>
          </w:p>
        </w:tc>
        <w:tc>
          <w:tcPr>
            <w:tcW w:w="1095" w:type="dxa"/>
            <w:tcBorders>
              <w:top w:val="single" w:color="000000" w:sz="4" w:space="0"/>
              <w:left w:val="single" w:color="000000" w:sz="4" w:space="0"/>
              <w:bottom w:val="single" w:color="000000" w:sz="4" w:space="0"/>
              <w:right w:val="single" w:color="000000" w:sz="4" w:space="0"/>
            </w:tcBorders>
            <w:vAlign w:val="center"/>
          </w:tcPr>
          <w:p w14:paraId="268F4FBC">
            <w:pPr>
              <w:pStyle w:val="178"/>
            </w:pPr>
            <w:r>
              <w:rPr>
                <w:rFonts w:hint="eastAsia"/>
              </w:rPr>
              <w:t>1</w:t>
            </w:r>
          </w:p>
        </w:tc>
        <w:tc>
          <w:tcPr>
            <w:tcW w:w="4815" w:type="dxa"/>
            <w:tcBorders>
              <w:top w:val="single" w:color="000000" w:sz="4" w:space="0"/>
              <w:left w:val="single" w:color="000000" w:sz="4" w:space="0"/>
              <w:bottom w:val="single" w:color="000000" w:sz="4" w:space="0"/>
              <w:right w:val="single" w:color="000000" w:sz="8" w:space="0"/>
            </w:tcBorders>
            <w:vAlign w:val="center"/>
          </w:tcPr>
          <w:p w14:paraId="2D3919C5">
            <w:pPr>
              <w:pStyle w:val="178"/>
            </w:pPr>
            <w:r>
              <w:rPr>
                <w:rFonts w:hint="eastAsia"/>
              </w:rPr>
              <w:t>减小与风险有关的可能伤害的严重程度</w:t>
            </w:r>
          </w:p>
        </w:tc>
      </w:tr>
      <w:tr w14:paraId="18B88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550" w:type="dxa"/>
            <w:tcBorders>
              <w:top w:val="single" w:color="000000" w:sz="4" w:space="0"/>
              <w:left w:val="single" w:color="000000" w:sz="8" w:space="0"/>
              <w:bottom w:val="single" w:color="000000" w:sz="4" w:space="0"/>
              <w:right w:val="single" w:color="000000" w:sz="4" w:space="0"/>
            </w:tcBorders>
            <w:vAlign w:val="center"/>
          </w:tcPr>
          <w:p w14:paraId="742742D2">
            <w:pPr>
              <w:pStyle w:val="178"/>
            </w:pPr>
            <w:r>
              <w:rPr>
                <w:rFonts w:hint="eastAsia"/>
              </w:rPr>
              <w:t>消除危险状态，即岗位人员不暴露于风险</w:t>
            </w:r>
          </w:p>
        </w:tc>
        <w:tc>
          <w:tcPr>
            <w:tcW w:w="1095" w:type="dxa"/>
            <w:tcBorders>
              <w:top w:val="single" w:color="000000" w:sz="4" w:space="0"/>
              <w:left w:val="single" w:color="000000" w:sz="4" w:space="0"/>
              <w:bottom w:val="single" w:color="000000" w:sz="4" w:space="0"/>
              <w:right w:val="single" w:color="000000" w:sz="4" w:space="0"/>
            </w:tcBorders>
            <w:vAlign w:val="center"/>
          </w:tcPr>
          <w:p w14:paraId="7DCD149C">
            <w:pPr>
              <w:pStyle w:val="178"/>
            </w:pPr>
            <w:r>
              <w:rPr>
                <w:rFonts w:hint="eastAsia"/>
              </w:rPr>
              <w:t>2</w:t>
            </w:r>
          </w:p>
        </w:tc>
        <w:tc>
          <w:tcPr>
            <w:tcW w:w="4815" w:type="dxa"/>
            <w:tcBorders>
              <w:top w:val="single" w:color="000000" w:sz="4" w:space="0"/>
              <w:left w:val="single" w:color="000000" w:sz="4" w:space="0"/>
              <w:bottom w:val="single" w:color="000000" w:sz="4" w:space="0"/>
              <w:right w:val="single" w:color="000000" w:sz="8" w:space="0"/>
            </w:tcBorders>
            <w:vAlign w:val="center"/>
          </w:tcPr>
          <w:p w14:paraId="614856B3">
            <w:pPr>
              <w:pStyle w:val="178"/>
            </w:pPr>
            <w:r>
              <w:rPr>
                <w:rFonts w:hint="eastAsia"/>
              </w:rPr>
              <w:t>减小暴露的持续时间和/或频率</w:t>
            </w:r>
          </w:p>
        </w:tc>
      </w:tr>
      <w:tr w14:paraId="329D0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550" w:type="dxa"/>
            <w:tcBorders>
              <w:top w:val="single" w:color="000000" w:sz="4" w:space="0"/>
              <w:left w:val="single" w:color="000000" w:sz="8" w:space="0"/>
              <w:bottom w:val="single" w:color="000000" w:sz="4" w:space="0"/>
              <w:right w:val="single" w:color="000000" w:sz="4" w:space="0"/>
            </w:tcBorders>
            <w:vAlign w:val="center"/>
          </w:tcPr>
          <w:p w14:paraId="28744DBE">
            <w:pPr>
              <w:pStyle w:val="178"/>
            </w:pPr>
            <w:r>
              <w:rPr>
                <w:rFonts w:hint="eastAsia"/>
              </w:rPr>
              <w:t>消除可能的风险事件</w:t>
            </w:r>
          </w:p>
        </w:tc>
        <w:tc>
          <w:tcPr>
            <w:tcW w:w="1095" w:type="dxa"/>
            <w:tcBorders>
              <w:top w:val="single" w:color="000000" w:sz="4" w:space="0"/>
              <w:left w:val="single" w:color="000000" w:sz="4" w:space="0"/>
              <w:bottom w:val="single" w:color="000000" w:sz="4" w:space="0"/>
              <w:right w:val="single" w:color="000000" w:sz="4" w:space="0"/>
            </w:tcBorders>
            <w:vAlign w:val="center"/>
          </w:tcPr>
          <w:p w14:paraId="1DE15B1C">
            <w:pPr>
              <w:pStyle w:val="178"/>
            </w:pPr>
            <w:r>
              <w:rPr>
                <w:rFonts w:hint="eastAsia"/>
              </w:rPr>
              <w:t>3</w:t>
            </w:r>
          </w:p>
        </w:tc>
        <w:tc>
          <w:tcPr>
            <w:tcW w:w="4815" w:type="dxa"/>
            <w:tcBorders>
              <w:top w:val="single" w:color="000000" w:sz="4" w:space="0"/>
              <w:left w:val="single" w:color="000000" w:sz="4" w:space="0"/>
              <w:bottom w:val="single" w:color="000000" w:sz="4" w:space="0"/>
              <w:right w:val="single" w:color="000000" w:sz="8" w:space="0"/>
            </w:tcBorders>
            <w:vAlign w:val="center"/>
          </w:tcPr>
          <w:p w14:paraId="3F117E62">
            <w:pPr>
              <w:pStyle w:val="178"/>
            </w:pPr>
            <w:r>
              <w:rPr>
                <w:rFonts w:hint="eastAsia"/>
              </w:rPr>
              <w:t>减小可能风险事件的发生概率</w:t>
            </w:r>
          </w:p>
        </w:tc>
      </w:tr>
      <w:tr w14:paraId="2E6F4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550" w:type="dxa"/>
            <w:tcBorders>
              <w:top w:val="single" w:color="000000" w:sz="4" w:space="0"/>
              <w:left w:val="single" w:color="000000" w:sz="8" w:space="0"/>
              <w:bottom w:val="single" w:color="000000" w:sz="4" w:space="0"/>
              <w:right w:val="single" w:color="000000" w:sz="4" w:space="0"/>
            </w:tcBorders>
            <w:vAlign w:val="center"/>
          </w:tcPr>
          <w:p w14:paraId="0AFCD49B">
            <w:pPr>
              <w:pStyle w:val="178"/>
            </w:pPr>
            <w:r>
              <w:rPr>
                <w:rFonts w:hint="eastAsia"/>
              </w:rPr>
              <w:t>采取规避伤害的手段</w:t>
            </w:r>
          </w:p>
        </w:tc>
        <w:tc>
          <w:tcPr>
            <w:tcW w:w="1095" w:type="dxa"/>
            <w:tcBorders>
              <w:top w:val="single" w:color="000000" w:sz="4" w:space="0"/>
              <w:left w:val="single" w:color="000000" w:sz="4" w:space="0"/>
              <w:bottom w:val="single" w:color="000000" w:sz="4" w:space="0"/>
              <w:right w:val="single" w:color="000000" w:sz="4" w:space="0"/>
            </w:tcBorders>
            <w:vAlign w:val="center"/>
          </w:tcPr>
          <w:p w14:paraId="73E2A156">
            <w:pPr>
              <w:pStyle w:val="178"/>
            </w:pPr>
            <w:r>
              <w:rPr>
                <w:rFonts w:hint="eastAsia"/>
              </w:rPr>
              <w:t>4</w:t>
            </w:r>
          </w:p>
        </w:tc>
        <w:tc>
          <w:tcPr>
            <w:tcW w:w="4815" w:type="dxa"/>
            <w:tcBorders>
              <w:top w:val="single" w:color="000000" w:sz="4" w:space="0"/>
              <w:left w:val="single" w:color="000000" w:sz="4" w:space="0"/>
              <w:bottom w:val="single" w:color="000000" w:sz="4" w:space="0"/>
              <w:right w:val="single" w:color="000000" w:sz="8" w:space="0"/>
            </w:tcBorders>
            <w:vAlign w:val="center"/>
          </w:tcPr>
          <w:p w14:paraId="3ACC315D">
            <w:pPr>
              <w:pStyle w:val="178"/>
            </w:pPr>
            <w:r>
              <w:rPr>
                <w:rFonts w:hint="eastAsia"/>
              </w:rPr>
              <w:t>采取限制伤害的手段</w:t>
            </w:r>
          </w:p>
        </w:tc>
      </w:tr>
      <w:tr w14:paraId="43323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460" w:type="dxa"/>
            <w:gridSpan w:val="3"/>
            <w:tcBorders>
              <w:top w:val="single" w:color="000000" w:sz="4" w:space="0"/>
              <w:left w:val="single" w:color="000000" w:sz="8" w:space="0"/>
              <w:bottom w:val="single" w:color="000000" w:sz="8" w:space="0"/>
              <w:right w:val="single" w:color="000000" w:sz="8" w:space="0"/>
            </w:tcBorders>
            <w:vAlign w:val="center"/>
          </w:tcPr>
          <w:p w14:paraId="68E6C2F0">
            <w:pPr>
              <w:pStyle w:val="179"/>
            </w:pPr>
            <w:r>
              <w:rPr>
                <w:rFonts w:hint="eastAsia"/>
              </w:rPr>
              <w:t>1是最高优先级。</w:t>
            </w:r>
          </w:p>
        </w:tc>
      </w:tr>
    </w:tbl>
    <w:p w14:paraId="58098DF5">
      <w:pPr>
        <w:pStyle w:val="56"/>
        <w:ind w:firstLine="420"/>
      </w:pPr>
    </w:p>
    <w:p w14:paraId="159FD5DB">
      <w:pPr>
        <w:pStyle w:val="56"/>
        <w:ind w:firstLine="420"/>
      </w:pPr>
      <w:r>
        <w:rPr>
          <w:rFonts w:hint="eastAsia"/>
        </w:rPr>
        <w:t>按有效性次序，下面列出了不同类型的保护措施，并给出了它们对减小特定风险要素作用的解释。</w:t>
      </w:r>
    </w:p>
    <w:p w14:paraId="78A3AE30">
      <w:pPr>
        <w:pStyle w:val="105"/>
        <w:spacing w:before="156" w:after="156"/>
      </w:pPr>
      <w:bookmarkStart w:id="52" w:name="_Toc26947"/>
      <w:r>
        <w:rPr>
          <w:rFonts w:hint="eastAsia"/>
          <w14:scene3d>
            <w14:lightRig w14:rig="threePt" w14:dir="t">
              <w14:rot w14:lat="0" w14:lon="0" w14:rev="0"/>
            </w14:lightRig>
          </w14:scene3d>
        </w:rPr>
        <w:t>通过安全设计清除风险（本质安全）</w:t>
      </w:r>
      <w:bookmarkEnd w:id="52"/>
    </w:p>
    <w:p w14:paraId="1B7FFB34">
      <w:pPr>
        <w:pStyle w:val="56"/>
        <w:ind w:firstLine="420"/>
      </w:pPr>
      <w:r>
        <w:rPr>
          <w:rFonts w:hint="eastAsia"/>
        </w:rPr>
        <w:t>风险防控措施过程的第一步是通过安全设计消除风险。通过安全设计消除风险是减小风险最有效的方法，因为它能去除风险源。用于消除风险的方法如下：</w:t>
      </w:r>
    </w:p>
    <w:p w14:paraId="0FB3AF04">
      <w:pPr>
        <w:pStyle w:val="132"/>
      </w:pPr>
      <w:r>
        <w:rPr>
          <w:rFonts w:hint="eastAsia"/>
        </w:rPr>
        <w:t>替换风险的材料和物质；</w:t>
      </w:r>
    </w:p>
    <w:p w14:paraId="6F8BD3FD">
      <w:pPr>
        <w:pStyle w:val="132"/>
      </w:pPr>
      <w:r>
        <w:rPr>
          <w:rFonts w:hint="eastAsia"/>
        </w:rPr>
        <w:t>改进物理特性；</w:t>
      </w:r>
    </w:p>
    <w:p w14:paraId="7ED269E1">
      <w:pPr>
        <w:pStyle w:val="132"/>
      </w:pPr>
      <w:r>
        <w:rPr>
          <w:rFonts w:hint="eastAsia"/>
        </w:rPr>
        <w:t>消除重复动作和有害姿势。</w:t>
      </w:r>
    </w:p>
    <w:p w14:paraId="08BBB530">
      <w:pPr>
        <w:pStyle w:val="105"/>
        <w:spacing w:before="156" w:after="156"/>
      </w:pPr>
      <w:bookmarkStart w:id="53" w:name="_Toc2137"/>
      <w:r>
        <w:rPr>
          <w:rFonts w:hint="eastAsia"/>
        </w:rPr>
        <w:t>通过安全辅助设计降低风险</w:t>
      </w:r>
      <w:bookmarkEnd w:id="53"/>
    </w:p>
    <w:p w14:paraId="0F6DA29D">
      <w:pPr>
        <w:pStyle w:val="56"/>
        <w:ind w:firstLine="420"/>
      </w:pPr>
      <w:r>
        <w:rPr>
          <w:rFonts w:hint="eastAsia"/>
        </w:rPr>
        <w:t>如果不能通过安全设计消除风险，应通过对设备结构特点或人与机器本身的相互作用的辅助设计来减少风险。</w:t>
      </w:r>
    </w:p>
    <w:p w14:paraId="701E4037">
      <w:pPr>
        <w:pStyle w:val="56"/>
        <w:ind w:firstLine="420"/>
      </w:pPr>
      <w:r>
        <w:rPr>
          <w:rFonts w:hint="eastAsia"/>
        </w:rPr>
        <w:t>通过安全辅助设计减小风险的方法对伤害严重程度影响显著的示例：</w:t>
      </w:r>
    </w:p>
    <w:p w14:paraId="745D2709">
      <w:pPr>
        <w:pStyle w:val="132"/>
      </w:pPr>
      <w:r>
        <w:rPr>
          <w:rFonts w:hint="eastAsia"/>
        </w:rPr>
        <w:t>减小能量（示例：较小的力，较低的液动/气动压力，降低工作高度，降低速度）；</w:t>
      </w:r>
    </w:p>
    <w:p w14:paraId="1897F13B">
      <w:pPr>
        <w:pStyle w:val="132"/>
      </w:pPr>
      <w:r>
        <w:rPr>
          <w:rFonts w:hint="eastAsia"/>
        </w:rPr>
        <w:t>利用技术性安全设备预防/减小风险（示例：用于预防爆炸/减少危害性气体的通风系统）。</w:t>
      </w:r>
    </w:p>
    <w:p w14:paraId="74F073BD">
      <w:pPr>
        <w:pStyle w:val="56"/>
        <w:ind w:firstLine="420"/>
      </w:pPr>
      <w:r>
        <w:rPr>
          <w:rFonts w:hint="eastAsia"/>
        </w:rPr>
        <w:t>通过设计减小风险的方法对暴露于风险影响显著的示例：</w:t>
      </w:r>
    </w:p>
    <w:p w14:paraId="552679B4">
      <w:pPr>
        <w:pStyle w:val="132"/>
      </w:pPr>
      <w:r>
        <w:rPr>
          <w:rFonts w:hint="eastAsia"/>
        </w:rPr>
        <w:t>减小处于危险状态的需要（通过装载/卸载或进料/卸料操作的机械化或自动化限制暴露于风险；安装和维修点的位置设置在风险区域外）；</w:t>
      </w:r>
    </w:p>
    <w:p w14:paraId="61B5F26E">
      <w:pPr>
        <w:pStyle w:val="132"/>
      </w:pPr>
      <w:r>
        <w:rPr>
          <w:rFonts w:hint="eastAsia"/>
        </w:rPr>
        <w:t>改变伤害源的位置。</w:t>
      </w:r>
    </w:p>
    <w:p w14:paraId="5676E733">
      <w:pPr>
        <w:pStyle w:val="56"/>
        <w:ind w:firstLine="420"/>
      </w:pPr>
      <w:r>
        <w:rPr>
          <w:rFonts w:hint="eastAsia"/>
        </w:rPr>
        <w:t>通过改进设计减小风险的方法对风险事件的发生影响显著的示例：</w:t>
      </w:r>
    </w:p>
    <w:p w14:paraId="73FCAE88">
      <w:pPr>
        <w:pStyle w:val="132"/>
      </w:pPr>
      <w:r>
        <w:rPr>
          <w:rFonts w:hint="eastAsia"/>
        </w:rPr>
        <w:t>改进机器零部件的可靠性（机械零部件、电器/电子元件，液压/气压零部件）；</w:t>
      </w:r>
    </w:p>
    <w:p w14:paraId="763F347B">
      <w:pPr>
        <w:pStyle w:val="132"/>
      </w:pPr>
      <w:r>
        <w:rPr>
          <w:rFonts w:hint="eastAsia"/>
        </w:rPr>
        <w:t>对控制系统有关安全部件采取安全设计措施（基本安全原则，经验证的安全原则和零部件冗余）。</w:t>
      </w:r>
    </w:p>
    <w:p w14:paraId="5954696F">
      <w:pPr>
        <w:pStyle w:val="105"/>
        <w:spacing w:before="156" w:after="156"/>
      </w:pPr>
      <w:bookmarkStart w:id="54" w:name="_Toc20710"/>
      <w:r>
        <w:rPr>
          <w:rFonts w:hint="eastAsia"/>
        </w:rPr>
        <w:t>安全防护和补充保护措施</w:t>
      </w:r>
      <w:bookmarkEnd w:id="54"/>
    </w:p>
    <w:p w14:paraId="37D2A0EC">
      <w:pPr>
        <w:pStyle w:val="56"/>
        <w:ind w:firstLine="420"/>
      </w:pPr>
      <w:r>
        <w:rPr>
          <w:rFonts w:hint="eastAsia"/>
        </w:rPr>
        <w:t>如果通过设计措施不能消除风险或充分的减小风险，则应采用能限制暴露于风险、减小风险事件发生概率或提高能消除或限制伤害可能性的安全防护（防护和保护措施）。</w:t>
      </w:r>
    </w:p>
    <w:p w14:paraId="60E0F45D">
      <w:pPr>
        <w:pStyle w:val="56"/>
        <w:ind w:firstLine="420"/>
      </w:pPr>
      <w:r>
        <w:rPr>
          <w:rFonts w:hint="eastAsia"/>
        </w:rPr>
        <w:t>当采用下述a) 和b）列出的安全防护装置来减小风险时，对伤害的严重程度几乎没有什么影响，但对暴露有显著影响（仅当按预定方法使用防护装置且防护装置正常工作时）</w:t>
      </w:r>
    </w:p>
    <w:p w14:paraId="55EF2913">
      <w:pPr>
        <w:pStyle w:val="174"/>
        <w:numPr>
          <w:ilvl w:val="0"/>
          <w:numId w:val="46"/>
        </w:numPr>
        <w:tabs>
          <w:tab w:val="clear" w:pos="851"/>
        </w:tabs>
        <w:ind w:left="851" w:hanging="426"/>
      </w:pPr>
      <w:r>
        <w:rPr>
          <w:rFonts w:hint="eastAsia"/>
        </w:rPr>
        <w:t>防止进入风险区的固定防护挡板、护栏或外壳；</w:t>
      </w:r>
    </w:p>
    <w:p w14:paraId="4CFBC502">
      <w:pPr>
        <w:pStyle w:val="174"/>
        <w:numPr>
          <w:ilvl w:val="0"/>
          <w:numId w:val="46"/>
        </w:numPr>
        <w:tabs>
          <w:tab w:val="clear" w:pos="851"/>
        </w:tabs>
        <w:ind w:left="851" w:leftChars="0" w:hanging="426" w:firstLineChars="0"/>
      </w:pPr>
      <w:r>
        <w:rPr>
          <w:rFonts w:hint="eastAsia"/>
        </w:rPr>
        <w:t>防止进入风险区的联锁防护装置（示例：带或不带防护锁的联锁装置、联锁钥匙）；</w:t>
      </w:r>
    </w:p>
    <w:p w14:paraId="304B6918">
      <w:pPr>
        <w:pStyle w:val="56"/>
        <w:numPr>
          <w:ilvl w:val="0"/>
          <w:numId w:val="46"/>
        </w:numPr>
        <w:ind w:left="851" w:leftChars="0" w:hanging="426" w:firstLineChars="0"/>
      </w:pPr>
      <w:r>
        <w:rPr>
          <w:rFonts w:hint="eastAsia"/>
        </w:rPr>
        <w:t>当采用下述d）和 e）、f）列出的安全防护装置来减小风险时，对伤害的严重程度几乎没有什么影响，对暴露没有什么影响，但对风险事件的发生有显著影响；</w:t>
      </w:r>
    </w:p>
    <w:p w14:paraId="7B130A9D">
      <w:pPr>
        <w:pStyle w:val="174"/>
        <w:numPr>
          <w:ilvl w:val="0"/>
          <w:numId w:val="46"/>
        </w:numPr>
        <w:tabs>
          <w:tab w:val="clear" w:pos="851"/>
        </w:tabs>
        <w:ind w:left="851" w:leftChars="0" w:hanging="426" w:firstLineChars="0"/>
      </w:pPr>
      <w:r>
        <w:rPr>
          <w:rFonts w:hint="eastAsia"/>
        </w:rPr>
        <w:t>用于感测人员进入或出现在风险区内的敏感保护设备（SPE） （如光帘、压敏垫）；</w:t>
      </w:r>
    </w:p>
    <w:p w14:paraId="0B12BF05">
      <w:pPr>
        <w:pStyle w:val="56"/>
        <w:numPr>
          <w:ilvl w:val="0"/>
          <w:numId w:val="46"/>
        </w:numPr>
        <w:ind w:left="851" w:leftChars="0" w:hanging="426" w:firstLineChars="0"/>
      </w:pPr>
      <w:r>
        <w:rPr>
          <w:rFonts w:hint="eastAsia"/>
        </w:rPr>
        <w:t>与机器控制系统中有关安全、有关功能的相关装置（如制动装置、有限运动控制装置、止－动控制装置）；</w:t>
      </w:r>
    </w:p>
    <w:p w14:paraId="56F8E2B1">
      <w:pPr>
        <w:pStyle w:val="174"/>
        <w:numPr>
          <w:ilvl w:val="0"/>
          <w:numId w:val="46"/>
        </w:numPr>
        <w:tabs>
          <w:tab w:val="clear" w:pos="851"/>
        </w:tabs>
        <w:ind w:left="851" w:leftChars="0" w:hanging="426" w:firstLineChars="0"/>
      </w:pPr>
      <w:r>
        <w:rPr>
          <w:rFonts w:hint="eastAsia"/>
        </w:rPr>
        <w:t>限制装置（如过载和力矩限制装置、限制压力或温度的装置、超速开关、监控排放物的装置）。</w:t>
      </w:r>
    </w:p>
    <w:p w14:paraId="6A193949">
      <w:pPr>
        <w:pStyle w:val="105"/>
        <w:spacing w:before="156" w:after="156"/>
      </w:pPr>
      <w:bookmarkStart w:id="55" w:name="_Toc21187"/>
      <w:r>
        <w:rPr>
          <w:rFonts w:hint="eastAsia"/>
        </w:rPr>
        <w:t>补充保护和（或）风险防控措施</w:t>
      </w:r>
      <w:bookmarkEnd w:id="55"/>
    </w:p>
    <w:p w14:paraId="42D7E0D2">
      <w:pPr>
        <w:pStyle w:val="56"/>
        <w:ind w:firstLine="420"/>
      </w:pPr>
      <w:r>
        <w:rPr>
          <w:rFonts w:hint="eastAsia"/>
        </w:rPr>
        <w:t>当设计措施和安全防护不能实现风险防控措施目标时，可采用补充性保护措施来进一步减小风险。</w:t>
      </w:r>
    </w:p>
    <w:p w14:paraId="16825FC4">
      <w:pPr>
        <w:pStyle w:val="56"/>
        <w:ind w:firstLine="420"/>
      </w:pPr>
      <w:r>
        <w:rPr>
          <w:rFonts w:hint="eastAsia"/>
        </w:rPr>
        <w:t>规避或限制伤害的能力影响最大的补充保护措施示例：</w:t>
      </w:r>
    </w:p>
    <w:p w14:paraId="0D74A03C">
      <w:pPr>
        <w:pStyle w:val="132"/>
      </w:pPr>
      <w:r>
        <w:rPr>
          <w:rFonts w:hint="eastAsia"/>
        </w:rPr>
        <w:t>紧急停止；</w:t>
      </w:r>
    </w:p>
    <w:p w14:paraId="177E0ABB">
      <w:pPr>
        <w:pStyle w:val="132"/>
      </w:pPr>
      <w:r>
        <w:rPr>
          <w:rFonts w:hint="eastAsia"/>
        </w:rPr>
        <w:t>被困职工逃生和援救的措施；</w:t>
      </w:r>
    </w:p>
    <w:p w14:paraId="352AC563">
      <w:pPr>
        <w:pStyle w:val="132"/>
      </w:pPr>
      <w:r>
        <w:rPr>
          <w:rFonts w:hint="eastAsia"/>
        </w:rPr>
        <w:t>安全进入机器的措施；</w:t>
      </w:r>
    </w:p>
    <w:p w14:paraId="5433727E">
      <w:pPr>
        <w:pStyle w:val="132"/>
      </w:pPr>
      <w:r>
        <w:rPr>
          <w:rFonts w:hint="eastAsia"/>
        </w:rPr>
        <w:t>对暴露有显著影响的补充保护措施是用于隔离和能量耗散的措施（示例；隔离阀或隔离开关，锁定装置，防止移动的机械挡块）。</w:t>
      </w:r>
    </w:p>
    <w:p w14:paraId="21209DB7">
      <w:pPr>
        <w:pStyle w:val="105"/>
        <w:spacing w:before="156" w:after="156"/>
      </w:pPr>
      <w:bookmarkStart w:id="56" w:name="_Toc5070"/>
      <w:r>
        <w:rPr>
          <w:rFonts w:hint="eastAsia"/>
        </w:rPr>
        <w:t>设备供应商提供信息</w:t>
      </w:r>
      <w:bookmarkEnd w:id="56"/>
    </w:p>
    <w:p w14:paraId="29B6CF7E">
      <w:pPr>
        <w:pStyle w:val="65"/>
        <w:spacing w:before="156" w:after="156"/>
      </w:pPr>
      <w:r>
        <w:rPr>
          <w:rFonts w:hint="eastAsia"/>
        </w:rPr>
        <w:t>使用信息内容</w:t>
      </w:r>
    </w:p>
    <w:p w14:paraId="1EC8EFA0">
      <w:pPr>
        <w:pStyle w:val="56"/>
        <w:ind w:firstLine="420"/>
      </w:pPr>
      <w:r>
        <w:rPr>
          <w:rFonts w:hint="eastAsia"/>
        </w:rPr>
        <w:t>供应商应在使用信息中对用户提出有关通过采取安全设计和安全防护措施减小风险后的遗留风险方面的警告。</w:t>
      </w:r>
    </w:p>
    <w:p w14:paraId="6A57D7BC">
      <w:pPr>
        <w:pStyle w:val="56"/>
        <w:ind w:firstLine="420"/>
      </w:pPr>
      <w:r>
        <w:rPr>
          <w:rFonts w:hint="eastAsia"/>
        </w:rPr>
        <w:t>使用信息包括：</w:t>
      </w:r>
    </w:p>
    <w:p w14:paraId="3C301C42">
      <w:pPr>
        <w:pStyle w:val="174"/>
        <w:numPr>
          <w:ilvl w:val="0"/>
          <w:numId w:val="47"/>
        </w:numPr>
        <w:tabs>
          <w:tab w:val="clear" w:pos="851"/>
        </w:tabs>
        <w:ind w:left="851" w:hanging="426"/>
      </w:pPr>
      <w:r>
        <w:rPr>
          <w:rFonts w:hint="eastAsia"/>
        </w:rPr>
        <w:t>原材料提供的说明信息；</w:t>
      </w:r>
    </w:p>
    <w:p w14:paraId="119A61D3">
      <w:pPr>
        <w:pStyle w:val="174"/>
        <w:numPr>
          <w:ilvl w:val="0"/>
          <w:numId w:val="47"/>
        </w:numPr>
        <w:tabs>
          <w:tab w:val="clear" w:pos="851"/>
        </w:tabs>
        <w:ind w:left="851" w:leftChars="0" w:hanging="426" w:firstLineChars="0"/>
      </w:pPr>
      <w:r>
        <w:rPr>
          <w:rFonts w:hint="eastAsia"/>
        </w:rPr>
        <w:t>设备上提供的信息；</w:t>
      </w:r>
    </w:p>
    <w:p w14:paraId="54E37A14">
      <w:pPr>
        <w:pStyle w:val="174"/>
        <w:numPr>
          <w:ilvl w:val="0"/>
          <w:numId w:val="47"/>
        </w:numPr>
        <w:tabs>
          <w:tab w:val="clear" w:pos="851"/>
        </w:tabs>
        <w:ind w:left="851" w:leftChars="0" w:hanging="426" w:firstLineChars="0"/>
      </w:pPr>
      <w:r>
        <w:rPr>
          <w:rFonts w:hint="eastAsia"/>
        </w:rPr>
        <w:t>随机器提供的文件。</w:t>
      </w:r>
    </w:p>
    <w:p w14:paraId="2FBA97D0">
      <w:pPr>
        <w:pStyle w:val="65"/>
        <w:spacing w:before="156" w:after="156"/>
      </w:pPr>
      <w:r>
        <w:rPr>
          <w:rFonts w:hint="eastAsia"/>
        </w:rPr>
        <w:t>原材料和设备上提供的信息</w:t>
      </w:r>
    </w:p>
    <w:p w14:paraId="61178068">
      <w:pPr>
        <w:pStyle w:val="56"/>
        <w:ind w:firstLine="420"/>
      </w:pPr>
      <w:r>
        <w:rPr>
          <w:rFonts w:hint="eastAsia"/>
        </w:rPr>
        <w:t>原材料和设备上提供的信息包括：</w:t>
      </w:r>
    </w:p>
    <w:p w14:paraId="48DC2A21">
      <w:pPr>
        <w:pStyle w:val="174"/>
        <w:numPr>
          <w:ilvl w:val="0"/>
          <w:numId w:val="48"/>
        </w:numPr>
        <w:tabs>
          <w:tab w:val="clear" w:pos="851"/>
        </w:tabs>
        <w:ind w:left="851" w:hanging="426"/>
      </w:pPr>
      <w:r>
        <w:rPr>
          <w:rFonts w:hint="eastAsia"/>
        </w:rPr>
        <w:t>警告标志（象形图）；</w:t>
      </w:r>
    </w:p>
    <w:p w14:paraId="08BB03D4">
      <w:pPr>
        <w:pStyle w:val="56"/>
        <w:ind w:firstLine="420"/>
      </w:pPr>
      <w:r>
        <w:rPr>
          <w:rFonts w:hint="eastAsia"/>
        </w:rPr>
        <w:t>b)</w:t>
      </w:r>
      <w:r>
        <w:rPr>
          <w:rFonts w:hint="eastAsia"/>
          <w:lang w:val="en-US" w:eastAsia="zh-CN"/>
        </w:rPr>
        <w:t xml:space="preserve"> </w:t>
      </w:r>
      <w:r>
        <w:rPr>
          <w:rFonts w:hint="eastAsia"/>
        </w:rPr>
        <w:t>安全使用的标签和标识（示例：旋转件的最大转速、最大工作负荷、防护装置调节数据、颜色代码）；</w:t>
      </w:r>
    </w:p>
    <w:p w14:paraId="3A507E4C">
      <w:pPr>
        <w:pStyle w:val="174"/>
        <w:numPr>
          <w:ilvl w:val="0"/>
          <w:numId w:val="0"/>
        </w:numPr>
        <w:tabs>
          <w:tab w:val="clear" w:pos="851"/>
        </w:tabs>
        <w:ind w:left="851" w:hanging="426"/>
      </w:pPr>
      <w:r>
        <w:rPr>
          <w:rFonts w:hint="eastAsia"/>
        </w:rPr>
        <w:t>c)</w:t>
      </w:r>
      <w:r>
        <w:rPr>
          <w:rFonts w:hint="eastAsia"/>
          <w:lang w:val="en-US" w:eastAsia="zh-CN"/>
        </w:rPr>
        <w:t xml:space="preserve"> </w:t>
      </w:r>
      <w:r>
        <w:rPr>
          <w:rFonts w:hint="eastAsia"/>
        </w:rPr>
        <w:t>听觉或视觉信号（示例：喇叭、铃、汽笛、灯）；</w:t>
      </w:r>
    </w:p>
    <w:p w14:paraId="1124D2CF">
      <w:pPr>
        <w:pStyle w:val="174"/>
        <w:numPr>
          <w:ilvl w:val="0"/>
          <w:numId w:val="0"/>
        </w:numPr>
        <w:tabs>
          <w:tab w:val="clear" w:pos="851"/>
        </w:tabs>
        <w:ind w:left="851" w:hanging="426"/>
      </w:pPr>
      <w:r>
        <w:rPr>
          <w:rFonts w:hint="eastAsia"/>
        </w:rPr>
        <w:t>d)</w:t>
      </w:r>
      <w:r>
        <w:rPr>
          <w:rFonts w:hint="eastAsia"/>
          <w:lang w:val="en-US" w:eastAsia="zh-CN"/>
        </w:rPr>
        <w:t xml:space="preserve"> </w:t>
      </w:r>
      <w:r>
        <w:rPr>
          <w:rFonts w:hint="eastAsia"/>
        </w:rPr>
        <w:t>其他警告装置（示例：警示障碍物、振动），使用信息只影响规避伤害的能力。</w:t>
      </w:r>
    </w:p>
    <w:p w14:paraId="47126FC9">
      <w:pPr>
        <w:pStyle w:val="65"/>
        <w:spacing w:before="156" w:after="156"/>
      </w:pPr>
      <w:r>
        <w:rPr>
          <w:rFonts w:hint="eastAsia"/>
          <w14:scene3d>
            <w14:lightRig w14:rig="threePt" w14:dir="t">
              <w14:rot w14:lat="0" w14:lon="0" w14:rev="0"/>
            </w14:lightRig>
          </w14:scene3d>
        </w:rPr>
        <w:t>原材料和设备提供的文件</w:t>
      </w:r>
    </w:p>
    <w:p w14:paraId="37E23D56">
      <w:pPr>
        <w:pStyle w:val="56"/>
        <w:ind w:firstLine="420"/>
      </w:pPr>
      <w:r>
        <w:rPr>
          <w:rFonts w:hint="eastAsia"/>
        </w:rPr>
        <w:t>原材料和设备提供的文件包括：</w:t>
      </w:r>
    </w:p>
    <w:p w14:paraId="5289424D">
      <w:pPr>
        <w:pStyle w:val="174"/>
        <w:numPr>
          <w:ilvl w:val="0"/>
          <w:numId w:val="49"/>
        </w:numPr>
        <w:tabs>
          <w:tab w:val="clear" w:pos="851"/>
        </w:tabs>
        <w:ind w:left="851" w:hanging="426"/>
      </w:pPr>
      <w:r>
        <w:rPr>
          <w:rFonts w:hint="eastAsia"/>
        </w:rPr>
        <w:t>使用说明书；</w:t>
      </w:r>
    </w:p>
    <w:p w14:paraId="0A577CED">
      <w:pPr>
        <w:pStyle w:val="174"/>
        <w:numPr>
          <w:ilvl w:val="0"/>
          <w:numId w:val="49"/>
        </w:numPr>
        <w:tabs>
          <w:tab w:val="clear" w:pos="851"/>
        </w:tabs>
        <w:ind w:left="851" w:leftChars="0" w:hanging="426" w:firstLineChars="0"/>
      </w:pPr>
      <w:r>
        <w:rPr>
          <w:rFonts w:hint="eastAsia"/>
        </w:rPr>
        <w:t>技术数据表。</w:t>
      </w:r>
    </w:p>
    <w:p w14:paraId="39681D6B">
      <w:pPr>
        <w:pStyle w:val="65"/>
        <w:spacing w:before="156" w:after="156"/>
      </w:pPr>
      <w:r>
        <w:rPr>
          <w:rFonts w:hint="eastAsia"/>
          <w14:scene3d>
            <w14:lightRig w14:rig="threePt" w14:dir="t">
              <w14:rot w14:lat="0" w14:lon="0" w14:rev="0"/>
            </w14:lightRig>
          </w14:scene3d>
        </w:rPr>
        <w:t>原材料和设备使用培训</w:t>
      </w:r>
    </w:p>
    <w:p w14:paraId="7F5AB784">
      <w:pPr>
        <w:pStyle w:val="56"/>
        <w:ind w:firstLine="420"/>
      </w:pPr>
      <w:r>
        <w:rPr>
          <w:rFonts w:hint="eastAsia"/>
        </w:rPr>
        <w:t>供应商应在使用说明书中给出任何必须培训的详细资料，以保证每个人都知道如何正确使用设备和采取保护措施，当保护措施的有效性取决于人的行为时，培训和能力是最重要的。培训的内容包括但不限于下列内容：</w:t>
      </w:r>
    </w:p>
    <w:p w14:paraId="041ECBFF">
      <w:pPr>
        <w:pStyle w:val="174"/>
        <w:numPr>
          <w:ilvl w:val="0"/>
          <w:numId w:val="50"/>
        </w:numPr>
        <w:tabs>
          <w:tab w:val="clear" w:pos="851"/>
        </w:tabs>
        <w:ind w:left="851" w:hanging="426"/>
      </w:pPr>
      <w:r>
        <w:rPr>
          <w:rFonts w:hint="eastAsia"/>
        </w:rPr>
        <w:t>随原材料和设备提供的使用信息；</w:t>
      </w:r>
    </w:p>
    <w:p w14:paraId="6C3A7747">
      <w:pPr>
        <w:pStyle w:val="174"/>
        <w:numPr>
          <w:ilvl w:val="0"/>
          <w:numId w:val="50"/>
        </w:numPr>
        <w:tabs>
          <w:tab w:val="clear" w:pos="851"/>
        </w:tabs>
        <w:ind w:left="851" w:leftChars="0" w:hanging="426" w:firstLineChars="0"/>
      </w:pPr>
      <w:r>
        <w:rPr>
          <w:rFonts w:hint="eastAsia"/>
        </w:rPr>
        <w:t>使用者要求的使用信息；</w:t>
      </w:r>
    </w:p>
    <w:p w14:paraId="55A50952">
      <w:pPr>
        <w:pStyle w:val="174"/>
        <w:numPr>
          <w:ilvl w:val="0"/>
          <w:numId w:val="50"/>
        </w:numPr>
        <w:tabs>
          <w:tab w:val="clear" w:pos="851"/>
        </w:tabs>
        <w:ind w:left="851" w:leftChars="0" w:hanging="426" w:firstLineChars="0"/>
      </w:pPr>
      <w:r>
        <w:rPr>
          <w:rFonts w:hint="eastAsia"/>
        </w:rPr>
        <w:t>如可能，供应商提供的专门培训；</w:t>
      </w:r>
    </w:p>
    <w:p w14:paraId="6B702C29">
      <w:pPr>
        <w:pStyle w:val="174"/>
        <w:numPr>
          <w:ilvl w:val="0"/>
          <w:numId w:val="50"/>
        </w:numPr>
        <w:tabs>
          <w:tab w:val="clear" w:pos="851"/>
        </w:tabs>
        <w:ind w:left="851" w:leftChars="0" w:hanging="426" w:firstLineChars="0"/>
      </w:pPr>
      <w:r>
        <w:rPr>
          <w:rFonts w:hint="eastAsia"/>
        </w:rPr>
        <w:t>使用者提供的专门培训。</w:t>
      </w:r>
    </w:p>
    <w:p w14:paraId="2199680C">
      <w:pPr>
        <w:pStyle w:val="56"/>
        <w:ind w:firstLine="420"/>
      </w:pPr>
      <w:r>
        <w:rPr>
          <w:rFonts w:hint="eastAsia"/>
        </w:rPr>
        <w:t>定期检查培训的有效性对保证培训的长期效果是必要的，培训和正确行为的强制执行也是必不可少的。培训主要影响个人规避伤害的能力，还可减少风险事件发生的暴露和降低风险事件发生的概率。</w:t>
      </w:r>
    </w:p>
    <w:p w14:paraId="6AC27E04">
      <w:pPr>
        <w:pStyle w:val="65"/>
        <w:spacing w:before="156" w:after="156"/>
      </w:pPr>
      <w:r>
        <w:rPr>
          <w:rFonts w:hint="eastAsia"/>
          <w14:scene3d>
            <w14:lightRig w14:rig="threePt" w14:dir="t">
              <w14:rot w14:lat="0" w14:lon="0" w14:rev="0"/>
            </w14:lightRig>
          </w14:scene3d>
        </w:rPr>
        <w:t>个体防护装备</w:t>
      </w:r>
    </w:p>
    <w:p w14:paraId="7C88ED70">
      <w:pPr>
        <w:pStyle w:val="56"/>
        <w:ind w:firstLine="420"/>
      </w:pPr>
      <w:r>
        <w:rPr>
          <w:rFonts w:hint="eastAsia"/>
        </w:rPr>
        <w:t>供应商应在使用说明书中给出使用户免受有关遗留风险导致的伤害的所有个体防护装置的详细资料。</w:t>
      </w:r>
    </w:p>
    <w:p w14:paraId="6A04992F">
      <w:pPr>
        <w:pStyle w:val="56"/>
        <w:ind w:firstLine="420"/>
      </w:pPr>
      <w:r>
        <w:rPr>
          <w:rFonts w:hint="eastAsia"/>
        </w:rPr>
        <w:t>常用的个体防护装置包括：</w:t>
      </w:r>
    </w:p>
    <w:p w14:paraId="221ECB1A">
      <w:pPr>
        <w:pStyle w:val="132"/>
      </w:pPr>
      <w:r>
        <w:rPr>
          <w:rFonts w:hint="eastAsia"/>
        </w:rPr>
        <w:t>听力保护装置；</w:t>
      </w:r>
    </w:p>
    <w:p w14:paraId="13BB8411">
      <w:pPr>
        <w:pStyle w:val="132"/>
      </w:pPr>
      <w:r>
        <w:rPr>
          <w:rFonts w:hint="eastAsia"/>
        </w:rPr>
        <w:t>防护镜/护目镜；</w:t>
      </w:r>
    </w:p>
    <w:p w14:paraId="756156BC">
      <w:pPr>
        <w:pStyle w:val="132"/>
      </w:pPr>
      <w:r>
        <w:rPr>
          <w:rFonts w:hint="eastAsia"/>
        </w:rPr>
        <w:t>防护面罩；</w:t>
      </w:r>
    </w:p>
    <w:p w14:paraId="2A80384B">
      <w:pPr>
        <w:pStyle w:val="132"/>
      </w:pPr>
      <w:r>
        <w:rPr>
          <w:rFonts w:hint="eastAsia"/>
        </w:rPr>
        <w:t>防毒面具；</w:t>
      </w:r>
    </w:p>
    <w:p w14:paraId="30DF4D48">
      <w:pPr>
        <w:pStyle w:val="132"/>
      </w:pPr>
      <w:r>
        <w:rPr>
          <w:rFonts w:hint="eastAsia"/>
        </w:rPr>
        <w:t>防护手套；</w:t>
      </w:r>
    </w:p>
    <w:p w14:paraId="79C8C864">
      <w:pPr>
        <w:pStyle w:val="132"/>
      </w:pPr>
      <w:r>
        <w:rPr>
          <w:rFonts w:hint="eastAsia"/>
        </w:rPr>
        <w:t>防护鞋（靴）；</w:t>
      </w:r>
    </w:p>
    <w:p w14:paraId="145694CB">
      <w:pPr>
        <w:pStyle w:val="132"/>
      </w:pPr>
      <w:r>
        <w:rPr>
          <w:rFonts w:hint="eastAsia"/>
        </w:rPr>
        <w:t>防护服；</w:t>
      </w:r>
    </w:p>
    <w:p w14:paraId="60C62642">
      <w:pPr>
        <w:pStyle w:val="132"/>
      </w:pPr>
      <w:r>
        <w:rPr>
          <w:rFonts w:hint="eastAsia"/>
        </w:rPr>
        <w:t>安全帽；</w:t>
      </w:r>
    </w:p>
    <w:p w14:paraId="5DEE8682">
      <w:pPr>
        <w:pStyle w:val="132"/>
      </w:pPr>
      <w:r>
        <w:rPr>
          <w:rFonts w:hint="eastAsia"/>
        </w:rPr>
        <w:t>安全带。</w:t>
      </w:r>
    </w:p>
    <w:p w14:paraId="491DBD5B">
      <w:pPr>
        <w:pStyle w:val="56"/>
        <w:ind w:firstLine="420"/>
      </w:pPr>
      <w:r>
        <w:rPr>
          <w:rFonts w:hint="eastAsia"/>
        </w:rPr>
        <w:t>个体防护装备的可靠性和维护对保证其长期有效是非常重要的。培训和正确行为的强制执行也是必不可少的。选择任何一种个体防护装置都应谨慎，</w:t>
      </w:r>
      <w:bookmarkStart w:id="79" w:name="_GoBack"/>
      <w:r>
        <w:rPr>
          <w:rFonts w:hint="eastAsia"/>
          <w:lang w:val="en-US" w:eastAsia="zh-CN"/>
        </w:rPr>
        <w:t>均应按照相关个体防护装备配备规范执行</w:t>
      </w:r>
      <w:r>
        <w:rPr>
          <w:rFonts w:hint="eastAsia"/>
        </w:rPr>
        <w:t>，根</w:t>
      </w:r>
      <w:bookmarkEnd w:id="79"/>
      <w:r>
        <w:rPr>
          <w:rFonts w:hint="eastAsia"/>
        </w:rPr>
        <w:t>据保护性、舒适性、耐用性和使用频率，以及适应工作的能力等进行配备。</w:t>
      </w:r>
    </w:p>
    <w:p w14:paraId="72DCD996">
      <w:pPr>
        <w:pStyle w:val="65"/>
        <w:spacing w:before="156" w:after="156"/>
      </w:pPr>
      <w:r>
        <w:rPr>
          <w:rFonts w:hint="eastAsia"/>
          <w14:scene3d>
            <w14:lightRig w14:rig="threePt" w14:dir="t">
              <w14:rot w14:lat="0" w14:lon="0" w14:rev="0"/>
            </w14:lightRig>
          </w14:scene3d>
        </w:rPr>
        <w:t>标准操作程序</w:t>
      </w:r>
    </w:p>
    <w:p w14:paraId="09AB376B">
      <w:pPr>
        <w:pStyle w:val="56"/>
        <w:ind w:firstLine="420"/>
      </w:pPr>
      <w:r>
        <w:rPr>
          <w:rFonts w:hint="eastAsia"/>
        </w:rPr>
        <w:t>供应商应在使用说明书中给出有关对设备进行操作或维修的标准操作程序（SOP） 的详细资料。这些程序可能包括下列内容：</w:t>
      </w:r>
    </w:p>
    <w:p w14:paraId="376B0371">
      <w:pPr>
        <w:pStyle w:val="174"/>
        <w:numPr>
          <w:ilvl w:val="0"/>
          <w:numId w:val="51"/>
        </w:numPr>
        <w:tabs>
          <w:tab w:val="clear" w:pos="851"/>
        </w:tabs>
        <w:ind w:left="851" w:hanging="426"/>
      </w:pPr>
      <w:r>
        <w:rPr>
          <w:rFonts w:hint="eastAsia"/>
        </w:rPr>
        <w:t>工作计划和组织；</w:t>
      </w:r>
    </w:p>
    <w:p w14:paraId="0C79E185">
      <w:pPr>
        <w:pStyle w:val="174"/>
        <w:numPr>
          <w:ilvl w:val="0"/>
          <w:numId w:val="51"/>
        </w:numPr>
        <w:tabs>
          <w:tab w:val="clear" w:pos="851"/>
        </w:tabs>
        <w:ind w:left="851" w:leftChars="0" w:hanging="426" w:firstLineChars="0"/>
      </w:pPr>
      <w:r>
        <w:rPr>
          <w:rFonts w:hint="eastAsia"/>
        </w:rPr>
        <w:t>任务、权限、责任的阐明/协调；</w:t>
      </w:r>
    </w:p>
    <w:p w14:paraId="0042AF3C">
      <w:pPr>
        <w:pStyle w:val="174"/>
        <w:numPr>
          <w:ilvl w:val="0"/>
          <w:numId w:val="51"/>
        </w:numPr>
        <w:tabs>
          <w:tab w:val="clear" w:pos="851"/>
        </w:tabs>
        <w:ind w:left="851" w:leftChars="0" w:hanging="426" w:firstLineChars="0"/>
      </w:pPr>
      <w:r>
        <w:rPr>
          <w:rFonts w:hint="eastAsia"/>
        </w:rPr>
        <w:t>监督；</w:t>
      </w:r>
    </w:p>
    <w:p w14:paraId="55B7E076">
      <w:pPr>
        <w:pStyle w:val="174"/>
        <w:numPr>
          <w:ilvl w:val="0"/>
          <w:numId w:val="51"/>
        </w:numPr>
        <w:tabs>
          <w:tab w:val="clear" w:pos="851"/>
        </w:tabs>
        <w:ind w:left="851" w:leftChars="0" w:hanging="426" w:firstLineChars="0"/>
      </w:pPr>
      <w:r>
        <w:rPr>
          <w:rFonts w:hint="eastAsia"/>
        </w:rPr>
        <w:t>锁定程序；</w:t>
      </w:r>
    </w:p>
    <w:p w14:paraId="60249957">
      <w:pPr>
        <w:pStyle w:val="174"/>
        <w:numPr>
          <w:ilvl w:val="0"/>
          <w:numId w:val="51"/>
        </w:numPr>
        <w:tabs>
          <w:tab w:val="clear" w:pos="851"/>
        </w:tabs>
        <w:ind w:left="851" w:leftChars="0" w:hanging="426" w:firstLineChars="0"/>
      </w:pPr>
      <w:r>
        <w:rPr>
          <w:rFonts w:hint="eastAsia"/>
        </w:rPr>
        <w:t>安全操作方法和程序。</w:t>
      </w:r>
    </w:p>
    <w:p w14:paraId="3C292902">
      <w:pPr>
        <w:pStyle w:val="104"/>
        <w:spacing w:before="312" w:after="312"/>
      </w:pPr>
      <w:bookmarkStart w:id="57" w:name="_Toc12598"/>
      <w:r>
        <w:rPr>
          <w:rFonts w:hint="eastAsia"/>
        </w:rPr>
        <w:t>风险评估迭代</w:t>
      </w:r>
      <w:bookmarkEnd w:id="57"/>
    </w:p>
    <w:p w14:paraId="783A4C16">
      <w:pPr>
        <w:pStyle w:val="56"/>
        <w:ind w:firstLine="420"/>
      </w:pPr>
      <w:r>
        <w:rPr>
          <w:rFonts w:hint="eastAsia"/>
        </w:rPr>
        <w:t>采取了保护和风险防控措施，风险评估的所有阶段都应重复进行以下核查：</w:t>
      </w:r>
    </w:p>
    <w:p w14:paraId="03BE305E">
      <w:pPr>
        <w:pStyle w:val="174"/>
        <w:numPr>
          <w:ilvl w:val="0"/>
          <w:numId w:val="52"/>
        </w:numPr>
        <w:tabs>
          <w:tab w:val="clear" w:pos="851"/>
        </w:tabs>
        <w:ind w:left="851" w:hanging="426"/>
      </w:pPr>
      <w:r>
        <w:rPr>
          <w:rFonts w:hint="eastAsia"/>
        </w:rPr>
        <w:t>对职业工作内容是否有任何改变；</w:t>
      </w:r>
    </w:p>
    <w:p w14:paraId="3240511F">
      <w:pPr>
        <w:pStyle w:val="174"/>
        <w:numPr>
          <w:ilvl w:val="0"/>
          <w:numId w:val="52"/>
        </w:numPr>
        <w:tabs>
          <w:tab w:val="clear" w:pos="851"/>
        </w:tabs>
        <w:ind w:left="851" w:leftChars="0" w:hanging="426" w:firstLineChars="0"/>
      </w:pPr>
      <w:r>
        <w:rPr>
          <w:rFonts w:hint="eastAsia"/>
        </w:rPr>
        <w:t>是否引起了任何新的风险或危险状态；</w:t>
      </w:r>
    </w:p>
    <w:p w14:paraId="28942AF2">
      <w:pPr>
        <w:pStyle w:val="174"/>
        <w:numPr>
          <w:ilvl w:val="0"/>
          <w:numId w:val="52"/>
        </w:numPr>
        <w:tabs>
          <w:tab w:val="clear" w:pos="851"/>
        </w:tabs>
        <w:ind w:left="851" w:leftChars="0" w:hanging="426" w:firstLineChars="0"/>
      </w:pPr>
      <w:r>
        <w:rPr>
          <w:rFonts w:hint="eastAsia"/>
        </w:rPr>
        <w:t>是否增加了现存危险状态的风险，</w:t>
      </w:r>
    </w:p>
    <w:p w14:paraId="1E1B3D78">
      <w:pPr>
        <w:pStyle w:val="174"/>
        <w:numPr>
          <w:ilvl w:val="0"/>
          <w:numId w:val="52"/>
        </w:numPr>
        <w:tabs>
          <w:tab w:val="clear" w:pos="851"/>
        </w:tabs>
        <w:ind w:left="851" w:leftChars="0" w:hanging="426" w:firstLineChars="0"/>
      </w:pPr>
      <w:r>
        <w:rPr>
          <w:rFonts w:hint="eastAsia"/>
        </w:rPr>
        <w:t>保护措施是否充分减小风险；</w:t>
      </w:r>
    </w:p>
    <w:p w14:paraId="281A7A33">
      <w:pPr>
        <w:pStyle w:val="174"/>
        <w:numPr>
          <w:ilvl w:val="0"/>
          <w:numId w:val="52"/>
        </w:numPr>
        <w:tabs>
          <w:tab w:val="clear" w:pos="851"/>
        </w:tabs>
        <w:ind w:left="851" w:leftChars="0" w:hanging="426" w:firstLineChars="0"/>
      </w:pPr>
      <w:r>
        <w:rPr>
          <w:rFonts w:hint="eastAsia"/>
        </w:rPr>
        <w:t>是否需要附加保护措施；</w:t>
      </w:r>
    </w:p>
    <w:p w14:paraId="4E8BD820">
      <w:pPr>
        <w:pStyle w:val="174"/>
        <w:numPr>
          <w:ilvl w:val="0"/>
          <w:numId w:val="52"/>
        </w:numPr>
        <w:tabs>
          <w:tab w:val="clear" w:pos="851"/>
        </w:tabs>
        <w:ind w:left="851" w:leftChars="0" w:hanging="426" w:firstLineChars="0"/>
      </w:pPr>
      <w:r>
        <w:rPr>
          <w:rFonts w:hint="eastAsia"/>
        </w:rPr>
        <w:t>是否达到风险防控措施目标。</w:t>
      </w:r>
    </w:p>
    <w:p w14:paraId="41B75580">
      <w:pPr>
        <w:pStyle w:val="56"/>
        <w:ind w:firstLine="420"/>
      </w:pPr>
      <w:r>
        <w:rPr>
          <w:rFonts w:hint="eastAsia"/>
        </w:rPr>
        <w:t>在进行风险评估迭代时，应考虑保护措施的可靠性、易用性、损坏或规避保护措施的可能性及维护保护措施的能力，还应考虑到职工主观认为保护措施完好，对保护措施失效毫无准备的可能性。</w:t>
      </w:r>
    </w:p>
    <w:p w14:paraId="39AEC60C">
      <w:pPr>
        <w:pStyle w:val="104"/>
        <w:spacing w:before="312" w:after="312"/>
      </w:pPr>
      <w:bookmarkStart w:id="58" w:name="_Toc23058"/>
      <w:r>
        <w:rPr>
          <w:rFonts w:hint="eastAsia"/>
        </w:rPr>
        <w:t>风险评估文件</w:t>
      </w:r>
      <w:bookmarkEnd w:id="58"/>
    </w:p>
    <w:p w14:paraId="2EA1F176">
      <w:pPr>
        <w:pStyle w:val="162"/>
      </w:pPr>
      <w:r>
        <w:rPr>
          <w:rFonts w:hint="eastAsia"/>
        </w:rPr>
        <w:t>应编写并保留所有的风险评估书面报告作为工伤预防和培训工作前的素材及参考依据。</w:t>
      </w:r>
    </w:p>
    <w:p w14:paraId="5CF46BF4">
      <w:pPr>
        <w:pStyle w:val="162"/>
        <w:numPr>
          <w:ilvl w:val="2"/>
          <w:numId w:val="0"/>
        </w:numPr>
      </w:pPr>
      <w:r>
        <w:rPr>
          <w:rFonts w:hint="eastAsia" w:ascii="黑体" w:eastAsia="黑体"/>
          <w14:scene3d>
            <w14:lightRig w14:rig="threePt" w14:dir="t">
              <w14:rot w14:lat="0" w14:lon="0" w14:rev="0"/>
            </w14:lightRig>
          </w14:scene3d>
        </w:rPr>
        <w:t>10.2　</w:t>
      </w:r>
      <w:r>
        <w:rPr>
          <w:rFonts w:hint="eastAsia"/>
        </w:rPr>
        <w:t>为了日后能审查风险评估所作出的决定，应以文件形式将风险评估过程正确的记录下来。该文件应按照如下要求记录评估结果：</w:t>
      </w:r>
    </w:p>
    <w:p w14:paraId="10F7C5DF">
      <w:pPr>
        <w:pStyle w:val="174"/>
        <w:numPr>
          <w:ilvl w:val="0"/>
          <w:numId w:val="0"/>
        </w:numPr>
        <w:tabs>
          <w:tab w:val="clear" w:pos="851"/>
        </w:tabs>
        <w:ind w:firstLine="420" w:firstLineChars="200"/>
      </w:pPr>
      <w:r>
        <w:rPr>
          <w:rFonts w:hint="eastAsia"/>
        </w:rPr>
        <w:t>a)</w:t>
      </w:r>
      <w:r>
        <w:rPr>
          <w:rFonts w:hint="eastAsia"/>
          <w:lang w:val="en-US" w:eastAsia="zh-CN"/>
        </w:rPr>
        <w:t xml:space="preserve"> </w:t>
      </w:r>
      <w:r>
        <w:rPr>
          <w:rFonts w:hint="eastAsia"/>
        </w:rPr>
        <w:t>已评估的职工岗位职业（使用工具、设备、操作形式（人工/自动控制）、加工制品、工作运动/移动范围、提供辅助工作的设备及平台稳定性/机动性、所处环境类别）；</w:t>
      </w:r>
    </w:p>
    <w:p w14:paraId="27D1D761">
      <w:pPr>
        <w:pStyle w:val="174"/>
        <w:numPr>
          <w:ilvl w:val="0"/>
          <w:numId w:val="0"/>
        </w:numPr>
        <w:tabs>
          <w:tab w:val="clear" w:pos="851"/>
        </w:tabs>
        <w:ind w:left="851" w:hanging="426"/>
      </w:pPr>
      <w:r>
        <w:rPr>
          <w:rFonts w:hint="eastAsia"/>
        </w:rPr>
        <w:t>b)</w:t>
      </w:r>
      <w:r>
        <w:rPr>
          <w:rFonts w:hint="eastAsia"/>
          <w:lang w:val="en-US" w:eastAsia="zh-CN"/>
        </w:rPr>
        <w:t xml:space="preserve"> </w:t>
      </w:r>
      <w:r>
        <w:rPr>
          <w:rFonts w:hint="eastAsia"/>
        </w:rPr>
        <w:t>已做的任何相关假设（预定工作过程、可预见的事故、其可能工作所处环境风险等）；</w:t>
      </w:r>
    </w:p>
    <w:p w14:paraId="00853E20">
      <w:pPr>
        <w:pStyle w:val="174"/>
        <w:numPr>
          <w:ilvl w:val="0"/>
          <w:numId w:val="0"/>
        </w:numPr>
        <w:tabs>
          <w:tab w:val="clear" w:pos="851"/>
        </w:tabs>
        <w:ind w:left="851" w:hanging="426"/>
      </w:pPr>
      <w:r>
        <w:rPr>
          <w:rFonts w:hint="eastAsia"/>
        </w:rPr>
        <w:t>c)</w:t>
      </w:r>
      <w:r>
        <w:rPr>
          <w:rFonts w:hint="eastAsia"/>
          <w:lang w:val="en-US" w:eastAsia="zh-CN"/>
        </w:rPr>
        <w:t xml:space="preserve"> </w:t>
      </w:r>
      <w:r>
        <w:rPr>
          <w:rFonts w:hint="eastAsia"/>
        </w:rPr>
        <w:t>风险评估中所识别的风险、危险状态以及所考虑的风险事件；</w:t>
      </w:r>
    </w:p>
    <w:p w14:paraId="0EAE5A24">
      <w:pPr>
        <w:pStyle w:val="174"/>
        <w:numPr>
          <w:ilvl w:val="0"/>
          <w:numId w:val="0"/>
        </w:numPr>
        <w:tabs>
          <w:tab w:val="clear" w:pos="851"/>
        </w:tabs>
        <w:ind w:left="851" w:hanging="426"/>
      </w:pPr>
      <w:r>
        <w:rPr>
          <w:rFonts w:hint="eastAsia"/>
        </w:rPr>
        <w:t>d)</w:t>
      </w:r>
      <w:r>
        <w:rPr>
          <w:rFonts w:hint="eastAsia"/>
          <w:lang w:val="en-US" w:eastAsia="zh-CN"/>
        </w:rPr>
        <w:t xml:space="preserve"> </w:t>
      </w:r>
      <w:r>
        <w:rPr>
          <w:rFonts w:hint="eastAsia"/>
        </w:rPr>
        <w:t>风险评估所依据的信息：</w:t>
      </w:r>
    </w:p>
    <w:p w14:paraId="7D1E134E">
      <w:pPr>
        <w:pStyle w:val="109"/>
        <w:numPr>
          <w:ilvl w:val="1"/>
          <w:numId w:val="0"/>
        </w:numPr>
        <w:tabs>
          <w:tab w:val="left" w:pos="851"/>
          <w:tab w:val="clear" w:pos="1276"/>
        </w:tabs>
        <w:ind w:left="1276" w:hanging="425"/>
      </w:pPr>
      <w:r>
        <w:rPr>
          <w:rFonts w:hint="eastAsia"/>
        </w:rPr>
        <w:t>1)</w:t>
      </w:r>
      <w:r>
        <w:rPr>
          <w:rFonts w:hint="eastAsia"/>
          <w:lang w:val="en-US" w:eastAsia="zh-CN"/>
        </w:rPr>
        <w:t xml:space="preserve"> </w:t>
      </w:r>
      <w:r>
        <w:rPr>
          <w:rFonts w:hint="eastAsia"/>
        </w:rPr>
        <w:t>所使用的数据及原始资料（工伤事故历史记录、适用于类似工伤风险防控措施经验等）；</w:t>
      </w:r>
    </w:p>
    <w:p w14:paraId="6A0C78B6">
      <w:pPr>
        <w:pStyle w:val="109"/>
        <w:numPr>
          <w:ilvl w:val="1"/>
          <w:numId w:val="0"/>
        </w:numPr>
        <w:tabs>
          <w:tab w:val="left" w:pos="851"/>
          <w:tab w:val="clear" w:pos="1276"/>
        </w:tabs>
        <w:ind w:left="1276" w:hanging="425"/>
      </w:pPr>
      <w:r>
        <w:rPr>
          <w:rFonts w:hint="eastAsia"/>
        </w:rPr>
        <w:t>2)</w:t>
      </w:r>
      <w:r>
        <w:rPr>
          <w:rFonts w:hint="eastAsia"/>
          <w:lang w:val="en-US" w:eastAsia="zh-CN"/>
        </w:rPr>
        <w:t xml:space="preserve"> </w:t>
      </w:r>
      <w:r>
        <w:rPr>
          <w:rFonts w:hint="eastAsia"/>
        </w:rPr>
        <w:t>与所使用的数据有关的不确定性及其对风险评估的影响。</w:t>
      </w:r>
    </w:p>
    <w:p w14:paraId="60E1DEBE">
      <w:pPr>
        <w:pStyle w:val="174"/>
        <w:numPr>
          <w:ilvl w:val="0"/>
          <w:numId w:val="0"/>
        </w:numPr>
        <w:tabs>
          <w:tab w:val="clear" w:pos="851"/>
        </w:tabs>
        <w:ind w:left="851" w:hanging="426"/>
      </w:pPr>
      <w:r>
        <w:rPr>
          <w:rFonts w:hint="eastAsia"/>
        </w:rPr>
        <w:t>e)</w:t>
      </w:r>
      <w:r>
        <w:rPr>
          <w:rFonts w:hint="eastAsia"/>
          <w:lang w:val="en-US" w:eastAsia="zh-CN"/>
        </w:rPr>
        <w:t xml:space="preserve"> </w:t>
      </w:r>
      <w:r>
        <w:rPr>
          <w:rFonts w:hint="eastAsia"/>
        </w:rPr>
        <w:t>通过保护措施所达到的风险防控措施目标；</w:t>
      </w:r>
    </w:p>
    <w:p w14:paraId="73C1F6E0">
      <w:pPr>
        <w:pStyle w:val="174"/>
        <w:numPr>
          <w:ilvl w:val="0"/>
          <w:numId w:val="0"/>
        </w:numPr>
        <w:tabs>
          <w:tab w:val="clear" w:pos="851"/>
        </w:tabs>
        <w:ind w:left="851" w:hanging="426"/>
      </w:pPr>
      <w:r>
        <w:rPr>
          <w:rFonts w:hint="eastAsia"/>
        </w:rPr>
        <w:t>f)</w:t>
      </w:r>
      <w:r>
        <w:rPr>
          <w:rFonts w:hint="eastAsia"/>
          <w:lang w:val="en-US" w:eastAsia="zh-CN"/>
        </w:rPr>
        <w:t xml:space="preserve"> </w:t>
      </w:r>
      <w:r>
        <w:rPr>
          <w:rFonts w:hint="eastAsia"/>
        </w:rPr>
        <w:t>用于消除已识别的危险或减小风险的保护措施；</w:t>
      </w:r>
    </w:p>
    <w:p w14:paraId="55AEA32D">
      <w:pPr>
        <w:pStyle w:val="174"/>
        <w:numPr>
          <w:ilvl w:val="0"/>
          <w:numId w:val="0"/>
        </w:numPr>
        <w:tabs>
          <w:tab w:val="clear" w:pos="851"/>
        </w:tabs>
        <w:ind w:left="851" w:hanging="426"/>
      </w:pPr>
      <w:r>
        <w:rPr>
          <w:rFonts w:hint="eastAsia"/>
        </w:rPr>
        <w:t>g)</w:t>
      </w:r>
      <w:r>
        <w:rPr>
          <w:rFonts w:hint="eastAsia"/>
          <w:lang w:val="en-US" w:eastAsia="zh-CN"/>
        </w:rPr>
        <w:t xml:space="preserve"> </w:t>
      </w:r>
      <w:r>
        <w:rPr>
          <w:rFonts w:hint="eastAsia"/>
        </w:rPr>
        <w:t>与该职工岗位职业有关的剩余风险；</w:t>
      </w:r>
    </w:p>
    <w:p w14:paraId="7CE18D24">
      <w:pPr>
        <w:pStyle w:val="174"/>
        <w:numPr>
          <w:ilvl w:val="0"/>
          <w:numId w:val="0"/>
        </w:numPr>
        <w:tabs>
          <w:tab w:val="clear" w:pos="851"/>
        </w:tabs>
        <w:ind w:left="851" w:hanging="426"/>
      </w:pPr>
      <w:r>
        <w:rPr>
          <w:rFonts w:hint="eastAsia"/>
        </w:rPr>
        <w:t>h)</w:t>
      </w:r>
      <w:r>
        <w:rPr>
          <w:rFonts w:hint="eastAsia"/>
          <w:lang w:val="en-US" w:eastAsia="zh-CN"/>
        </w:rPr>
        <w:t xml:space="preserve"> </w:t>
      </w:r>
      <w:r>
        <w:rPr>
          <w:rFonts w:hint="eastAsia"/>
        </w:rPr>
        <w:t>风险评估的结果</w:t>
      </w:r>
    </w:p>
    <w:p w14:paraId="284144B3">
      <w:pPr>
        <w:pStyle w:val="174"/>
        <w:numPr>
          <w:ilvl w:val="0"/>
          <w:numId w:val="0"/>
        </w:numPr>
        <w:tabs>
          <w:tab w:val="clear" w:pos="851"/>
        </w:tabs>
        <w:ind w:left="851" w:hanging="426"/>
      </w:pPr>
      <w:r>
        <w:rPr>
          <w:rFonts w:hint="eastAsia"/>
        </w:rPr>
        <w:t>i)</w:t>
      </w:r>
      <w:r>
        <w:rPr>
          <w:rFonts w:hint="eastAsia"/>
          <w:lang w:val="en-US" w:eastAsia="zh-CN"/>
        </w:rPr>
        <w:t xml:space="preserve"> </w:t>
      </w:r>
      <w:r>
        <w:rPr>
          <w:rFonts w:hint="eastAsia"/>
        </w:rPr>
        <w:t>风险评估过程中完成的所有表格。</w:t>
      </w:r>
    </w:p>
    <w:p w14:paraId="53D24B36">
      <w:pPr>
        <w:pStyle w:val="56"/>
        <w:ind w:firstLine="420"/>
      </w:pPr>
    </w:p>
    <w:p w14:paraId="5B7E741B">
      <w:pPr>
        <w:pStyle w:val="56"/>
        <w:ind w:firstLine="0" w:firstLineChars="0"/>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type="lines" w:linePitch="312" w:charSpace="0"/>
        </w:sectPr>
      </w:pPr>
    </w:p>
    <w:bookmarkEnd w:id="7"/>
    <w:p w14:paraId="7894898C">
      <w:pPr>
        <w:pStyle w:val="198"/>
        <w:rPr>
          <w:vanish w:val="0"/>
        </w:rPr>
      </w:pPr>
      <w:bookmarkStart w:id="59" w:name="BookMark5"/>
    </w:p>
    <w:p w14:paraId="760A6D0C">
      <w:pPr>
        <w:pStyle w:val="199"/>
        <w:rPr>
          <w:vanish w:val="0"/>
        </w:rPr>
      </w:pPr>
    </w:p>
    <w:p w14:paraId="25A960DF">
      <w:pPr>
        <w:pStyle w:val="76"/>
        <w:spacing w:after="120"/>
      </w:pPr>
      <w:bookmarkStart w:id="60" w:name="_Toc13359"/>
      <w:r>
        <w:br w:type="textWrapping"/>
      </w:r>
      <w:bookmarkStart w:id="61" w:name="_Toc150014782"/>
      <w:r>
        <w:rPr>
          <w:rFonts w:hint="eastAsia"/>
        </w:rPr>
        <w:t>（资料性）</w:t>
      </w:r>
      <w:r>
        <w:br w:type="textWrapping"/>
      </w:r>
      <w:bookmarkEnd w:id="61"/>
      <w:bookmarkStart w:id="62" w:name="_Toc176814019"/>
      <w:bookmarkStart w:id="63" w:name="_Toc18926"/>
      <w:bookmarkStart w:id="64" w:name="_Toc176862483"/>
      <w:bookmarkStart w:id="65" w:name="_Toc167717964"/>
      <w:bookmarkStart w:id="66" w:name="_Toc176814584"/>
      <w:r>
        <w:rPr>
          <w:rFonts w:hint="eastAsia"/>
        </w:rPr>
        <w:t>用于风险评估过程的几个步骤的方法的示例</w:t>
      </w:r>
      <w:bookmarkEnd w:id="60"/>
      <w:bookmarkEnd w:id="62"/>
      <w:bookmarkEnd w:id="63"/>
      <w:bookmarkEnd w:id="64"/>
      <w:bookmarkEnd w:id="65"/>
      <w:bookmarkEnd w:id="66"/>
    </w:p>
    <w:p w14:paraId="7934C037">
      <w:pPr>
        <w:pStyle w:val="78"/>
        <w:spacing w:before="120" w:after="120"/>
      </w:pPr>
      <w:bookmarkStart w:id="67" w:name="_Toc24569"/>
      <w:r>
        <w:rPr>
          <w:rFonts w:hint="eastAsia"/>
        </w:rPr>
        <w:t>概述</w:t>
      </w:r>
      <w:bookmarkEnd w:id="67"/>
    </w:p>
    <w:p w14:paraId="341478B8">
      <w:pPr>
        <w:pStyle w:val="56"/>
        <w:ind w:firstLine="420"/>
      </w:pPr>
      <w:r>
        <w:rPr>
          <w:rFonts w:hint="eastAsia"/>
        </w:rPr>
        <w:t>本附录是在风险评估过程中可能被采用的方法的示例。这些方法只是所有有效评估方法中的一种，本部分中出现的方法并不表示 它们是必须采用的评估方法。</w:t>
      </w:r>
    </w:p>
    <w:p w14:paraId="2B803A25">
      <w:pPr>
        <w:pStyle w:val="56"/>
        <w:ind w:firstLine="420"/>
      </w:pPr>
      <w:r>
        <w:rPr>
          <w:rFonts w:hint="eastAsia"/>
        </w:rPr>
        <w:t>由于实际情况随职业任务的不同而不同，这些示例并没有覆盖所有可能的情况。执行风险评估的人员所作出的选择受许多不同因素的影响，也会导致不同的结果。</w:t>
      </w:r>
    </w:p>
    <w:p w14:paraId="6B4A4656">
      <w:pPr>
        <w:pStyle w:val="56"/>
        <w:ind w:firstLine="420"/>
      </w:pPr>
      <w:r>
        <w:rPr>
          <w:rFonts w:hint="eastAsia"/>
        </w:rPr>
        <w:t>提供这些示例是为了向本文件的使用者说明，在选择一种特定方法时，如何进行实际的风险识别或风险评估。给出的示例如下：</w:t>
      </w:r>
    </w:p>
    <w:p w14:paraId="06771CB1">
      <w:pPr>
        <w:pStyle w:val="174"/>
        <w:numPr>
          <w:ilvl w:val="0"/>
          <w:numId w:val="0"/>
        </w:numPr>
        <w:ind w:left="425"/>
      </w:pPr>
      <w:r>
        <w:rPr>
          <w:rFonts w:hint="eastAsia"/>
        </w:rPr>
        <w:t>a)</w:t>
      </w:r>
      <w:r>
        <w:rPr>
          <w:rFonts w:hint="eastAsia"/>
          <w:lang w:val="en-US" w:eastAsia="zh-CN"/>
        </w:rPr>
        <w:t xml:space="preserve"> </w:t>
      </w:r>
      <w:r>
        <w:rPr>
          <w:rFonts w:hint="eastAsia"/>
        </w:rPr>
        <w:t>通过使用表格的风险识别（见A.2）；</w:t>
      </w:r>
    </w:p>
    <w:p w14:paraId="42BC4B6C">
      <w:pPr>
        <w:pStyle w:val="174"/>
        <w:numPr>
          <w:ilvl w:val="0"/>
          <w:numId w:val="0"/>
        </w:numPr>
        <w:ind w:left="425"/>
      </w:pPr>
      <w:r>
        <w:rPr>
          <w:rFonts w:hint="eastAsia"/>
        </w:rPr>
        <w:t>b)</w:t>
      </w:r>
      <w:r>
        <w:rPr>
          <w:rFonts w:hint="eastAsia"/>
          <w:lang w:val="en-US" w:eastAsia="zh-CN"/>
        </w:rPr>
        <w:t xml:space="preserve"> </w:t>
      </w:r>
      <w:r>
        <w:rPr>
          <w:rFonts w:hint="eastAsia"/>
        </w:rPr>
        <w:t>风险矩阵（见 A.3）；</w:t>
      </w:r>
    </w:p>
    <w:p w14:paraId="7E6FAC88">
      <w:pPr>
        <w:pStyle w:val="56"/>
        <w:ind w:firstLine="420"/>
      </w:pPr>
      <w:r>
        <w:rPr>
          <w:rFonts w:hint="eastAsia"/>
        </w:rPr>
        <w:t>对于与长期伤害（如那些由噪声、材料和物质，振动、辐射或人类功效学相关等引起的伤害）或具有非常严重后果（如火灾或爆炸）有关的特定风险，宜采用特殊的风险评估方法。</w:t>
      </w:r>
    </w:p>
    <w:p w14:paraId="4470CC00">
      <w:pPr>
        <w:pStyle w:val="56"/>
        <w:ind w:firstLine="420"/>
      </w:pPr>
      <w:r>
        <w:rPr>
          <w:rFonts w:hint="eastAsia"/>
        </w:rPr>
        <w:t>风险评估并不是科学试验，因此，最好把资源用于减小风险的努力上，而不是优化评定风险等级。</w:t>
      </w:r>
    </w:p>
    <w:p w14:paraId="6549700D">
      <w:pPr>
        <w:pStyle w:val="179"/>
      </w:pPr>
      <w:r>
        <w:rPr>
          <w:rFonts w:hint="eastAsia"/>
        </w:rPr>
        <w:t>这些示例仅说明怎样才能选择和使用这些工具/方法。它们并不是供给使用者的综合使用指南，且没有涵盖所有的方法。</w:t>
      </w:r>
    </w:p>
    <w:p w14:paraId="1E97FBD3">
      <w:pPr>
        <w:pStyle w:val="78"/>
        <w:spacing w:before="120" w:after="120"/>
      </w:pPr>
      <w:bookmarkStart w:id="68" w:name="_Toc3991"/>
      <w:bookmarkStart w:id="69" w:name="_Toc176814586"/>
      <w:bookmarkStart w:id="70" w:name="_Toc17838"/>
      <w:r>
        <w:rPr>
          <w:rFonts w:hint="eastAsia"/>
        </w:rPr>
        <w:t>通过使用表格的风险识别</w:t>
      </w:r>
      <w:bookmarkEnd w:id="68"/>
      <w:bookmarkEnd w:id="69"/>
      <w:bookmarkEnd w:id="70"/>
    </w:p>
    <w:p w14:paraId="4FD91D63">
      <w:pPr>
        <w:pStyle w:val="79"/>
        <w:spacing w:before="120" w:after="120"/>
      </w:pPr>
      <w:r>
        <w:rPr>
          <w:rFonts w:hint="eastAsia"/>
        </w:rPr>
        <w:t>概述</w:t>
      </w:r>
    </w:p>
    <w:p w14:paraId="48C8D0EA">
      <w:pPr>
        <w:pStyle w:val="56"/>
        <w:ind w:firstLine="420"/>
      </w:pPr>
      <w:r>
        <w:rPr>
          <w:rFonts w:hint="eastAsia"/>
        </w:rPr>
        <w:t>本案例目的是展示一种以所定义的检查清单作为主要工具的风险识别方法。</w:t>
      </w:r>
    </w:p>
    <w:p w14:paraId="6B5C2475">
      <w:pPr>
        <w:pStyle w:val="56"/>
        <w:ind w:firstLine="420"/>
      </w:pPr>
      <w:r>
        <w:rPr>
          <w:rFonts w:hint="eastAsia"/>
        </w:rPr>
        <w:t>这些清单并非是全面的，它们更适合用作识别有关风险的起点。因此，为了保证较全面的风险识别，还应考虑其他资源（如法规、标准、行业知识等）。</w:t>
      </w:r>
    </w:p>
    <w:p w14:paraId="07001EC7">
      <w:pPr>
        <w:pStyle w:val="56"/>
        <w:ind w:firstLine="420"/>
      </w:pPr>
      <w:r>
        <w:rPr>
          <w:rFonts w:hint="eastAsia"/>
        </w:rPr>
        <w:t>本方法可以用基于头脑风暴、与类似职业的比较、类似职业有关的事故和/或事件的数据检查等其他方法来补充。</w:t>
      </w:r>
    </w:p>
    <w:p w14:paraId="0F6F216F">
      <w:pPr>
        <w:pStyle w:val="56"/>
        <w:ind w:firstLine="420"/>
      </w:pPr>
      <w:r>
        <w:rPr>
          <w:rFonts w:hint="eastAsia"/>
        </w:rPr>
        <w:t>用于风险评估的有效信息（见职业大典）和岗位工种工作内容的确定越全面、详细，该方法的效果越好。</w:t>
      </w:r>
    </w:p>
    <w:p w14:paraId="64F23C69">
      <w:pPr>
        <w:pStyle w:val="56"/>
        <w:ind w:firstLine="420"/>
      </w:pPr>
      <w:r>
        <w:rPr>
          <w:rFonts w:hint="eastAsia"/>
        </w:rPr>
        <w:t>该方法适用于职业工作内的任何阶段。</w:t>
      </w:r>
    </w:p>
    <w:p w14:paraId="175AC52F">
      <w:pPr>
        <w:pStyle w:val="79"/>
        <w:spacing w:before="120" w:after="120"/>
      </w:pPr>
      <w:r>
        <w:rPr>
          <w:rFonts w:hint="eastAsia"/>
        </w:rPr>
        <w:t>工具或方法的描述</w:t>
      </w:r>
    </w:p>
    <w:p w14:paraId="4EF975F1">
      <w:pPr>
        <w:pStyle w:val="56"/>
        <w:ind w:firstLine="420"/>
      </w:pPr>
      <w:r>
        <w:rPr>
          <w:rFonts w:hint="eastAsia"/>
        </w:rPr>
        <w:t>考虑到岗位职业工作内容的限制：</w:t>
      </w:r>
    </w:p>
    <w:p w14:paraId="63091BDC">
      <w:pPr>
        <w:pStyle w:val="56"/>
        <w:ind w:firstLine="420"/>
      </w:pPr>
      <w:r>
        <w:rPr>
          <w:rFonts w:hint="eastAsia"/>
        </w:rPr>
        <w:t>第一步是确定将要分析的职业工作内容的范围，如职业说明、任务中使用的工具、机器设备及检维修内容等。</w:t>
      </w:r>
    </w:p>
    <w:p w14:paraId="33E32488">
      <w:pPr>
        <w:pStyle w:val="56"/>
        <w:ind w:firstLine="420"/>
      </w:pPr>
      <w:r>
        <w:rPr>
          <w:rFonts w:hint="eastAsia"/>
        </w:rPr>
        <w:t>第二步是确定在每个选定的工作步骤中，由与设备相互作用的或在设备附近的人员执行的任务或由设备执行的操作。</w:t>
      </w:r>
    </w:p>
    <w:p w14:paraId="69E07297">
      <w:pPr>
        <w:pStyle w:val="56"/>
        <w:ind w:firstLine="420"/>
      </w:pPr>
      <w:r>
        <w:rPr>
          <w:rFonts w:hint="eastAsia"/>
        </w:rPr>
        <w:t>第三步是对每个特定风险区内的每个任务或操作，检查有关风险和可能的事故场景。如果起点是潜在后果（伤害），这一步可采用自上而下法来完成；如果起点是风险源，则采用自下而上法。</w:t>
      </w:r>
    </w:p>
    <w:p w14:paraId="11EA1344">
      <w:pPr>
        <w:pStyle w:val="79"/>
        <w:spacing w:before="120" w:after="120"/>
      </w:pPr>
      <w:r>
        <w:rPr>
          <w:rFonts w:hint="eastAsia"/>
        </w:rPr>
        <w:t>文件</w:t>
      </w:r>
    </w:p>
    <w:p w14:paraId="5E487567">
      <w:pPr>
        <w:pStyle w:val="56"/>
        <w:ind w:firstLine="420"/>
      </w:pPr>
      <w:r>
        <w:rPr>
          <w:rFonts w:hint="eastAsia"/>
        </w:rPr>
        <w:t>如表A.1 形式的表格可用于记录该风险识别的结果。</w:t>
      </w:r>
    </w:p>
    <w:p w14:paraId="6F348646">
      <w:pPr>
        <w:pStyle w:val="79"/>
        <w:spacing w:before="120" w:after="120"/>
      </w:pPr>
      <w:r>
        <w:rPr>
          <w:rFonts w:hint="eastAsia"/>
        </w:rPr>
        <w:t>应用</w:t>
      </w:r>
    </w:p>
    <w:p w14:paraId="32394AA6">
      <w:pPr>
        <w:pStyle w:val="81"/>
        <w:spacing w:before="120" w:after="120"/>
      </w:pPr>
      <w:r>
        <w:rPr>
          <w:rFonts w:hint="eastAsia"/>
        </w:rPr>
        <w:t>概述</w:t>
      </w:r>
    </w:p>
    <w:p w14:paraId="4575673E">
      <w:pPr>
        <w:pStyle w:val="56"/>
        <w:ind w:firstLine="420"/>
      </w:pPr>
      <w:r>
        <w:rPr>
          <w:rFonts w:hint="eastAsia"/>
        </w:rPr>
        <w:t>这是一个将A.2中所述的方法具体应用示例，该职业工种为：来源于《中华人民共和国职业大典》，生产制造及有关人员（第6大类，GBM60000），机械制造基础加工人员（第18中类6-18,GBM61800），机械冷加工人员（第1小类6-18-01,GBM61801），冲压工（第12细类6-18-01-12）。</w:t>
      </w:r>
    </w:p>
    <w:p w14:paraId="5CD62D0E">
      <w:pPr>
        <w:pStyle w:val="81"/>
        <w:spacing w:before="120" w:after="120"/>
      </w:pPr>
      <w:r>
        <w:rPr>
          <w:rFonts w:hint="eastAsia"/>
        </w:rPr>
        <w:t>分析的系统范围</w:t>
      </w:r>
    </w:p>
    <w:p w14:paraId="025AF4DF">
      <w:pPr>
        <w:pStyle w:val="56"/>
        <w:ind w:firstLine="420"/>
      </w:pPr>
      <w:r>
        <w:rPr>
          <w:rFonts w:hint="eastAsia"/>
        </w:rPr>
        <w:t>该示例仅涉及了与机器操作阶段风险区有关的风险识别，如开机、设定和调整、运行、维护或故障排查。</w:t>
      </w:r>
    </w:p>
    <w:p w14:paraId="5F0F3845">
      <w:pPr>
        <w:pStyle w:val="81"/>
        <w:spacing w:before="120" w:after="120"/>
      </w:pPr>
      <w:r>
        <w:rPr>
          <w:rFonts w:hint="eastAsia"/>
        </w:rPr>
        <w:t>需执行的任务/操作</w:t>
      </w:r>
    </w:p>
    <w:p w14:paraId="505CE6F2">
      <w:pPr>
        <w:pStyle w:val="56"/>
        <w:ind w:firstLine="420"/>
      </w:pPr>
      <w:r>
        <w:rPr>
          <w:rFonts w:hint="eastAsia"/>
        </w:rPr>
        <w:t>这是一个将A.2中所述的方法具体应用示例，该职业工种为：来源于《中华人民共和国职业大典》，生产制造及有关人员（第6大类，GBM60000），机械制造基础加工人员（第18中类6-18,GBM61800），机械冷加工人员（第1小类6-18-01,GBM61801），冲压工（第12细类6-18-01-12）。</w:t>
      </w:r>
    </w:p>
    <w:p w14:paraId="5F48841E">
      <w:pPr>
        <w:pStyle w:val="56"/>
        <w:spacing w:before="120" w:beforeLines="50" w:after="120" w:afterLines="50"/>
        <w:ind w:firstLine="0" w:firstLineChars="0"/>
        <w:rPr>
          <w:rFonts w:ascii="黑体" w:eastAsia="黑体"/>
          <w:kern w:val="21"/>
        </w:rPr>
      </w:pPr>
      <w:r>
        <w:rPr>
          <w:rFonts w:hint="eastAsia" w:ascii="黑体" w:eastAsia="黑体"/>
          <w:kern w:val="21"/>
        </w:rPr>
        <w:t>A.2.4.3.1 冲压工（6-18-01-12）</w:t>
      </w:r>
    </w:p>
    <w:p w14:paraId="16CEFAD4">
      <w:pPr>
        <w:pStyle w:val="56"/>
        <w:ind w:firstLine="420"/>
      </w:pPr>
      <w:r>
        <w:rPr>
          <w:rFonts w:hint="eastAsia"/>
        </w:rPr>
        <w:t>定义：操作冲压、钣金、折弯、卷板等设备，加工处理金属板材、型材、管材及线材等的人员。</w:t>
      </w:r>
    </w:p>
    <w:p w14:paraId="3F425409">
      <w:pPr>
        <w:pStyle w:val="56"/>
        <w:spacing w:before="120" w:beforeLines="50" w:after="120" w:afterLines="50"/>
        <w:ind w:firstLine="0" w:firstLineChars="0"/>
        <w:rPr>
          <w:rFonts w:ascii="黑体" w:eastAsia="黑体"/>
          <w:kern w:val="21"/>
        </w:rPr>
      </w:pPr>
      <w:r>
        <w:rPr>
          <w:rFonts w:hint="eastAsia" w:ascii="黑体" w:eastAsia="黑体"/>
          <w:kern w:val="21"/>
        </w:rPr>
        <w:t>A.2.4.3.2 主要工作任务</w:t>
      </w:r>
    </w:p>
    <w:p w14:paraId="647E21A0">
      <w:pPr>
        <w:pStyle w:val="56"/>
        <w:ind w:firstLine="420"/>
      </w:pPr>
      <w:r>
        <w:rPr>
          <w:rFonts w:hint="eastAsia"/>
        </w:rPr>
        <w:t>冲压工主要工作任务为：</w:t>
      </w:r>
    </w:p>
    <w:p w14:paraId="3293FF6B">
      <w:pPr>
        <w:pStyle w:val="56"/>
        <w:ind w:firstLine="420"/>
      </w:pPr>
      <w:r>
        <w:rPr>
          <w:rFonts w:hint="eastAsia"/>
        </w:rPr>
        <w:t>a) 操作冲压、钣金、折弯、卷板等设备，进行金属材料或坯件的开卷、校平、冲裁、落料、拉深、切边、切割、弯曲等加工；</w:t>
      </w:r>
    </w:p>
    <w:p w14:paraId="4FD29540">
      <w:pPr>
        <w:pStyle w:val="56"/>
        <w:ind w:firstLine="420"/>
      </w:pPr>
      <w:r>
        <w:rPr>
          <w:rFonts w:hint="eastAsia"/>
        </w:rPr>
        <w:t>b) 使用电动、气动或手动工具，进行金属成型零件加工后处理；</w:t>
      </w:r>
    </w:p>
    <w:p w14:paraId="7BC84147">
      <w:pPr>
        <w:pStyle w:val="56"/>
        <w:ind w:firstLine="420"/>
      </w:pPr>
      <w:r>
        <w:rPr>
          <w:rFonts w:hint="eastAsia"/>
        </w:rPr>
        <w:t>c) 检测金属成型零件的尺寸精度和外观质量等；</w:t>
      </w:r>
    </w:p>
    <w:p w14:paraId="0F73A654">
      <w:pPr>
        <w:pStyle w:val="56"/>
        <w:ind w:firstLine="420"/>
      </w:pPr>
      <w:r>
        <w:rPr>
          <w:rFonts w:hint="eastAsia"/>
        </w:rPr>
        <w:t>d) 维护保养设备。</w:t>
      </w:r>
    </w:p>
    <w:p w14:paraId="2DF139B5">
      <w:pPr>
        <w:pStyle w:val="81"/>
        <w:spacing w:before="120" w:after="120"/>
      </w:pPr>
      <w:r>
        <w:rPr>
          <w:rFonts w:hint="eastAsia"/>
        </w:rPr>
        <w:t>需执行的任务/操作</w:t>
      </w:r>
    </w:p>
    <w:p w14:paraId="6BB2E091">
      <w:pPr>
        <w:pStyle w:val="56"/>
        <w:ind w:firstLine="420"/>
      </w:pPr>
      <w:r>
        <w:rPr>
          <w:rFonts w:hint="eastAsia"/>
        </w:rPr>
        <w:t>对于每个规定的任务，通过使用表A.1的“风险”列，采用自下而上的方法核查所有可能的风险源，并识别相关的风险。对于每个相关风险，用表 A.3和表 A.4 给出的清单检查危险状态和风险事件的所有组合。</w:t>
      </w:r>
    </w:p>
    <w:p w14:paraId="3D430E17">
      <w:pPr>
        <w:pStyle w:val="77"/>
        <w:spacing w:before="120" w:after="120"/>
        <w:ind w:firstLine="420"/>
      </w:pPr>
      <w:r>
        <w:rPr>
          <w:rFonts w:hint="eastAsia"/>
        </w:rPr>
        <w:t>用于风险识别的表格的示例</w:t>
      </w:r>
    </w:p>
    <w:tbl>
      <w:tblPr>
        <w:tblStyle w:val="231"/>
        <w:tblW w:w="9130"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66"/>
        <w:gridCol w:w="2160"/>
        <w:gridCol w:w="1950"/>
        <w:gridCol w:w="225"/>
        <w:gridCol w:w="1710"/>
        <w:gridCol w:w="1965"/>
      </w:tblGrid>
      <w:tr w14:paraId="213B2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9130" w:type="dxa"/>
            <w:gridSpan w:val="7"/>
            <w:tcBorders>
              <w:top w:val="single" w:color="000000" w:sz="8" w:space="0"/>
              <w:left w:val="single" w:color="000000" w:sz="8" w:space="0"/>
              <w:bottom w:val="single" w:color="000000" w:sz="8" w:space="0"/>
              <w:right w:val="single" w:color="000000" w:sz="8" w:space="0"/>
            </w:tcBorders>
            <w:vAlign w:val="center"/>
          </w:tcPr>
          <w:p w14:paraId="701BD5E0">
            <w:pPr>
              <w:pStyle w:val="178"/>
            </w:pPr>
            <w:r>
              <w:rPr>
                <w:rFonts w:hint="eastAsia"/>
              </w:rPr>
              <w:t>风险识别</w:t>
            </w:r>
          </w:p>
        </w:tc>
      </w:tr>
      <w:tr w14:paraId="03C2D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3280" w:type="dxa"/>
            <w:gridSpan w:val="3"/>
            <w:tcBorders>
              <w:top w:val="single" w:color="000000" w:sz="8" w:space="0"/>
              <w:left w:val="single" w:color="000000" w:sz="8" w:space="0"/>
              <w:bottom w:val="single" w:color="000000" w:sz="4" w:space="0"/>
            </w:tcBorders>
            <w:vAlign w:val="center"/>
          </w:tcPr>
          <w:p w14:paraId="7AEA6BA6">
            <w:pPr>
              <w:pStyle w:val="178"/>
            </w:pPr>
            <w:r>
              <w:rPr>
                <w:rFonts w:hint="eastAsia"/>
              </w:rPr>
              <w:t>职业工种（识别）</w:t>
            </w:r>
          </w:p>
        </w:tc>
        <w:tc>
          <w:tcPr>
            <w:tcW w:w="2175" w:type="dxa"/>
            <w:gridSpan w:val="2"/>
            <w:tcBorders>
              <w:top w:val="single" w:color="000000" w:sz="8" w:space="0"/>
              <w:bottom w:val="single" w:color="000000" w:sz="4" w:space="0"/>
            </w:tcBorders>
            <w:vAlign w:val="center"/>
          </w:tcPr>
          <w:p w14:paraId="05CDBE0B">
            <w:pPr>
              <w:pStyle w:val="178"/>
            </w:pPr>
          </w:p>
        </w:tc>
        <w:tc>
          <w:tcPr>
            <w:tcW w:w="1710" w:type="dxa"/>
            <w:tcBorders>
              <w:top w:val="single" w:color="000000" w:sz="8" w:space="0"/>
              <w:bottom w:val="single" w:color="000000" w:sz="4" w:space="0"/>
            </w:tcBorders>
            <w:vAlign w:val="center"/>
          </w:tcPr>
          <w:p w14:paraId="553FB259">
            <w:pPr>
              <w:pStyle w:val="178"/>
            </w:pPr>
            <w:r>
              <w:rPr>
                <w:rFonts w:hint="eastAsia"/>
              </w:rPr>
              <w:t>方法/工具</w:t>
            </w:r>
          </w:p>
        </w:tc>
        <w:tc>
          <w:tcPr>
            <w:tcW w:w="1965" w:type="dxa"/>
            <w:tcBorders>
              <w:top w:val="single" w:color="000000" w:sz="8" w:space="0"/>
              <w:bottom w:val="single" w:color="000000" w:sz="4" w:space="0"/>
              <w:right w:val="single" w:color="000000" w:sz="8" w:space="0"/>
            </w:tcBorders>
            <w:vAlign w:val="center"/>
          </w:tcPr>
          <w:p w14:paraId="3FE15601">
            <w:pPr>
              <w:pStyle w:val="178"/>
            </w:pPr>
          </w:p>
        </w:tc>
      </w:tr>
      <w:tr w14:paraId="2973F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280" w:type="dxa"/>
            <w:gridSpan w:val="3"/>
            <w:vMerge w:val="restart"/>
            <w:tcBorders>
              <w:top w:val="single" w:color="000000" w:sz="4" w:space="0"/>
              <w:left w:val="single" w:color="000000" w:sz="8" w:space="0"/>
              <w:bottom w:val="single" w:color="000000" w:sz="4" w:space="0"/>
            </w:tcBorders>
            <w:vAlign w:val="center"/>
          </w:tcPr>
          <w:p w14:paraId="1FE492AD">
            <w:pPr>
              <w:pStyle w:val="178"/>
            </w:pPr>
            <w:r>
              <w:rPr>
                <w:rFonts w:hint="eastAsia"/>
              </w:rPr>
              <w:t>资源</w:t>
            </w:r>
          </w:p>
        </w:tc>
        <w:tc>
          <w:tcPr>
            <w:tcW w:w="2175" w:type="dxa"/>
            <w:gridSpan w:val="2"/>
            <w:vMerge w:val="restart"/>
            <w:tcBorders>
              <w:top w:val="single" w:color="000000" w:sz="4" w:space="0"/>
              <w:bottom w:val="single" w:color="000000" w:sz="4" w:space="0"/>
            </w:tcBorders>
            <w:vAlign w:val="center"/>
          </w:tcPr>
          <w:p w14:paraId="7972A982">
            <w:pPr>
              <w:pStyle w:val="178"/>
            </w:pPr>
          </w:p>
        </w:tc>
        <w:tc>
          <w:tcPr>
            <w:tcW w:w="1710" w:type="dxa"/>
            <w:tcBorders>
              <w:top w:val="single" w:color="000000" w:sz="4" w:space="0"/>
              <w:bottom w:val="single" w:color="000000" w:sz="4" w:space="0"/>
            </w:tcBorders>
            <w:vAlign w:val="center"/>
          </w:tcPr>
          <w:p w14:paraId="3B240A75">
            <w:pPr>
              <w:pStyle w:val="178"/>
            </w:pPr>
            <w:r>
              <w:rPr>
                <w:rFonts w:hint="eastAsia"/>
              </w:rPr>
              <w:t>分析员</w:t>
            </w:r>
          </w:p>
        </w:tc>
        <w:tc>
          <w:tcPr>
            <w:tcW w:w="1965" w:type="dxa"/>
            <w:tcBorders>
              <w:top w:val="single" w:color="000000" w:sz="4" w:space="0"/>
              <w:bottom w:val="single" w:color="000000" w:sz="4" w:space="0"/>
              <w:right w:val="single" w:color="000000" w:sz="8" w:space="0"/>
            </w:tcBorders>
            <w:vAlign w:val="center"/>
          </w:tcPr>
          <w:p w14:paraId="467C57FD">
            <w:pPr>
              <w:pStyle w:val="178"/>
            </w:pPr>
          </w:p>
        </w:tc>
      </w:tr>
      <w:tr w14:paraId="5A8E1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3280" w:type="dxa"/>
            <w:gridSpan w:val="3"/>
            <w:vMerge w:val="continue"/>
            <w:tcBorders>
              <w:top w:val="single" w:color="000000" w:sz="4" w:space="0"/>
              <w:left w:val="single" w:color="000000" w:sz="8" w:space="0"/>
              <w:bottom w:val="single" w:color="000000" w:sz="4" w:space="0"/>
            </w:tcBorders>
            <w:vAlign w:val="center"/>
          </w:tcPr>
          <w:p w14:paraId="03E92AE0">
            <w:pPr>
              <w:pStyle w:val="178"/>
            </w:pPr>
          </w:p>
        </w:tc>
        <w:tc>
          <w:tcPr>
            <w:tcW w:w="2175" w:type="dxa"/>
            <w:gridSpan w:val="2"/>
            <w:vMerge w:val="continue"/>
            <w:tcBorders>
              <w:top w:val="single" w:color="000000" w:sz="4" w:space="0"/>
              <w:bottom w:val="single" w:color="000000" w:sz="4" w:space="0"/>
            </w:tcBorders>
            <w:vAlign w:val="center"/>
          </w:tcPr>
          <w:p w14:paraId="78B0E499">
            <w:pPr>
              <w:pStyle w:val="178"/>
            </w:pPr>
          </w:p>
        </w:tc>
        <w:tc>
          <w:tcPr>
            <w:tcW w:w="1710" w:type="dxa"/>
            <w:tcBorders>
              <w:top w:val="single" w:color="000000" w:sz="4" w:space="0"/>
              <w:bottom w:val="single" w:color="000000" w:sz="4" w:space="0"/>
            </w:tcBorders>
            <w:vAlign w:val="center"/>
          </w:tcPr>
          <w:p w14:paraId="41064FFA">
            <w:pPr>
              <w:pStyle w:val="178"/>
            </w:pPr>
            <w:r>
              <w:rPr>
                <w:rFonts w:hint="eastAsia"/>
              </w:rPr>
              <w:t>当前版本</w:t>
            </w:r>
          </w:p>
        </w:tc>
        <w:tc>
          <w:tcPr>
            <w:tcW w:w="1965" w:type="dxa"/>
            <w:tcBorders>
              <w:top w:val="single" w:color="000000" w:sz="4" w:space="0"/>
              <w:bottom w:val="single" w:color="000000" w:sz="4" w:space="0"/>
              <w:right w:val="single" w:color="000000" w:sz="8" w:space="0"/>
            </w:tcBorders>
            <w:vAlign w:val="center"/>
          </w:tcPr>
          <w:p w14:paraId="04B02B39">
            <w:pPr>
              <w:pStyle w:val="178"/>
            </w:pPr>
          </w:p>
        </w:tc>
      </w:tr>
      <w:tr w14:paraId="7B0A2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3280" w:type="dxa"/>
            <w:gridSpan w:val="3"/>
            <w:vMerge w:val="restart"/>
            <w:tcBorders>
              <w:top w:val="single" w:color="000000" w:sz="4" w:space="0"/>
              <w:left w:val="single" w:color="000000" w:sz="8" w:space="0"/>
              <w:bottom w:val="single" w:color="000000" w:sz="4" w:space="0"/>
            </w:tcBorders>
            <w:vAlign w:val="center"/>
          </w:tcPr>
          <w:p w14:paraId="05607DAB">
            <w:pPr>
              <w:pStyle w:val="178"/>
            </w:pPr>
            <w:r>
              <w:rPr>
                <w:rFonts w:hint="eastAsia"/>
              </w:rPr>
              <w:t>范围</w:t>
            </w:r>
          </w:p>
        </w:tc>
        <w:tc>
          <w:tcPr>
            <w:tcW w:w="2175" w:type="dxa"/>
            <w:gridSpan w:val="2"/>
            <w:tcBorders>
              <w:top w:val="single" w:color="000000" w:sz="4" w:space="0"/>
              <w:bottom w:val="single" w:color="000000" w:sz="4" w:space="0"/>
            </w:tcBorders>
            <w:vAlign w:val="center"/>
          </w:tcPr>
          <w:p w14:paraId="02287BA9">
            <w:pPr>
              <w:pStyle w:val="178"/>
            </w:pPr>
          </w:p>
        </w:tc>
        <w:tc>
          <w:tcPr>
            <w:tcW w:w="1710" w:type="dxa"/>
            <w:tcBorders>
              <w:top w:val="single" w:color="000000" w:sz="4" w:space="0"/>
              <w:bottom w:val="single" w:color="000000" w:sz="4" w:space="0"/>
            </w:tcBorders>
            <w:vAlign w:val="center"/>
          </w:tcPr>
          <w:p w14:paraId="20F65256">
            <w:pPr>
              <w:pStyle w:val="178"/>
            </w:pPr>
            <w:r>
              <w:rPr>
                <w:rFonts w:hint="eastAsia"/>
              </w:rPr>
              <w:t>日期</w:t>
            </w:r>
          </w:p>
        </w:tc>
        <w:tc>
          <w:tcPr>
            <w:tcW w:w="1965" w:type="dxa"/>
            <w:tcBorders>
              <w:top w:val="single" w:color="000000" w:sz="4" w:space="0"/>
              <w:bottom w:val="single" w:color="000000" w:sz="4" w:space="0"/>
              <w:right w:val="single" w:color="000000" w:sz="8" w:space="0"/>
            </w:tcBorders>
            <w:vAlign w:val="center"/>
          </w:tcPr>
          <w:p w14:paraId="77063B5C">
            <w:pPr>
              <w:pStyle w:val="178"/>
            </w:pPr>
          </w:p>
        </w:tc>
      </w:tr>
      <w:tr w14:paraId="561C5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3280" w:type="dxa"/>
            <w:gridSpan w:val="3"/>
            <w:vMerge w:val="continue"/>
            <w:tcBorders>
              <w:top w:val="single" w:color="000000" w:sz="4" w:space="0"/>
              <w:left w:val="single" w:color="000000" w:sz="8" w:space="0"/>
              <w:bottom w:val="single" w:color="000000" w:sz="8" w:space="0"/>
            </w:tcBorders>
            <w:vAlign w:val="center"/>
          </w:tcPr>
          <w:p w14:paraId="30F01DD7">
            <w:pPr>
              <w:pStyle w:val="178"/>
            </w:pPr>
          </w:p>
        </w:tc>
        <w:tc>
          <w:tcPr>
            <w:tcW w:w="2175" w:type="dxa"/>
            <w:gridSpan w:val="2"/>
            <w:tcBorders>
              <w:top w:val="single" w:color="000000" w:sz="4" w:space="0"/>
              <w:bottom w:val="single" w:color="000000" w:sz="8" w:space="0"/>
            </w:tcBorders>
            <w:vAlign w:val="center"/>
          </w:tcPr>
          <w:p w14:paraId="51117D40">
            <w:pPr>
              <w:pStyle w:val="178"/>
            </w:pPr>
          </w:p>
        </w:tc>
        <w:tc>
          <w:tcPr>
            <w:tcW w:w="1710" w:type="dxa"/>
            <w:tcBorders>
              <w:top w:val="single" w:color="000000" w:sz="4" w:space="0"/>
              <w:bottom w:val="single" w:color="000000" w:sz="8" w:space="0"/>
            </w:tcBorders>
            <w:vAlign w:val="center"/>
          </w:tcPr>
          <w:p w14:paraId="4BFA67C9">
            <w:pPr>
              <w:pStyle w:val="178"/>
            </w:pPr>
          </w:p>
        </w:tc>
        <w:tc>
          <w:tcPr>
            <w:tcW w:w="1965" w:type="dxa"/>
            <w:tcBorders>
              <w:top w:val="single" w:color="000000" w:sz="4" w:space="0"/>
              <w:bottom w:val="single" w:color="000000" w:sz="8" w:space="0"/>
              <w:right w:val="single" w:color="000000" w:sz="8" w:space="0"/>
            </w:tcBorders>
            <w:vAlign w:val="center"/>
          </w:tcPr>
          <w:p w14:paraId="59E950CF">
            <w:pPr>
              <w:pStyle w:val="178"/>
            </w:pPr>
          </w:p>
        </w:tc>
      </w:tr>
      <w:tr w14:paraId="389D2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54" w:type="dxa"/>
            <w:vMerge w:val="restart"/>
            <w:tcBorders>
              <w:top w:val="single" w:color="000000" w:sz="8" w:space="0"/>
              <w:left w:val="single" w:color="000000" w:sz="8" w:space="0"/>
              <w:bottom w:val="nil"/>
            </w:tcBorders>
            <w:vAlign w:val="center"/>
          </w:tcPr>
          <w:p w14:paraId="021E786A">
            <w:pPr>
              <w:pStyle w:val="178"/>
            </w:pPr>
            <w:r>
              <w:rPr>
                <w:rFonts w:hint="eastAsia"/>
              </w:rPr>
              <w:t>编号</w:t>
            </w:r>
          </w:p>
        </w:tc>
        <w:tc>
          <w:tcPr>
            <w:tcW w:w="666" w:type="dxa"/>
            <w:vMerge w:val="restart"/>
            <w:tcBorders>
              <w:top w:val="single" w:color="000000" w:sz="8" w:space="0"/>
              <w:bottom w:val="nil"/>
            </w:tcBorders>
            <w:vAlign w:val="center"/>
          </w:tcPr>
          <w:p w14:paraId="58BF472B">
            <w:pPr>
              <w:pStyle w:val="178"/>
            </w:pPr>
            <w:r>
              <w:rPr>
                <w:rFonts w:hint="eastAsia"/>
              </w:rPr>
              <w:t>风险区</w:t>
            </w:r>
          </w:p>
        </w:tc>
        <w:tc>
          <w:tcPr>
            <w:tcW w:w="2160" w:type="dxa"/>
            <w:vMerge w:val="restart"/>
            <w:tcBorders>
              <w:top w:val="single" w:color="000000" w:sz="8" w:space="0"/>
              <w:bottom w:val="nil"/>
            </w:tcBorders>
            <w:vAlign w:val="center"/>
          </w:tcPr>
          <w:p w14:paraId="4CEDDE7F">
            <w:pPr>
              <w:pStyle w:val="178"/>
            </w:pPr>
            <w:r>
              <w:rPr>
                <w:rFonts w:hint="eastAsia"/>
              </w:rPr>
              <w:t>任务/操作</w:t>
            </w:r>
          </w:p>
          <w:p w14:paraId="50AA2CD9">
            <w:pPr>
              <w:pStyle w:val="178"/>
            </w:pPr>
          </w:p>
        </w:tc>
        <w:tc>
          <w:tcPr>
            <w:tcW w:w="5850" w:type="dxa"/>
            <w:gridSpan w:val="4"/>
            <w:tcBorders>
              <w:top w:val="single" w:color="000000" w:sz="8" w:space="0"/>
              <w:bottom w:val="single" w:color="000000" w:sz="4" w:space="0"/>
              <w:right w:val="single" w:color="000000" w:sz="8" w:space="0"/>
            </w:tcBorders>
            <w:vAlign w:val="center"/>
          </w:tcPr>
          <w:p w14:paraId="7EC17E49">
            <w:pPr>
              <w:pStyle w:val="178"/>
            </w:pPr>
            <w:r>
              <w:rPr>
                <w:rFonts w:hint="eastAsia"/>
              </w:rPr>
              <w:t>事故场合</w:t>
            </w:r>
          </w:p>
        </w:tc>
      </w:tr>
      <w:tr w14:paraId="16E60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54" w:type="dxa"/>
            <w:vMerge w:val="continue"/>
            <w:tcBorders>
              <w:top w:val="nil"/>
              <w:left w:val="single" w:color="000000" w:sz="8" w:space="0"/>
              <w:bottom w:val="single" w:color="000000" w:sz="8" w:space="0"/>
            </w:tcBorders>
            <w:vAlign w:val="center"/>
          </w:tcPr>
          <w:p w14:paraId="4C0324E5">
            <w:pPr>
              <w:pStyle w:val="178"/>
            </w:pPr>
          </w:p>
        </w:tc>
        <w:tc>
          <w:tcPr>
            <w:tcW w:w="666" w:type="dxa"/>
            <w:vMerge w:val="continue"/>
            <w:tcBorders>
              <w:top w:val="nil"/>
              <w:bottom w:val="single" w:color="000000" w:sz="8" w:space="0"/>
            </w:tcBorders>
            <w:vAlign w:val="center"/>
          </w:tcPr>
          <w:p w14:paraId="39090319">
            <w:pPr>
              <w:pStyle w:val="178"/>
            </w:pPr>
          </w:p>
        </w:tc>
        <w:tc>
          <w:tcPr>
            <w:tcW w:w="2160" w:type="dxa"/>
            <w:vMerge w:val="continue"/>
            <w:tcBorders>
              <w:top w:val="nil"/>
              <w:bottom w:val="single" w:color="000000" w:sz="8" w:space="0"/>
            </w:tcBorders>
            <w:vAlign w:val="center"/>
          </w:tcPr>
          <w:p w14:paraId="1E3081AF">
            <w:pPr>
              <w:pStyle w:val="178"/>
            </w:pPr>
          </w:p>
        </w:tc>
        <w:tc>
          <w:tcPr>
            <w:tcW w:w="1950" w:type="dxa"/>
            <w:tcBorders>
              <w:top w:val="single" w:color="000000" w:sz="4" w:space="0"/>
              <w:bottom w:val="single" w:color="000000" w:sz="8" w:space="0"/>
            </w:tcBorders>
            <w:vAlign w:val="center"/>
          </w:tcPr>
          <w:p w14:paraId="46016FFB">
            <w:pPr>
              <w:pStyle w:val="178"/>
            </w:pPr>
            <w:r>
              <w:rPr>
                <w:rFonts w:hint="eastAsia"/>
              </w:rPr>
              <w:t>风险</w:t>
            </w:r>
          </w:p>
        </w:tc>
        <w:tc>
          <w:tcPr>
            <w:tcW w:w="1935" w:type="dxa"/>
            <w:gridSpan w:val="2"/>
            <w:tcBorders>
              <w:top w:val="single" w:color="000000" w:sz="4" w:space="0"/>
              <w:bottom w:val="single" w:color="000000" w:sz="8" w:space="0"/>
            </w:tcBorders>
            <w:vAlign w:val="center"/>
          </w:tcPr>
          <w:p w14:paraId="681C7AE3">
            <w:pPr>
              <w:pStyle w:val="178"/>
            </w:pPr>
            <w:r>
              <w:rPr>
                <w:rFonts w:hint="eastAsia"/>
              </w:rPr>
              <w:t>危险状态</w:t>
            </w:r>
          </w:p>
        </w:tc>
        <w:tc>
          <w:tcPr>
            <w:tcW w:w="1965" w:type="dxa"/>
            <w:tcBorders>
              <w:top w:val="single" w:color="000000" w:sz="4" w:space="0"/>
              <w:bottom w:val="single" w:color="000000" w:sz="8" w:space="0"/>
              <w:right w:val="single" w:color="000000" w:sz="8" w:space="0"/>
            </w:tcBorders>
            <w:vAlign w:val="center"/>
          </w:tcPr>
          <w:p w14:paraId="6B871A5C">
            <w:pPr>
              <w:pStyle w:val="178"/>
            </w:pPr>
            <w:r>
              <w:rPr>
                <w:rFonts w:hint="eastAsia"/>
              </w:rPr>
              <w:t>风险事件</w:t>
            </w:r>
          </w:p>
        </w:tc>
      </w:tr>
      <w:tr w14:paraId="0E85F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454" w:type="dxa"/>
            <w:tcBorders>
              <w:top w:val="single" w:color="000000" w:sz="8" w:space="0"/>
              <w:left w:val="single" w:color="000000" w:sz="8" w:space="0"/>
              <w:bottom w:val="single" w:color="000000" w:sz="4" w:space="0"/>
            </w:tcBorders>
            <w:vAlign w:val="center"/>
          </w:tcPr>
          <w:p w14:paraId="5DEC73E3">
            <w:pPr>
              <w:pStyle w:val="178"/>
            </w:pPr>
            <w:r>
              <w:rPr>
                <w:rFonts w:hint="eastAsia"/>
              </w:rPr>
              <w:t>1</w:t>
            </w:r>
          </w:p>
        </w:tc>
        <w:tc>
          <w:tcPr>
            <w:tcW w:w="666" w:type="dxa"/>
            <w:tcBorders>
              <w:top w:val="single" w:color="000000" w:sz="8" w:space="0"/>
              <w:bottom w:val="single" w:color="000000" w:sz="4" w:space="0"/>
            </w:tcBorders>
            <w:vAlign w:val="center"/>
          </w:tcPr>
          <w:p w14:paraId="340C55F0">
            <w:pPr>
              <w:pStyle w:val="178"/>
            </w:pPr>
          </w:p>
        </w:tc>
        <w:tc>
          <w:tcPr>
            <w:tcW w:w="2160" w:type="dxa"/>
            <w:tcBorders>
              <w:top w:val="single" w:color="000000" w:sz="8" w:space="0"/>
              <w:bottom w:val="single" w:color="000000" w:sz="4" w:space="0"/>
            </w:tcBorders>
            <w:vAlign w:val="center"/>
          </w:tcPr>
          <w:p w14:paraId="748B66CB">
            <w:pPr>
              <w:pStyle w:val="178"/>
            </w:pPr>
          </w:p>
        </w:tc>
        <w:tc>
          <w:tcPr>
            <w:tcW w:w="1950" w:type="dxa"/>
            <w:tcBorders>
              <w:top w:val="single" w:color="000000" w:sz="8" w:space="0"/>
              <w:bottom w:val="single" w:color="000000" w:sz="4" w:space="0"/>
            </w:tcBorders>
            <w:vAlign w:val="center"/>
          </w:tcPr>
          <w:p w14:paraId="3243C979">
            <w:pPr>
              <w:pStyle w:val="178"/>
            </w:pPr>
          </w:p>
        </w:tc>
        <w:tc>
          <w:tcPr>
            <w:tcW w:w="1935" w:type="dxa"/>
            <w:gridSpan w:val="2"/>
            <w:tcBorders>
              <w:top w:val="single" w:color="000000" w:sz="8" w:space="0"/>
              <w:bottom w:val="single" w:color="000000" w:sz="4" w:space="0"/>
            </w:tcBorders>
            <w:vAlign w:val="center"/>
          </w:tcPr>
          <w:p w14:paraId="7C40A7C4">
            <w:pPr>
              <w:pStyle w:val="178"/>
            </w:pPr>
          </w:p>
        </w:tc>
        <w:tc>
          <w:tcPr>
            <w:tcW w:w="1965" w:type="dxa"/>
            <w:tcBorders>
              <w:top w:val="single" w:color="000000" w:sz="8" w:space="0"/>
              <w:bottom w:val="single" w:color="000000" w:sz="4" w:space="0"/>
              <w:right w:val="single" w:color="000000" w:sz="8" w:space="0"/>
            </w:tcBorders>
            <w:vAlign w:val="center"/>
          </w:tcPr>
          <w:p w14:paraId="2C4F4733">
            <w:pPr>
              <w:pStyle w:val="178"/>
            </w:pPr>
          </w:p>
        </w:tc>
      </w:tr>
      <w:tr w14:paraId="1F084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454" w:type="dxa"/>
            <w:tcBorders>
              <w:top w:val="single" w:color="000000" w:sz="4" w:space="0"/>
              <w:left w:val="single" w:color="000000" w:sz="8" w:space="0"/>
              <w:bottom w:val="single" w:color="000000" w:sz="4" w:space="0"/>
            </w:tcBorders>
            <w:vAlign w:val="center"/>
          </w:tcPr>
          <w:p w14:paraId="6FD7C9C6">
            <w:pPr>
              <w:pStyle w:val="178"/>
            </w:pPr>
            <w:r>
              <w:rPr>
                <w:rFonts w:hint="eastAsia"/>
              </w:rPr>
              <w:t>2</w:t>
            </w:r>
          </w:p>
        </w:tc>
        <w:tc>
          <w:tcPr>
            <w:tcW w:w="666" w:type="dxa"/>
            <w:tcBorders>
              <w:top w:val="single" w:color="000000" w:sz="4" w:space="0"/>
              <w:bottom w:val="single" w:color="000000" w:sz="4" w:space="0"/>
            </w:tcBorders>
            <w:vAlign w:val="center"/>
          </w:tcPr>
          <w:p w14:paraId="219F7EC7">
            <w:pPr>
              <w:pStyle w:val="178"/>
            </w:pPr>
          </w:p>
        </w:tc>
        <w:tc>
          <w:tcPr>
            <w:tcW w:w="2160" w:type="dxa"/>
            <w:tcBorders>
              <w:top w:val="single" w:color="000000" w:sz="4" w:space="0"/>
              <w:bottom w:val="single" w:color="000000" w:sz="4" w:space="0"/>
            </w:tcBorders>
            <w:vAlign w:val="center"/>
          </w:tcPr>
          <w:p w14:paraId="11ACF866">
            <w:pPr>
              <w:pStyle w:val="178"/>
            </w:pPr>
          </w:p>
        </w:tc>
        <w:tc>
          <w:tcPr>
            <w:tcW w:w="1950" w:type="dxa"/>
            <w:tcBorders>
              <w:top w:val="single" w:color="000000" w:sz="4" w:space="0"/>
              <w:bottom w:val="single" w:color="000000" w:sz="4" w:space="0"/>
            </w:tcBorders>
            <w:vAlign w:val="center"/>
          </w:tcPr>
          <w:p w14:paraId="43EFD5C6">
            <w:pPr>
              <w:pStyle w:val="178"/>
            </w:pPr>
          </w:p>
        </w:tc>
        <w:tc>
          <w:tcPr>
            <w:tcW w:w="1935" w:type="dxa"/>
            <w:gridSpan w:val="2"/>
            <w:tcBorders>
              <w:top w:val="single" w:color="000000" w:sz="4" w:space="0"/>
              <w:bottom w:val="single" w:color="000000" w:sz="4" w:space="0"/>
            </w:tcBorders>
            <w:vAlign w:val="center"/>
          </w:tcPr>
          <w:p w14:paraId="63C2124C">
            <w:pPr>
              <w:pStyle w:val="178"/>
            </w:pPr>
          </w:p>
        </w:tc>
        <w:tc>
          <w:tcPr>
            <w:tcW w:w="1965" w:type="dxa"/>
            <w:tcBorders>
              <w:top w:val="single" w:color="000000" w:sz="4" w:space="0"/>
              <w:bottom w:val="single" w:color="000000" w:sz="4" w:space="0"/>
              <w:right w:val="single" w:color="000000" w:sz="8" w:space="0"/>
            </w:tcBorders>
            <w:vAlign w:val="center"/>
          </w:tcPr>
          <w:p w14:paraId="700595E2">
            <w:pPr>
              <w:pStyle w:val="178"/>
            </w:pPr>
          </w:p>
        </w:tc>
      </w:tr>
      <w:tr w14:paraId="31D71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454" w:type="dxa"/>
            <w:tcBorders>
              <w:top w:val="single" w:color="000000" w:sz="4" w:space="0"/>
              <w:left w:val="single" w:color="000000" w:sz="8" w:space="0"/>
              <w:bottom w:val="single" w:color="000000" w:sz="4" w:space="0"/>
            </w:tcBorders>
            <w:vAlign w:val="center"/>
          </w:tcPr>
          <w:p w14:paraId="089C7242">
            <w:pPr>
              <w:pStyle w:val="178"/>
            </w:pPr>
            <w:r>
              <w:rPr>
                <w:rFonts w:hint="eastAsia"/>
              </w:rPr>
              <w:t>3</w:t>
            </w:r>
          </w:p>
        </w:tc>
        <w:tc>
          <w:tcPr>
            <w:tcW w:w="666" w:type="dxa"/>
            <w:tcBorders>
              <w:top w:val="single" w:color="000000" w:sz="4" w:space="0"/>
              <w:bottom w:val="single" w:color="000000" w:sz="4" w:space="0"/>
            </w:tcBorders>
            <w:vAlign w:val="center"/>
          </w:tcPr>
          <w:p w14:paraId="5D574E92">
            <w:pPr>
              <w:pStyle w:val="178"/>
            </w:pPr>
          </w:p>
        </w:tc>
        <w:tc>
          <w:tcPr>
            <w:tcW w:w="2160" w:type="dxa"/>
            <w:tcBorders>
              <w:top w:val="single" w:color="000000" w:sz="4" w:space="0"/>
              <w:bottom w:val="single" w:color="000000" w:sz="4" w:space="0"/>
            </w:tcBorders>
            <w:vAlign w:val="center"/>
          </w:tcPr>
          <w:p w14:paraId="7CF2E041">
            <w:pPr>
              <w:pStyle w:val="178"/>
            </w:pPr>
          </w:p>
        </w:tc>
        <w:tc>
          <w:tcPr>
            <w:tcW w:w="1950" w:type="dxa"/>
            <w:tcBorders>
              <w:top w:val="single" w:color="000000" w:sz="4" w:space="0"/>
              <w:bottom w:val="single" w:color="000000" w:sz="4" w:space="0"/>
            </w:tcBorders>
            <w:vAlign w:val="center"/>
          </w:tcPr>
          <w:p w14:paraId="776D2B93">
            <w:pPr>
              <w:pStyle w:val="178"/>
            </w:pPr>
          </w:p>
        </w:tc>
        <w:tc>
          <w:tcPr>
            <w:tcW w:w="1935" w:type="dxa"/>
            <w:gridSpan w:val="2"/>
            <w:tcBorders>
              <w:top w:val="single" w:color="000000" w:sz="4" w:space="0"/>
              <w:bottom w:val="single" w:color="000000" w:sz="4" w:space="0"/>
            </w:tcBorders>
            <w:vAlign w:val="center"/>
          </w:tcPr>
          <w:p w14:paraId="5F1CABE5">
            <w:pPr>
              <w:pStyle w:val="178"/>
            </w:pPr>
          </w:p>
        </w:tc>
        <w:tc>
          <w:tcPr>
            <w:tcW w:w="1965" w:type="dxa"/>
            <w:tcBorders>
              <w:top w:val="single" w:color="000000" w:sz="4" w:space="0"/>
              <w:bottom w:val="single" w:color="000000" w:sz="4" w:space="0"/>
              <w:right w:val="single" w:color="000000" w:sz="8" w:space="0"/>
            </w:tcBorders>
            <w:vAlign w:val="center"/>
          </w:tcPr>
          <w:p w14:paraId="324A6D83">
            <w:pPr>
              <w:pStyle w:val="178"/>
            </w:pPr>
          </w:p>
        </w:tc>
      </w:tr>
      <w:tr w14:paraId="4C7AA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454" w:type="dxa"/>
            <w:tcBorders>
              <w:top w:val="single" w:color="000000" w:sz="4" w:space="0"/>
              <w:left w:val="single" w:color="000000" w:sz="8" w:space="0"/>
              <w:bottom w:val="single" w:color="000000" w:sz="4" w:space="0"/>
            </w:tcBorders>
            <w:vAlign w:val="center"/>
          </w:tcPr>
          <w:p w14:paraId="4516E732">
            <w:pPr>
              <w:pStyle w:val="178"/>
            </w:pPr>
            <w:r>
              <w:rPr>
                <w:rFonts w:hint="eastAsia"/>
              </w:rPr>
              <w:t>4</w:t>
            </w:r>
          </w:p>
        </w:tc>
        <w:tc>
          <w:tcPr>
            <w:tcW w:w="666" w:type="dxa"/>
            <w:tcBorders>
              <w:top w:val="single" w:color="000000" w:sz="4" w:space="0"/>
              <w:bottom w:val="single" w:color="000000" w:sz="4" w:space="0"/>
            </w:tcBorders>
            <w:vAlign w:val="center"/>
          </w:tcPr>
          <w:p w14:paraId="35E943D3">
            <w:pPr>
              <w:pStyle w:val="178"/>
            </w:pPr>
          </w:p>
        </w:tc>
        <w:tc>
          <w:tcPr>
            <w:tcW w:w="2160" w:type="dxa"/>
            <w:tcBorders>
              <w:top w:val="single" w:color="000000" w:sz="4" w:space="0"/>
              <w:bottom w:val="single" w:color="000000" w:sz="4" w:space="0"/>
            </w:tcBorders>
            <w:vAlign w:val="center"/>
          </w:tcPr>
          <w:p w14:paraId="12C66946">
            <w:pPr>
              <w:pStyle w:val="178"/>
            </w:pPr>
          </w:p>
        </w:tc>
        <w:tc>
          <w:tcPr>
            <w:tcW w:w="1950" w:type="dxa"/>
            <w:tcBorders>
              <w:top w:val="single" w:color="000000" w:sz="4" w:space="0"/>
              <w:bottom w:val="single" w:color="000000" w:sz="4" w:space="0"/>
            </w:tcBorders>
            <w:vAlign w:val="center"/>
          </w:tcPr>
          <w:p w14:paraId="6EBCD623">
            <w:pPr>
              <w:pStyle w:val="178"/>
            </w:pPr>
          </w:p>
        </w:tc>
        <w:tc>
          <w:tcPr>
            <w:tcW w:w="1935" w:type="dxa"/>
            <w:gridSpan w:val="2"/>
            <w:tcBorders>
              <w:top w:val="single" w:color="000000" w:sz="4" w:space="0"/>
              <w:bottom w:val="single" w:color="000000" w:sz="4" w:space="0"/>
            </w:tcBorders>
            <w:vAlign w:val="center"/>
          </w:tcPr>
          <w:p w14:paraId="043B8CFE">
            <w:pPr>
              <w:pStyle w:val="178"/>
            </w:pPr>
          </w:p>
        </w:tc>
        <w:tc>
          <w:tcPr>
            <w:tcW w:w="1965" w:type="dxa"/>
            <w:tcBorders>
              <w:top w:val="single" w:color="000000" w:sz="4" w:space="0"/>
              <w:bottom w:val="single" w:color="000000" w:sz="4" w:space="0"/>
              <w:right w:val="single" w:color="000000" w:sz="8" w:space="0"/>
            </w:tcBorders>
            <w:vAlign w:val="center"/>
          </w:tcPr>
          <w:p w14:paraId="35BBC02E">
            <w:pPr>
              <w:pStyle w:val="178"/>
            </w:pPr>
          </w:p>
        </w:tc>
      </w:tr>
      <w:tr w14:paraId="197C0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454" w:type="dxa"/>
            <w:tcBorders>
              <w:top w:val="single" w:color="000000" w:sz="4" w:space="0"/>
              <w:left w:val="single" w:color="000000" w:sz="8" w:space="0"/>
              <w:bottom w:val="single" w:color="000000" w:sz="4" w:space="0"/>
            </w:tcBorders>
            <w:vAlign w:val="center"/>
          </w:tcPr>
          <w:p w14:paraId="24538157">
            <w:pPr>
              <w:pStyle w:val="178"/>
            </w:pPr>
            <w:r>
              <w:rPr>
                <w:rFonts w:hint="eastAsia"/>
              </w:rPr>
              <w:t>5</w:t>
            </w:r>
          </w:p>
        </w:tc>
        <w:tc>
          <w:tcPr>
            <w:tcW w:w="666" w:type="dxa"/>
            <w:tcBorders>
              <w:top w:val="single" w:color="000000" w:sz="4" w:space="0"/>
              <w:bottom w:val="single" w:color="000000" w:sz="4" w:space="0"/>
            </w:tcBorders>
            <w:vAlign w:val="center"/>
          </w:tcPr>
          <w:p w14:paraId="46B3DEDB">
            <w:pPr>
              <w:pStyle w:val="178"/>
            </w:pPr>
          </w:p>
        </w:tc>
        <w:tc>
          <w:tcPr>
            <w:tcW w:w="2160" w:type="dxa"/>
            <w:tcBorders>
              <w:top w:val="single" w:color="000000" w:sz="4" w:space="0"/>
              <w:bottom w:val="single" w:color="000000" w:sz="4" w:space="0"/>
            </w:tcBorders>
            <w:vAlign w:val="center"/>
          </w:tcPr>
          <w:p w14:paraId="0A4BB871">
            <w:pPr>
              <w:pStyle w:val="178"/>
            </w:pPr>
          </w:p>
        </w:tc>
        <w:tc>
          <w:tcPr>
            <w:tcW w:w="1950" w:type="dxa"/>
            <w:tcBorders>
              <w:top w:val="single" w:color="000000" w:sz="4" w:space="0"/>
              <w:bottom w:val="single" w:color="000000" w:sz="4" w:space="0"/>
            </w:tcBorders>
            <w:vAlign w:val="center"/>
          </w:tcPr>
          <w:p w14:paraId="56C528E2">
            <w:pPr>
              <w:pStyle w:val="178"/>
            </w:pPr>
          </w:p>
        </w:tc>
        <w:tc>
          <w:tcPr>
            <w:tcW w:w="1935" w:type="dxa"/>
            <w:gridSpan w:val="2"/>
            <w:tcBorders>
              <w:top w:val="single" w:color="000000" w:sz="4" w:space="0"/>
              <w:bottom w:val="single" w:color="000000" w:sz="4" w:space="0"/>
            </w:tcBorders>
            <w:vAlign w:val="center"/>
          </w:tcPr>
          <w:p w14:paraId="6D6ACB10">
            <w:pPr>
              <w:pStyle w:val="178"/>
            </w:pPr>
          </w:p>
        </w:tc>
        <w:tc>
          <w:tcPr>
            <w:tcW w:w="1965" w:type="dxa"/>
            <w:tcBorders>
              <w:top w:val="single" w:color="000000" w:sz="4" w:space="0"/>
              <w:bottom w:val="single" w:color="000000" w:sz="4" w:space="0"/>
              <w:right w:val="single" w:color="000000" w:sz="8" w:space="0"/>
            </w:tcBorders>
            <w:vAlign w:val="center"/>
          </w:tcPr>
          <w:p w14:paraId="070905DE">
            <w:pPr>
              <w:pStyle w:val="178"/>
            </w:pPr>
          </w:p>
        </w:tc>
      </w:tr>
      <w:tr w14:paraId="7C291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454" w:type="dxa"/>
            <w:tcBorders>
              <w:top w:val="single" w:color="000000" w:sz="4" w:space="0"/>
              <w:left w:val="single" w:color="000000" w:sz="8" w:space="0"/>
              <w:bottom w:val="single" w:color="000000" w:sz="8" w:space="0"/>
            </w:tcBorders>
            <w:vAlign w:val="center"/>
          </w:tcPr>
          <w:p w14:paraId="545CC6B4">
            <w:pPr>
              <w:pStyle w:val="178"/>
            </w:pPr>
            <w:r>
              <w:rPr>
                <w:rFonts w:hint="eastAsia"/>
              </w:rPr>
              <w:t>6</w:t>
            </w:r>
          </w:p>
        </w:tc>
        <w:tc>
          <w:tcPr>
            <w:tcW w:w="666" w:type="dxa"/>
            <w:tcBorders>
              <w:top w:val="single" w:color="000000" w:sz="4" w:space="0"/>
              <w:bottom w:val="single" w:color="000000" w:sz="8" w:space="0"/>
            </w:tcBorders>
            <w:vAlign w:val="center"/>
          </w:tcPr>
          <w:p w14:paraId="072A0AED">
            <w:pPr>
              <w:pStyle w:val="178"/>
            </w:pPr>
          </w:p>
        </w:tc>
        <w:tc>
          <w:tcPr>
            <w:tcW w:w="2160" w:type="dxa"/>
            <w:tcBorders>
              <w:top w:val="single" w:color="000000" w:sz="4" w:space="0"/>
              <w:bottom w:val="single" w:color="000000" w:sz="8" w:space="0"/>
            </w:tcBorders>
            <w:vAlign w:val="center"/>
          </w:tcPr>
          <w:p w14:paraId="5A269123">
            <w:pPr>
              <w:pStyle w:val="178"/>
            </w:pPr>
          </w:p>
        </w:tc>
        <w:tc>
          <w:tcPr>
            <w:tcW w:w="1950" w:type="dxa"/>
            <w:tcBorders>
              <w:top w:val="single" w:color="000000" w:sz="4" w:space="0"/>
              <w:bottom w:val="single" w:color="000000" w:sz="8" w:space="0"/>
            </w:tcBorders>
            <w:vAlign w:val="center"/>
          </w:tcPr>
          <w:p w14:paraId="057A50A6">
            <w:pPr>
              <w:pStyle w:val="178"/>
            </w:pPr>
          </w:p>
        </w:tc>
        <w:tc>
          <w:tcPr>
            <w:tcW w:w="1935" w:type="dxa"/>
            <w:gridSpan w:val="2"/>
            <w:tcBorders>
              <w:top w:val="single" w:color="000000" w:sz="4" w:space="0"/>
              <w:bottom w:val="single" w:color="000000" w:sz="8" w:space="0"/>
            </w:tcBorders>
            <w:vAlign w:val="center"/>
          </w:tcPr>
          <w:p w14:paraId="38568BD3">
            <w:pPr>
              <w:pStyle w:val="178"/>
            </w:pPr>
          </w:p>
        </w:tc>
        <w:tc>
          <w:tcPr>
            <w:tcW w:w="1965" w:type="dxa"/>
            <w:tcBorders>
              <w:top w:val="single" w:color="000000" w:sz="4" w:space="0"/>
              <w:bottom w:val="single" w:color="000000" w:sz="8" w:space="0"/>
              <w:right w:val="single" w:color="000000" w:sz="8" w:space="0"/>
            </w:tcBorders>
            <w:vAlign w:val="center"/>
          </w:tcPr>
          <w:p w14:paraId="4C356C69">
            <w:pPr>
              <w:pStyle w:val="178"/>
            </w:pPr>
          </w:p>
        </w:tc>
      </w:tr>
    </w:tbl>
    <w:p w14:paraId="6DF0FA25">
      <w:pPr>
        <w:pStyle w:val="81"/>
        <w:spacing w:before="120" w:after="120"/>
      </w:pPr>
      <w:r>
        <w:rPr>
          <w:rFonts w:hint="eastAsia"/>
        </w:rPr>
        <w:t>风险识别的结果</w:t>
      </w:r>
    </w:p>
    <w:p w14:paraId="7D3A46CF">
      <w:pPr>
        <w:pStyle w:val="56"/>
        <w:ind w:firstLine="420"/>
      </w:pPr>
      <w:r>
        <w:rPr>
          <w:rFonts w:hint="eastAsia"/>
        </w:rPr>
        <w:t>本项检查第一步的结果记录在表A.2中。</w:t>
      </w:r>
    </w:p>
    <w:p w14:paraId="1AE22C51">
      <w:r>
        <w:rPr>
          <w:rFonts w:hint="eastAsia"/>
        </w:rPr>
        <w:br w:type="page"/>
      </w:r>
    </w:p>
    <w:p w14:paraId="27088755">
      <w:pPr>
        <w:pStyle w:val="56"/>
        <w:ind w:firstLine="420"/>
      </w:pPr>
    </w:p>
    <w:p w14:paraId="520D194B">
      <w:pPr>
        <w:pStyle w:val="77"/>
        <w:spacing w:before="120" w:after="120"/>
        <w:ind w:firstLine="420"/>
      </w:pPr>
      <w:r>
        <w:rPr>
          <w:rFonts w:hint="eastAsia"/>
        </w:rPr>
        <w:t>用于风险识别的表格的示例</w:t>
      </w:r>
    </w:p>
    <w:tbl>
      <w:tblPr>
        <w:tblStyle w:val="231"/>
        <w:tblW w:w="9130"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
        <w:gridCol w:w="780"/>
        <w:gridCol w:w="2033"/>
        <w:gridCol w:w="1950"/>
        <w:gridCol w:w="457"/>
        <w:gridCol w:w="1478"/>
        <w:gridCol w:w="1965"/>
      </w:tblGrid>
      <w:tr w14:paraId="1129E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9130" w:type="dxa"/>
            <w:gridSpan w:val="7"/>
            <w:tcBorders>
              <w:top w:val="single" w:color="000000" w:sz="8" w:space="0"/>
              <w:left w:val="single" w:color="000000" w:sz="8" w:space="0"/>
              <w:bottom w:val="single" w:color="000000" w:sz="8" w:space="0"/>
              <w:right w:val="single" w:color="000000" w:sz="8" w:space="0"/>
            </w:tcBorders>
            <w:vAlign w:val="center"/>
          </w:tcPr>
          <w:p w14:paraId="4B0E5783">
            <w:pPr>
              <w:pStyle w:val="178"/>
            </w:pPr>
            <w:r>
              <w:rPr>
                <w:rFonts w:hint="eastAsia"/>
              </w:rPr>
              <w:t>风险识别</w:t>
            </w:r>
          </w:p>
        </w:tc>
      </w:tr>
      <w:tr w14:paraId="1AB29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280" w:type="dxa"/>
            <w:gridSpan w:val="3"/>
            <w:tcBorders>
              <w:top w:val="single" w:color="000000" w:sz="8" w:space="0"/>
              <w:left w:val="single" w:color="000000" w:sz="8" w:space="0"/>
              <w:bottom w:val="single" w:color="000000" w:sz="4" w:space="0"/>
              <w:right w:val="single" w:color="000000" w:sz="8" w:space="0"/>
            </w:tcBorders>
            <w:vAlign w:val="center"/>
          </w:tcPr>
          <w:p w14:paraId="068ACF1A">
            <w:pPr>
              <w:pStyle w:val="178"/>
            </w:pPr>
            <w:r>
              <w:rPr>
                <w:rFonts w:hint="eastAsia"/>
              </w:rPr>
              <w:t>职业工种（识别）</w:t>
            </w:r>
          </w:p>
        </w:tc>
        <w:tc>
          <w:tcPr>
            <w:tcW w:w="2407" w:type="dxa"/>
            <w:gridSpan w:val="2"/>
            <w:tcBorders>
              <w:top w:val="single" w:color="000000" w:sz="8" w:space="0"/>
              <w:left w:val="single" w:color="000000" w:sz="8" w:space="0"/>
              <w:bottom w:val="single" w:color="000000" w:sz="4" w:space="0"/>
              <w:right w:val="single" w:color="000000" w:sz="8" w:space="0"/>
            </w:tcBorders>
            <w:vAlign w:val="center"/>
          </w:tcPr>
          <w:p w14:paraId="6E60CF20">
            <w:pPr>
              <w:pStyle w:val="178"/>
            </w:pPr>
            <w:r>
              <w:rPr>
                <w:rFonts w:hint="eastAsia"/>
              </w:rPr>
              <w:t>冲压工（6-18-01-12）</w:t>
            </w:r>
          </w:p>
        </w:tc>
        <w:tc>
          <w:tcPr>
            <w:tcW w:w="1478" w:type="dxa"/>
            <w:tcBorders>
              <w:top w:val="single" w:color="000000" w:sz="8" w:space="0"/>
              <w:left w:val="single" w:color="000000" w:sz="8" w:space="0"/>
              <w:bottom w:val="single" w:color="000000" w:sz="4" w:space="0"/>
              <w:right w:val="single" w:color="000000" w:sz="8" w:space="0"/>
            </w:tcBorders>
            <w:vAlign w:val="center"/>
          </w:tcPr>
          <w:p w14:paraId="35C7D6C0">
            <w:pPr>
              <w:pStyle w:val="178"/>
            </w:pPr>
            <w:r>
              <w:rPr>
                <w:rFonts w:hint="eastAsia"/>
              </w:rPr>
              <w:t>方法/工具</w:t>
            </w:r>
          </w:p>
        </w:tc>
        <w:tc>
          <w:tcPr>
            <w:tcW w:w="1965" w:type="dxa"/>
            <w:tcBorders>
              <w:top w:val="single" w:color="000000" w:sz="8" w:space="0"/>
              <w:left w:val="single" w:color="000000" w:sz="8" w:space="0"/>
              <w:bottom w:val="single" w:color="000000" w:sz="4" w:space="0"/>
              <w:right w:val="single" w:color="000000" w:sz="8" w:space="0"/>
            </w:tcBorders>
            <w:vAlign w:val="center"/>
          </w:tcPr>
          <w:p w14:paraId="773AFD58">
            <w:pPr>
              <w:pStyle w:val="178"/>
            </w:pPr>
            <w:r>
              <w:rPr>
                <w:rFonts w:hint="eastAsia"/>
              </w:rPr>
              <w:tab/>
            </w:r>
            <w:r>
              <w:rPr>
                <w:rFonts w:hint="eastAsia"/>
              </w:rPr>
              <w:t>检查清单</w:t>
            </w:r>
          </w:p>
        </w:tc>
      </w:tr>
      <w:tr w14:paraId="64CB1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3280" w:type="dxa"/>
            <w:gridSpan w:val="3"/>
            <w:vMerge w:val="restart"/>
            <w:tcBorders>
              <w:top w:val="single" w:color="000000" w:sz="4" w:space="0"/>
              <w:left w:val="single" w:color="000000" w:sz="8" w:space="0"/>
              <w:bottom w:val="single" w:color="000000" w:sz="4" w:space="0"/>
              <w:right w:val="single" w:color="000000" w:sz="8" w:space="0"/>
            </w:tcBorders>
            <w:vAlign w:val="center"/>
          </w:tcPr>
          <w:p w14:paraId="5443B2A0">
            <w:pPr>
              <w:pStyle w:val="178"/>
            </w:pPr>
            <w:r>
              <w:rPr>
                <w:rFonts w:hint="eastAsia"/>
              </w:rPr>
              <w:t>资源</w:t>
            </w:r>
          </w:p>
        </w:tc>
        <w:tc>
          <w:tcPr>
            <w:tcW w:w="2407" w:type="dxa"/>
            <w:gridSpan w:val="2"/>
            <w:vMerge w:val="restart"/>
            <w:tcBorders>
              <w:top w:val="single" w:color="000000" w:sz="4" w:space="0"/>
              <w:left w:val="single" w:color="000000" w:sz="8" w:space="0"/>
              <w:bottom w:val="single" w:color="000000" w:sz="4" w:space="0"/>
              <w:right w:val="single" w:color="000000" w:sz="8" w:space="0"/>
            </w:tcBorders>
            <w:vAlign w:val="center"/>
          </w:tcPr>
          <w:p w14:paraId="057CFB8E">
            <w:pPr>
              <w:pStyle w:val="178"/>
            </w:pPr>
            <w:r>
              <w:rPr>
                <w:rFonts w:hint="eastAsia"/>
              </w:rPr>
              <w:t>《中华人民共和国职业大典》</w:t>
            </w:r>
          </w:p>
        </w:tc>
        <w:tc>
          <w:tcPr>
            <w:tcW w:w="1478" w:type="dxa"/>
            <w:tcBorders>
              <w:top w:val="single" w:color="000000" w:sz="4" w:space="0"/>
              <w:left w:val="single" w:color="000000" w:sz="8" w:space="0"/>
              <w:bottom w:val="single" w:color="000000" w:sz="4" w:space="0"/>
              <w:right w:val="single" w:color="000000" w:sz="8" w:space="0"/>
            </w:tcBorders>
            <w:vAlign w:val="center"/>
          </w:tcPr>
          <w:p w14:paraId="50ECCC33">
            <w:pPr>
              <w:pStyle w:val="178"/>
            </w:pPr>
            <w:r>
              <w:rPr>
                <w:rFonts w:hint="eastAsia"/>
              </w:rPr>
              <w:t>分析员</w:t>
            </w:r>
          </w:p>
        </w:tc>
        <w:tc>
          <w:tcPr>
            <w:tcW w:w="1965" w:type="dxa"/>
            <w:tcBorders>
              <w:top w:val="single" w:color="000000" w:sz="4" w:space="0"/>
              <w:left w:val="single" w:color="000000" w:sz="8" w:space="0"/>
              <w:bottom w:val="single" w:color="000000" w:sz="4" w:space="0"/>
              <w:right w:val="single" w:color="000000" w:sz="8" w:space="0"/>
            </w:tcBorders>
            <w:vAlign w:val="center"/>
          </w:tcPr>
          <w:p w14:paraId="499EF35E">
            <w:pPr>
              <w:pStyle w:val="178"/>
            </w:pPr>
          </w:p>
        </w:tc>
      </w:tr>
      <w:tr w14:paraId="0118F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3280" w:type="dxa"/>
            <w:gridSpan w:val="3"/>
            <w:vMerge w:val="continue"/>
            <w:tcBorders>
              <w:top w:val="single" w:color="000000" w:sz="4" w:space="0"/>
              <w:left w:val="single" w:color="000000" w:sz="8" w:space="0"/>
              <w:bottom w:val="single" w:color="000000" w:sz="4" w:space="0"/>
              <w:right w:val="single" w:color="000000" w:sz="8" w:space="0"/>
            </w:tcBorders>
            <w:vAlign w:val="center"/>
          </w:tcPr>
          <w:p w14:paraId="3240DC30">
            <w:pPr>
              <w:pStyle w:val="178"/>
            </w:pPr>
          </w:p>
        </w:tc>
        <w:tc>
          <w:tcPr>
            <w:tcW w:w="2407" w:type="dxa"/>
            <w:gridSpan w:val="2"/>
            <w:vMerge w:val="continue"/>
            <w:tcBorders>
              <w:top w:val="single" w:color="000000" w:sz="4" w:space="0"/>
              <w:left w:val="single" w:color="000000" w:sz="8" w:space="0"/>
              <w:bottom w:val="single" w:color="000000" w:sz="4" w:space="0"/>
              <w:right w:val="single" w:color="000000" w:sz="8" w:space="0"/>
            </w:tcBorders>
            <w:vAlign w:val="center"/>
          </w:tcPr>
          <w:p w14:paraId="61D3F0D5">
            <w:pPr>
              <w:pStyle w:val="178"/>
            </w:pPr>
          </w:p>
        </w:tc>
        <w:tc>
          <w:tcPr>
            <w:tcW w:w="1478" w:type="dxa"/>
            <w:tcBorders>
              <w:top w:val="single" w:color="000000" w:sz="4" w:space="0"/>
              <w:left w:val="single" w:color="000000" w:sz="8" w:space="0"/>
              <w:bottom w:val="single" w:color="000000" w:sz="4" w:space="0"/>
              <w:right w:val="single" w:color="000000" w:sz="8" w:space="0"/>
            </w:tcBorders>
            <w:vAlign w:val="center"/>
          </w:tcPr>
          <w:p w14:paraId="320835E1">
            <w:pPr>
              <w:pStyle w:val="178"/>
            </w:pPr>
            <w:r>
              <w:rPr>
                <w:rFonts w:hint="eastAsia"/>
              </w:rPr>
              <w:t>当前版本</w:t>
            </w:r>
          </w:p>
        </w:tc>
        <w:tc>
          <w:tcPr>
            <w:tcW w:w="1965" w:type="dxa"/>
            <w:tcBorders>
              <w:top w:val="single" w:color="000000" w:sz="4" w:space="0"/>
              <w:left w:val="single" w:color="000000" w:sz="8" w:space="0"/>
              <w:bottom w:val="single" w:color="000000" w:sz="4" w:space="0"/>
              <w:right w:val="single" w:color="000000" w:sz="8" w:space="0"/>
            </w:tcBorders>
            <w:vAlign w:val="center"/>
          </w:tcPr>
          <w:p w14:paraId="0B224DE8">
            <w:pPr>
              <w:pStyle w:val="178"/>
            </w:pPr>
          </w:p>
        </w:tc>
      </w:tr>
      <w:tr w14:paraId="57519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280" w:type="dxa"/>
            <w:gridSpan w:val="3"/>
            <w:vMerge w:val="restart"/>
            <w:tcBorders>
              <w:top w:val="single" w:color="000000" w:sz="4" w:space="0"/>
              <w:left w:val="single" w:color="000000" w:sz="8" w:space="0"/>
              <w:bottom w:val="single" w:color="000000" w:sz="4" w:space="0"/>
              <w:right w:val="single" w:color="000000" w:sz="8" w:space="0"/>
            </w:tcBorders>
            <w:vAlign w:val="center"/>
          </w:tcPr>
          <w:p w14:paraId="0B465311">
            <w:pPr>
              <w:pStyle w:val="178"/>
            </w:pPr>
            <w:r>
              <w:rPr>
                <w:rFonts w:hint="eastAsia"/>
              </w:rPr>
              <w:t>范围</w:t>
            </w:r>
          </w:p>
        </w:tc>
        <w:tc>
          <w:tcPr>
            <w:tcW w:w="2407" w:type="dxa"/>
            <w:gridSpan w:val="2"/>
            <w:tcBorders>
              <w:top w:val="single" w:color="000000" w:sz="4" w:space="0"/>
              <w:left w:val="single" w:color="000000" w:sz="8" w:space="0"/>
              <w:bottom w:val="single" w:color="000000" w:sz="4" w:space="0"/>
              <w:right w:val="single" w:color="000000" w:sz="8" w:space="0"/>
            </w:tcBorders>
            <w:vAlign w:val="center"/>
          </w:tcPr>
          <w:p w14:paraId="2FDEA897">
            <w:pPr>
              <w:pStyle w:val="178"/>
            </w:pPr>
            <w:r>
              <w:rPr>
                <w:rFonts w:hint="eastAsia"/>
              </w:rPr>
              <w:t>操作</w:t>
            </w:r>
          </w:p>
        </w:tc>
        <w:tc>
          <w:tcPr>
            <w:tcW w:w="1478" w:type="dxa"/>
            <w:tcBorders>
              <w:top w:val="single" w:color="000000" w:sz="4" w:space="0"/>
              <w:left w:val="single" w:color="000000" w:sz="8" w:space="0"/>
              <w:bottom w:val="single" w:color="000000" w:sz="4" w:space="0"/>
              <w:right w:val="single" w:color="000000" w:sz="8" w:space="0"/>
            </w:tcBorders>
            <w:vAlign w:val="center"/>
          </w:tcPr>
          <w:p w14:paraId="500D3C2B">
            <w:pPr>
              <w:pStyle w:val="178"/>
            </w:pPr>
            <w:r>
              <w:rPr>
                <w:rFonts w:hint="eastAsia"/>
              </w:rPr>
              <w:t>日期</w:t>
            </w:r>
          </w:p>
        </w:tc>
        <w:tc>
          <w:tcPr>
            <w:tcW w:w="1965" w:type="dxa"/>
            <w:tcBorders>
              <w:top w:val="single" w:color="000000" w:sz="4" w:space="0"/>
              <w:left w:val="single" w:color="000000" w:sz="8" w:space="0"/>
              <w:bottom w:val="single" w:color="000000" w:sz="4" w:space="0"/>
              <w:right w:val="single" w:color="000000" w:sz="8" w:space="0"/>
            </w:tcBorders>
            <w:vAlign w:val="center"/>
          </w:tcPr>
          <w:p w14:paraId="2E77814B">
            <w:pPr>
              <w:pStyle w:val="178"/>
            </w:pPr>
          </w:p>
        </w:tc>
      </w:tr>
      <w:tr w14:paraId="55BF8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280" w:type="dxa"/>
            <w:gridSpan w:val="3"/>
            <w:vMerge w:val="continue"/>
            <w:tcBorders>
              <w:top w:val="single" w:color="000000" w:sz="4" w:space="0"/>
              <w:left w:val="single" w:color="000000" w:sz="8" w:space="0"/>
              <w:bottom w:val="single" w:color="000000" w:sz="8" w:space="0"/>
              <w:right w:val="single" w:color="000000" w:sz="8" w:space="0"/>
            </w:tcBorders>
            <w:vAlign w:val="center"/>
          </w:tcPr>
          <w:p w14:paraId="440AF21E">
            <w:pPr>
              <w:pStyle w:val="178"/>
            </w:pPr>
          </w:p>
        </w:tc>
        <w:tc>
          <w:tcPr>
            <w:tcW w:w="2407" w:type="dxa"/>
            <w:gridSpan w:val="2"/>
            <w:tcBorders>
              <w:top w:val="single" w:color="000000" w:sz="4" w:space="0"/>
              <w:left w:val="single" w:color="000000" w:sz="8" w:space="0"/>
              <w:bottom w:val="single" w:color="000000" w:sz="8" w:space="0"/>
              <w:right w:val="single" w:color="000000" w:sz="8" w:space="0"/>
            </w:tcBorders>
            <w:vAlign w:val="center"/>
          </w:tcPr>
          <w:p w14:paraId="6CD64888">
            <w:pPr>
              <w:pStyle w:val="178"/>
            </w:pPr>
            <w:r>
              <w:rPr>
                <w:rFonts w:hint="eastAsia"/>
              </w:rPr>
              <w:t>操作冲压加工</w:t>
            </w:r>
          </w:p>
        </w:tc>
        <w:tc>
          <w:tcPr>
            <w:tcW w:w="1478" w:type="dxa"/>
            <w:tcBorders>
              <w:top w:val="single" w:color="000000" w:sz="4" w:space="0"/>
              <w:left w:val="single" w:color="000000" w:sz="8" w:space="0"/>
              <w:bottom w:val="single" w:color="000000" w:sz="8" w:space="0"/>
              <w:right w:val="single" w:color="000000" w:sz="8" w:space="0"/>
            </w:tcBorders>
            <w:vAlign w:val="center"/>
          </w:tcPr>
          <w:p w14:paraId="3AF7C85F">
            <w:pPr>
              <w:pStyle w:val="178"/>
            </w:pPr>
          </w:p>
        </w:tc>
        <w:tc>
          <w:tcPr>
            <w:tcW w:w="1965" w:type="dxa"/>
            <w:tcBorders>
              <w:top w:val="single" w:color="000000" w:sz="4" w:space="0"/>
              <w:left w:val="single" w:color="000000" w:sz="8" w:space="0"/>
              <w:bottom w:val="single" w:color="000000" w:sz="8" w:space="0"/>
              <w:right w:val="single" w:color="000000" w:sz="8" w:space="0"/>
            </w:tcBorders>
            <w:vAlign w:val="center"/>
          </w:tcPr>
          <w:p w14:paraId="12E4F88E">
            <w:pPr>
              <w:pStyle w:val="178"/>
            </w:pPr>
          </w:p>
        </w:tc>
      </w:tr>
      <w:tr w14:paraId="17140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67" w:type="dxa"/>
            <w:vMerge w:val="restart"/>
            <w:tcBorders>
              <w:top w:val="single" w:color="000000" w:sz="8" w:space="0"/>
              <w:left w:val="single" w:color="000000" w:sz="8" w:space="0"/>
              <w:bottom w:val="single" w:color="000000" w:sz="4" w:space="0"/>
            </w:tcBorders>
            <w:vAlign w:val="center"/>
          </w:tcPr>
          <w:p w14:paraId="4F428E03">
            <w:pPr>
              <w:pStyle w:val="178"/>
            </w:pPr>
            <w:r>
              <w:rPr>
                <w:rFonts w:hint="eastAsia"/>
              </w:rPr>
              <w:t>编号</w:t>
            </w:r>
          </w:p>
        </w:tc>
        <w:tc>
          <w:tcPr>
            <w:tcW w:w="780" w:type="dxa"/>
            <w:vMerge w:val="restart"/>
            <w:tcBorders>
              <w:top w:val="single" w:color="000000" w:sz="8" w:space="0"/>
              <w:bottom w:val="single" w:color="000000" w:sz="4" w:space="0"/>
            </w:tcBorders>
            <w:vAlign w:val="center"/>
          </w:tcPr>
          <w:p w14:paraId="2719D707">
            <w:pPr>
              <w:pStyle w:val="178"/>
            </w:pPr>
            <w:r>
              <w:rPr>
                <w:rFonts w:hint="eastAsia"/>
              </w:rPr>
              <w:t>风险区</w:t>
            </w:r>
          </w:p>
        </w:tc>
        <w:tc>
          <w:tcPr>
            <w:tcW w:w="2033" w:type="dxa"/>
            <w:vMerge w:val="restart"/>
            <w:tcBorders>
              <w:top w:val="single" w:color="000000" w:sz="8" w:space="0"/>
              <w:bottom w:val="single" w:color="000000" w:sz="4" w:space="0"/>
              <w:right w:val="single" w:color="000000" w:sz="8" w:space="0"/>
            </w:tcBorders>
            <w:vAlign w:val="center"/>
          </w:tcPr>
          <w:p w14:paraId="0CF0F291">
            <w:pPr>
              <w:pStyle w:val="178"/>
            </w:pPr>
            <w:r>
              <w:rPr>
                <w:rFonts w:hint="eastAsia"/>
              </w:rPr>
              <w:t>任务/操作</w:t>
            </w:r>
          </w:p>
        </w:tc>
        <w:tc>
          <w:tcPr>
            <w:tcW w:w="5850" w:type="dxa"/>
            <w:gridSpan w:val="4"/>
            <w:tcBorders>
              <w:top w:val="single" w:color="000000" w:sz="8" w:space="0"/>
              <w:left w:val="single" w:color="000000" w:sz="8" w:space="0"/>
              <w:bottom w:val="single" w:color="000000" w:sz="4" w:space="0"/>
              <w:right w:val="single" w:color="000000" w:sz="8" w:space="0"/>
            </w:tcBorders>
            <w:vAlign w:val="center"/>
          </w:tcPr>
          <w:p w14:paraId="74342858">
            <w:pPr>
              <w:pStyle w:val="178"/>
            </w:pPr>
            <w:r>
              <w:rPr>
                <w:rFonts w:hint="eastAsia"/>
              </w:rPr>
              <w:t>事故场合</w:t>
            </w:r>
          </w:p>
        </w:tc>
      </w:tr>
      <w:tr w14:paraId="3C3C5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67" w:type="dxa"/>
            <w:vMerge w:val="continue"/>
            <w:tcBorders>
              <w:top w:val="single" w:color="000000" w:sz="4" w:space="0"/>
              <w:left w:val="single" w:color="000000" w:sz="8" w:space="0"/>
              <w:bottom w:val="single" w:color="000000" w:sz="8" w:space="0"/>
            </w:tcBorders>
            <w:vAlign w:val="center"/>
          </w:tcPr>
          <w:p w14:paraId="5F77F52F">
            <w:pPr>
              <w:pStyle w:val="178"/>
            </w:pPr>
          </w:p>
        </w:tc>
        <w:tc>
          <w:tcPr>
            <w:tcW w:w="780" w:type="dxa"/>
            <w:vMerge w:val="continue"/>
            <w:tcBorders>
              <w:top w:val="single" w:color="000000" w:sz="4" w:space="0"/>
              <w:bottom w:val="single" w:color="000000" w:sz="8" w:space="0"/>
            </w:tcBorders>
            <w:vAlign w:val="center"/>
          </w:tcPr>
          <w:p w14:paraId="2B40166C">
            <w:pPr>
              <w:pStyle w:val="178"/>
            </w:pPr>
          </w:p>
        </w:tc>
        <w:tc>
          <w:tcPr>
            <w:tcW w:w="2033" w:type="dxa"/>
            <w:vMerge w:val="continue"/>
            <w:tcBorders>
              <w:top w:val="single" w:color="000000" w:sz="4" w:space="0"/>
              <w:bottom w:val="single" w:color="000000" w:sz="8" w:space="0"/>
              <w:right w:val="single" w:color="000000" w:sz="8" w:space="0"/>
            </w:tcBorders>
            <w:vAlign w:val="center"/>
          </w:tcPr>
          <w:p w14:paraId="1734A93C">
            <w:pPr>
              <w:pStyle w:val="178"/>
            </w:pPr>
          </w:p>
        </w:tc>
        <w:tc>
          <w:tcPr>
            <w:tcW w:w="1950" w:type="dxa"/>
            <w:tcBorders>
              <w:top w:val="single" w:color="000000" w:sz="4" w:space="0"/>
              <w:left w:val="single" w:color="000000" w:sz="8" w:space="0"/>
              <w:bottom w:val="single" w:color="000000" w:sz="8" w:space="0"/>
            </w:tcBorders>
            <w:vAlign w:val="center"/>
          </w:tcPr>
          <w:p w14:paraId="69A7BD75">
            <w:pPr>
              <w:pStyle w:val="178"/>
            </w:pPr>
            <w:r>
              <w:rPr>
                <w:rFonts w:hint="eastAsia"/>
              </w:rPr>
              <w:t>风险</w:t>
            </w:r>
          </w:p>
        </w:tc>
        <w:tc>
          <w:tcPr>
            <w:tcW w:w="1935" w:type="dxa"/>
            <w:gridSpan w:val="2"/>
            <w:tcBorders>
              <w:top w:val="single" w:color="000000" w:sz="4" w:space="0"/>
              <w:bottom w:val="single" w:color="000000" w:sz="8" w:space="0"/>
            </w:tcBorders>
            <w:vAlign w:val="center"/>
          </w:tcPr>
          <w:p w14:paraId="5AD62847">
            <w:pPr>
              <w:pStyle w:val="178"/>
            </w:pPr>
            <w:r>
              <w:rPr>
                <w:rFonts w:hint="eastAsia"/>
              </w:rPr>
              <w:t>危险状态</w:t>
            </w:r>
          </w:p>
        </w:tc>
        <w:tc>
          <w:tcPr>
            <w:tcW w:w="1965" w:type="dxa"/>
            <w:tcBorders>
              <w:top w:val="single" w:color="000000" w:sz="4" w:space="0"/>
              <w:bottom w:val="single" w:color="000000" w:sz="8" w:space="0"/>
              <w:right w:val="single" w:color="000000" w:sz="8" w:space="0"/>
            </w:tcBorders>
            <w:vAlign w:val="center"/>
          </w:tcPr>
          <w:p w14:paraId="358611C5">
            <w:pPr>
              <w:pStyle w:val="178"/>
            </w:pPr>
            <w:r>
              <w:rPr>
                <w:rFonts w:hint="eastAsia"/>
              </w:rPr>
              <w:t>风险事件</w:t>
            </w:r>
          </w:p>
        </w:tc>
      </w:tr>
      <w:tr w14:paraId="02603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67" w:type="dxa"/>
            <w:tcBorders>
              <w:top w:val="single" w:color="000000" w:sz="8" w:space="0"/>
              <w:left w:val="single" w:color="000000" w:sz="8" w:space="0"/>
              <w:bottom w:val="single" w:color="000000" w:sz="4" w:space="0"/>
            </w:tcBorders>
            <w:vAlign w:val="center"/>
          </w:tcPr>
          <w:p w14:paraId="5017DCF0">
            <w:pPr>
              <w:pStyle w:val="178"/>
            </w:pPr>
            <w:r>
              <w:rPr>
                <w:rFonts w:hint="eastAsia"/>
              </w:rPr>
              <w:t>1</w:t>
            </w:r>
          </w:p>
        </w:tc>
        <w:tc>
          <w:tcPr>
            <w:tcW w:w="780" w:type="dxa"/>
            <w:vMerge w:val="restart"/>
            <w:tcBorders>
              <w:top w:val="single" w:color="000000" w:sz="8" w:space="0"/>
              <w:bottom w:val="single" w:color="000000" w:sz="4" w:space="0"/>
            </w:tcBorders>
            <w:vAlign w:val="center"/>
          </w:tcPr>
          <w:p w14:paraId="42C7D0AE">
            <w:pPr>
              <w:pStyle w:val="178"/>
            </w:pPr>
            <w:r>
              <w:rPr>
                <w:rFonts w:hint="eastAsia"/>
              </w:rPr>
              <w:t>冲压作业</w:t>
            </w:r>
          </w:p>
        </w:tc>
        <w:tc>
          <w:tcPr>
            <w:tcW w:w="2033" w:type="dxa"/>
            <w:vMerge w:val="restart"/>
            <w:tcBorders>
              <w:top w:val="single" w:color="000000" w:sz="8" w:space="0"/>
              <w:bottom w:val="single" w:color="000000" w:sz="4" w:space="0"/>
              <w:right w:val="single" w:color="000000" w:sz="8" w:space="0"/>
            </w:tcBorders>
            <w:vAlign w:val="center"/>
          </w:tcPr>
          <w:p w14:paraId="7C03FB71">
            <w:pPr>
              <w:pStyle w:val="178"/>
            </w:pPr>
            <w:r>
              <w:rPr>
                <w:rFonts w:hint="eastAsia"/>
              </w:rPr>
              <w:t>手动装卸工件和调整工件位置</w:t>
            </w:r>
          </w:p>
        </w:tc>
        <w:tc>
          <w:tcPr>
            <w:tcW w:w="1950" w:type="dxa"/>
            <w:tcBorders>
              <w:top w:val="single" w:color="000000" w:sz="8" w:space="0"/>
              <w:left w:val="single" w:color="000000" w:sz="8" w:space="0"/>
              <w:bottom w:val="single" w:color="000000" w:sz="4" w:space="0"/>
            </w:tcBorders>
            <w:vAlign w:val="center"/>
          </w:tcPr>
          <w:p w14:paraId="54D4F55C">
            <w:pPr>
              <w:pStyle w:val="178"/>
            </w:pPr>
            <w:r>
              <w:rPr>
                <w:rFonts w:hint="eastAsia"/>
              </w:rPr>
              <w:t>坠落物（工件）—挤压（脚或手指）</w:t>
            </w:r>
          </w:p>
        </w:tc>
        <w:tc>
          <w:tcPr>
            <w:tcW w:w="1935" w:type="dxa"/>
            <w:gridSpan w:val="2"/>
            <w:tcBorders>
              <w:top w:val="single" w:color="000000" w:sz="8" w:space="0"/>
              <w:bottom w:val="single" w:color="000000" w:sz="4" w:space="0"/>
            </w:tcBorders>
            <w:vAlign w:val="center"/>
          </w:tcPr>
          <w:p w14:paraId="4AC0A029">
            <w:pPr>
              <w:pStyle w:val="178"/>
            </w:pPr>
            <w:r>
              <w:rPr>
                <w:rFonts w:hint="eastAsia"/>
              </w:rPr>
              <w:t>用双手搬运重工件</w:t>
            </w:r>
          </w:p>
        </w:tc>
        <w:tc>
          <w:tcPr>
            <w:tcW w:w="1965" w:type="dxa"/>
            <w:tcBorders>
              <w:top w:val="single" w:color="000000" w:sz="8" w:space="0"/>
              <w:bottom w:val="single" w:color="000000" w:sz="4" w:space="0"/>
              <w:right w:val="single" w:color="000000" w:sz="8" w:space="0"/>
            </w:tcBorders>
            <w:vAlign w:val="center"/>
          </w:tcPr>
          <w:p w14:paraId="4412F076">
            <w:pPr>
              <w:pStyle w:val="178"/>
            </w:pPr>
            <w:r>
              <w:rPr>
                <w:rFonts w:hint="eastAsia"/>
              </w:rPr>
              <w:t>工件坠落</w:t>
            </w:r>
          </w:p>
        </w:tc>
      </w:tr>
      <w:tr w14:paraId="144B0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67" w:type="dxa"/>
            <w:tcBorders>
              <w:top w:val="single" w:color="000000" w:sz="4" w:space="0"/>
              <w:left w:val="single" w:color="000000" w:sz="8" w:space="0"/>
              <w:bottom w:val="single" w:color="000000" w:sz="4" w:space="0"/>
            </w:tcBorders>
            <w:vAlign w:val="center"/>
          </w:tcPr>
          <w:p w14:paraId="2234CD9E">
            <w:pPr>
              <w:pStyle w:val="178"/>
            </w:pPr>
            <w:r>
              <w:rPr>
                <w:rFonts w:hint="eastAsia"/>
              </w:rPr>
              <w:t>2</w:t>
            </w:r>
          </w:p>
        </w:tc>
        <w:tc>
          <w:tcPr>
            <w:tcW w:w="780" w:type="dxa"/>
            <w:vMerge w:val="continue"/>
            <w:tcBorders>
              <w:top w:val="single" w:color="000000" w:sz="4" w:space="0"/>
              <w:bottom w:val="single" w:color="000000" w:sz="4" w:space="0"/>
            </w:tcBorders>
            <w:vAlign w:val="center"/>
          </w:tcPr>
          <w:p w14:paraId="425B1E49">
            <w:pPr>
              <w:pStyle w:val="178"/>
            </w:pPr>
          </w:p>
        </w:tc>
        <w:tc>
          <w:tcPr>
            <w:tcW w:w="2033" w:type="dxa"/>
            <w:vMerge w:val="continue"/>
            <w:tcBorders>
              <w:top w:val="single" w:color="000000" w:sz="4" w:space="0"/>
              <w:bottom w:val="single" w:color="000000" w:sz="4" w:space="0"/>
              <w:right w:val="single" w:color="000000" w:sz="8" w:space="0"/>
            </w:tcBorders>
            <w:vAlign w:val="center"/>
          </w:tcPr>
          <w:p w14:paraId="2DCD0C7B">
            <w:pPr>
              <w:pStyle w:val="178"/>
            </w:pPr>
          </w:p>
        </w:tc>
        <w:tc>
          <w:tcPr>
            <w:tcW w:w="1950" w:type="dxa"/>
            <w:tcBorders>
              <w:top w:val="single" w:color="000000" w:sz="4" w:space="0"/>
              <w:left w:val="single" w:color="000000" w:sz="8" w:space="0"/>
              <w:bottom w:val="single" w:color="000000" w:sz="4" w:space="0"/>
            </w:tcBorders>
            <w:vAlign w:val="center"/>
          </w:tcPr>
          <w:p w14:paraId="206F6CC7">
            <w:pPr>
              <w:pStyle w:val="178"/>
            </w:pPr>
            <w:r>
              <w:rPr>
                <w:rFonts w:hint="eastAsia"/>
              </w:rPr>
              <w:t>锐边（工件）——切割</w:t>
            </w:r>
          </w:p>
        </w:tc>
        <w:tc>
          <w:tcPr>
            <w:tcW w:w="1935" w:type="dxa"/>
            <w:gridSpan w:val="2"/>
            <w:tcBorders>
              <w:top w:val="single" w:color="000000" w:sz="4" w:space="0"/>
              <w:bottom w:val="single" w:color="000000" w:sz="4" w:space="0"/>
            </w:tcBorders>
            <w:vAlign w:val="center"/>
          </w:tcPr>
          <w:p w14:paraId="51B0A560">
            <w:pPr>
              <w:pStyle w:val="178"/>
            </w:pPr>
            <w:r>
              <w:rPr>
                <w:rFonts w:hint="eastAsia"/>
              </w:rPr>
              <w:t>用双手搬运带有锐边的工件</w:t>
            </w:r>
          </w:p>
        </w:tc>
        <w:tc>
          <w:tcPr>
            <w:tcW w:w="1965" w:type="dxa"/>
            <w:tcBorders>
              <w:top w:val="single" w:color="000000" w:sz="4" w:space="0"/>
              <w:bottom w:val="single" w:color="000000" w:sz="4" w:space="0"/>
              <w:right w:val="single" w:color="000000" w:sz="8" w:space="0"/>
            </w:tcBorders>
            <w:vAlign w:val="center"/>
          </w:tcPr>
          <w:p w14:paraId="43E83809">
            <w:pPr>
              <w:pStyle w:val="178"/>
            </w:pPr>
            <w:r>
              <w:rPr>
                <w:rFonts w:hint="eastAsia"/>
              </w:rPr>
              <w:t>接触工件尖锐的边角</w:t>
            </w:r>
          </w:p>
        </w:tc>
      </w:tr>
      <w:tr w14:paraId="58270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67" w:type="dxa"/>
            <w:tcBorders>
              <w:top w:val="single" w:color="000000" w:sz="4" w:space="0"/>
              <w:left w:val="single" w:color="000000" w:sz="8" w:space="0"/>
              <w:bottom w:val="single" w:color="000000" w:sz="4" w:space="0"/>
            </w:tcBorders>
            <w:vAlign w:val="center"/>
          </w:tcPr>
          <w:p w14:paraId="75D98223">
            <w:pPr>
              <w:pStyle w:val="178"/>
            </w:pPr>
            <w:r>
              <w:rPr>
                <w:rFonts w:hint="eastAsia"/>
              </w:rPr>
              <w:t>3</w:t>
            </w:r>
          </w:p>
        </w:tc>
        <w:tc>
          <w:tcPr>
            <w:tcW w:w="780" w:type="dxa"/>
            <w:vMerge w:val="continue"/>
            <w:tcBorders>
              <w:top w:val="single" w:color="000000" w:sz="4" w:space="0"/>
              <w:bottom w:val="single" w:color="000000" w:sz="4" w:space="0"/>
            </w:tcBorders>
            <w:vAlign w:val="center"/>
          </w:tcPr>
          <w:p w14:paraId="3F5F7ACD">
            <w:pPr>
              <w:pStyle w:val="178"/>
            </w:pPr>
          </w:p>
        </w:tc>
        <w:tc>
          <w:tcPr>
            <w:tcW w:w="2033" w:type="dxa"/>
            <w:vMerge w:val="restart"/>
            <w:tcBorders>
              <w:top w:val="single" w:color="000000" w:sz="4" w:space="0"/>
              <w:bottom w:val="single" w:color="000000" w:sz="4" w:space="0"/>
              <w:right w:val="single" w:color="000000" w:sz="8" w:space="0"/>
            </w:tcBorders>
            <w:vAlign w:val="center"/>
          </w:tcPr>
          <w:p w14:paraId="1788C5B3">
            <w:pPr>
              <w:pStyle w:val="178"/>
            </w:pPr>
            <w:r>
              <w:rPr>
                <w:rFonts w:hint="eastAsia"/>
              </w:rPr>
              <w:t>在冲压过程中双手握住工件</w:t>
            </w:r>
          </w:p>
        </w:tc>
        <w:tc>
          <w:tcPr>
            <w:tcW w:w="1950" w:type="dxa"/>
            <w:tcBorders>
              <w:top w:val="single" w:color="000000" w:sz="4" w:space="0"/>
              <w:left w:val="single" w:color="000000" w:sz="8" w:space="0"/>
              <w:bottom w:val="single" w:color="000000" w:sz="4" w:space="0"/>
            </w:tcBorders>
            <w:vAlign w:val="center"/>
          </w:tcPr>
          <w:p w14:paraId="04C5742B">
            <w:pPr>
              <w:pStyle w:val="178"/>
            </w:pPr>
            <w:r>
              <w:rPr>
                <w:rFonts w:hint="eastAsia"/>
              </w:rPr>
              <w:t>移动元件（冲头上下移 动和工件向上移动）——挤压，切断和刺穿</w:t>
            </w:r>
          </w:p>
        </w:tc>
        <w:tc>
          <w:tcPr>
            <w:tcW w:w="1935" w:type="dxa"/>
            <w:gridSpan w:val="2"/>
            <w:tcBorders>
              <w:top w:val="single" w:color="000000" w:sz="4" w:space="0"/>
              <w:bottom w:val="single" w:color="000000" w:sz="4" w:space="0"/>
            </w:tcBorders>
            <w:vAlign w:val="center"/>
          </w:tcPr>
          <w:p w14:paraId="0BAC125F">
            <w:pPr>
              <w:pStyle w:val="178"/>
            </w:pPr>
            <w:r>
              <w:rPr>
                <w:rFonts w:hint="eastAsia"/>
              </w:rPr>
              <w:t>移动件附近工作</w:t>
            </w:r>
          </w:p>
        </w:tc>
        <w:tc>
          <w:tcPr>
            <w:tcW w:w="1965" w:type="dxa"/>
            <w:tcBorders>
              <w:top w:val="single" w:color="000000" w:sz="4" w:space="0"/>
              <w:bottom w:val="single" w:color="000000" w:sz="4" w:space="0"/>
              <w:right w:val="single" w:color="000000" w:sz="8" w:space="0"/>
            </w:tcBorders>
            <w:vAlign w:val="center"/>
          </w:tcPr>
          <w:p w14:paraId="4A6FB3C9">
            <w:pPr>
              <w:pStyle w:val="178"/>
            </w:pPr>
            <w:r>
              <w:rPr>
                <w:rFonts w:hint="eastAsia"/>
              </w:rPr>
              <w:t>由于缺少防护或保护装置导致接触移动部件</w:t>
            </w:r>
          </w:p>
        </w:tc>
      </w:tr>
      <w:tr w14:paraId="4B6CD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467" w:type="dxa"/>
            <w:tcBorders>
              <w:top w:val="single" w:color="000000" w:sz="4" w:space="0"/>
              <w:left w:val="single" w:color="000000" w:sz="8" w:space="0"/>
              <w:bottom w:val="single" w:color="000000" w:sz="4" w:space="0"/>
            </w:tcBorders>
            <w:vAlign w:val="center"/>
          </w:tcPr>
          <w:p w14:paraId="6021A01A">
            <w:pPr>
              <w:pStyle w:val="178"/>
            </w:pPr>
            <w:r>
              <w:rPr>
                <w:rFonts w:hint="eastAsia"/>
              </w:rPr>
              <w:t>4</w:t>
            </w:r>
          </w:p>
        </w:tc>
        <w:tc>
          <w:tcPr>
            <w:tcW w:w="780" w:type="dxa"/>
            <w:vMerge w:val="continue"/>
            <w:tcBorders>
              <w:top w:val="single" w:color="000000" w:sz="4" w:space="0"/>
              <w:bottom w:val="single" w:color="000000" w:sz="4" w:space="0"/>
            </w:tcBorders>
            <w:vAlign w:val="center"/>
          </w:tcPr>
          <w:p w14:paraId="671CF2F9">
            <w:pPr>
              <w:pStyle w:val="178"/>
            </w:pPr>
          </w:p>
        </w:tc>
        <w:tc>
          <w:tcPr>
            <w:tcW w:w="2033" w:type="dxa"/>
            <w:vMerge w:val="continue"/>
            <w:tcBorders>
              <w:top w:val="single" w:color="000000" w:sz="4" w:space="0"/>
              <w:bottom w:val="single" w:color="000000" w:sz="4" w:space="0"/>
              <w:right w:val="single" w:color="000000" w:sz="8" w:space="0"/>
            </w:tcBorders>
            <w:vAlign w:val="center"/>
          </w:tcPr>
          <w:p w14:paraId="2603151E">
            <w:pPr>
              <w:pStyle w:val="178"/>
            </w:pPr>
          </w:p>
        </w:tc>
        <w:tc>
          <w:tcPr>
            <w:tcW w:w="1950" w:type="dxa"/>
            <w:tcBorders>
              <w:top w:val="single" w:color="000000" w:sz="4" w:space="0"/>
              <w:left w:val="single" w:color="000000" w:sz="8" w:space="0"/>
              <w:bottom w:val="single" w:color="000000" w:sz="4" w:space="0"/>
            </w:tcBorders>
            <w:vAlign w:val="center"/>
          </w:tcPr>
          <w:p w14:paraId="69014EAB">
            <w:pPr>
              <w:pStyle w:val="178"/>
            </w:pPr>
            <w:r>
              <w:rPr>
                <w:rFonts w:hint="eastAsia"/>
              </w:rPr>
              <w:t>移动元件（工具零件或 工件零件的飞出）—— 冲击</w:t>
            </w:r>
          </w:p>
        </w:tc>
        <w:tc>
          <w:tcPr>
            <w:tcW w:w="1935" w:type="dxa"/>
            <w:gridSpan w:val="2"/>
            <w:tcBorders>
              <w:top w:val="single" w:color="000000" w:sz="4" w:space="0"/>
              <w:bottom w:val="single" w:color="000000" w:sz="4" w:space="0"/>
            </w:tcBorders>
            <w:vAlign w:val="center"/>
          </w:tcPr>
          <w:p w14:paraId="531343D1">
            <w:pPr>
              <w:pStyle w:val="178"/>
            </w:pPr>
            <w:r>
              <w:rPr>
                <w:rFonts w:hint="eastAsia"/>
              </w:rPr>
              <w:t>暴露在零件飞出范围内的操作人员及其他人员</w:t>
            </w:r>
          </w:p>
        </w:tc>
        <w:tc>
          <w:tcPr>
            <w:tcW w:w="1965" w:type="dxa"/>
            <w:tcBorders>
              <w:top w:val="single" w:color="000000" w:sz="4" w:space="0"/>
              <w:bottom w:val="single" w:color="000000" w:sz="4" w:space="0"/>
              <w:right w:val="single" w:color="000000" w:sz="8" w:space="0"/>
            </w:tcBorders>
            <w:vAlign w:val="center"/>
          </w:tcPr>
          <w:p w14:paraId="5A9D1E86">
            <w:pPr>
              <w:pStyle w:val="178"/>
            </w:pPr>
            <w:r>
              <w:rPr>
                <w:rFonts w:hint="eastAsia"/>
              </w:rPr>
              <w:t>冲头或工件碎裂（由诸 如冲压不当、疲劳、老 化或变脆，工件材料不 足等原因导致）</w:t>
            </w:r>
          </w:p>
        </w:tc>
      </w:tr>
      <w:tr w14:paraId="40CA0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467" w:type="dxa"/>
            <w:tcBorders>
              <w:top w:val="single" w:color="000000" w:sz="4" w:space="0"/>
              <w:left w:val="single" w:color="000000" w:sz="8" w:space="0"/>
              <w:bottom w:val="single" w:color="000000" w:sz="4" w:space="0"/>
            </w:tcBorders>
            <w:vAlign w:val="center"/>
          </w:tcPr>
          <w:p w14:paraId="263BBF94">
            <w:pPr>
              <w:pStyle w:val="178"/>
            </w:pPr>
            <w:r>
              <w:rPr>
                <w:rFonts w:hint="eastAsia"/>
              </w:rPr>
              <w:t>5</w:t>
            </w:r>
          </w:p>
        </w:tc>
        <w:tc>
          <w:tcPr>
            <w:tcW w:w="780" w:type="dxa"/>
            <w:vMerge w:val="continue"/>
            <w:tcBorders>
              <w:top w:val="single" w:color="000000" w:sz="4" w:space="0"/>
              <w:bottom w:val="single" w:color="000000" w:sz="4" w:space="0"/>
            </w:tcBorders>
            <w:vAlign w:val="center"/>
          </w:tcPr>
          <w:p w14:paraId="003CD5AE">
            <w:pPr>
              <w:pStyle w:val="178"/>
            </w:pPr>
          </w:p>
        </w:tc>
        <w:tc>
          <w:tcPr>
            <w:tcW w:w="2033" w:type="dxa"/>
            <w:vMerge w:val="continue"/>
            <w:tcBorders>
              <w:top w:val="single" w:color="000000" w:sz="4" w:space="0"/>
              <w:bottom w:val="single" w:color="000000" w:sz="4" w:space="0"/>
              <w:right w:val="single" w:color="000000" w:sz="8" w:space="0"/>
            </w:tcBorders>
            <w:vAlign w:val="center"/>
          </w:tcPr>
          <w:p w14:paraId="4F6DAF99">
            <w:pPr>
              <w:pStyle w:val="178"/>
            </w:pPr>
          </w:p>
        </w:tc>
        <w:tc>
          <w:tcPr>
            <w:tcW w:w="1950" w:type="dxa"/>
            <w:tcBorders>
              <w:top w:val="single" w:color="000000" w:sz="4" w:space="0"/>
              <w:left w:val="single" w:color="000000" w:sz="8" w:space="0"/>
              <w:bottom w:val="single" w:color="000000" w:sz="4" w:space="0"/>
            </w:tcBorders>
            <w:vAlign w:val="center"/>
          </w:tcPr>
          <w:p w14:paraId="76D7D2BB">
            <w:pPr>
              <w:pStyle w:val="178"/>
            </w:pPr>
            <w:r>
              <w:rPr>
                <w:rFonts w:hint="eastAsia"/>
              </w:rPr>
              <w:t>噪声制造过程（冲击噪 声）——不舒服</w:t>
            </w:r>
          </w:p>
        </w:tc>
        <w:tc>
          <w:tcPr>
            <w:tcW w:w="1935" w:type="dxa"/>
            <w:gridSpan w:val="2"/>
            <w:tcBorders>
              <w:top w:val="single" w:color="000000" w:sz="4" w:space="0"/>
              <w:bottom w:val="single" w:color="000000" w:sz="4" w:space="0"/>
            </w:tcBorders>
            <w:vAlign w:val="center"/>
          </w:tcPr>
          <w:p w14:paraId="5DA6FC3F">
            <w:pPr>
              <w:pStyle w:val="178"/>
            </w:pPr>
            <w:r>
              <w:rPr>
                <w:rFonts w:hint="eastAsia"/>
              </w:rPr>
              <w:t>暴露在噪声产生的风险中的操作人员及其他人员</w:t>
            </w:r>
          </w:p>
        </w:tc>
        <w:tc>
          <w:tcPr>
            <w:tcW w:w="1965" w:type="dxa"/>
            <w:tcBorders>
              <w:top w:val="single" w:color="000000" w:sz="4" w:space="0"/>
              <w:bottom w:val="single" w:color="000000" w:sz="4" w:space="0"/>
              <w:right w:val="single" w:color="000000" w:sz="8" w:space="0"/>
            </w:tcBorders>
            <w:vAlign w:val="center"/>
          </w:tcPr>
          <w:p w14:paraId="4E88FD8D">
            <w:pPr>
              <w:pStyle w:val="178"/>
            </w:pPr>
            <w:r>
              <w:rPr>
                <w:rFonts w:hint="eastAsia"/>
              </w:rPr>
              <w:t>达到一定等级、具有危 害性的噪声排放</w:t>
            </w:r>
          </w:p>
        </w:tc>
      </w:tr>
      <w:tr w14:paraId="6A28C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67" w:type="dxa"/>
            <w:tcBorders>
              <w:top w:val="single" w:color="000000" w:sz="4" w:space="0"/>
              <w:left w:val="single" w:color="000000" w:sz="8" w:space="0"/>
              <w:bottom w:val="single" w:color="000000" w:sz="4" w:space="0"/>
            </w:tcBorders>
            <w:vAlign w:val="center"/>
          </w:tcPr>
          <w:p w14:paraId="368C55CA">
            <w:pPr>
              <w:pStyle w:val="178"/>
            </w:pPr>
            <w:r>
              <w:rPr>
                <w:rFonts w:hint="eastAsia"/>
              </w:rPr>
              <w:t>6</w:t>
            </w:r>
          </w:p>
        </w:tc>
        <w:tc>
          <w:tcPr>
            <w:tcW w:w="780" w:type="dxa"/>
            <w:vMerge w:val="continue"/>
            <w:tcBorders>
              <w:top w:val="single" w:color="000000" w:sz="4" w:space="0"/>
              <w:bottom w:val="single" w:color="000000" w:sz="4" w:space="0"/>
            </w:tcBorders>
            <w:vAlign w:val="center"/>
          </w:tcPr>
          <w:p w14:paraId="72A0DB69">
            <w:pPr>
              <w:pStyle w:val="178"/>
            </w:pPr>
          </w:p>
        </w:tc>
        <w:tc>
          <w:tcPr>
            <w:tcW w:w="2033" w:type="dxa"/>
            <w:vMerge w:val="continue"/>
            <w:tcBorders>
              <w:top w:val="single" w:color="000000" w:sz="4" w:space="0"/>
              <w:bottom w:val="single" w:color="000000" w:sz="4" w:space="0"/>
              <w:right w:val="single" w:color="000000" w:sz="8" w:space="0"/>
            </w:tcBorders>
            <w:vAlign w:val="center"/>
          </w:tcPr>
          <w:p w14:paraId="0B9E3F25">
            <w:pPr>
              <w:pStyle w:val="178"/>
            </w:pPr>
          </w:p>
        </w:tc>
        <w:tc>
          <w:tcPr>
            <w:tcW w:w="1950" w:type="dxa"/>
            <w:tcBorders>
              <w:top w:val="single" w:color="000000" w:sz="4" w:space="0"/>
              <w:left w:val="single" w:color="000000" w:sz="8" w:space="0"/>
              <w:bottom w:val="single" w:color="000000" w:sz="4" w:space="0"/>
            </w:tcBorders>
            <w:vAlign w:val="center"/>
          </w:tcPr>
          <w:p w14:paraId="0F974146">
            <w:pPr>
              <w:pStyle w:val="178"/>
            </w:pPr>
            <w:r>
              <w:rPr>
                <w:rFonts w:hint="eastAsia"/>
              </w:rPr>
              <w:t>故障状态下带电的零 部件—— 电击</w:t>
            </w:r>
          </w:p>
        </w:tc>
        <w:tc>
          <w:tcPr>
            <w:tcW w:w="1935" w:type="dxa"/>
            <w:gridSpan w:val="2"/>
            <w:tcBorders>
              <w:top w:val="single" w:color="000000" w:sz="4" w:space="0"/>
              <w:bottom w:val="single" w:color="000000" w:sz="4" w:space="0"/>
            </w:tcBorders>
            <w:vAlign w:val="center"/>
          </w:tcPr>
          <w:p w14:paraId="612A0AE8">
            <w:pPr>
              <w:pStyle w:val="178"/>
            </w:pPr>
            <w:r>
              <w:rPr>
                <w:rFonts w:hint="eastAsia"/>
              </w:rPr>
              <w:t>机器带电工作</w:t>
            </w:r>
          </w:p>
        </w:tc>
        <w:tc>
          <w:tcPr>
            <w:tcW w:w="1965" w:type="dxa"/>
            <w:tcBorders>
              <w:top w:val="single" w:color="000000" w:sz="4" w:space="0"/>
              <w:bottom w:val="single" w:color="000000" w:sz="4" w:space="0"/>
              <w:right w:val="single" w:color="000000" w:sz="8" w:space="0"/>
            </w:tcBorders>
            <w:vAlign w:val="center"/>
          </w:tcPr>
          <w:p w14:paraId="02D48268">
            <w:pPr>
              <w:pStyle w:val="178"/>
            </w:pPr>
            <w:r>
              <w:rPr>
                <w:rFonts w:hint="eastAsia"/>
              </w:rPr>
              <w:t>间接接触</w:t>
            </w:r>
          </w:p>
        </w:tc>
      </w:tr>
      <w:tr w14:paraId="4EC6F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467" w:type="dxa"/>
            <w:tcBorders>
              <w:top w:val="single" w:color="000000" w:sz="4" w:space="0"/>
              <w:left w:val="single" w:color="000000" w:sz="8" w:space="0"/>
              <w:bottom w:val="single" w:color="000000" w:sz="8" w:space="0"/>
            </w:tcBorders>
            <w:vAlign w:val="center"/>
          </w:tcPr>
          <w:p w14:paraId="06922071">
            <w:pPr>
              <w:pStyle w:val="178"/>
            </w:pPr>
            <w:r>
              <w:rPr>
                <w:rFonts w:hint="eastAsia"/>
              </w:rPr>
              <w:t>7</w:t>
            </w:r>
          </w:p>
        </w:tc>
        <w:tc>
          <w:tcPr>
            <w:tcW w:w="780" w:type="dxa"/>
            <w:vMerge w:val="continue"/>
            <w:tcBorders>
              <w:top w:val="single" w:color="000000" w:sz="4" w:space="0"/>
              <w:bottom w:val="single" w:color="000000" w:sz="8" w:space="0"/>
            </w:tcBorders>
            <w:vAlign w:val="center"/>
          </w:tcPr>
          <w:p w14:paraId="2905B581">
            <w:pPr>
              <w:pStyle w:val="178"/>
            </w:pPr>
          </w:p>
        </w:tc>
        <w:tc>
          <w:tcPr>
            <w:tcW w:w="2033" w:type="dxa"/>
            <w:tcBorders>
              <w:top w:val="single" w:color="000000" w:sz="4" w:space="0"/>
              <w:bottom w:val="single" w:color="000000" w:sz="8" w:space="0"/>
              <w:right w:val="single" w:color="000000" w:sz="8" w:space="0"/>
            </w:tcBorders>
            <w:vAlign w:val="center"/>
          </w:tcPr>
          <w:p w14:paraId="29690DE8">
            <w:pPr>
              <w:pStyle w:val="178"/>
            </w:pPr>
            <w:r>
              <w:rPr>
                <w:rFonts w:hint="eastAsia"/>
              </w:rPr>
              <w:t>操作过程中的少量干预（去除废料和工具的润滑）</w:t>
            </w:r>
          </w:p>
        </w:tc>
        <w:tc>
          <w:tcPr>
            <w:tcW w:w="1950" w:type="dxa"/>
            <w:tcBorders>
              <w:top w:val="single" w:color="000000" w:sz="4" w:space="0"/>
              <w:left w:val="single" w:color="000000" w:sz="8" w:space="0"/>
              <w:bottom w:val="single" w:color="000000" w:sz="8" w:space="0"/>
            </w:tcBorders>
            <w:vAlign w:val="center"/>
          </w:tcPr>
          <w:p w14:paraId="000BB816">
            <w:pPr>
              <w:pStyle w:val="178"/>
            </w:pPr>
            <w:r>
              <w:rPr>
                <w:rFonts w:hint="eastAsia"/>
              </w:rPr>
              <w:t>移动件（冲头的上下移 动和工件的向上移动）-----挤压，切断和刺穿</w:t>
            </w:r>
          </w:p>
        </w:tc>
        <w:tc>
          <w:tcPr>
            <w:tcW w:w="1935" w:type="dxa"/>
            <w:gridSpan w:val="2"/>
            <w:tcBorders>
              <w:top w:val="single" w:color="000000" w:sz="4" w:space="0"/>
              <w:bottom w:val="single" w:color="000000" w:sz="8" w:space="0"/>
            </w:tcBorders>
            <w:vAlign w:val="center"/>
          </w:tcPr>
          <w:p w14:paraId="2730FBB7">
            <w:pPr>
              <w:pStyle w:val="178"/>
            </w:pPr>
            <w:r>
              <w:rPr>
                <w:rFonts w:hint="eastAsia"/>
              </w:rPr>
              <w:t>在动力促动器（液压 缸）下面工作</w:t>
            </w:r>
          </w:p>
        </w:tc>
        <w:tc>
          <w:tcPr>
            <w:tcW w:w="1965" w:type="dxa"/>
            <w:tcBorders>
              <w:top w:val="single" w:color="000000" w:sz="4" w:space="0"/>
              <w:bottom w:val="single" w:color="000000" w:sz="8" w:space="0"/>
              <w:right w:val="single" w:color="000000" w:sz="8" w:space="0"/>
            </w:tcBorders>
            <w:vAlign w:val="center"/>
          </w:tcPr>
          <w:p w14:paraId="5DD75953">
            <w:pPr>
              <w:pStyle w:val="178"/>
            </w:pPr>
            <w:r>
              <w:rPr>
                <w:rFonts w:hint="eastAsia"/>
              </w:rPr>
              <w:t>工作程序中的人为失误（对工具进行手动润滑时，用布代替带有长颈/管口的容器）；意外启动</w:t>
            </w:r>
          </w:p>
        </w:tc>
      </w:tr>
    </w:tbl>
    <w:p w14:paraId="1FADBC1C">
      <w:pPr>
        <w:pStyle w:val="56"/>
        <w:ind w:firstLine="420"/>
      </w:pPr>
    </w:p>
    <w:p w14:paraId="21582945">
      <w:pPr>
        <w:pStyle w:val="78"/>
        <w:spacing w:before="120" w:after="120"/>
      </w:pPr>
      <w:bookmarkStart w:id="71" w:name="_Toc16063"/>
      <w:bookmarkStart w:id="72" w:name="_Toc176814587"/>
      <w:bookmarkStart w:id="73" w:name="_Toc21255"/>
      <w:r>
        <w:rPr>
          <w:rFonts w:hint="eastAsia"/>
        </w:rPr>
        <w:t>使用风险矩阵法的风险评价</w:t>
      </w:r>
      <w:bookmarkEnd w:id="71"/>
      <w:bookmarkEnd w:id="72"/>
      <w:bookmarkEnd w:id="73"/>
    </w:p>
    <w:p w14:paraId="2834612E">
      <w:pPr>
        <w:pStyle w:val="79"/>
        <w:spacing w:before="120" w:after="120"/>
      </w:pPr>
      <w:r>
        <w:rPr>
          <w:rFonts w:hint="eastAsia"/>
        </w:rPr>
        <w:t>概述</w:t>
      </w:r>
    </w:p>
    <w:p w14:paraId="0289F07D">
      <w:pPr>
        <w:pStyle w:val="56"/>
        <w:ind w:firstLine="420"/>
      </w:pPr>
      <w:r>
        <w:rPr>
          <w:rFonts w:hint="eastAsia"/>
        </w:rPr>
        <w:t>识别风险之后，采用风险矩阵法评价与被识别风险有关的风险。风险矩阵法可用来评价许多工业领域中的机械、设备，设施或其他场合的风险。</w:t>
      </w:r>
    </w:p>
    <w:p w14:paraId="16F09D8A">
      <w:pPr>
        <w:pStyle w:val="56"/>
        <w:ind w:firstLine="420"/>
      </w:pPr>
      <w:r>
        <w:rPr>
          <w:rFonts w:hint="eastAsia"/>
        </w:rPr>
        <w:t>风险矩阵法的首要用途是帮助识别无法接受的高风险，以便把减小风险的努力集中于这些领域。风险矩阵法主要是将风险分级或分组而形成不同的风险等级，以便对风险的可接受程度做出决定。</w:t>
      </w:r>
    </w:p>
    <w:p w14:paraId="01C86D65">
      <w:pPr>
        <w:pStyle w:val="56"/>
        <w:ind w:firstLine="420"/>
      </w:pPr>
      <w:r>
        <w:rPr>
          <w:rFonts w:hint="eastAsia"/>
        </w:rPr>
        <w:t>风险矩阵法为某一风险的风险等级的推导提供了一种简单、快速和有效的方法。风险矩阵法是主观的，它依赖于风险评价人员的正确判断。因此，如果团队组成人员在被评价的任务和机械/设备/设施方面具有丰富的知识和实践经验，则这种方法最为有效。</w:t>
      </w:r>
    </w:p>
    <w:p w14:paraId="0FF1ED0C">
      <w:pPr>
        <w:pStyle w:val="56"/>
        <w:ind w:firstLine="420"/>
      </w:pPr>
      <w:r>
        <w:rPr>
          <w:rFonts w:hint="eastAsia"/>
        </w:rPr>
        <w:t>风险矩阵法的学习和使用都相当简单、快捷。然而，由于该方法的主观性本质，它不能提供很高的精度或重现性，要想使风险等级的精度更高，建议选择其他方法。但值得注意的是：方法的精度越高，学习和完成所需要的时间越多，并可能导致不同的风险防控措施。</w:t>
      </w:r>
    </w:p>
    <w:p w14:paraId="52F4D0A7">
      <w:pPr>
        <w:pStyle w:val="79"/>
        <w:spacing w:before="120" w:after="120"/>
      </w:pPr>
      <w:r>
        <w:rPr>
          <w:rFonts w:hint="eastAsia"/>
        </w:rPr>
        <w:t>工具或方法的描述</w:t>
      </w:r>
    </w:p>
    <w:p w14:paraId="48786FF1">
      <w:pPr>
        <w:pStyle w:val="81"/>
        <w:spacing w:before="120" w:after="120"/>
      </w:pPr>
      <w:r>
        <w:rPr>
          <w:rFonts w:hint="eastAsia"/>
        </w:rPr>
        <w:t>概述</w:t>
      </w:r>
    </w:p>
    <w:p w14:paraId="5B9ACD65">
      <w:pPr>
        <w:pStyle w:val="56"/>
        <w:ind w:firstLine="420"/>
      </w:pPr>
      <w:r>
        <w:rPr>
          <w:rFonts w:hint="eastAsia"/>
        </w:rPr>
        <w:t>风险矩阵法包括风险矩阵的选择、严重程度的评价，概率的评价和风险等级的得出四个步骤。</w:t>
      </w:r>
    </w:p>
    <w:p w14:paraId="3F89B73D">
      <w:pPr>
        <w:pStyle w:val="81"/>
        <w:spacing w:before="120" w:after="120"/>
      </w:pPr>
      <w:r>
        <w:rPr>
          <w:rFonts w:hint="eastAsia"/>
        </w:rPr>
        <w:t>风险矩阵的选择</w:t>
      </w:r>
    </w:p>
    <w:p w14:paraId="74541D85">
      <w:pPr>
        <w:pStyle w:val="56"/>
        <w:ind w:firstLine="420"/>
      </w:pPr>
      <w:r>
        <w:rPr>
          <w:rFonts w:hint="eastAsia"/>
        </w:rPr>
        <w:t>风险矩阵已用了很多年，并有许多不同的变化。表A.3 和表 A.4 展示了两个示例。两个示例中，对每个风险因素，不同的风险矩阵采用了不同的等级。示例，表A.3 中有4个可能性等级，而表 A.4 则有6个可能性等级。等级的范围通常是从3个～10个，最常用的是4个或5个。</w:t>
      </w:r>
    </w:p>
    <w:p w14:paraId="2B49A832">
      <w:pPr>
        <w:pStyle w:val="77"/>
        <w:spacing w:before="120" w:after="120"/>
        <w:ind w:firstLine="420"/>
      </w:pPr>
      <w:r>
        <w:rPr>
          <w:rFonts w:hint="eastAsia"/>
        </w:rPr>
        <w:t>风险评估矩阵伤害的严重程度</w:t>
      </w:r>
    </w:p>
    <w:tbl>
      <w:tblPr>
        <w:tblStyle w:val="231"/>
        <w:tblW w:w="9029"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4"/>
        <w:gridCol w:w="2010"/>
        <w:gridCol w:w="1785"/>
        <w:gridCol w:w="1755"/>
        <w:gridCol w:w="1755"/>
      </w:tblGrid>
      <w:tr w14:paraId="58627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724" w:type="dxa"/>
            <w:vMerge w:val="restart"/>
            <w:tcBorders>
              <w:top w:val="single" w:color="000000" w:sz="8" w:space="0"/>
              <w:left w:val="single" w:color="000000" w:sz="8" w:space="0"/>
              <w:bottom w:val="single" w:color="000000" w:sz="4" w:space="0"/>
            </w:tcBorders>
            <w:vAlign w:val="center"/>
          </w:tcPr>
          <w:p w14:paraId="063715E5">
            <w:pPr>
              <w:pStyle w:val="178"/>
            </w:pPr>
            <w:r>
              <w:rPr>
                <w:rFonts w:hint="eastAsia"/>
              </w:rPr>
              <w:t>伤害发生的可能性</w:t>
            </w:r>
          </w:p>
        </w:tc>
        <w:tc>
          <w:tcPr>
            <w:tcW w:w="7305" w:type="dxa"/>
            <w:gridSpan w:val="4"/>
            <w:tcBorders>
              <w:top w:val="single" w:color="000000" w:sz="8" w:space="0"/>
              <w:bottom w:val="single" w:color="000000" w:sz="4" w:space="0"/>
              <w:right w:val="single" w:color="000000" w:sz="8" w:space="0"/>
            </w:tcBorders>
            <w:vAlign w:val="center"/>
          </w:tcPr>
          <w:p w14:paraId="26BB908E">
            <w:pPr>
              <w:pStyle w:val="178"/>
            </w:pPr>
            <w:r>
              <w:rPr>
                <w:rFonts w:hint="eastAsia"/>
              </w:rPr>
              <w:t>伤害的严重程度</w:t>
            </w:r>
          </w:p>
        </w:tc>
      </w:tr>
      <w:tr w14:paraId="0E899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24" w:type="dxa"/>
            <w:vMerge w:val="continue"/>
            <w:tcBorders>
              <w:top w:val="single" w:color="000000" w:sz="4" w:space="0"/>
              <w:left w:val="single" w:color="000000" w:sz="8" w:space="0"/>
              <w:bottom w:val="single" w:color="000000" w:sz="8" w:space="0"/>
            </w:tcBorders>
            <w:vAlign w:val="center"/>
          </w:tcPr>
          <w:p w14:paraId="0227F8E4">
            <w:pPr>
              <w:pStyle w:val="178"/>
            </w:pPr>
          </w:p>
        </w:tc>
        <w:tc>
          <w:tcPr>
            <w:tcW w:w="2010" w:type="dxa"/>
            <w:tcBorders>
              <w:top w:val="single" w:color="000000" w:sz="4" w:space="0"/>
              <w:bottom w:val="single" w:color="000000" w:sz="8" w:space="0"/>
            </w:tcBorders>
            <w:vAlign w:val="center"/>
          </w:tcPr>
          <w:p w14:paraId="5EFFA8BF">
            <w:pPr>
              <w:pStyle w:val="178"/>
            </w:pPr>
            <w:r>
              <w:rPr>
                <w:rFonts w:hint="eastAsia"/>
              </w:rPr>
              <w:t>灾难性的</w:t>
            </w:r>
          </w:p>
        </w:tc>
        <w:tc>
          <w:tcPr>
            <w:tcW w:w="1785" w:type="dxa"/>
            <w:tcBorders>
              <w:top w:val="single" w:color="000000" w:sz="4" w:space="0"/>
              <w:bottom w:val="single" w:color="000000" w:sz="8" w:space="0"/>
            </w:tcBorders>
            <w:vAlign w:val="center"/>
          </w:tcPr>
          <w:p w14:paraId="741D48B2">
            <w:pPr>
              <w:pStyle w:val="178"/>
            </w:pPr>
            <w:r>
              <w:rPr>
                <w:rFonts w:hint="eastAsia"/>
              </w:rPr>
              <w:t>严重的</w:t>
            </w:r>
          </w:p>
        </w:tc>
        <w:tc>
          <w:tcPr>
            <w:tcW w:w="1755" w:type="dxa"/>
            <w:tcBorders>
              <w:top w:val="single" w:color="000000" w:sz="4" w:space="0"/>
              <w:bottom w:val="single" w:color="000000" w:sz="8" w:space="0"/>
            </w:tcBorders>
            <w:vAlign w:val="center"/>
          </w:tcPr>
          <w:p w14:paraId="6DA9A52D">
            <w:pPr>
              <w:pStyle w:val="178"/>
            </w:pPr>
            <w:r>
              <w:rPr>
                <w:rFonts w:hint="eastAsia"/>
              </w:rPr>
              <w:t>中等的</w:t>
            </w:r>
          </w:p>
        </w:tc>
        <w:tc>
          <w:tcPr>
            <w:tcW w:w="1755" w:type="dxa"/>
            <w:tcBorders>
              <w:top w:val="single" w:color="000000" w:sz="4" w:space="0"/>
              <w:bottom w:val="single" w:color="000000" w:sz="8" w:space="0"/>
              <w:right w:val="single" w:color="000000" w:sz="8" w:space="0"/>
            </w:tcBorders>
            <w:vAlign w:val="center"/>
          </w:tcPr>
          <w:p w14:paraId="536C3FF9">
            <w:pPr>
              <w:pStyle w:val="178"/>
            </w:pPr>
            <w:r>
              <w:rPr>
                <w:rFonts w:hint="eastAsia"/>
              </w:rPr>
              <w:t>轻微的</w:t>
            </w:r>
          </w:p>
        </w:tc>
      </w:tr>
      <w:tr w14:paraId="5C39E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724" w:type="dxa"/>
            <w:tcBorders>
              <w:top w:val="single" w:color="000000" w:sz="8" w:space="0"/>
              <w:left w:val="single" w:color="000000" w:sz="8" w:space="0"/>
              <w:bottom w:val="single" w:color="000000" w:sz="4" w:space="0"/>
            </w:tcBorders>
            <w:vAlign w:val="center"/>
          </w:tcPr>
          <w:p w14:paraId="4C2E9B86">
            <w:pPr>
              <w:pStyle w:val="178"/>
            </w:pPr>
            <w:r>
              <w:rPr>
                <w:rFonts w:hint="eastAsia"/>
              </w:rPr>
              <w:t>经常可能</w:t>
            </w:r>
          </w:p>
        </w:tc>
        <w:tc>
          <w:tcPr>
            <w:tcW w:w="2010" w:type="dxa"/>
            <w:tcBorders>
              <w:top w:val="single" w:color="000000" w:sz="8" w:space="0"/>
              <w:bottom w:val="single" w:color="000000" w:sz="4" w:space="0"/>
            </w:tcBorders>
            <w:vAlign w:val="center"/>
          </w:tcPr>
          <w:p w14:paraId="6A95D8FE">
            <w:pPr>
              <w:pStyle w:val="178"/>
            </w:pPr>
            <w:r>
              <w:rPr>
                <w:rFonts w:hint="eastAsia"/>
              </w:rPr>
              <w:t>高</w:t>
            </w:r>
          </w:p>
        </w:tc>
        <w:tc>
          <w:tcPr>
            <w:tcW w:w="1785" w:type="dxa"/>
            <w:tcBorders>
              <w:top w:val="single" w:color="000000" w:sz="8" w:space="0"/>
              <w:bottom w:val="single" w:color="000000" w:sz="4" w:space="0"/>
            </w:tcBorders>
            <w:vAlign w:val="center"/>
          </w:tcPr>
          <w:p w14:paraId="3D97972B">
            <w:pPr>
              <w:pStyle w:val="178"/>
            </w:pPr>
            <w:r>
              <w:rPr>
                <w:rFonts w:hint="eastAsia"/>
              </w:rPr>
              <w:t>高</w:t>
            </w:r>
          </w:p>
        </w:tc>
        <w:tc>
          <w:tcPr>
            <w:tcW w:w="1755" w:type="dxa"/>
            <w:tcBorders>
              <w:top w:val="single" w:color="000000" w:sz="8" w:space="0"/>
              <w:bottom w:val="single" w:color="000000" w:sz="4" w:space="0"/>
            </w:tcBorders>
            <w:vAlign w:val="center"/>
          </w:tcPr>
          <w:p w14:paraId="16E745D6">
            <w:pPr>
              <w:pStyle w:val="178"/>
            </w:pPr>
            <w:r>
              <w:rPr>
                <w:rFonts w:hint="eastAsia"/>
              </w:rPr>
              <w:t>高</w:t>
            </w:r>
          </w:p>
        </w:tc>
        <w:tc>
          <w:tcPr>
            <w:tcW w:w="1755" w:type="dxa"/>
            <w:tcBorders>
              <w:top w:val="single" w:color="000000" w:sz="8" w:space="0"/>
              <w:bottom w:val="single" w:color="000000" w:sz="4" w:space="0"/>
              <w:right w:val="single" w:color="000000" w:sz="8" w:space="0"/>
            </w:tcBorders>
            <w:vAlign w:val="center"/>
          </w:tcPr>
          <w:p w14:paraId="7D674BFD">
            <w:pPr>
              <w:pStyle w:val="178"/>
            </w:pPr>
            <w:r>
              <w:rPr>
                <w:rFonts w:hint="eastAsia"/>
              </w:rPr>
              <w:t>中</w:t>
            </w:r>
          </w:p>
        </w:tc>
      </w:tr>
      <w:tr w14:paraId="0B2B0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724" w:type="dxa"/>
            <w:tcBorders>
              <w:top w:val="single" w:color="000000" w:sz="4" w:space="0"/>
              <w:left w:val="single" w:color="000000" w:sz="8" w:space="0"/>
              <w:bottom w:val="single" w:color="000000" w:sz="4" w:space="0"/>
            </w:tcBorders>
            <w:vAlign w:val="center"/>
          </w:tcPr>
          <w:p w14:paraId="762C7FCB">
            <w:pPr>
              <w:pStyle w:val="178"/>
            </w:pPr>
            <w:r>
              <w:rPr>
                <w:rFonts w:hint="eastAsia"/>
              </w:rPr>
              <w:t>可能</w:t>
            </w:r>
          </w:p>
        </w:tc>
        <w:tc>
          <w:tcPr>
            <w:tcW w:w="2010" w:type="dxa"/>
            <w:tcBorders>
              <w:top w:val="single" w:color="000000" w:sz="4" w:space="0"/>
              <w:bottom w:val="single" w:color="000000" w:sz="4" w:space="0"/>
            </w:tcBorders>
            <w:vAlign w:val="center"/>
          </w:tcPr>
          <w:p w14:paraId="2DD214F0">
            <w:pPr>
              <w:pStyle w:val="178"/>
            </w:pPr>
            <w:r>
              <w:rPr>
                <w:rFonts w:hint="eastAsia"/>
              </w:rPr>
              <w:t>高</w:t>
            </w:r>
          </w:p>
        </w:tc>
        <w:tc>
          <w:tcPr>
            <w:tcW w:w="1785" w:type="dxa"/>
            <w:tcBorders>
              <w:top w:val="single" w:color="000000" w:sz="4" w:space="0"/>
              <w:bottom w:val="single" w:color="000000" w:sz="4" w:space="0"/>
            </w:tcBorders>
            <w:vAlign w:val="center"/>
          </w:tcPr>
          <w:p w14:paraId="38047338">
            <w:pPr>
              <w:pStyle w:val="178"/>
            </w:pPr>
            <w:r>
              <w:rPr>
                <w:rFonts w:hint="eastAsia"/>
              </w:rPr>
              <w:t>高</w:t>
            </w:r>
          </w:p>
        </w:tc>
        <w:tc>
          <w:tcPr>
            <w:tcW w:w="1755" w:type="dxa"/>
            <w:tcBorders>
              <w:top w:val="single" w:color="000000" w:sz="4" w:space="0"/>
              <w:bottom w:val="single" w:color="000000" w:sz="4" w:space="0"/>
            </w:tcBorders>
            <w:vAlign w:val="center"/>
          </w:tcPr>
          <w:p w14:paraId="5B2820E8">
            <w:pPr>
              <w:pStyle w:val="178"/>
            </w:pPr>
            <w:r>
              <w:rPr>
                <w:rFonts w:hint="eastAsia"/>
              </w:rPr>
              <w:t>中</w:t>
            </w:r>
          </w:p>
        </w:tc>
        <w:tc>
          <w:tcPr>
            <w:tcW w:w="1755" w:type="dxa"/>
            <w:tcBorders>
              <w:top w:val="single" w:color="000000" w:sz="4" w:space="0"/>
              <w:bottom w:val="single" w:color="000000" w:sz="4" w:space="0"/>
              <w:right w:val="single" w:color="000000" w:sz="8" w:space="0"/>
            </w:tcBorders>
            <w:vAlign w:val="center"/>
          </w:tcPr>
          <w:p w14:paraId="07BC6CB1">
            <w:pPr>
              <w:pStyle w:val="178"/>
            </w:pPr>
            <w:r>
              <w:rPr>
                <w:rFonts w:hint="eastAsia"/>
              </w:rPr>
              <w:t>低</w:t>
            </w:r>
          </w:p>
        </w:tc>
      </w:tr>
      <w:tr w14:paraId="2ED0D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724" w:type="dxa"/>
            <w:tcBorders>
              <w:top w:val="single" w:color="000000" w:sz="4" w:space="0"/>
              <w:left w:val="single" w:color="000000" w:sz="8" w:space="0"/>
              <w:bottom w:val="single" w:color="000000" w:sz="4" w:space="0"/>
            </w:tcBorders>
            <w:vAlign w:val="center"/>
          </w:tcPr>
          <w:p w14:paraId="1FBB5DE8">
            <w:pPr>
              <w:pStyle w:val="178"/>
            </w:pPr>
            <w:r>
              <w:rPr>
                <w:rFonts w:hint="eastAsia"/>
              </w:rPr>
              <w:t>不太可能</w:t>
            </w:r>
          </w:p>
        </w:tc>
        <w:tc>
          <w:tcPr>
            <w:tcW w:w="2010" w:type="dxa"/>
            <w:tcBorders>
              <w:top w:val="single" w:color="000000" w:sz="4" w:space="0"/>
              <w:bottom w:val="single" w:color="000000" w:sz="4" w:space="0"/>
            </w:tcBorders>
            <w:vAlign w:val="center"/>
          </w:tcPr>
          <w:p w14:paraId="560CADA5">
            <w:pPr>
              <w:pStyle w:val="178"/>
            </w:pPr>
            <w:r>
              <w:rPr>
                <w:rFonts w:hint="eastAsia"/>
              </w:rPr>
              <w:t>中</w:t>
            </w:r>
          </w:p>
        </w:tc>
        <w:tc>
          <w:tcPr>
            <w:tcW w:w="1785" w:type="dxa"/>
            <w:tcBorders>
              <w:top w:val="single" w:color="000000" w:sz="4" w:space="0"/>
              <w:bottom w:val="single" w:color="000000" w:sz="4" w:space="0"/>
            </w:tcBorders>
            <w:vAlign w:val="center"/>
          </w:tcPr>
          <w:p w14:paraId="3F3223D1">
            <w:pPr>
              <w:pStyle w:val="178"/>
            </w:pPr>
            <w:r>
              <w:rPr>
                <w:rFonts w:hint="eastAsia"/>
              </w:rPr>
              <w:t>中</w:t>
            </w:r>
          </w:p>
        </w:tc>
        <w:tc>
          <w:tcPr>
            <w:tcW w:w="1755" w:type="dxa"/>
            <w:tcBorders>
              <w:top w:val="single" w:color="000000" w:sz="4" w:space="0"/>
              <w:bottom w:val="single" w:color="000000" w:sz="4" w:space="0"/>
            </w:tcBorders>
            <w:vAlign w:val="center"/>
          </w:tcPr>
          <w:p w14:paraId="4B28E93A">
            <w:pPr>
              <w:pStyle w:val="178"/>
            </w:pPr>
            <w:r>
              <w:rPr>
                <w:rFonts w:hint="eastAsia"/>
              </w:rPr>
              <w:t>低</w:t>
            </w:r>
          </w:p>
        </w:tc>
        <w:tc>
          <w:tcPr>
            <w:tcW w:w="1755" w:type="dxa"/>
            <w:tcBorders>
              <w:top w:val="single" w:color="000000" w:sz="4" w:space="0"/>
              <w:bottom w:val="single" w:color="000000" w:sz="4" w:space="0"/>
              <w:right w:val="single" w:color="000000" w:sz="8" w:space="0"/>
            </w:tcBorders>
            <w:vAlign w:val="center"/>
          </w:tcPr>
          <w:p w14:paraId="63EA8840">
            <w:pPr>
              <w:pStyle w:val="178"/>
            </w:pPr>
            <w:r>
              <w:rPr>
                <w:rFonts w:hint="eastAsia"/>
              </w:rPr>
              <w:t>可忽略</w:t>
            </w:r>
          </w:p>
        </w:tc>
      </w:tr>
      <w:tr w14:paraId="506D8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724" w:type="dxa"/>
            <w:tcBorders>
              <w:top w:val="single" w:color="000000" w:sz="4" w:space="0"/>
              <w:left w:val="single" w:color="000000" w:sz="8" w:space="0"/>
              <w:bottom w:val="single" w:color="000000" w:sz="8" w:space="0"/>
            </w:tcBorders>
            <w:vAlign w:val="center"/>
          </w:tcPr>
          <w:p w14:paraId="47E059B5">
            <w:pPr>
              <w:pStyle w:val="178"/>
            </w:pPr>
            <w:r>
              <w:rPr>
                <w:rFonts w:hint="eastAsia"/>
              </w:rPr>
              <w:t>几乎不可能</w:t>
            </w:r>
          </w:p>
        </w:tc>
        <w:tc>
          <w:tcPr>
            <w:tcW w:w="2010" w:type="dxa"/>
            <w:tcBorders>
              <w:top w:val="single" w:color="000000" w:sz="4" w:space="0"/>
              <w:bottom w:val="single" w:color="000000" w:sz="8" w:space="0"/>
            </w:tcBorders>
            <w:vAlign w:val="center"/>
          </w:tcPr>
          <w:p w14:paraId="42BE8F59">
            <w:pPr>
              <w:pStyle w:val="178"/>
            </w:pPr>
            <w:r>
              <w:rPr>
                <w:rFonts w:hint="eastAsia"/>
              </w:rPr>
              <w:t>低</w:t>
            </w:r>
          </w:p>
        </w:tc>
        <w:tc>
          <w:tcPr>
            <w:tcW w:w="1785" w:type="dxa"/>
            <w:tcBorders>
              <w:top w:val="single" w:color="000000" w:sz="4" w:space="0"/>
              <w:bottom w:val="single" w:color="000000" w:sz="8" w:space="0"/>
            </w:tcBorders>
            <w:vAlign w:val="center"/>
          </w:tcPr>
          <w:p w14:paraId="308836CC">
            <w:pPr>
              <w:pStyle w:val="178"/>
            </w:pPr>
            <w:r>
              <w:rPr>
                <w:rFonts w:hint="eastAsia"/>
              </w:rPr>
              <w:t>低</w:t>
            </w:r>
          </w:p>
        </w:tc>
        <w:tc>
          <w:tcPr>
            <w:tcW w:w="1755" w:type="dxa"/>
            <w:tcBorders>
              <w:top w:val="single" w:color="000000" w:sz="4" w:space="0"/>
              <w:bottom w:val="single" w:color="000000" w:sz="8" w:space="0"/>
            </w:tcBorders>
            <w:vAlign w:val="center"/>
          </w:tcPr>
          <w:p w14:paraId="4C74FFB8">
            <w:pPr>
              <w:pStyle w:val="178"/>
            </w:pPr>
            <w:r>
              <w:rPr>
                <w:rFonts w:hint="eastAsia"/>
              </w:rPr>
              <w:t>可忽略</w:t>
            </w:r>
          </w:p>
        </w:tc>
        <w:tc>
          <w:tcPr>
            <w:tcW w:w="1755" w:type="dxa"/>
            <w:tcBorders>
              <w:top w:val="single" w:color="000000" w:sz="4" w:space="0"/>
              <w:bottom w:val="single" w:color="000000" w:sz="8" w:space="0"/>
              <w:right w:val="single" w:color="000000" w:sz="8" w:space="0"/>
            </w:tcBorders>
            <w:vAlign w:val="center"/>
          </w:tcPr>
          <w:p w14:paraId="6D8020C8">
            <w:pPr>
              <w:pStyle w:val="178"/>
            </w:pPr>
            <w:r>
              <w:rPr>
                <w:rFonts w:hint="eastAsia"/>
              </w:rPr>
              <w:t>可忽略</w:t>
            </w:r>
          </w:p>
        </w:tc>
      </w:tr>
    </w:tbl>
    <w:p w14:paraId="7A4DACF0">
      <w:pPr>
        <w:pStyle w:val="77"/>
        <w:spacing w:before="120" w:after="120"/>
        <w:ind w:firstLine="420"/>
      </w:pPr>
      <w:r>
        <w:rPr>
          <w:rFonts w:hint="eastAsia"/>
        </w:rPr>
        <w:t>风险矩阵</w:t>
      </w:r>
    </w:p>
    <w:tbl>
      <w:tblPr>
        <w:tblStyle w:val="231"/>
        <w:tblW w:w="9014"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4"/>
        <w:gridCol w:w="1995"/>
        <w:gridCol w:w="1815"/>
        <w:gridCol w:w="1710"/>
        <w:gridCol w:w="1770"/>
      </w:tblGrid>
      <w:tr w14:paraId="1760E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24" w:type="dxa"/>
            <w:vMerge w:val="restart"/>
            <w:tcBorders>
              <w:top w:val="single" w:color="000000" w:sz="8" w:space="0"/>
              <w:left w:val="single" w:color="000000" w:sz="8" w:space="0"/>
              <w:bottom w:val="single" w:color="000000" w:sz="4" w:space="0"/>
            </w:tcBorders>
            <w:vAlign w:val="center"/>
          </w:tcPr>
          <w:p w14:paraId="43A074A1">
            <w:pPr>
              <w:pStyle w:val="178"/>
            </w:pPr>
            <w:r>
              <w:rPr>
                <w:rFonts w:hint="eastAsia"/>
              </w:rPr>
              <w:t>频率</w:t>
            </w:r>
          </w:p>
        </w:tc>
        <w:tc>
          <w:tcPr>
            <w:tcW w:w="7290" w:type="dxa"/>
            <w:gridSpan w:val="4"/>
            <w:tcBorders>
              <w:top w:val="single" w:color="000000" w:sz="8" w:space="0"/>
              <w:bottom w:val="single" w:color="000000" w:sz="4" w:space="0"/>
              <w:right w:val="single" w:color="000000" w:sz="8" w:space="0"/>
            </w:tcBorders>
            <w:vAlign w:val="center"/>
          </w:tcPr>
          <w:p w14:paraId="7BDED806">
            <w:pPr>
              <w:pStyle w:val="178"/>
            </w:pPr>
            <w:r>
              <w:rPr>
                <w:rFonts w:hint="eastAsia"/>
              </w:rPr>
              <w:t>后   果</w:t>
            </w:r>
          </w:p>
        </w:tc>
      </w:tr>
      <w:tr w14:paraId="06D92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724" w:type="dxa"/>
            <w:vMerge w:val="continue"/>
            <w:tcBorders>
              <w:top w:val="single" w:color="000000" w:sz="4" w:space="0"/>
              <w:left w:val="single" w:color="000000" w:sz="8" w:space="0"/>
              <w:bottom w:val="single" w:color="000000" w:sz="8" w:space="0"/>
            </w:tcBorders>
            <w:vAlign w:val="center"/>
          </w:tcPr>
          <w:p w14:paraId="641659D5">
            <w:pPr>
              <w:pStyle w:val="178"/>
            </w:pPr>
          </w:p>
        </w:tc>
        <w:tc>
          <w:tcPr>
            <w:tcW w:w="1995" w:type="dxa"/>
            <w:tcBorders>
              <w:top w:val="single" w:color="000000" w:sz="4" w:space="0"/>
              <w:bottom w:val="single" w:color="000000" w:sz="8" w:space="0"/>
            </w:tcBorders>
            <w:vAlign w:val="center"/>
          </w:tcPr>
          <w:p w14:paraId="79DEDBFD">
            <w:pPr>
              <w:pStyle w:val="178"/>
            </w:pPr>
            <w:r>
              <w:rPr>
                <w:rFonts w:hint="eastAsia"/>
              </w:rPr>
              <w:t>灾难性的</w:t>
            </w:r>
          </w:p>
        </w:tc>
        <w:tc>
          <w:tcPr>
            <w:tcW w:w="1815" w:type="dxa"/>
            <w:tcBorders>
              <w:top w:val="single" w:color="000000" w:sz="4" w:space="0"/>
              <w:bottom w:val="single" w:color="000000" w:sz="8" w:space="0"/>
            </w:tcBorders>
            <w:vAlign w:val="center"/>
          </w:tcPr>
          <w:p w14:paraId="3CBCDBED">
            <w:pPr>
              <w:pStyle w:val="178"/>
            </w:pPr>
            <w:r>
              <w:rPr>
                <w:rFonts w:hint="eastAsia"/>
              </w:rPr>
              <w:t>严重的</w:t>
            </w:r>
          </w:p>
        </w:tc>
        <w:tc>
          <w:tcPr>
            <w:tcW w:w="1710" w:type="dxa"/>
            <w:tcBorders>
              <w:top w:val="single" w:color="000000" w:sz="4" w:space="0"/>
              <w:bottom w:val="single" w:color="000000" w:sz="8" w:space="0"/>
            </w:tcBorders>
            <w:vAlign w:val="center"/>
          </w:tcPr>
          <w:p w14:paraId="357497FD">
            <w:pPr>
              <w:pStyle w:val="178"/>
            </w:pPr>
            <w:r>
              <w:rPr>
                <w:rFonts w:hint="eastAsia"/>
              </w:rPr>
              <w:t>轻微的</w:t>
            </w:r>
          </w:p>
        </w:tc>
        <w:tc>
          <w:tcPr>
            <w:tcW w:w="1770" w:type="dxa"/>
            <w:tcBorders>
              <w:top w:val="single" w:color="000000" w:sz="4" w:space="0"/>
              <w:bottom w:val="single" w:color="000000" w:sz="8" w:space="0"/>
              <w:right w:val="single" w:color="000000" w:sz="8" w:space="0"/>
            </w:tcBorders>
            <w:vAlign w:val="center"/>
          </w:tcPr>
          <w:p w14:paraId="64306AE0">
            <w:pPr>
              <w:pStyle w:val="178"/>
            </w:pPr>
            <w:r>
              <w:rPr>
                <w:rFonts w:hint="eastAsia"/>
              </w:rPr>
              <w:t>可忽略的</w:t>
            </w:r>
          </w:p>
        </w:tc>
      </w:tr>
      <w:tr w14:paraId="6F407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4" w:type="dxa"/>
            <w:tcBorders>
              <w:top w:val="single" w:color="000000" w:sz="8" w:space="0"/>
              <w:left w:val="single" w:color="000000" w:sz="8" w:space="0"/>
              <w:bottom w:val="single" w:color="000000" w:sz="4" w:space="0"/>
            </w:tcBorders>
            <w:vAlign w:val="center"/>
          </w:tcPr>
          <w:p w14:paraId="7541D456">
            <w:pPr>
              <w:pStyle w:val="178"/>
            </w:pPr>
            <w:r>
              <w:rPr>
                <w:rFonts w:hint="eastAsia"/>
              </w:rPr>
              <w:t>频繁</w:t>
            </w:r>
          </w:p>
        </w:tc>
        <w:tc>
          <w:tcPr>
            <w:tcW w:w="1995" w:type="dxa"/>
            <w:tcBorders>
              <w:top w:val="single" w:color="000000" w:sz="8" w:space="0"/>
              <w:bottom w:val="single" w:color="000000" w:sz="4" w:space="0"/>
            </w:tcBorders>
            <w:vAlign w:val="center"/>
          </w:tcPr>
          <w:p w14:paraId="3623C2E7">
            <w:pPr>
              <w:pStyle w:val="178"/>
            </w:pPr>
            <w:r>
              <w:rPr>
                <w:rFonts w:hint="eastAsia"/>
              </w:rPr>
              <w:t>Ⅰ</w:t>
            </w:r>
          </w:p>
        </w:tc>
        <w:tc>
          <w:tcPr>
            <w:tcW w:w="1815" w:type="dxa"/>
            <w:tcBorders>
              <w:top w:val="single" w:color="000000" w:sz="8" w:space="0"/>
              <w:bottom w:val="single" w:color="000000" w:sz="4" w:space="0"/>
            </w:tcBorders>
            <w:vAlign w:val="center"/>
          </w:tcPr>
          <w:p w14:paraId="2684E607">
            <w:pPr>
              <w:pStyle w:val="178"/>
            </w:pPr>
            <w:r>
              <w:rPr>
                <w:rFonts w:hint="eastAsia"/>
              </w:rPr>
              <w:t>Ⅰ</w:t>
            </w:r>
          </w:p>
        </w:tc>
        <w:tc>
          <w:tcPr>
            <w:tcW w:w="1710" w:type="dxa"/>
            <w:tcBorders>
              <w:top w:val="single" w:color="000000" w:sz="8" w:space="0"/>
              <w:bottom w:val="single" w:color="000000" w:sz="4" w:space="0"/>
            </w:tcBorders>
            <w:vAlign w:val="center"/>
          </w:tcPr>
          <w:p w14:paraId="15089375">
            <w:pPr>
              <w:pStyle w:val="178"/>
            </w:pPr>
            <w:r>
              <w:rPr>
                <w:rFonts w:hint="eastAsia"/>
              </w:rPr>
              <w:t>Ⅰ</w:t>
            </w:r>
          </w:p>
        </w:tc>
        <w:tc>
          <w:tcPr>
            <w:tcW w:w="1770" w:type="dxa"/>
            <w:tcBorders>
              <w:top w:val="single" w:color="000000" w:sz="8" w:space="0"/>
              <w:bottom w:val="single" w:color="000000" w:sz="4" w:space="0"/>
              <w:right w:val="single" w:color="000000" w:sz="8" w:space="0"/>
            </w:tcBorders>
            <w:vAlign w:val="center"/>
          </w:tcPr>
          <w:p w14:paraId="2518A681">
            <w:pPr>
              <w:pStyle w:val="178"/>
            </w:pPr>
            <w:r>
              <w:rPr>
                <w:rFonts w:hint="eastAsia"/>
              </w:rPr>
              <w:t>Ⅰ</w:t>
            </w:r>
          </w:p>
        </w:tc>
      </w:tr>
      <w:tr w14:paraId="5258A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724" w:type="dxa"/>
            <w:tcBorders>
              <w:top w:val="single" w:color="000000" w:sz="4" w:space="0"/>
              <w:left w:val="single" w:color="000000" w:sz="8" w:space="0"/>
              <w:bottom w:val="single" w:color="000000" w:sz="4" w:space="0"/>
            </w:tcBorders>
            <w:vAlign w:val="center"/>
          </w:tcPr>
          <w:p w14:paraId="1C9EC414">
            <w:pPr>
              <w:pStyle w:val="178"/>
            </w:pPr>
            <w:r>
              <w:rPr>
                <w:rFonts w:hint="eastAsia"/>
              </w:rPr>
              <w:t>可能</w:t>
            </w:r>
          </w:p>
        </w:tc>
        <w:tc>
          <w:tcPr>
            <w:tcW w:w="1995" w:type="dxa"/>
            <w:tcBorders>
              <w:top w:val="single" w:color="000000" w:sz="4" w:space="0"/>
              <w:bottom w:val="single" w:color="000000" w:sz="4" w:space="0"/>
            </w:tcBorders>
            <w:vAlign w:val="center"/>
          </w:tcPr>
          <w:p w14:paraId="624B17DE">
            <w:pPr>
              <w:pStyle w:val="178"/>
            </w:pPr>
            <w:r>
              <w:rPr>
                <w:rFonts w:hint="eastAsia"/>
              </w:rPr>
              <w:t>Ⅰ</w:t>
            </w:r>
          </w:p>
        </w:tc>
        <w:tc>
          <w:tcPr>
            <w:tcW w:w="1815" w:type="dxa"/>
            <w:tcBorders>
              <w:top w:val="single" w:color="000000" w:sz="4" w:space="0"/>
              <w:bottom w:val="single" w:color="000000" w:sz="4" w:space="0"/>
            </w:tcBorders>
            <w:vAlign w:val="center"/>
          </w:tcPr>
          <w:p w14:paraId="6A0E2E16">
            <w:pPr>
              <w:pStyle w:val="178"/>
            </w:pPr>
            <w:r>
              <w:rPr>
                <w:rFonts w:hint="eastAsia"/>
              </w:rPr>
              <w:t>Ⅰ</w:t>
            </w:r>
          </w:p>
        </w:tc>
        <w:tc>
          <w:tcPr>
            <w:tcW w:w="1710" w:type="dxa"/>
            <w:tcBorders>
              <w:top w:val="single" w:color="000000" w:sz="4" w:space="0"/>
              <w:bottom w:val="single" w:color="000000" w:sz="4" w:space="0"/>
            </w:tcBorders>
            <w:vAlign w:val="center"/>
          </w:tcPr>
          <w:p w14:paraId="2995AD52">
            <w:pPr>
              <w:pStyle w:val="178"/>
            </w:pPr>
            <w:r>
              <w:rPr>
                <w:rFonts w:hint="eastAsia"/>
              </w:rPr>
              <w:t>Ⅰ</w:t>
            </w:r>
          </w:p>
        </w:tc>
        <w:tc>
          <w:tcPr>
            <w:tcW w:w="1770" w:type="dxa"/>
            <w:tcBorders>
              <w:top w:val="single" w:color="000000" w:sz="4" w:space="0"/>
              <w:bottom w:val="single" w:color="000000" w:sz="4" w:space="0"/>
              <w:right w:val="single" w:color="000000" w:sz="8" w:space="0"/>
            </w:tcBorders>
            <w:vAlign w:val="center"/>
          </w:tcPr>
          <w:p w14:paraId="787B2357">
            <w:pPr>
              <w:pStyle w:val="178"/>
            </w:pPr>
            <w:r>
              <w:rPr>
                <w:rFonts w:hint="eastAsia"/>
              </w:rPr>
              <w:t>Ⅰ</w:t>
            </w:r>
          </w:p>
        </w:tc>
      </w:tr>
      <w:tr w14:paraId="4F8DA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4" w:type="dxa"/>
            <w:tcBorders>
              <w:top w:val="single" w:color="000000" w:sz="4" w:space="0"/>
              <w:left w:val="single" w:color="000000" w:sz="8" w:space="0"/>
              <w:bottom w:val="single" w:color="000000" w:sz="4" w:space="0"/>
            </w:tcBorders>
            <w:vAlign w:val="center"/>
          </w:tcPr>
          <w:p w14:paraId="55910F68">
            <w:pPr>
              <w:pStyle w:val="178"/>
            </w:pPr>
            <w:r>
              <w:rPr>
                <w:rFonts w:hint="eastAsia"/>
              </w:rPr>
              <w:t>偶然</w:t>
            </w:r>
          </w:p>
        </w:tc>
        <w:tc>
          <w:tcPr>
            <w:tcW w:w="1995" w:type="dxa"/>
            <w:tcBorders>
              <w:top w:val="single" w:color="000000" w:sz="4" w:space="0"/>
              <w:bottom w:val="single" w:color="000000" w:sz="4" w:space="0"/>
            </w:tcBorders>
            <w:vAlign w:val="center"/>
          </w:tcPr>
          <w:p w14:paraId="2964652E">
            <w:pPr>
              <w:pStyle w:val="178"/>
            </w:pPr>
            <w:r>
              <w:rPr>
                <w:rFonts w:hint="eastAsia"/>
              </w:rPr>
              <w:t>Ⅱ</w:t>
            </w:r>
          </w:p>
        </w:tc>
        <w:tc>
          <w:tcPr>
            <w:tcW w:w="1815" w:type="dxa"/>
            <w:tcBorders>
              <w:top w:val="single" w:color="000000" w:sz="4" w:space="0"/>
              <w:bottom w:val="single" w:color="000000" w:sz="4" w:space="0"/>
            </w:tcBorders>
            <w:vAlign w:val="center"/>
          </w:tcPr>
          <w:p w14:paraId="1C97D0EB">
            <w:pPr>
              <w:pStyle w:val="178"/>
            </w:pPr>
            <w:r>
              <w:rPr>
                <w:rFonts w:hint="eastAsia"/>
              </w:rPr>
              <w:t>Ⅱ</w:t>
            </w:r>
          </w:p>
        </w:tc>
        <w:tc>
          <w:tcPr>
            <w:tcW w:w="1710" w:type="dxa"/>
            <w:tcBorders>
              <w:top w:val="single" w:color="000000" w:sz="4" w:space="0"/>
              <w:bottom w:val="single" w:color="000000" w:sz="4" w:space="0"/>
            </w:tcBorders>
            <w:vAlign w:val="center"/>
          </w:tcPr>
          <w:p w14:paraId="4595B6F8">
            <w:pPr>
              <w:pStyle w:val="178"/>
            </w:pPr>
            <w:r>
              <w:rPr>
                <w:rFonts w:hint="eastAsia"/>
              </w:rPr>
              <w:t>Ⅱ</w:t>
            </w:r>
          </w:p>
        </w:tc>
        <w:tc>
          <w:tcPr>
            <w:tcW w:w="1770" w:type="dxa"/>
            <w:tcBorders>
              <w:top w:val="single" w:color="000000" w:sz="4" w:space="0"/>
              <w:bottom w:val="single" w:color="000000" w:sz="4" w:space="0"/>
              <w:right w:val="single" w:color="000000" w:sz="8" w:space="0"/>
            </w:tcBorders>
            <w:vAlign w:val="center"/>
          </w:tcPr>
          <w:p w14:paraId="62402FB0">
            <w:pPr>
              <w:pStyle w:val="178"/>
            </w:pPr>
            <w:r>
              <w:rPr>
                <w:rFonts w:hint="eastAsia"/>
              </w:rPr>
              <w:t>Ⅱ</w:t>
            </w:r>
          </w:p>
        </w:tc>
      </w:tr>
      <w:tr w14:paraId="758F7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724" w:type="dxa"/>
            <w:tcBorders>
              <w:top w:val="single" w:color="000000" w:sz="4" w:space="0"/>
              <w:left w:val="single" w:color="000000" w:sz="8" w:space="0"/>
              <w:bottom w:val="single" w:color="000000" w:sz="4" w:space="0"/>
            </w:tcBorders>
            <w:vAlign w:val="center"/>
          </w:tcPr>
          <w:p w14:paraId="18427316">
            <w:pPr>
              <w:pStyle w:val="178"/>
            </w:pPr>
            <w:r>
              <w:rPr>
                <w:rFonts w:hint="eastAsia"/>
              </w:rPr>
              <w:t>几乎不可能</w:t>
            </w:r>
          </w:p>
        </w:tc>
        <w:tc>
          <w:tcPr>
            <w:tcW w:w="1995" w:type="dxa"/>
            <w:tcBorders>
              <w:top w:val="single" w:color="000000" w:sz="4" w:space="0"/>
              <w:bottom w:val="single" w:color="000000" w:sz="4" w:space="0"/>
            </w:tcBorders>
            <w:vAlign w:val="center"/>
          </w:tcPr>
          <w:p w14:paraId="5D59BFD7">
            <w:pPr>
              <w:pStyle w:val="178"/>
            </w:pPr>
            <w:r>
              <w:rPr>
                <w:rFonts w:hint="eastAsia"/>
              </w:rPr>
              <w:t>Ⅲ</w:t>
            </w:r>
          </w:p>
        </w:tc>
        <w:tc>
          <w:tcPr>
            <w:tcW w:w="1815" w:type="dxa"/>
            <w:tcBorders>
              <w:top w:val="single" w:color="000000" w:sz="4" w:space="0"/>
              <w:bottom w:val="single" w:color="000000" w:sz="4" w:space="0"/>
            </w:tcBorders>
            <w:vAlign w:val="center"/>
          </w:tcPr>
          <w:p w14:paraId="5C2BE275">
            <w:pPr>
              <w:pStyle w:val="178"/>
            </w:pPr>
            <w:r>
              <w:rPr>
                <w:rFonts w:hint="eastAsia"/>
              </w:rPr>
              <w:t>Ⅲ</w:t>
            </w:r>
          </w:p>
        </w:tc>
        <w:tc>
          <w:tcPr>
            <w:tcW w:w="1710" w:type="dxa"/>
            <w:tcBorders>
              <w:top w:val="single" w:color="000000" w:sz="4" w:space="0"/>
              <w:bottom w:val="single" w:color="000000" w:sz="4" w:space="0"/>
            </w:tcBorders>
            <w:vAlign w:val="center"/>
          </w:tcPr>
          <w:p w14:paraId="0D46AAE3">
            <w:pPr>
              <w:pStyle w:val="178"/>
            </w:pPr>
            <w:r>
              <w:rPr>
                <w:rFonts w:hint="eastAsia"/>
              </w:rPr>
              <w:t>Ⅲ</w:t>
            </w:r>
          </w:p>
        </w:tc>
        <w:tc>
          <w:tcPr>
            <w:tcW w:w="1770" w:type="dxa"/>
            <w:tcBorders>
              <w:top w:val="single" w:color="000000" w:sz="4" w:space="0"/>
              <w:bottom w:val="single" w:color="000000" w:sz="4" w:space="0"/>
              <w:right w:val="single" w:color="000000" w:sz="8" w:space="0"/>
            </w:tcBorders>
            <w:vAlign w:val="center"/>
          </w:tcPr>
          <w:p w14:paraId="5BBA81FF">
            <w:pPr>
              <w:pStyle w:val="178"/>
            </w:pPr>
            <w:r>
              <w:rPr>
                <w:rFonts w:hint="eastAsia"/>
              </w:rPr>
              <w:t>Ⅲ</w:t>
            </w:r>
          </w:p>
        </w:tc>
      </w:tr>
      <w:tr w14:paraId="1B410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4" w:type="dxa"/>
            <w:tcBorders>
              <w:top w:val="single" w:color="000000" w:sz="4" w:space="0"/>
              <w:left w:val="single" w:color="000000" w:sz="8" w:space="0"/>
              <w:bottom w:val="single" w:color="000000" w:sz="4" w:space="0"/>
            </w:tcBorders>
            <w:vAlign w:val="center"/>
          </w:tcPr>
          <w:p w14:paraId="67A17D36">
            <w:pPr>
              <w:pStyle w:val="178"/>
            </w:pPr>
            <w:r>
              <w:rPr>
                <w:rFonts w:hint="eastAsia"/>
              </w:rPr>
              <w:t>不可能</w:t>
            </w:r>
          </w:p>
        </w:tc>
        <w:tc>
          <w:tcPr>
            <w:tcW w:w="1995" w:type="dxa"/>
            <w:tcBorders>
              <w:top w:val="single" w:color="000000" w:sz="4" w:space="0"/>
              <w:bottom w:val="single" w:color="000000" w:sz="4" w:space="0"/>
            </w:tcBorders>
            <w:vAlign w:val="center"/>
          </w:tcPr>
          <w:p w14:paraId="68232528">
            <w:pPr>
              <w:pStyle w:val="178"/>
            </w:pPr>
            <w:r>
              <w:rPr>
                <w:rFonts w:hint="eastAsia"/>
              </w:rPr>
              <w:t>Ⅲ</w:t>
            </w:r>
          </w:p>
        </w:tc>
        <w:tc>
          <w:tcPr>
            <w:tcW w:w="1815" w:type="dxa"/>
            <w:tcBorders>
              <w:top w:val="single" w:color="000000" w:sz="4" w:space="0"/>
              <w:bottom w:val="single" w:color="000000" w:sz="4" w:space="0"/>
            </w:tcBorders>
            <w:vAlign w:val="center"/>
          </w:tcPr>
          <w:p w14:paraId="6D6E8AE1">
            <w:pPr>
              <w:pStyle w:val="178"/>
            </w:pPr>
            <w:r>
              <w:rPr>
                <w:rFonts w:hint="eastAsia"/>
              </w:rPr>
              <w:t>Ⅲ</w:t>
            </w:r>
          </w:p>
        </w:tc>
        <w:tc>
          <w:tcPr>
            <w:tcW w:w="1710" w:type="dxa"/>
            <w:tcBorders>
              <w:top w:val="single" w:color="000000" w:sz="4" w:space="0"/>
              <w:bottom w:val="single" w:color="000000" w:sz="4" w:space="0"/>
            </w:tcBorders>
            <w:vAlign w:val="center"/>
          </w:tcPr>
          <w:p w14:paraId="2F8745EA">
            <w:pPr>
              <w:pStyle w:val="178"/>
            </w:pPr>
            <w:r>
              <w:rPr>
                <w:rFonts w:hint="eastAsia"/>
              </w:rPr>
              <w:t>Ⅲ</w:t>
            </w:r>
          </w:p>
        </w:tc>
        <w:tc>
          <w:tcPr>
            <w:tcW w:w="1770" w:type="dxa"/>
            <w:tcBorders>
              <w:top w:val="single" w:color="000000" w:sz="4" w:space="0"/>
              <w:bottom w:val="single" w:color="000000" w:sz="4" w:space="0"/>
              <w:right w:val="single" w:color="000000" w:sz="8" w:space="0"/>
            </w:tcBorders>
            <w:vAlign w:val="center"/>
          </w:tcPr>
          <w:p w14:paraId="7CD56B40">
            <w:pPr>
              <w:pStyle w:val="178"/>
            </w:pPr>
            <w:r>
              <w:rPr>
                <w:rFonts w:hint="eastAsia"/>
              </w:rPr>
              <w:t>Ⅲ</w:t>
            </w:r>
          </w:p>
        </w:tc>
      </w:tr>
      <w:tr w14:paraId="6D833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24" w:type="dxa"/>
            <w:tcBorders>
              <w:top w:val="single" w:color="000000" w:sz="4" w:space="0"/>
              <w:left w:val="single" w:color="000000" w:sz="8" w:space="0"/>
              <w:bottom w:val="single" w:color="000000" w:sz="8" w:space="0"/>
            </w:tcBorders>
            <w:vAlign w:val="center"/>
          </w:tcPr>
          <w:p w14:paraId="696D50DA">
            <w:pPr>
              <w:pStyle w:val="178"/>
            </w:pPr>
            <w:r>
              <w:rPr>
                <w:rFonts w:hint="eastAsia"/>
              </w:rPr>
              <w:t>难以置信</w:t>
            </w:r>
          </w:p>
        </w:tc>
        <w:tc>
          <w:tcPr>
            <w:tcW w:w="1995" w:type="dxa"/>
            <w:tcBorders>
              <w:top w:val="single" w:color="000000" w:sz="4" w:space="0"/>
              <w:bottom w:val="single" w:color="000000" w:sz="8" w:space="0"/>
            </w:tcBorders>
            <w:vAlign w:val="center"/>
          </w:tcPr>
          <w:p w14:paraId="6371CE1E">
            <w:pPr>
              <w:pStyle w:val="178"/>
            </w:pPr>
            <w:r>
              <w:rPr>
                <w:rFonts w:hint="eastAsia"/>
              </w:rPr>
              <w:t>IV</w:t>
            </w:r>
          </w:p>
        </w:tc>
        <w:tc>
          <w:tcPr>
            <w:tcW w:w="1815" w:type="dxa"/>
            <w:tcBorders>
              <w:top w:val="single" w:color="000000" w:sz="4" w:space="0"/>
              <w:bottom w:val="single" w:color="000000" w:sz="8" w:space="0"/>
            </w:tcBorders>
            <w:vAlign w:val="center"/>
          </w:tcPr>
          <w:p w14:paraId="25FF015B">
            <w:pPr>
              <w:pStyle w:val="178"/>
            </w:pPr>
            <w:r>
              <w:rPr>
                <w:rFonts w:hint="eastAsia"/>
              </w:rPr>
              <w:t>IV</w:t>
            </w:r>
          </w:p>
        </w:tc>
        <w:tc>
          <w:tcPr>
            <w:tcW w:w="1710" w:type="dxa"/>
            <w:tcBorders>
              <w:top w:val="single" w:color="000000" w:sz="4" w:space="0"/>
              <w:bottom w:val="single" w:color="000000" w:sz="8" w:space="0"/>
            </w:tcBorders>
            <w:vAlign w:val="center"/>
          </w:tcPr>
          <w:p w14:paraId="7077CA79">
            <w:pPr>
              <w:pStyle w:val="178"/>
            </w:pPr>
            <w:r>
              <w:rPr>
                <w:rFonts w:hint="eastAsia"/>
              </w:rPr>
              <w:t>IV</w:t>
            </w:r>
          </w:p>
        </w:tc>
        <w:tc>
          <w:tcPr>
            <w:tcW w:w="1770" w:type="dxa"/>
            <w:tcBorders>
              <w:top w:val="single" w:color="000000" w:sz="4" w:space="0"/>
              <w:bottom w:val="single" w:color="000000" w:sz="8" w:space="0"/>
              <w:right w:val="single" w:color="000000" w:sz="8" w:space="0"/>
            </w:tcBorders>
            <w:vAlign w:val="center"/>
          </w:tcPr>
          <w:p w14:paraId="67EDDD73">
            <w:pPr>
              <w:pStyle w:val="178"/>
            </w:pPr>
            <w:r>
              <w:rPr>
                <w:rFonts w:hint="eastAsia"/>
              </w:rPr>
              <w:t>IV</w:t>
            </w:r>
          </w:p>
        </w:tc>
      </w:tr>
    </w:tbl>
    <w:p w14:paraId="17984754">
      <w:pPr>
        <w:pStyle w:val="81"/>
        <w:spacing w:before="120" w:after="120"/>
      </w:pPr>
      <w:r>
        <w:rPr>
          <w:rFonts w:hint="eastAsia"/>
        </w:rPr>
        <w:t>严重程度的评价</w:t>
      </w:r>
    </w:p>
    <w:p w14:paraId="5C161ACB">
      <w:pPr>
        <w:pStyle w:val="56"/>
        <w:ind w:firstLine="420"/>
      </w:pPr>
      <w:r>
        <w:rPr>
          <w:rFonts w:hint="eastAsia"/>
        </w:rPr>
        <w:t>对于每个风险或危险状态（任务）。应评价其可能引起的伤害或后果的严重程度。历史数据作为基础资料可能具有很大价值。严重程度经常被评价为人体受伤，尽管其可能包括其他要素，如：</w:t>
      </w:r>
    </w:p>
    <w:p w14:paraId="06B4473A">
      <w:pPr>
        <w:pStyle w:val="132"/>
      </w:pPr>
      <w:r>
        <w:rPr>
          <w:rFonts w:hint="eastAsia"/>
        </w:rPr>
        <w:t>死亡、受伤或疾病的数量；</w:t>
      </w:r>
    </w:p>
    <w:p w14:paraId="3157CA89">
      <w:pPr>
        <w:pStyle w:val="132"/>
      </w:pPr>
      <w:r>
        <w:rPr>
          <w:rFonts w:hint="eastAsia"/>
        </w:rPr>
        <w:t>被损坏的财产或设备的价值；</w:t>
      </w:r>
    </w:p>
    <w:p w14:paraId="33446DAF">
      <w:pPr>
        <w:pStyle w:val="132"/>
      </w:pPr>
      <w:r>
        <w:rPr>
          <w:rFonts w:hint="eastAsia"/>
        </w:rPr>
        <w:t>损失的工作日；</w:t>
      </w:r>
    </w:p>
    <w:p w14:paraId="4A3747A7">
      <w:pPr>
        <w:pStyle w:val="132"/>
      </w:pPr>
      <w:r>
        <w:rPr>
          <w:rFonts w:hint="eastAsia"/>
        </w:rPr>
        <w:t>其他参数。</w:t>
      </w:r>
    </w:p>
    <w:p w14:paraId="0E8B15D6">
      <w:pPr>
        <w:pStyle w:val="56"/>
        <w:ind w:firstLine="420"/>
      </w:pPr>
      <w:r>
        <w:rPr>
          <w:rFonts w:hint="eastAsia"/>
        </w:rPr>
        <w:t>可以用所选择的风险矩阵来完成对严重程度的评价。</w:t>
      </w:r>
    </w:p>
    <w:p w14:paraId="5686BF1F">
      <w:pPr>
        <w:pStyle w:val="56"/>
        <w:ind w:firstLine="420"/>
      </w:pPr>
      <w:r>
        <w:rPr>
          <w:rFonts w:hint="eastAsia"/>
        </w:rPr>
        <w:t xml:space="preserve">表A.3 中的严重程度等级如下： </w:t>
      </w:r>
    </w:p>
    <w:p w14:paraId="4019A3AB">
      <w:pPr>
        <w:pStyle w:val="132"/>
      </w:pPr>
      <w:r>
        <w:rPr>
          <w:rFonts w:hint="eastAsia"/>
        </w:rPr>
        <w:t>灾难性的 导致死亡或永久残废的伤害或疾病（不能返回工作）；</w:t>
      </w:r>
    </w:p>
    <w:p w14:paraId="5D491001">
      <w:pPr>
        <w:pStyle w:val="132"/>
      </w:pPr>
      <w:r>
        <w:rPr>
          <w:rFonts w:hint="eastAsia"/>
        </w:rPr>
        <w:t>严重的 导致人体严重虚弱的伤害或疾病（能回到某些岗位工作）；</w:t>
      </w:r>
    </w:p>
    <w:p w14:paraId="08D2DE53">
      <w:pPr>
        <w:pStyle w:val="132"/>
      </w:pPr>
      <w:r>
        <w:rPr>
          <w:rFonts w:hint="eastAsia"/>
        </w:rPr>
        <w:t>中等的 要求救护的显著伤害或疾病（能够回到相同岗位上工作）；</w:t>
      </w:r>
    </w:p>
    <w:p w14:paraId="547136F2">
      <w:pPr>
        <w:pStyle w:val="132"/>
      </w:pPr>
      <w:r>
        <w:rPr>
          <w:rFonts w:hint="eastAsia"/>
        </w:rPr>
        <w:t>轻微的 至多需要急救的轻伤或没有受伤（损失少量或不损失工作日） 评价严重程度通常关注的是可信的最坏后果，而不是设想的最坏后果。</w:t>
      </w:r>
    </w:p>
    <w:p w14:paraId="16E5A509">
      <w:pPr>
        <w:pStyle w:val="56"/>
        <w:ind w:firstLine="420"/>
      </w:pPr>
    </w:p>
    <w:p w14:paraId="05ABA27D">
      <w:pPr>
        <w:pStyle w:val="81"/>
        <w:spacing w:before="120" w:after="120"/>
      </w:pPr>
      <w:r>
        <w:rPr>
          <w:rFonts w:hint="eastAsia"/>
        </w:rPr>
        <w:t>概率的评价</w:t>
      </w:r>
    </w:p>
    <w:p w14:paraId="5FC5DDC7">
      <w:pPr>
        <w:pStyle w:val="56"/>
        <w:ind w:firstLine="420"/>
      </w:pPr>
      <w:r>
        <w:rPr>
          <w:rFonts w:hint="eastAsia"/>
        </w:rPr>
        <w:t>对于每个风险或危险状态（任务），都应评价伤害发生的概率。除非经验数据有效（这种情况很少）， 选择事故发生概率的过程则是主观的。由于这个原因，具有博学专业知识的人进行头脑风暴是有益的。</w:t>
      </w:r>
    </w:p>
    <w:p w14:paraId="76E2C93E">
      <w:pPr>
        <w:pStyle w:val="56"/>
        <w:ind w:firstLine="420"/>
      </w:pPr>
      <w:r>
        <w:rPr>
          <w:rFonts w:hint="eastAsia"/>
        </w:rPr>
        <w:t>监督评估概率时，应选择最高可信度的概率等级。概率评估应包括下列内容：</w:t>
      </w:r>
    </w:p>
    <w:p w14:paraId="0318B825">
      <w:pPr>
        <w:pStyle w:val="174"/>
        <w:numPr>
          <w:ilvl w:val="0"/>
          <w:numId w:val="53"/>
        </w:numPr>
        <w:tabs>
          <w:tab w:val="clear" w:pos="851"/>
        </w:tabs>
        <w:ind w:left="851" w:hanging="426"/>
      </w:pPr>
      <w:r>
        <w:rPr>
          <w:rFonts w:hint="eastAsia"/>
        </w:rPr>
        <w:t>暴露于风险的频率和持续时间；</w:t>
      </w:r>
    </w:p>
    <w:p w14:paraId="4CDDBA6A">
      <w:pPr>
        <w:pStyle w:val="174"/>
        <w:numPr>
          <w:ilvl w:val="0"/>
          <w:numId w:val="53"/>
        </w:numPr>
        <w:tabs>
          <w:tab w:val="clear" w:pos="851"/>
        </w:tabs>
        <w:ind w:left="851" w:leftChars="0" w:hanging="426" w:firstLineChars="0"/>
      </w:pPr>
      <w:r>
        <w:rPr>
          <w:rFonts w:hint="eastAsia"/>
        </w:rPr>
        <w:t>执行任务的人员；</w:t>
      </w:r>
    </w:p>
    <w:p w14:paraId="11B12FD9">
      <w:pPr>
        <w:pStyle w:val="174"/>
        <w:numPr>
          <w:ilvl w:val="0"/>
          <w:numId w:val="53"/>
        </w:numPr>
        <w:tabs>
          <w:tab w:val="clear" w:pos="851"/>
        </w:tabs>
        <w:ind w:left="851" w:leftChars="0" w:hanging="426" w:firstLineChars="0"/>
      </w:pPr>
      <w:r>
        <w:rPr>
          <w:rFonts w:hint="eastAsia"/>
        </w:rPr>
        <w:t>机器/任务的历史；</w:t>
      </w:r>
    </w:p>
    <w:p w14:paraId="744A39A1">
      <w:pPr>
        <w:pStyle w:val="174"/>
        <w:numPr>
          <w:ilvl w:val="0"/>
          <w:numId w:val="53"/>
        </w:numPr>
        <w:tabs>
          <w:tab w:val="clear" w:pos="851"/>
        </w:tabs>
        <w:ind w:left="851" w:leftChars="0" w:hanging="426" w:firstLineChars="0"/>
      </w:pPr>
      <w:r>
        <w:rPr>
          <w:rFonts w:hint="eastAsia"/>
        </w:rPr>
        <w:t>工作场所的环境；</w:t>
      </w:r>
    </w:p>
    <w:p w14:paraId="3C567E6F">
      <w:pPr>
        <w:pStyle w:val="174"/>
        <w:numPr>
          <w:ilvl w:val="0"/>
          <w:numId w:val="53"/>
        </w:numPr>
        <w:tabs>
          <w:tab w:val="clear" w:pos="851"/>
        </w:tabs>
        <w:ind w:left="851" w:leftChars="0" w:hanging="426" w:firstLineChars="0"/>
      </w:pPr>
      <w:r>
        <w:rPr>
          <w:rFonts w:hint="eastAsia"/>
        </w:rPr>
        <w:t>人为因素；</w:t>
      </w:r>
    </w:p>
    <w:p w14:paraId="734DE10B">
      <w:pPr>
        <w:pStyle w:val="174"/>
        <w:numPr>
          <w:ilvl w:val="0"/>
          <w:numId w:val="53"/>
        </w:numPr>
        <w:tabs>
          <w:tab w:val="clear" w:pos="851"/>
        </w:tabs>
        <w:ind w:left="851" w:leftChars="0" w:hanging="426" w:firstLineChars="0"/>
      </w:pPr>
      <w:r>
        <w:rPr>
          <w:rFonts w:hint="eastAsia"/>
        </w:rPr>
        <w:t>安全功能的可靠性；</w:t>
      </w:r>
    </w:p>
    <w:p w14:paraId="7BE20159">
      <w:pPr>
        <w:pStyle w:val="174"/>
        <w:numPr>
          <w:ilvl w:val="0"/>
          <w:numId w:val="53"/>
        </w:numPr>
        <w:tabs>
          <w:tab w:val="clear" w:pos="851"/>
        </w:tabs>
        <w:ind w:left="851" w:leftChars="0" w:hanging="426" w:firstLineChars="0"/>
      </w:pPr>
      <w:r>
        <w:rPr>
          <w:rFonts w:hint="eastAsia"/>
        </w:rPr>
        <w:t>保护措施失效或规避保护措施的可能性；</w:t>
      </w:r>
    </w:p>
    <w:p w14:paraId="372691E6">
      <w:pPr>
        <w:pStyle w:val="174"/>
        <w:numPr>
          <w:ilvl w:val="0"/>
          <w:numId w:val="53"/>
        </w:numPr>
        <w:tabs>
          <w:tab w:val="clear" w:pos="851"/>
        </w:tabs>
        <w:ind w:left="851" w:leftChars="0" w:hanging="426" w:firstLineChars="0"/>
      </w:pPr>
      <w:r>
        <w:rPr>
          <w:rFonts w:hint="eastAsia"/>
        </w:rPr>
        <w:t>维持保护措施的能力；</w:t>
      </w:r>
    </w:p>
    <w:p w14:paraId="42C64FFD">
      <w:pPr>
        <w:pStyle w:val="174"/>
        <w:numPr>
          <w:ilvl w:val="0"/>
          <w:numId w:val="53"/>
        </w:numPr>
        <w:tabs>
          <w:tab w:val="clear" w:pos="851"/>
        </w:tabs>
        <w:ind w:left="851" w:leftChars="0" w:hanging="426" w:firstLineChars="0"/>
      </w:pPr>
      <w:r>
        <w:rPr>
          <w:rFonts w:hint="eastAsia"/>
        </w:rPr>
        <w:t>规避伤害的能力。</w:t>
      </w:r>
    </w:p>
    <w:p w14:paraId="64CA2B00">
      <w:pPr>
        <w:pStyle w:val="56"/>
        <w:ind w:firstLine="420"/>
      </w:pPr>
      <w:r>
        <w:rPr>
          <w:rFonts w:hint="eastAsia"/>
        </w:rPr>
        <w:t>对应于严重程度，评价伤害发生概率的尺度有许多。有些方法只提供使用的术语而不提供解释（见表A.4）。其他矩阵则提供如表A.3 所示的解释；</w:t>
      </w:r>
    </w:p>
    <w:p w14:paraId="5AB0E09E">
      <w:pPr>
        <w:pStyle w:val="174"/>
        <w:numPr>
          <w:ilvl w:val="0"/>
          <w:numId w:val="54"/>
        </w:numPr>
        <w:tabs>
          <w:tab w:val="clear" w:pos="851"/>
        </w:tabs>
        <w:ind w:left="851" w:hanging="426"/>
      </w:pPr>
      <w:r>
        <w:rPr>
          <w:rFonts w:hint="eastAsia"/>
        </w:rPr>
        <w:t>非常可能几乎确定发生；</w:t>
      </w:r>
    </w:p>
    <w:p w14:paraId="2067F41A">
      <w:pPr>
        <w:pStyle w:val="174"/>
        <w:numPr>
          <w:ilvl w:val="0"/>
          <w:numId w:val="54"/>
        </w:numPr>
        <w:tabs>
          <w:tab w:val="clear" w:pos="851"/>
        </w:tabs>
        <w:ind w:left="851" w:leftChars="0" w:hanging="426" w:firstLineChars="0"/>
      </w:pPr>
      <w:r>
        <w:rPr>
          <w:rFonts w:hint="eastAsia"/>
        </w:rPr>
        <w:t>可能能够发生；</w:t>
      </w:r>
    </w:p>
    <w:p w14:paraId="265C18F7">
      <w:pPr>
        <w:pStyle w:val="174"/>
        <w:numPr>
          <w:ilvl w:val="0"/>
          <w:numId w:val="54"/>
        </w:numPr>
        <w:tabs>
          <w:tab w:val="clear" w:pos="851"/>
        </w:tabs>
        <w:ind w:left="851" w:leftChars="0" w:hanging="426" w:firstLineChars="0"/>
      </w:pPr>
      <w:r>
        <w:rPr>
          <w:rFonts w:hint="eastAsia"/>
        </w:rPr>
        <w:t>不太可能不太可能发生；</w:t>
      </w:r>
    </w:p>
    <w:p w14:paraId="610905EC">
      <w:pPr>
        <w:pStyle w:val="174"/>
        <w:numPr>
          <w:ilvl w:val="0"/>
          <w:numId w:val="54"/>
        </w:numPr>
        <w:tabs>
          <w:tab w:val="clear" w:pos="851"/>
        </w:tabs>
        <w:ind w:left="851" w:leftChars="0" w:hanging="426" w:firstLineChars="0"/>
      </w:pPr>
      <w:r>
        <w:rPr>
          <w:rFonts w:hint="eastAsia"/>
        </w:rPr>
        <w:t>几乎不可能，可能性接近零。</w:t>
      </w:r>
    </w:p>
    <w:p w14:paraId="2B6B404F">
      <w:pPr>
        <w:pStyle w:val="56"/>
        <w:ind w:firstLine="420"/>
      </w:pPr>
      <w:r>
        <w:rPr>
          <w:rFonts w:hint="eastAsia"/>
        </w:rPr>
        <w:t>有些方法指出了可能性和概率之间的区别：概率是介于0和1之间的一个数值，可能性则是概率的定性描述。然而，许多方法并不区分概率和可能性之间的差别，而是把它们作为同义词使用。</w:t>
      </w:r>
    </w:p>
    <w:p w14:paraId="514ACCDD">
      <w:pPr>
        <w:pStyle w:val="56"/>
        <w:ind w:firstLine="420"/>
      </w:pPr>
      <w:r>
        <w:rPr>
          <w:rFonts w:hint="eastAsia"/>
        </w:rPr>
        <w:t>概率应与某种区间基数相关。</w:t>
      </w:r>
    </w:p>
    <w:p w14:paraId="3162F113">
      <w:pPr>
        <w:pStyle w:val="56"/>
        <w:ind w:firstLine="420"/>
      </w:pPr>
      <w:r>
        <w:rPr>
          <w:rFonts w:hint="eastAsia"/>
        </w:rPr>
        <w:t>如时间，事件或活动的单位、生产单位，或设施、设备、过程等。</w:t>
      </w:r>
    </w:p>
    <w:p w14:paraId="05E98533">
      <w:pPr>
        <w:pStyle w:val="81"/>
        <w:spacing w:before="120" w:after="120"/>
      </w:pPr>
      <w:r>
        <w:rPr>
          <w:rFonts w:hint="eastAsia"/>
        </w:rPr>
        <w:t>风险等级的得出</w:t>
      </w:r>
    </w:p>
    <w:p w14:paraId="169CC266">
      <w:pPr>
        <w:pStyle w:val="56"/>
        <w:ind w:firstLine="420"/>
      </w:pPr>
      <w:r>
        <w:rPr>
          <w:rFonts w:hint="eastAsia"/>
        </w:rPr>
        <w:t>严重程度和概率一经评价，便可从所选择的风险矩阵得出初始风险等级。风险矩阵描绘了风险要素与风险等级之间的关系，如表A.3 和表A.4 所示。</w:t>
      </w:r>
    </w:p>
    <w:p w14:paraId="03AA6A3C">
      <w:pPr>
        <w:pStyle w:val="56"/>
        <w:ind w:firstLine="420"/>
      </w:pPr>
      <w:r>
        <w:rPr>
          <w:rFonts w:hint="eastAsia"/>
        </w:rPr>
        <w:t>以使用表A.3为例，一个“严重的”严重程度和一个“可能”的概率造成一个“高”的风险等级。严重程度和概率的风险要素的组合随不同的风险矩阵而变化。这一评估结果将产生一个典型的由低到高的 风险排列。由于风险评价过程通常是主观的，因此该风险等级也将是主观的。</w:t>
      </w:r>
    </w:p>
    <w:p w14:paraId="12D6BDC0">
      <w:pPr>
        <w:pStyle w:val="56"/>
        <w:ind w:firstLine="420"/>
      </w:pPr>
      <w:r>
        <w:rPr>
          <w:rFonts w:hint="eastAsia"/>
        </w:rPr>
        <w:t>在许多情况下，风险可接受性的决定由使用者做出，因为该决定取决于文化、场所和/或时间。</w:t>
      </w:r>
    </w:p>
    <w:p w14:paraId="7703221A">
      <w:pPr>
        <w:pStyle w:val="79"/>
        <w:spacing w:before="120" w:after="120"/>
      </w:pPr>
      <w:r>
        <w:rPr>
          <w:rFonts w:hint="eastAsia"/>
        </w:rPr>
        <w:t>应用</w:t>
      </w:r>
    </w:p>
    <w:p w14:paraId="1FF1AB08">
      <w:pPr>
        <w:pStyle w:val="81"/>
        <w:spacing w:before="120" w:after="120"/>
      </w:pPr>
      <w:r>
        <w:rPr>
          <w:rFonts w:hint="eastAsia"/>
        </w:rPr>
        <w:t>木材加工厂示例的描述</w:t>
      </w:r>
    </w:p>
    <w:p w14:paraId="5F7E3AAE">
      <w:pPr>
        <w:pStyle w:val="56"/>
        <w:ind w:firstLine="420"/>
      </w:pPr>
      <w:r>
        <w:rPr>
          <w:rFonts w:hint="eastAsia"/>
        </w:rPr>
        <w:t>制材工（6-06-01-01）</w:t>
      </w:r>
    </w:p>
    <w:p w14:paraId="54BA8654">
      <w:pPr>
        <w:pStyle w:val="56"/>
        <w:ind w:firstLine="420"/>
      </w:pPr>
      <w:r>
        <w:rPr>
          <w:rFonts w:hint="eastAsia"/>
        </w:rPr>
        <w:t>示出了一家木材加工厂中的锯截操作。馏木工从左边的传送带上捡起木料，用脚驱动升降圆锯机把木料的节疤切掉，然后把切好的木板放到右边的传送带上。</w:t>
      </w:r>
    </w:p>
    <w:p w14:paraId="3C1243F4">
      <w:pPr>
        <w:pStyle w:val="81"/>
        <w:spacing w:before="120" w:after="120"/>
      </w:pPr>
      <w:r>
        <w:rPr>
          <w:rFonts w:hint="eastAsia"/>
        </w:rPr>
        <w:t>风险评价的结果</w:t>
      </w:r>
    </w:p>
    <w:p w14:paraId="30659F7F">
      <w:pPr>
        <w:pStyle w:val="56"/>
        <w:ind w:firstLine="420"/>
      </w:pPr>
      <w:r>
        <w:rPr>
          <w:rFonts w:hint="eastAsia"/>
        </w:rPr>
        <w:t>在表A.5 中，前两栏给出了任务和风险。初始风险和遗留风险的等级用表A.3中的矩阵进行了评价。</w:t>
      </w:r>
    </w:p>
    <w:p w14:paraId="25C58CCA">
      <w:r>
        <w:rPr>
          <w:rFonts w:hint="eastAsia"/>
        </w:rPr>
        <w:br w:type="page"/>
      </w:r>
    </w:p>
    <w:p w14:paraId="16B8F367">
      <w:pPr>
        <w:pStyle w:val="56"/>
        <w:ind w:firstLine="420"/>
      </w:pPr>
    </w:p>
    <w:p w14:paraId="20629775">
      <w:pPr>
        <w:pStyle w:val="77"/>
        <w:spacing w:before="120" w:after="120"/>
        <w:ind w:firstLine="420"/>
      </w:pPr>
      <w:r>
        <w:rPr>
          <w:rFonts w:hint="eastAsia"/>
        </w:rPr>
        <w:t>进行风险评价的木材加工厂实例</w:t>
      </w:r>
    </w:p>
    <w:tbl>
      <w:tblPr>
        <w:tblStyle w:val="231"/>
        <w:tblW w:w="9314" w:type="dxa"/>
        <w:tblInd w:w="9"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32"/>
        <w:gridCol w:w="1755"/>
        <w:gridCol w:w="1095"/>
        <w:gridCol w:w="803"/>
        <w:gridCol w:w="1569"/>
        <w:gridCol w:w="1140"/>
        <w:gridCol w:w="780"/>
        <w:gridCol w:w="840"/>
      </w:tblGrid>
      <w:tr w14:paraId="50726C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65" w:hRule="atLeast"/>
        </w:trPr>
        <w:tc>
          <w:tcPr>
            <w:tcW w:w="1332" w:type="dxa"/>
            <w:vMerge w:val="restart"/>
            <w:tcBorders>
              <w:tl2br w:val="nil"/>
              <w:tr2bl w:val="nil"/>
            </w:tcBorders>
            <w:vAlign w:val="center"/>
          </w:tcPr>
          <w:p w14:paraId="19AEB27C">
            <w:pPr>
              <w:pStyle w:val="178"/>
            </w:pPr>
            <w:r>
              <w:rPr>
                <w:rFonts w:hint="eastAsia"/>
              </w:rPr>
              <w:t>使用者/任务</w:t>
            </w:r>
          </w:p>
        </w:tc>
        <w:tc>
          <w:tcPr>
            <w:tcW w:w="1755" w:type="dxa"/>
            <w:vMerge w:val="restart"/>
            <w:tcBorders>
              <w:tl2br w:val="nil"/>
              <w:tr2bl w:val="nil"/>
            </w:tcBorders>
            <w:vAlign w:val="center"/>
          </w:tcPr>
          <w:p w14:paraId="709971D5">
            <w:pPr>
              <w:pStyle w:val="178"/>
            </w:pPr>
            <w:r>
              <w:rPr>
                <w:rFonts w:hint="eastAsia"/>
              </w:rPr>
              <w:t>风险</w:t>
            </w:r>
          </w:p>
        </w:tc>
        <w:tc>
          <w:tcPr>
            <w:tcW w:w="1898" w:type="dxa"/>
            <w:gridSpan w:val="2"/>
            <w:tcBorders>
              <w:tl2br w:val="nil"/>
              <w:tr2bl w:val="nil"/>
            </w:tcBorders>
            <w:vAlign w:val="center"/>
          </w:tcPr>
          <w:p w14:paraId="28ACCFE9">
            <w:pPr>
              <w:pStyle w:val="178"/>
            </w:pPr>
            <w:r>
              <w:rPr>
                <w:rFonts w:hint="eastAsia"/>
              </w:rPr>
              <w:t>初始风险评价</w:t>
            </w:r>
          </w:p>
        </w:tc>
        <w:tc>
          <w:tcPr>
            <w:tcW w:w="1569" w:type="dxa"/>
            <w:vMerge w:val="restart"/>
            <w:tcBorders>
              <w:tl2br w:val="nil"/>
              <w:tr2bl w:val="nil"/>
            </w:tcBorders>
            <w:vAlign w:val="center"/>
          </w:tcPr>
          <w:p w14:paraId="38BB4E58">
            <w:pPr>
              <w:pStyle w:val="178"/>
            </w:pPr>
            <w:r>
              <w:rPr>
                <w:rFonts w:hint="eastAsia"/>
              </w:rPr>
              <w:t>风险防控措施方法</w:t>
            </w:r>
          </w:p>
        </w:tc>
        <w:tc>
          <w:tcPr>
            <w:tcW w:w="1920" w:type="dxa"/>
            <w:gridSpan w:val="2"/>
            <w:tcBorders>
              <w:tl2br w:val="nil"/>
              <w:tr2bl w:val="nil"/>
            </w:tcBorders>
            <w:vAlign w:val="center"/>
          </w:tcPr>
          <w:p w14:paraId="07FFC88B">
            <w:pPr>
              <w:pStyle w:val="178"/>
            </w:pPr>
            <w:r>
              <w:rPr>
                <w:rFonts w:hint="eastAsia"/>
              </w:rPr>
              <w:t>遗留风险评价</w:t>
            </w:r>
          </w:p>
        </w:tc>
        <w:tc>
          <w:tcPr>
            <w:tcW w:w="840" w:type="dxa"/>
            <w:vMerge w:val="restart"/>
            <w:tcBorders>
              <w:tl2br w:val="nil"/>
              <w:tr2bl w:val="nil"/>
            </w:tcBorders>
            <w:vAlign w:val="center"/>
          </w:tcPr>
          <w:p w14:paraId="47F91146">
            <w:pPr>
              <w:pStyle w:val="178"/>
            </w:pPr>
            <w:r>
              <w:rPr>
                <w:rFonts w:hint="eastAsia"/>
              </w:rPr>
              <w:t>状况</w:t>
            </w:r>
          </w:p>
        </w:tc>
      </w:tr>
      <w:tr w14:paraId="148830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332" w:type="dxa"/>
            <w:vMerge w:val="continue"/>
            <w:tcBorders>
              <w:bottom w:val="single" w:color="000000" w:sz="8" w:space="0"/>
              <w:tl2br w:val="nil"/>
              <w:tr2bl w:val="nil"/>
            </w:tcBorders>
            <w:vAlign w:val="center"/>
          </w:tcPr>
          <w:p w14:paraId="2749E881">
            <w:pPr>
              <w:pStyle w:val="178"/>
            </w:pPr>
          </w:p>
        </w:tc>
        <w:tc>
          <w:tcPr>
            <w:tcW w:w="1755" w:type="dxa"/>
            <w:vMerge w:val="continue"/>
            <w:tcBorders>
              <w:bottom w:val="single" w:color="000000" w:sz="8" w:space="0"/>
              <w:tl2br w:val="nil"/>
              <w:tr2bl w:val="nil"/>
            </w:tcBorders>
            <w:vAlign w:val="center"/>
          </w:tcPr>
          <w:p w14:paraId="5A572B5F">
            <w:pPr>
              <w:pStyle w:val="178"/>
            </w:pPr>
          </w:p>
        </w:tc>
        <w:tc>
          <w:tcPr>
            <w:tcW w:w="1095" w:type="dxa"/>
            <w:tcBorders>
              <w:bottom w:val="single" w:color="000000" w:sz="8" w:space="0"/>
              <w:tl2br w:val="nil"/>
              <w:tr2bl w:val="nil"/>
            </w:tcBorders>
            <w:vAlign w:val="center"/>
          </w:tcPr>
          <w:p w14:paraId="185F57E5">
            <w:pPr>
              <w:pStyle w:val="178"/>
            </w:pPr>
            <w:r>
              <w:rPr>
                <w:rFonts w:hint="eastAsia"/>
              </w:rPr>
              <w:t>严重程度/</w:t>
            </w:r>
          </w:p>
          <w:p w14:paraId="0D57FF06">
            <w:pPr>
              <w:pStyle w:val="178"/>
            </w:pPr>
            <w:r>
              <w:rPr>
                <w:rFonts w:hint="eastAsia"/>
              </w:rPr>
              <w:t>概率</w:t>
            </w:r>
          </w:p>
        </w:tc>
        <w:tc>
          <w:tcPr>
            <w:tcW w:w="803" w:type="dxa"/>
            <w:tcBorders>
              <w:bottom w:val="single" w:color="000000" w:sz="8" w:space="0"/>
              <w:tl2br w:val="nil"/>
              <w:tr2bl w:val="nil"/>
            </w:tcBorders>
            <w:vAlign w:val="center"/>
          </w:tcPr>
          <w:p w14:paraId="4E927A61">
            <w:pPr>
              <w:pStyle w:val="178"/>
            </w:pPr>
            <w:r>
              <w:rPr>
                <w:rFonts w:hint="eastAsia"/>
              </w:rPr>
              <w:t>风险</w:t>
            </w:r>
          </w:p>
          <w:p w14:paraId="1A4C1DC9">
            <w:pPr>
              <w:pStyle w:val="178"/>
            </w:pPr>
            <w:r>
              <w:rPr>
                <w:rFonts w:hint="eastAsia"/>
              </w:rPr>
              <w:t>等级</w:t>
            </w:r>
          </w:p>
        </w:tc>
        <w:tc>
          <w:tcPr>
            <w:tcW w:w="1569" w:type="dxa"/>
            <w:vMerge w:val="continue"/>
            <w:tcBorders>
              <w:bottom w:val="single" w:color="000000" w:sz="8" w:space="0"/>
              <w:tl2br w:val="nil"/>
              <w:tr2bl w:val="nil"/>
            </w:tcBorders>
            <w:vAlign w:val="center"/>
          </w:tcPr>
          <w:p w14:paraId="6E139CD6">
            <w:pPr>
              <w:pStyle w:val="178"/>
            </w:pPr>
          </w:p>
        </w:tc>
        <w:tc>
          <w:tcPr>
            <w:tcW w:w="1140" w:type="dxa"/>
            <w:tcBorders>
              <w:bottom w:val="single" w:color="000000" w:sz="8" w:space="0"/>
              <w:tl2br w:val="nil"/>
              <w:tr2bl w:val="nil"/>
            </w:tcBorders>
            <w:vAlign w:val="center"/>
          </w:tcPr>
          <w:p w14:paraId="15BB87EE">
            <w:pPr>
              <w:pStyle w:val="178"/>
            </w:pPr>
            <w:r>
              <w:rPr>
                <w:rFonts w:hint="eastAsia"/>
              </w:rPr>
              <w:t>严重程度/ 概率</w:t>
            </w:r>
          </w:p>
        </w:tc>
        <w:tc>
          <w:tcPr>
            <w:tcW w:w="780" w:type="dxa"/>
            <w:tcBorders>
              <w:bottom w:val="single" w:color="000000" w:sz="8" w:space="0"/>
              <w:tl2br w:val="nil"/>
              <w:tr2bl w:val="nil"/>
            </w:tcBorders>
            <w:vAlign w:val="center"/>
          </w:tcPr>
          <w:p w14:paraId="65738909">
            <w:pPr>
              <w:pStyle w:val="178"/>
            </w:pPr>
            <w:r>
              <w:rPr>
                <w:rFonts w:hint="eastAsia"/>
              </w:rPr>
              <w:t>风险</w:t>
            </w:r>
          </w:p>
          <w:p w14:paraId="19B52D85">
            <w:pPr>
              <w:pStyle w:val="178"/>
            </w:pPr>
            <w:r>
              <w:rPr>
                <w:rFonts w:hint="eastAsia"/>
              </w:rPr>
              <w:t>等级</w:t>
            </w:r>
          </w:p>
        </w:tc>
        <w:tc>
          <w:tcPr>
            <w:tcW w:w="840" w:type="dxa"/>
            <w:vMerge w:val="continue"/>
            <w:tcBorders>
              <w:bottom w:val="single" w:color="000000" w:sz="8" w:space="0"/>
              <w:tl2br w:val="nil"/>
              <w:tr2bl w:val="nil"/>
            </w:tcBorders>
            <w:vAlign w:val="center"/>
          </w:tcPr>
          <w:p w14:paraId="2919E06A">
            <w:pPr>
              <w:pStyle w:val="178"/>
            </w:pPr>
          </w:p>
        </w:tc>
      </w:tr>
      <w:tr w14:paraId="319969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332" w:type="dxa"/>
            <w:vMerge w:val="restart"/>
            <w:tcBorders>
              <w:top w:val="single" w:color="000000" w:sz="8" w:space="0"/>
            </w:tcBorders>
            <w:vAlign w:val="center"/>
          </w:tcPr>
          <w:p w14:paraId="5A6AE170">
            <w:pPr>
              <w:pStyle w:val="178"/>
            </w:pPr>
            <w:r>
              <w:rPr>
                <w:rFonts w:hint="eastAsia"/>
              </w:rPr>
              <w:t>锯木工/从输入传送带选木板</w:t>
            </w:r>
          </w:p>
        </w:tc>
        <w:tc>
          <w:tcPr>
            <w:tcW w:w="1755" w:type="dxa"/>
            <w:tcBorders>
              <w:top w:val="single" w:color="000000" w:sz="8" w:space="0"/>
            </w:tcBorders>
            <w:vAlign w:val="center"/>
          </w:tcPr>
          <w:p w14:paraId="51976CC3">
            <w:pPr>
              <w:pStyle w:val="178"/>
            </w:pPr>
            <w:r>
              <w:rPr>
                <w:rFonts w:hint="eastAsia"/>
              </w:rPr>
              <w:t>机械的，木头裂片</w:t>
            </w:r>
          </w:p>
        </w:tc>
        <w:tc>
          <w:tcPr>
            <w:tcW w:w="1095" w:type="dxa"/>
            <w:tcBorders>
              <w:top w:val="single" w:color="000000" w:sz="8" w:space="0"/>
            </w:tcBorders>
            <w:vAlign w:val="center"/>
          </w:tcPr>
          <w:p w14:paraId="0C3C3F5D">
            <w:pPr>
              <w:pStyle w:val="178"/>
            </w:pPr>
            <w:r>
              <w:rPr>
                <w:rFonts w:hint="eastAsia"/>
              </w:rPr>
              <w:t>轻微/非常</w:t>
            </w:r>
          </w:p>
          <w:p w14:paraId="49DAAE09">
            <w:pPr>
              <w:pStyle w:val="178"/>
            </w:pPr>
            <w:r>
              <w:rPr>
                <w:rFonts w:hint="eastAsia"/>
              </w:rPr>
              <w:t>可能</w:t>
            </w:r>
          </w:p>
        </w:tc>
        <w:tc>
          <w:tcPr>
            <w:tcW w:w="803" w:type="dxa"/>
            <w:tcBorders>
              <w:top w:val="single" w:color="000000" w:sz="8" w:space="0"/>
            </w:tcBorders>
            <w:vAlign w:val="center"/>
          </w:tcPr>
          <w:p w14:paraId="6105FF07">
            <w:pPr>
              <w:pStyle w:val="178"/>
            </w:pPr>
            <w:r>
              <w:rPr>
                <w:rFonts w:hint="eastAsia"/>
              </w:rPr>
              <w:t>中</w:t>
            </w:r>
          </w:p>
        </w:tc>
        <w:tc>
          <w:tcPr>
            <w:tcW w:w="1569" w:type="dxa"/>
            <w:tcBorders>
              <w:top w:val="single" w:color="000000" w:sz="8" w:space="0"/>
            </w:tcBorders>
            <w:vAlign w:val="center"/>
          </w:tcPr>
          <w:p w14:paraId="0807FCAA">
            <w:pPr>
              <w:pStyle w:val="178"/>
            </w:pPr>
            <w:r>
              <w:rPr>
                <w:rFonts w:hint="eastAsia"/>
              </w:rPr>
              <w:t>戴手套</w:t>
            </w:r>
          </w:p>
        </w:tc>
        <w:tc>
          <w:tcPr>
            <w:tcW w:w="1140" w:type="dxa"/>
            <w:tcBorders>
              <w:top w:val="single" w:color="000000" w:sz="8" w:space="0"/>
            </w:tcBorders>
            <w:vAlign w:val="center"/>
          </w:tcPr>
          <w:p w14:paraId="5D680D98">
            <w:pPr>
              <w:pStyle w:val="178"/>
            </w:pPr>
            <w:r>
              <w:rPr>
                <w:rFonts w:hint="eastAsia"/>
              </w:rPr>
              <w:t>轻微/不太</w:t>
            </w:r>
          </w:p>
          <w:p w14:paraId="6002B299">
            <w:pPr>
              <w:pStyle w:val="178"/>
            </w:pPr>
            <w:r>
              <w:rPr>
                <w:rFonts w:hint="eastAsia"/>
              </w:rPr>
              <w:t>可能</w:t>
            </w:r>
          </w:p>
        </w:tc>
        <w:tc>
          <w:tcPr>
            <w:tcW w:w="780" w:type="dxa"/>
            <w:tcBorders>
              <w:top w:val="single" w:color="000000" w:sz="8" w:space="0"/>
            </w:tcBorders>
            <w:vAlign w:val="center"/>
          </w:tcPr>
          <w:p w14:paraId="463425CC">
            <w:pPr>
              <w:pStyle w:val="178"/>
            </w:pPr>
            <w:r>
              <w:rPr>
                <w:rFonts w:hint="eastAsia"/>
              </w:rPr>
              <w:t>可忽略</w:t>
            </w:r>
          </w:p>
        </w:tc>
        <w:tc>
          <w:tcPr>
            <w:tcW w:w="840" w:type="dxa"/>
            <w:tcBorders>
              <w:top w:val="single" w:color="000000" w:sz="8" w:space="0"/>
            </w:tcBorders>
            <w:vAlign w:val="center"/>
          </w:tcPr>
          <w:p w14:paraId="6E197721">
            <w:pPr>
              <w:pStyle w:val="178"/>
            </w:pPr>
            <w:r>
              <w:rPr>
                <w:rFonts w:hint="eastAsia"/>
              </w:rPr>
              <w:t>完成</w:t>
            </w:r>
          </w:p>
        </w:tc>
      </w:tr>
      <w:tr w14:paraId="47FC4E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332" w:type="dxa"/>
            <w:vMerge w:val="continue"/>
            <w:vAlign w:val="center"/>
          </w:tcPr>
          <w:p w14:paraId="7B4A9363">
            <w:pPr>
              <w:pStyle w:val="178"/>
            </w:pPr>
          </w:p>
        </w:tc>
        <w:tc>
          <w:tcPr>
            <w:tcW w:w="1755" w:type="dxa"/>
            <w:vAlign w:val="center"/>
          </w:tcPr>
          <w:p w14:paraId="01F45063">
            <w:pPr>
              <w:pStyle w:val="178"/>
            </w:pPr>
            <w:r>
              <w:rPr>
                <w:rFonts w:hint="eastAsia"/>
              </w:rPr>
              <w:t>人类工程学：重复动作</w:t>
            </w:r>
          </w:p>
        </w:tc>
        <w:tc>
          <w:tcPr>
            <w:tcW w:w="1095" w:type="dxa"/>
            <w:vAlign w:val="center"/>
          </w:tcPr>
          <w:p w14:paraId="0052DD58">
            <w:pPr>
              <w:pStyle w:val="178"/>
            </w:pPr>
            <w:r>
              <w:rPr>
                <w:rFonts w:hint="eastAsia"/>
              </w:rPr>
              <w:t>中等/可能</w:t>
            </w:r>
          </w:p>
        </w:tc>
        <w:tc>
          <w:tcPr>
            <w:tcW w:w="803" w:type="dxa"/>
            <w:vAlign w:val="center"/>
          </w:tcPr>
          <w:p w14:paraId="4F6391DA">
            <w:pPr>
              <w:pStyle w:val="178"/>
            </w:pPr>
            <w:r>
              <w:rPr>
                <w:rFonts w:hint="eastAsia"/>
              </w:rPr>
              <w:t>中</w:t>
            </w:r>
          </w:p>
        </w:tc>
        <w:tc>
          <w:tcPr>
            <w:tcW w:w="1569" w:type="dxa"/>
            <w:vAlign w:val="center"/>
          </w:tcPr>
          <w:p w14:paraId="3B08D981">
            <w:pPr>
              <w:pStyle w:val="178"/>
            </w:pPr>
            <w:r>
              <w:rPr>
                <w:rFonts w:hint="eastAsia"/>
              </w:rPr>
              <w:t>工作轮换，安排休假，标准程序</w:t>
            </w:r>
          </w:p>
        </w:tc>
        <w:tc>
          <w:tcPr>
            <w:tcW w:w="1140" w:type="dxa"/>
            <w:vAlign w:val="center"/>
          </w:tcPr>
          <w:p w14:paraId="493A9210">
            <w:pPr>
              <w:pStyle w:val="178"/>
            </w:pPr>
            <w:r>
              <w:rPr>
                <w:rFonts w:hint="eastAsia"/>
              </w:rPr>
              <w:t>轻微/不太可能</w:t>
            </w:r>
          </w:p>
        </w:tc>
        <w:tc>
          <w:tcPr>
            <w:tcW w:w="780" w:type="dxa"/>
            <w:vAlign w:val="center"/>
          </w:tcPr>
          <w:p w14:paraId="41EA8EEE">
            <w:pPr>
              <w:pStyle w:val="178"/>
            </w:pPr>
            <w:r>
              <w:rPr>
                <w:rFonts w:hint="eastAsia"/>
              </w:rPr>
              <w:t>低</w:t>
            </w:r>
          </w:p>
        </w:tc>
        <w:tc>
          <w:tcPr>
            <w:tcW w:w="840" w:type="dxa"/>
            <w:vAlign w:val="center"/>
          </w:tcPr>
          <w:p w14:paraId="05328F24">
            <w:pPr>
              <w:pStyle w:val="178"/>
            </w:pPr>
            <w:r>
              <w:rPr>
                <w:rFonts w:hint="eastAsia"/>
              </w:rPr>
              <w:t>进行中</w:t>
            </w:r>
          </w:p>
        </w:tc>
      </w:tr>
      <w:tr w14:paraId="23FE96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2" w:type="dxa"/>
            <w:vMerge w:val="continue"/>
            <w:vAlign w:val="center"/>
          </w:tcPr>
          <w:p w14:paraId="0F17C9E8">
            <w:pPr>
              <w:pStyle w:val="178"/>
            </w:pPr>
          </w:p>
        </w:tc>
        <w:tc>
          <w:tcPr>
            <w:tcW w:w="1755" w:type="dxa"/>
            <w:vAlign w:val="center"/>
          </w:tcPr>
          <w:p w14:paraId="7BFD63E8">
            <w:pPr>
              <w:pStyle w:val="178"/>
            </w:pPr>
            <w:r>
              <w:rPr>
                <w:rFonts w:hint="eastAsia"/>
              </w:rPr>
              <w:t>人类工效学：提举/弯腰/扭转</w:t>
            </w:r>
          </w:p>
        </w:tc>
        <w:tc>
          <w:tcPr>
            <w:tcW w:w="1095" w:type="dxa"/>
            <w:vAlign w:val="center"/>
          </w:tcPr>
          <w:p w14:paraId="14C2E72E">
            <w:pPr>
              <w:pStyle w:val="178"/>
            </w:pPr>
            <w:r>
              <w:rPr>
                <w:rFonts w:hint="eastAsia"/>
              </w:rPr>
              <w:t>中等/可能</w:t>
            </w:r>
          </w:p>
        </w:tc>
        <w:tc>
          <w:tcPr>
            <w:tcW w:w="803" w:type="dxa"/>
            <w:vAlign w:val="center"/>
          </w:tcPr>
          <w:p w14:paraId="570EDF3F">
            <w:pPr>
              <w:pStyle w:val="178"/>
            </w:pPr>
            <w:r>
              <w:rPr>
                <w:rFonts w:hint="eastAsia"/>
              </w:rPr>
              <w:t>中</w:t>
            </w:r>
          </w:p>
        </w:tc>
        <w:tc>
          <w:tcPr>
            <w:tcW w:w="1569" w:type="dxa"/>
            <w:vAlign w:val="center"/>
          </w:tcPr>
          <w:p w14:paraId="342FBB83">
            <w:pPr>
              <w:pStyle w:val="178"/>
            </w:pPr>
            <w:r>
              <w:rPr>
                <w:rFonts w:hint="eastAsia"/>
              </w:rPr>
              <w:t>调整工作站的高</w:t>
            </w:r>
          </w:p>
          <w:p w14:paraId="157B49A8">
            <w:pPr>
              <w:pStyle w:val="178"/>
            </w:pPr>
            <w:r>
              <w:rPr>
                <w:rFonts w:hint="eastAsia"/>
              </w:rPr>
              <w:t>度和位置使操作</w:t>
            </w:r>
          </w:p>
          <w:p w14:paraId="243BA3E6">
            <w:pPr>
              <w:pStyle w:val="178"/>
            </w:pPr>
            <w:r>
              <w:rPr>
                <w:rFonts w:hint="eastAsia"/>
              </w:rPr>
              <w:t>触及距离最短，工作轮换</w:t>
            </w:r>
          </w:p>
        </w:tc>
        <w:tc>
          <w:tcPr>
            <w:tcW w:w="1140" w:type="dxa"/>
            <w:vAlign w:val="center"/>
          </w:tcPr>
          <w:p w14:paraId="28D68B3F">
            <w:pPr>
              <w:pStyle w:val="178"/>
            </w:pPr>
            <w:r>
              <w:rPr>
                <w:rFonts w:hint="eastAsia"/>
              </w:rPr>
              <w:t>中等/可能</w:t>
            </w:r>
          </w:p>
        </w:tc>
        <w:tc>
          <w:tcPr>
            <w:tcW w:w="780" w:type="dxa"/>
            <w:vAlign w:val="center"/>
          </w:tcPr>
          <w:p w14:paraId="321308E4">
            <w:pPr>
              <w:pStyle w:val="178"/>
            </w:pPr>
            <w:r>
              <w:rPr>
                <w:rFonts w:hint="eastAsia"/>
              </w:rPr>
              <w:t>中</w:t>
            </w:r>
          </w:p>
        </w:tc>
        <w:tc>
          <w:tcPr>
            <w:tcW w:w="840" w:type="dxa"/>
            <w:vAlign w:val="center"/>
          </w:tcPr>
          <w:p w14:paraId="197B8344">
            <w:pPr>
              <w:pStyle w:val="178"/>
            </w:pPr>
            <w:r>
              <w:rPr>
                <w:rFonts w:hint="eastAsia"/>
              </w:rPr>
              <w:t>完成</w:t>
            </w:r>
          </w:p>
        </w:tc>
      </w:tr>
      <w:tr w14:paraId="0B3F26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32" w:type="dxa"/>
            <w:vMerge w:val="restart"/>
            <w:tcBorders>
              <w:tl2br w:val="nil"/>
              <w:tr2bl w:val="nil"/>
            </w:tcBorders>
            <w:vAlign w:val="center"/>
          </w:tcPr>
          <w:p w14:paraId="68D2E39F">
            <w:pPr>
              <w:pStyle w:val="178"/>
            </w:pPr>
            <w:r>
              <w:rPr>
                <w:rFonts w:hint="eastAsia"/>
              </w:rPr>
              <w:t>锯木工/切掉节疤</w:t>
            </w:r>
          </w:p>
        </w:tc>
        <w:tc>
          <w:tcPr>
            <w:tcW w:w="1755" w:type="dxa"/>
            <w:tcBorders>
              <w:tl2br w:val="nil"/>
              <w:tr2bl w:val="nil"/>
            </w:tcBorders>
            <w:vAlign w:val="center"/>
          </w:tcPr>
          <w:p w14:paraId="0AFFA9DB">
            <w:pPr>
              <w:pStyle w:val="178"/>
            </w:pPr>
            <w:r>
              <w:rPr>
                <w:rFonts w:hint="eastAsia"/>
              </w:rPr>
              <w:t>机械的：由旋转的锯片引起的切伤/割伤</w:t>
            </w:r>
          </w:p>
        </w:tc>
        <w:tc>
          <w:tcPr>
            <w:tcW w:w="1095" w:type="dxa"/>
            <w:tcBorders>
              <w:tl2br w:val="nil"/>
              <w:tr2bl w:val="nil"/>
            </w:tcBorders>
            <w:vAlign w:val="center"/>
          </w:tcPr>
          <w:p w14:paraId="3BC77F2D">
            <w:pPr>
              <w:pStyle w:val="178"/>
            </w:pPr>
            <w:r>
              <w:rPr>
                <w:rFonts w:hint="eastAsia"/>
              </w:rPr>
              <w:t>灾难性的/</w:t>
            </w:r>
          </w:p>
          <w:p w14:paraId="1BF93ADC">
            <w:pPr>
              <w:pStyle w:val="178"/>
            </w:pPr>
            <w:r>
              <w:rPr>
                <w:rFonts w:hint="eastAsia"/>
              </w:rPr>
              <w:t>可能</w:t>
            </w:r>
          </w:p>
        </w:tc>
        <w:tc>
          <w:tcPr>
            <w:tcW w:w="803" w:type="dxa"/>
            <w:tcBorders>
              <w:tl2br w:val="nil"/>
              <w:tr2bl w:val="nil"/>
            </w:tcBorders>
            <w:vAlign w:val="center"/>
          </w:tcPr>
          <w:p w14:paraId="5A2000E8">
            <w:pPr>
              <w:pStyle w:val="178"/>
            </w:pPr>
            <w:r>
              <w:rPr>
                <w:rFonts w:hint="eastAsia"/>
              </w:rPr>
              <w:t>高</w:t>
            </w:r>
          </w:p>
        </w:tc>
        <w:tc>
          <w:tcPr>
            <w:tcW w:w="1569" w:type="dxa"/>
            <w:tcBorders>
              <w:tl2br w:val="nil"/>
              <w:tr2bl w:val="nil"/>
            </w:tcBorders>
            <w:vAlign w:val="center"/>
          </w:tcPr>
          <w:p w14:paraId="17ECCD0B">
            <w:pPr>
              <w:pStyle w:val="178"/>
            </w:pPr>
            <w:r>
              <w:rPr>
                <w:rFonts w:hint="eastAsia"/>
              </w:rPr>
              <w:t>安装固定式防护 罩/屏障</w:t>
            </w:r>
          </w:p>
        </w:tc>
        <w:tc>
          <w:tcPr>
            <w:tcW w:w="1140" w:type="dxa"/>
            <w:tcBorders>
              <w:tl2br w:val="nil"/>
              <w:tr2bl w:val="nil"/>
            </w:tcBorders>
            <w:vAlign w:val="center"/>
          </w:tcPr>
          <w:p w14:paraId="768C2366">
            <w:pPr>
              <w:pStyle w:val="178"/>
            </w:pPr>
            <w:r>
              <w:rPr>
                <w:rFonts w:hint="eastAsia"/>
              </w:rPr>
              <w:t>灾难性的/几乎不可能</w:t>
            </w:r>
          </w:p>
        </w:tc>
        <w:tc>
          <w:tcPr>
            <w:tcW w:w="780" w:type="dxa"/>
            <w:tcBorders>
              <w:tl2br w:val="nil"/>
              <w:tr2bl w:val="nil"/>
            </w:tcBorders>
            <w:vAlign w:val="center"/>
          </w:tcPr>
          <w:p w14:paraId="477B97A0">
            <w:pPr>
              <w:pStyle w:val="178"/>
            </w:pPr>
            <w:r>
              <w:rPr>
                <w:rFonts w:hint="eastAsia"/>
              </w:rPr>
              <w:t>低</w:t>
            </w:r>
          </w:p>
        </w:tc>
        <w:tc>
          <w:tcPr>
            <w:tcW w:w="840" w:type="dxa"/>
            <w:tcBorders>
              <w:tl2br w:val="nil"/>
              <w:tr2bl w:val="nil"/>
            </w:tcBorders>
            <w:vAlign w:val="center"/>
          </w:tcPr>
          <w:p w14:paraId="69B8F803">
            <w:pPr>
              <w:pStyle w:val="178"/>
            </w:pPr>
            <w:r>
              <w:rPr>
                <w:rFonts w:hint="eastAsia"/>
              </w:rPr>
              <w:t>完成</w:t>
            </w:r>
          </w:p>
        </w:tc>
      </w:tr>
      <w:tr w14:paraId="394AD9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332" w:type="dxa"/>
            <w:vMerge w:val="continue"/>
            <w:tcBorders>
              <w:tl2br w:val="nil"/>
              <w:tr2bl w:val="nil"/>
            </w:tcBorders>
            <w:vAlign w:val="center"/>
          </w:tcPr>
          <w:p w14:paraId="3183A31E">
            <w:pPr>
              <w:pStyle w:val="178"/>
            </w:pPr>
          </w:p>
        </w:tc>
        <w:tc>
          <w:tcPr>
            <w:tcW w:w="1755" w:type="dxa"/>
            <w:tcBorders>
              <w:tl2br w:val="nil"/>
              <w:tr2bl w:val="nil"/>
            </w:tcBorders>
            <w:vAlign w:val="center"/>
          </w:tcPr>
          <w:p w14:paraId="11EA07E7">
            <w:pPr>
              <w:pStyle w:val="178"/>
            </w:pPr>
            <w:r>
              <w:rPr>
                <w:rFonts w:hint="eastAsia"/>
              </w:rPr>
              <w:t>机械的：木头裂片</w:t>
            </w:r>
          </w:p>
        </w:tc>
        <w:tc>
          <w:tcPr>
            <w:tcW w:w="1095" w:type="dxa"/>
            <w:tcBorders>
              <w:tl2br w:val="nil"/>
              <w:tr2bl w:val="nil"/>
            </w:tcBorders>
            <w:vAlign w:val="center"/>
          </w:tcPr>
          <w:p w14:paraId="046BA652">
            <w:pPr>
              <w:pStyle w:val="178"/>
            </w:pPr>
            <w:r>
              <w:rPr>
                <w:rFonts w:hint="eastAsia"/>
              </w:rPr>
              <w:t>轻微/非常</w:t>
            </w:r>
          </w:p>
          <w:p w14:paraId="24186635">
            <w:pPr>
              <w:pStyle w:val="178"/>
            </w:pPr>
            <w:r>
              <w:rPr>
                <w:rFonts w:hint="eastAsia"/>
              </w:rPr>
              <w:t>可能</w:t>
            </w:r>
          </w:p>
        </w:tc>
        <w:tc>
          <w:tcPr>
            <w:tcW w:w="803" w:type="dxa"/>
            <w:tcBorders>
              <w:tl2br w:val="nil"/>
              <w:tr2bl w:val="nil"/>
            </w:tcBorders>
            <w:vAlign w:val="center"/>
          </w:tcPr>
          <w:p w14:paraId="6BEFBD68">
            <w:pPr>
              <w:pStyle w:val="178"/>
            </w:pPr>
            <w:r>
              <w:rPr>
                <w:rFonts w:hint="eastAsia"/>
              </w:rPr>
              <w:t>中</w:t>
            </w:r>
          </w:p>
        </w:tc>
        <w:tc>
          <w:tcPr>
            <w:tcW w:w="1569" w:type="dxa"/>
            <w:tcBorders>
              <w:tl2br w:val="nil"/>
              <w:tr2bl w:val="nil"/>
            </w:tcBorders>
            <w:vAlign w:val="center"/>
          </w:tcPr>
          <w:p w14:paraId="4FBFE202">
            <w:pPr>
              <w:pStyle w:val="178"/>
            </w:pPr>
            <w:r>
              <w:rPr>
                <w:rFonts w:hint="eastAsia"/>
              </w:rPr>
              <w:t>戴手套</w:t>
            </w:r>
          </w:p>
        </w:tc>
        <w:tc>
          <w:tcPr>
            <w:tcW w:w="1140" w:type="dxa"/>
            <w:tcBorders>
              <w:tl2br w:val="nil"/>
              <w:tr2bl w:val="nil"/>
            </w:tcBorders>
            <w:vAlign w:val="center"/>
          </w:tcPr>
          <w:p w14:paraId="597EDC44">
            <w:pPr>
              <w:pStyle w:val="178"/>
            </w:pPr>
            <w:r>
              <w:rPr>
                <w:rFonts w:hint="eastAsia"/>
              </w:rPr>
              <w:t>轻微/不太可能</w:t>
            </w:r>
          </w:p>
        </w:tc>
        <w:tc>
          <w:tcPr>
            <w:tcW w:w="780" w:type="dxa"/>
            <w:tcBorders>
              <w:tl2br w:val="nil"/>
              <w:tr2bl w:val="nil"/>
            </w:tcBorders>
            <w:vAlign w:val="center"/>
          </w:tcPr>
          <w:p w14:paraId="376AF947">
            <w:pPr>
              <w:pStyle w:val="178"/>
            </w:pPr>
            <w:r>
              <w:rPr>
                <w:rFonts w:hint="eastAsia"/>
              </w:rPr>
              <w:t>可忽略</w:t>
            </w:r>
          </w:p>
        </w:tc>
        <w:tc>
          <w:tcPr>
            <w:tcW w:w="840" w:type="dxa"/>
            <w:tcBorders>
              <w:tl2br w:val="nil"/>
              <w:tr2bl w:val="nil"/>
            </w:tcBorders>
            <w:vAlign w:val="center"/>
          </w:tcPr>
          <w:p w14:paraId="0EC2BB68">
            <w:pPr>
              <w:pStyle w:val="178"/>
            </w:pPr>
            <w:r>
              <w:rPr>
                <w:rFonts w:hint="eastAsia"/>
              </w:rPr>
              <w:t>完成</w:t>
            </w:r>
          </w:p>
        </w:tc>
      </w:tr>
      <w:tr w14:paraId="2AFD49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332" w:type="dxa"/>
            <w:vMerge w:val="continue"/>
            <w:tcBorders>
              <w:tl2br w:val="nil"/>
              <w:tr2bl w:val="nil"/>
            </w:tcBorders>
            <w:vAlign w:val="center"/>
          </w:tcPr>
          <w:p w14:paraId="7EDBEEE2">
            <w:pPr>
              <w:pStyle w:val="178"/>
            </w:pPr>
          </w:p>
        </w:tc>
        <w:tc>
          <w:tcPr>
            <w:tcW w:w="1755" w:type="dxa"/>
            <w:tcBorders>
              <w:tl2br w:val="nil"/>
              <w:tr2bl w:val="nil"/>
            </w:tcBorders>
            <w:vAlign w:val="center"/>
          </w:tcPr>
          <w:p w14:paraId="0C19BE61">
            <w:pPr>
              <w:pStyle w:val="178"/>
            </w:pPr>
            <w:r>
              <w:rPr>
                <w:rFonts w:hint="eastAsia"/>
              </w:rPr>
              <w:t>机械的；飞屑</w:t>
            </w:r>
          </w:p>
        </w:tc>
        <w:tc>
          <w:tcPr>
            <w:tcW w:w="1095" w:type="dxa"/>
            <w:tcBorders>
              <w:tl2br w:val="nil"/>
              <w:tr2bl w:val="nil"/>
            </w:tcBorders>
            <w:vAlign w:val="center"/>
          </w:tcPr>
          <w:p w14:paraId="07900D49">
            <w:pPr>
              <w:pStyle w:val="178"/>
            </w:pPr>
            <w:r>
              <w:rPr>
                <w:rFonts w:hint="eastAsia"/>
              </w:rPr>
              <w:t>中等/可能</w:t>
            </w:r>
          </w:p>
        </w:tc>
        <w:tc>
          <w:tcPr>
            <w:tcW w:w="803" w:type="dxa"/>
            <w:tcBorders>
              <w:tl2br w:val="nil"/>
              <w:tr2bl w:val="nil"/>
            </w:tcBorders>
            <w:vAlign w:val="center"/>
          </w:tcPr>
          <w:p w14:paraId="6C3443F9">
            <w:pPr>
              <w:pStyle w:val="178"/>
            </w:pPr>
            <w:r>
              <w:rPr>
                <w:rFonts w:hint="eastAsia"/>
              </w:rPr>
              <w:t>中</w:t>
            </w:r>
          </w:p>
        </w:tc>
        <w:tc>
          <w:tcPr>
            <w:tcW w:w="1569" w:type="dxa"/>
            <w:tcBorders>
              <w:tl2br w:val="nil"/>
              <w:tr2bl w:val="nil"/>
            </w:tcBorders>
            <w:vAlign w:val="center"/>
          </w:tcPr>
          <w:p w14:paraId="255F4BE1">
            <w:pPr>
              <w:pStyle w:val="178"/>
            </w:pPr>
            <w:r>
              <w:rPr>
                <w:rFonts w:hint="eastAsia"/>
              </w:rPr>
              <w:t>戴防护眼镜</w:t>
            </w:r>
          </w:p>
        </w:tc>
        <w:tc>
          <w:tcPr>
            <w:tcW w:w="1140" w:type="dxa"/>
            <w:tcBorders>
              <w:tl2br w:val="nil"/>
              <w:tr2bl w:val="nil"/>
            </w:tcBorders>
            <w:vAlign w:val="center"/>
          </w:tcPr>
          <w:p w14:paraId="4672111A">
            <w:pPr>
              <w:pStyle w:val="178"/>
            </w:pPr>
            <w:r>
              <w:rPr>
                <w:rFonts w:hint="eastAsia"/>
              </w:rPr>
              <w:t>中等/几乎不可能</w:t>
            </w:r>
          </w:p>
        </w:tc>
        <w:tc>
          <w:tcPr>
            <w:tcW w:w="780" w:type="dxa"/>
            <w:tcBorders>
              <w:tl2br w:val="nil"/>
              <w:tr2bl w:val="nil"/>
            </w:tcBorders>
            <w:vAlign w:val="center"/>
          </w:tcPr>
          <w:p w14:paraId="7AF066DD">
            <w:pPr>
              <w:pStyle w:val="178"/>
            </w:pPr>
            <w:r>
              <w:rPr>
                <w:rFonts w:hint="eastAsia"/>
              </w:rPr>
              <w:t>可忽略</w:t>
            </w:r>
          </w:p>
        </w:tc>
        <w:tc>
          <w:tcPr>
            <w:tcW w:w="840" w:type="dxa"/>
            <w:tcBorders>
              <w:tl2br w:val="nil"/>
              <w:tr2bl w:val="nil"/>
            </w:tcBorders>
            <w:vAlign w:val="center"/>
          </w:tcPr>
          <w:p w14:paraId="52294771">
            <w:pPr>
              <w:pStyle w:val="178"/>
            </w:pPr>
            <w:r>
              <w:rPr>
                <w:rFonts w:hint="eastAsia"/>
              </w:rPr>
              <w:t>完成</w:t>
            </w:r>
          </w:p>
        </w:tc>
      </w:tr>
      <w:tr w14:paraId="103562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332" w:type="dxa"/>
            <w:vMerge w:val="continue"/>
            <w:tcBorders>
              <w:tl2br w:val="nil"/>
              <w:tr2bl w:val="nil"/>
            </w:tcBorders>
            <w:vAlign w:val="center"/>
          </w:tcPr>
          <w:p w14:paraId="3190324F">
            <w:pPr>
              <w:pStyle w:val="178"/>
            </w:pPr>
          </w:p>
        </w:tc>
        <w:tc>
          <w:tcPr>
            <w:tcW w:w="1755" w:type="dxa"/>
            <w:tcBorders>
              <w:tl2br w:val="nil"/>
              <w:tr2bl w:val="nil"/>
            </w:tcBorders>
            <w:vAlign w:val="center"/>
          </w:tcPr>
          <w:p w14:paraId="45442E7F">
            <w:pPr>
              <w:pStyle w:val="178"/>
            </w:pPr>
            <w:r>
              <w:rPr>
                <w:rFonts w:hint="eastAsia"/>
              </w:rPr>
              <w:t>人类工程学：重复动作</w:t>
            </w:r>
          </w:p>
        </w:tc>
        <w:tc>
          <w:tcPr>
            <w:tcW w:w="1095" w:type="dxa"/>
            <w:tcBorders>
              <w:tl2br w:val="nil"/>
              <w:tr2bl w:val="nil"/>
            </w:tcBorders>
            <w:vAlign w:val="center"/>
          </w:tcPr>
          <w:p w14:paraId="743C89CA">
            <w:pPr>
              <w:pStyle w:val="178"/>
            </w:pPr>
            <w:r>
              <w:rPr>
                <w:rFonts w:hint="eastAsia"/>
              </w:rPr>
              <w:t>中等/可能</w:t>
            </w:r>
          </w:p>
        </w:tc>
        <w:tc>
          <w:tcPr>
            <w:tcW w:w="803" w:type="dxa"/>
            <w:tcBorders>
              <w:tl2br w:val="nil"/>
              <w:tr2bl w:val="nil"/>
            </w:tcBorders>
            <w:vAlign w:val="center"/>
          </w:tcPr>
          <w:p w14:paraId="58E42B47">
            <w:pPr>
              <w:pStyle w:val="178"/>
            </w:pPr>
            <w:r>
              <w:rPr>
                <w:rFonts w:hint="eastAsia"/>
              </w:rPr>
              <w:t>中</w:t>
            </w:r>
          </w:p>
        </w:tc>
        <w:tc>
          <w:tcPr>
            <w:tcW w:w="1569" w:type="dxa"/>
            <w:tcBorders>
              <w:tl2br w:val="nil"/>
              <w:tr2bl w:val="nil"/>
            </w:tcBorders>
            <w:vAlign w:val="center"/>
          </w:tcPr>
          <w:p w14:paraId="42B2D894">
            <w:pPr>
              <w:pStyle w:val="178"/>
            </w:pPr>
            <w:r>
              <w:rPr>
                <w:rFonts w:hint="eastAsia"/>
              </w:rPr>
              <w:t>工作轮换，安排休假，标准程序</w:t>
            </w:r>
          </w:p>
        </w:tc>
        <w:tc>
          <w:tcPr>
            <w:tcW w:w="1140" w:type="dxa"/>
            <w:tcBorders>
              <w:tl2br w:val="nil"/>
              <w:tr2bl w:val="nil"/>
            </w:tcBorders>
            <w:vAlign w:val="center"/>
          </w:tcPr>
          <w:p w14:paraId="672EB96B">
            <w:pPr>
              <w:pStyle w:val="178"/>
            </w:pPr>
            <w:r>
              <w:rPr>
                <w:rFonts w:hint="eastAsia"/>
              </w:rPr>
              <w:t>轻微/不太可能</w:t>
            </w:r>
          </w:p>
        </w:tc>
        <w:tc>
          <w:tcPr>
            <w:tcW w:w="780" w:type="dxa"/>
            <w:tcBorders>
              <w:tl2br w:val="nil"/>
              <w:tr2bl w:val="nil"/>
            </w:tcBorders>
            <w:vAlign w:val="center"/>
          </w:tcPr>
          <w:p w14:paraId="5148BE70">
            <w:pPr>
              <w:pStyle w:val="178"/>
            </w:pPr>
            <w:r>
              <w:rPr>
                <w:rFonts w:hint="eastAsia"/>
              </w:rPr>
              <w:t>低</w:t>
            </w:r>
          </w:p>
        </w:tc>
        <w:tc>
          <w:tcPr>
            <w:tcW w:w="840" w:type="dxa"/>
            <w:tcBorders>
              <w:tl2br w:val="nil"/>
              <w:tr2bl w:val="nil"/>
            </w:tcBorders>
            <w:vAlign w:val="center"/>
          </w:tcPr>
          <w:p w14:paraId="38F8EBC4">
            <w:pPr>
              <w:pStyle w:val="178"/>
            </w:pPr>
            <w:r>
              <w:rPr>
                <w:rFonts w:hint="eastAsia"/>
              </w:rPr>
              <w:t>进行中</w:t>
            </w:r>
          </w:p>
        </w:tc>
      </w:tr>
      <w:tr w14:paraId="1144E1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332" w:type="dxa"/>
            <w:vMerge w:val="continue"/>
            <w:tcBorders>
              <w:tl2br w:val="nil"/>
              <w:tr2bl w:val="nil"/>
            </w:tcBorders>
            <w:vAlign w:val="center"/>
          </w:tcPr>
          <w:p w14:paraId="107B0D40">
            <w:pPr>
              <w:pStyle w:val="178"/>
            </w:pPr>
          </w:p>
        </w:tc>
        <w:tc>
          <w:tcPr>
            <w:tcW w:w="1755" w:type="dxa"/>
            <w:tcBorders>
              <w:tl2br w:val="nil"/>
              <w:tr2bl w:val="nil"/>
            </w:tcBorders>
            <w:vAlign w:val="center"/>
          </w:tcPr>
          <w:p w14:paraId="75B05F5B">
            <w:pPr>
              <w:pStyle w:val="178"/>
            </w:pPr>
            <w:r>
              <w:rPr>
                <w:rFonts w:hint="eastAsia"/>
              </w:rPr>
              <w:t>噪声：噪声/声级&gt;85 dB(A)</w:t>
            </w:r>
          </w:p>
        </w:tc>
        <w:tc>
          <w:tcPr>
            <w:tcW w:w="1095" w:type="dxa"/>
            <w:tcBorders>
              <w:tl2br w:val="nil"/>
              <w:tr2bl w:val="nil"/>
            </w:tcBorders>
            <w:vAlign w:val="center"/>
          </w:tcPr>
          <w:p w14:paraId="60C8DE42">
            <w:pPr>
              <w:pStyle w:val="178"/>
            </w:pPr>
            <w:r>
              <w:rPr>
                <w:rFonts w:hint="eastAsia"/>
              </w:rPr>
              <w:t>严重/非常</w:t>
            </w:r>
          </w:p>
          <w:p w14:paraId="6BD7A5B1">
            <w:pPr>
              <w:pStyle w:val="178"/>
            </w:pPr>
            <w:r>
              <w:rPr>
                <w:rFonts w:hint="eastAsia"/>
              </w:rPr>
              <w:t>可能</w:t>
            </w:r>
          </w:p>
        </w:tc>
        <w:tc>
          <w:tcPr>
            <w:tcW w:w="803" w:type="dxa"/>
            <w:tcBorders>
              <w:tl2br w:val="nil"/>
              <w:tr2bl w:val="nil"/>
            </w:tcBorders>
            <w:vAlign w:val="center"/>
          </w:tcPr>
          <w:p w14:paraId="08FBEF31">
            <w:pPr>
              <w:pStyle w:val="178"/>
            </w:pPr>
            <w:r>
              <w:rPr>
                <w:rFonts w:hint="eastAsia"/>
              </w:rPr>
              <w:t>高</w:t>
            </w:r>
          </w:p>
        </w:tc>
        <w:tc>
          <w:tcPr>
            <w:tcW w:w="1569" w:type="dxa"/>
            <w:tcBorders>
              <w:tl2br w:val="nil"/>
              <w:tr2bl w:val="nil"/>
            </w:tcBorders>
            <w:vAlign w:val="center"/>
          </w:tcPr>
          <w:p w14:paraId="4F6AE12E">
            <w:pPr>
              <w:pStyle w:val="178"/>
            </w:pPr>
            <w:r>
              <w:rPr>
                <w:rFonts w:hint="eastAsia"/>
              </w:rPr>
              <w:t>听力保护</w:t>
            </w:r>
          </w:p>
        </w:tc>
        <w:tc>
          <w:tcPr>
            <w:tcW w:w="1140" w:type="dxa"/>
            <w:tcBorders>
              <w:tl2br w:val="nil"/>
              <w:tr2bl w:val="nil"/>
            </w:tcBorders>
            <w:vAlign w:val="center"/>
          </w:tcPr>
          <w:p w14:paraId="68EEFAF1">
            <w:pPr>
              <w:pStyle w:val="178"/>
            </w:pPr>
            <w:r>
              <w:rPr>
                <w:rFonts w:hint="eastAsia"/>
              </w:rPr>
              <w:t>严重/不太</w:t>
            </w:r>
          </w:p>
          <w:p w14:paraId="43E72A7E">
            <w:pPr>
              <w:pStyle w:val="178"/>
            </w:pPr>
            <w:r>
              <w:rPr>
                <w:rFonts w:hint="eastAsia"/>
              </w:rPr>
              <w:t>可能</w:t>
            </w:r>
          </w:p>
        </w:tc>
        <w:tc>
          <w:tcPr>
            <w:tcW w:w="780" w:type="dxa"/>
            <w:tcBorders>
              <w:tl2br w:val="nil"/>
              <w:tr2bl w:val="nil"/>
            </w:tcBorders>
            <w:vAlign w:val="center"/>
          </w:tcPr>
          <w:p w14:paraId="0F5724F3">
            <w:pPr>
              <w:pStyle w:val="178"/>
            </w:pPr>
            <w:r>
              <w:rPr>
                <w:rFonts w:hint="eastAsia"/>
              </w:rPr>
              <w:t>中</w:t>
            </w:r>
          </w:p>
        </w:tc>
        <w:tc>
          <w:tcPr>
            <w:tcW w:w="840" w:type="dxa"/>
            <w:tcBorders>
              <w:tl2br w:val="nil"/>
              <w:tr2bl w:val="nil"/>
            </w:tcBorders>
            <w:vAlign w:val="center"/>
          </w:tcPr>
          <w:p w14:paraId="5EC0D403">
            <w:pPr>
              <w:pStyle w:val="178"/>
            </w:pPr>
            <w:r>
              <w:rPr>
                <w:rFonts w:hint="eastAsia"/>
              </w:rPr>
              <w:t>进行中</w:t>
            </w:r>
          </w:p>
        </w:tc>
      </w:tr>
      <w:tr w14:paraId="7FD309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332" w:type="dxa"/>
            <w:vMerge w:val="restart"/>
            <w:tcBorders>
              <w:tl2br w:val="nil"/>
              <w:tr2bl w:val="nil"/>
            </w:tcBorders>
            <w:vAlign w:val="center"/>
          </w:tcPr>
          <w:p w14:paraId="056E800A">
            <w:pPr>
              <w:pStyle w:val="178"/>
            </w:pPr>
            <w:r>
              <w:rPr>
                <w:rFonts w:hint="eastAsia"/>
              </w:rPr>
              <w:t>锯木工/将木板位置于输出传送带</w:t>
            </w:r>
          </w:p>
        </w:tc>
        <w:tc>
          <w:tcPr>
            <w:tcW w:w="1755" w:type="dxa"/>
            <w:tcBorders>
              <w:tl2br w:val="nil"/>
              <w:tr2bl w:val="nil"/>
            </w:tcBorders>
            <w:vAlign w:val="center"/>
          </w:tcPr>
          <w:p w14:paraId="656F2683">
            <w:pPr>
              <w:pStyle w:val="178"/>
            </w:pPr>
            <w:r>
              <w:rPr>
                <w:rFonts w:hint="eastAsia"/>
              </w:rPr>
              <w:t>机械的：木头裂片</w:t>
            </w:r>
          </w:p>
        </w:tc>
        <w:tc>
          <w:tcPr>
            <w:tcW w:w="1095" w:type="dxa"/>
            <w:tcBorders>
              <w:tl2br w:val="nil"/>
              <w:tr2bl w:val="nil"/>
            </w:tcBorders>
            <w:vAlign w:val="center"/>
          </w:tcPr>
          <w:p w14:paraId="7B5AA7BB">
            <w:pPr>
              <w:pStyle w:val="178"/>
            </w:pPr>
            <w:r>
              <w:rPr>
                <w:rFonts w:hint="eastAsia"/>
              </w:rPr>
              <w:t>轻微/非常</w:t>
            </w:r>
          </w:p>
          <w:p w14:paraId="5CA1CB26">
            <w:pPr>
              <w:pStyle w:val="178"/>
            </w:pPr>
            <w:r>
              <w:rPr>
                <w:rFonts w:hint="eastAsia"/>
              </w:rPr>
              <w:t>可能</w:t>
            </w:r>
          </w:p>
        </w:tc>
        <w:tc>
          <w:tcPr>
            <w:tcW w:w="803" w:type="dxa"/>
            <w:tcBorders>
              <w:tl2br w:val="nil"/>
              <w:tr2bl w:val="nil"/>
            </w:tcBorders>
            <w:vAlign w:val="center"/>
          </w:tcPr>
          <w:p w14:paraId="38F70E19">
            <w:pPr>
              <w:pStyle w:val="178"/>
            </w:pPr>
            <w:r>
              <w:rPr>
                <w:rFonts w:hint="eastAsia"/>
              </w:rPr>
              <w:t>中</w:t>
            </w:r>
          </w:p>
        </w:tc>
        <w:tc>
          <w:tcPr>
            <w:tcW w:w="1569" w:type="dxa"/>
            <w:tcBorders>
              <w:tl2br w:val="nil"/>
              <w:tr2bl w:val="nil"/>
            </w:tcBorders>
            <w:vAlign w:val="center"/>
          </w:tcPr>
          <w:p w14:paraId="5DAED151">
            <w:pPr>
              <w:pStyle w:val="178"/>
            </w:pPr>
            <w:r>
              <w:rPr>
                <w:rFonts w:hint="eastAsia"/>
              </w:rPr>
              <w:t>戴手套</w:t>
            </w:r>
          </w:p>
        </w:tc>
        <w:tc>
          <w:tcPr>
            <w:tcW w:w="1140" w:type="dxa"/>
            <w:tcBorders>
              <w:tl2br w:val="nil"/>
              <w:tr2bl w:val="nil"/>
            </w:tcBorders>
            <w:vAlign w:val="center"/>
          </w:tcPr>
          <w:p w14:paraId="45CD1A14">
            <w:pPr>
              <w:pStyle w:val="178"/>
            </w:pPr>
            <w:r>
              <w:rPr>
                <w:rFonts w:hint="eastAsia"/>
              </w:rPr>
              <w:t>轻微/不太</w:t>
            </w:r>
          </w:p>
          <w:p w14:paraId="48595A26">
            <w:pPr>
              <w:pStyle w:val="178"/>
            </w:pPr>
            <w:r>
              <w:rPr>
                <w:rFonts w:hint="eastAsia"/>
              </w:rPr>
              <w:t>可能</w:t>
            </w:r>
          </w:p>
        </w:tc>
        <w:tc>
          <w:tcPr>
            <w:tcW w:w="780" w:type="dxa"/>
            <w:tcBorders>
              <w:tl2br w:val="nil"/>
              <w:tr2bl w:val="nil"/>
            </w:tcBorders>
            <w:vAlign w:val="center"/>
          </w:tcPr>
          <w:p w14:paraId="2921D935">
            <w:pPr>
              <w:pStyle w:val="178"/>
            </w:pPr>
            <w:r>
              <w:rPr>
                <w:rFonts w:hint="eastAsia"/>
              </w:rPr>
              <w:t>可忽略</w:t>
            </w:r>
          </w:p>
        </w:tc>
        <w:tc>
          <w:tcPr>
            <w:tcW w:w="840" w:type="dxa"/>
            <w:tcBorders>
              <w:tl2br w:val="nil"/>
              <w:tr2bl w:val="nil"/>
            </w:tcBorders>
            <w:vAlign w:val="center"/>
          </w:tcPr>
          <w:p w14:paraId="79CED810">
            <w:pPr>
              <w:pStyle w:val="178"/>
            </w:pPr>
            <w:r>
              <w:rPr>
                <w:rFonts w:hint="eastAsia"/>
              </w:rPr>
              <w:t>完成</w:t>
            </w:r>
          </w:p>
        </w:tc>
      </w:tr>
      <w:tr w14:paraId="4369FA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332" w:type="dxa"/>
            <w:vMerge w:val="continue"/>
            <w:tcBorders>
              <w:tl2br w:val="nil"/>
              <w:tr2bl w:val="nil"/>
            </w:tcBorders>
            <w:vAlign w:val="center"/>
          </w:tcPr>
          <w:p w14:paraId="0F8A7E75">
            <w:pPr>
              <w:pStyle w:val="178"/>
            </w:pPr>
          </w:p>
        </w:tc>
        <w:tc>
          <w:tcPr>
            <w:tcW w:w="1755" w:type="dxa"/>
            <w:tcBorders>
              <w:tl2br w:val="nil"/>
              <w:tr2bl w:val="nil"/>
            </w:tcBorders>
            <w:vAlign w:val="center"/>
          </w:tcPr>
          <w:p w14:paraId="1A4ABEE8">
            <w:pPr>
              <w:pStyle w:val="178"/>
            </w:pPr>
            <w:r>
              <w:rPr>
                <w:rFonts w:hint="eastAsia"/>
              </w:rPr>
              <w:t>人类工程学：推/拉载荷</w:t>
            </w:r>
          </w:p>
        </w:tc>
        <w:tc>
          <w:tcPr>
            <w:tcW w:w="1095" w:type="dxa"/>
            <w:tcBorders>
              <w:tl2br w:val="nil"/>
              <w:tr2bl w:val="nil"/>
            </w:tcBorders>
            <w:vAlign w:val="center"/>
          </w:tcPr>
          <w:p w14:paraId="04638FC6">
            <w:pPr>
              <w:pStyle w:val="178"/>
            </w:pPr>
            <w:r>
              <w:rPr>
                <w:rFonts w:hint="eastAsia"/>
              </w:rPr>
              <w:t>轻微/不太</w:t>
            </w:r>
          </w:p>
          <w:p w14:paraId="2B4A3ABD">
            <w:pPr>
              <w:pStyle w:val="178"/>
            </w:pPr>
            <w:r>
              <w:rPr>
                <w:rFonts w:hint="eastAsia"/>
              </w:rPr>
              <w:t>可能</w:t>
            </w:r>
          </w:p>
        </w:tc>
        <w:tc>
          <w:tcPr>
            <w:tcW w:w="803" w:type="dxa"/>
            <w:tcBorders>
              <w:tl2br w:val="nil"/>
              <w:tr2bl w:val="nil"/>
            </w:tcBorders>
            <w:vAlign w:val="center"/>
          </w:tcPr>
          <w:p w14:paraId="6DC07F5E">
            <w:pPr>
              <w:pStyle w:val="178"/>
            </w:pPr>
            <w:r>
              <w:rPr>
                <w:rFonts w:hint="eastAsia"/>
              </w:rPr>
              <w:t>可忽略</w:t>
            </w:r>
          </w:p>
        </w:tc>
        <w:tc>
          <w:tcPr>
            <w:tcW w:w="1569" w:type="dxa"/>
            <w:tcBorders>
              <w:tl2br w:val="nil"/>
              <w:tr2bl w:val="nil"/>
            </w:tcBorders>
            <w:vAlign w:val="center"/>
          </w:tcPr>
          <w:p w14:paraId="505E334F">
            <w:pPr>
              <w:pStyle w:val="178"/>
            </w:pPr>
            <w:r>
              <w:rPr>
                <w:rFonts w:hint="eastAsia"/>
              </w:rPr>
              <w:t>最小化导向杆要</w:t>
            </w:r>
          </w:p>
          <w:p w14:paraId="2D216592">
            <w:pPr>
              <w:pStyle w:val="178"/>
            </w:pPr>
            <w:r>
              <w:rPr>
                <w:rFonts w:hint="eastAsia"/>
              </w:rPr>
              <w:t>求的提举高度，锯木工只需滑动</w:t>
            </w:r>
          </w:p>
          <w:p w14:paraId="041F3B92">
            <w:pPr>
              <w:pStyle w:val="178"/>
            </w:pPr>
            <w:r>
              <w:rPr>
                <w:rFonts w:hint="eastAsia"/>
              </w:rPr>
              <w:t>木块</w:t>
            </w:r>
          </w:p>
        </w:tc>
        <w:tc>
          <w:tcPr>
            <w:tcW w:w="1140" w:type="dxa"/>
            <w:tcBorders>
              <w:tl2br w:val="nil"/>
              <w:tr2bl w:val="nil"/>
            </w:tcBorders>
            <w:vAlign w:val="center"/>
          </w:tcPr>
          <w:p w14:paraId="56B3EF95">
            <w:pPr>
              <w:pStyle w:val="178"/>
            </w:pPr>
            <w:r>
              <w:rPr>
                <w:rFonts w:hint="eastAsia"/>
              </w:rPr>
              <w:t>轻微/不太</w:t>
            </w:r>
          </w:p>
          <w:p w14:paraId="11600486">
            <w:pPr>
              <w:pStyle w:val="178"/>
            </w:pPr>
            <w:r>
              <w:rPr>
                <w:rFonts w:hint="eastAsia"/>
              </w:rPr>
              <w:t>可能</w:t>
            </w:r>
          </w:p>
        </w:tc>
        <w:tc>
          <w:tcPr>
            <w:tcW w:w="780" w:type="dxa"/>
            <w:tcBorders>
              <w:tl2br w:val="nil"/>
              <w:tr2bl w:val="nil"/>
            </w:tcBorders>
            <w:vAlign w:val="center"/>
          </w:tcPr>
          <w:p w14:paraId="722EAF34">
            <w:pPr>
              <w:pStyle w:val="178"/>
            </w:pPr>
            <w:r>
              <w:rPr>
                <w:rFonts w:hint="eastAsia"/>
              </w:rPr>
              <w:t>可忽略</w:t>
            </w:r>
          </w:p>
        </w:tc>
        <w:tc>
          <w:tcPr>
            <w:tcW w:w="840" w:type="dxa"/>
            <w:tcBorders>
              <w:tl2br w:val="nil"/>
              <w:tr2bl w:val="nil"/>
            </w:tcBorders>
            <w:vAlign w:val="center"/>
          </w:tcPr>
          <w:p w14:paraId="3994B3C5">
            <w:pPr>
              <w:pStyle w:val="178"/>
            </w:pPr>
            <w:r>
              <w:rPr>
                <w:rFonts w:hint="eastAsia"/>
              </w:rPr>
              <w:t>完成</w:t>
            </w:r>
          </w:p>
        </w:tc>
      </w:tr>
    </w:tbl>
    <w:p w14:paraId="09E870D2">
      <w:pPr>
        <w:pStyle w:val="56"/>
        <w:ind w:firstLine="420"/>
      </w:pPr>
    </w:p>
    <w:p w14:paraId="53F4E1C0">
      <w:pPr>
        <w:pStyle w:val="81"/>
        <w:spacing w:before="120" w:after="120"/>
      </w:pPr>
      <w:r>
        <w:rPr>
          <w:rFonts w:hint="eastAsia"/>
        </w:rPr>
        <w:t>讨论</w:t>
      </w:r>
    </w:p>
    <w:p w14:paraId="26363490">
      <w:pPr>
        <w:pStyle w:val="56"/>
        <w:ind w:firstLine="420"/>
      </w:pPr>
      <w:r>
        <w:rPr>
          <w:rFonts w:hint="eastAsia"/>
        </w:rPr>
        <w:t>如示例所示，风险矩阵法提供了一个简单有效的评价风险的方法，该风险矩阵可用于评价具体职业的单独任务或评价整个职业工作过程的许多任务。</w:t>
      </w:r>
    </w:p>
    <w:p w14:paraId="310AD584">
      <w:pPr>
        <w:pStyle w:val="56"/>
        <w:ind w:firstLine="420"/>
      </w:pPr>
      <w:r>
        <w:rPr>
          <w:rFonts w:hint="eastAsia"/>
        </w:rPr>
        <w:t>对于一个组织风险评估单位（公司）而言，最好的办法是找到能在其组织风险评估过程中能充分发挥作用的风险评价方法。并同时考虑以工业标准或准则为起点，只要选择确认了一种风险评价方法，并将这种方法充分应用于风险评估过程，就是可行的方法。</w:t>
      </w:r>
    </w:p>
    <w:p w14:paraId="4679D9CE">
      <w:pPr>
        <w:pStyle w:val="56"/>
        <w:ind w:firstLine="420"/>
      </w:pPr>
    </w:p>
    <w:bookmarkEnd w:id="59"/>
    <w:p w14:paraId="3A2FB3F7">
      <w:pPr>
        <w:pStyle w:val="56"/>
        <w:ind w:firstLine="0" w:firstLineChars="0"/>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linePitch="312" w:charSpace="0"/>
        </w:sectPr>
      </w:pPr>
      <w:bookmarkStart w:id="74" w:name="BookMark6"/>
    </w:p>
    <w:p w14:paraId="2FC28B19">
      <w:pPr>
        <w:pStyle w:val="63"/>
        <w:spacing w:after="120"/>
      </w:pPr>
      <w:bookmarkStart w:id="75" w:name="_Toc17027"/>
      <w:bookmarkStart w:id="76" w:name="_Toc150014788"/>
      <w:r>
        <w:rPr>
          <w:rFonts w:hint="eastAsia"/>
          <w:spacing w:val="105"/>
        </w:rPr>
        <w:t>参考文</w:t>
      </w:r>
      <w:r>
        <w:rPr>
          <w:rFonts w:hint="eastAsia"/>
        </w:rPr>
        <w:t>献</w:t>
      </w:r>
      <w:bookmarkEnd w:id="75"/>
      <w:bookmarkEnd w:id="76"/>
    </w:p>
    <w:p w14:paraId="4B7CEB23">
      <w:pPr>
        <w:widowControl/>
        <w:numPr>
          <w:ilvl w:val="0"/>
          <w:numId w:val="55"/>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GB/T 23694-2013 风险管理 术语.</w:t>
      </w:r>
    </w:p>
    <w:p w14:paraId="06D0F1BB">
      <w:pPr>
        <w:widowControl/>
        <w:numPr>
          <w:ilvl w:val="0"/>
          <w:numId w:val="55"/>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GB/T 24353-2022 风险管理 指南.</w:t>
      </w:r>
    </w:p>
    <w:p w14:paraId="3613A279">
      <w:pPr>
        <w:widowControl/>
        <w:numPr>
          <w:ilvl w:val="0"/>
          <w:numId w:val="55"/>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ANSI B11 TR3:2000 风险评估和风险降低－估算、评价和降低机床相关风险的指南.</w:t>
      </w:r>
    </w:p>
    <w:p w14:paraId="5B763256">
      <w:pPr>
        <w:widowControl/>
        <w:numPr>
          <w:ilvl w:val="0"/>
          <w:numId w:val="55"/>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GB/T 20438.1-2017 电气/电子/可编程电子安全相关系统的功能安全第1部分： 一般要求.</w:t>
      </w:r>
    </w:p>
    <w:p w14:paraId="03579E95">
      <w:pPr>
        <w:widowControl/>
        <w:numPr>
          <w:ilvl w:val="0"/>
          <w:numId w:val="55"/>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ISO/TR 14121.2-2007《机械安全 风险评价 第2部分：实施指南和方法举例》（英文版）.</w:t>
      </w:r>
    </w:p>
    <w:p w14:paraId="18702389">
      <w:pPr>
        <w:widowControl/>
        <w:numPr>
          <w:ilvl w:val="0"/>
          <w:numId w:val="55"/>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GB/T 16856 -2015 机械安全 风险评估 实施指南和方法举例.</w:t>
      </w:r>
    </w:p>
    <w:p w14:paraId="2D0DD92F">
      <w:pPr>
        <w:widowControl/>
        <w:numPr>
          <w:ilvl w:val="0"/>
          <w:numId w:val="55"/>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 xml:space="preserve">GB/T 15706-2012 </w:t>
      </w:r>
      <w:r>
        <w:rPr>
          <w:rFonts w:ascii="宋体" w:hAnsi="Times New Roman"/>
          <w:kern w:val="0"/>
          <w:szCs w:val="20"/>
        </w:rPr>
        <w:t>机械安全 设计通则 风险评估与</w:t>
      </w:r>
      <w:r>
        <w:rPr>
          <w:rFonts w:hint="eastAsia" w:ascii="宋体" w:hAnsi="Times New Roman"/>
          <w:kern w:val="0"/>
          <w:szCs w:val="20"/>
        </w:rPr>
        <w:t>风险防控措施.</w:t>
      </w:r>
    </w:p>
    <w:p w14:paraId="2AB70D68">
      <w:pPr>
        <w:widowControl/>
        <w:numPr>
          <w:ilvl w:val="0"/>
          <w:numId w:val="55"/>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GB 6441-86 企业职工伤亡事故分类.</w:t>
      </w:r>
    </w:p>
    <w:p w14:paraId="3C48AACA">
      <w:pPr>
        <w:widowControl/>
        <w:numPr>
          <w:ilvl w:val="0"/>
          <w:numId w:val="55"/>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《中华人民共和国工伤保险条例》2023年版.</w:t>
      </w:r>
    </w:p>
    <w:p w14:paraId="34E89B89">
      <w:pPr>
        <w:widowControl/>
        <w:numPr>
          <w:ilvl w:val="0"/>
          <w:numId w:val="55"/>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《中华人民共和国职业分类大典》2023年版.</w:t>
      </w:r>
    </w:p>
    <w:p w14:paraId="06C47058">
      <w:pPr>
        <w:pStyle w:val="56"/>
        <w:ind w:firstLine="420"/>
        <w:jc w:val="center"/>
      </w:pPr>
      <w:bookmarkStart w:id="77" w:name="BookMark8"/>
      <w:r>
        <w:drawing>
          <wp:inline distT="0" distB="0" distL="0" distR="0">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7"/>
    </w:p>
    <w:bookmarkEnd w:id="74"/>
    <w:p w14:paraId="085AA9B9">
      <w:pPr>
        <w:pStyle w:val="56"/>
        <w:ind w:firstLine="0" w:firstLineChars="0"/>
      </w:pPr>
      <w:bookmarkStart w:id="78" w:name="BookMark7"/>
    </w:p>
    <w:bookmarkEnd w:id="78"/>
    <w:p w14:paraId="0D010F5C">
      <w:pPr>
        <w:pStyle w:val="56"/>
        <w:ind w:firstLine="420"/>
      </w:pPr>
    </w:p>
    <w:sectPr>
      <w:headerReference r:id="rId29" w:type="default"/>
      <w:footerReference r:id="rId31" w:type="default"/>
      <w:headerReference r:id="rId30" w:type="even"/>
      <w:footerReference r:id="rId32"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55F84">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26745">
    <w:pPr>
      <w:pStyle w:val="51"/>
    </w:pPr>
    <w:r>
      <w:fldChar w:fldCharType="begin"/>
    </w:r>
    <w:r>
      <w:instrText xml:space="preserve"> PAGE   \* MERGEFORMAT \* MERGEFORMAT </w:instrText>
    </w:r>
    <w:r>
      <w:fldChar w:fldCharType="separate"/>
    </w:r>
    <w: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A3620">
    <w:pPr>
      <w:pStyle w:val="52"/>
    </w:pPr>
    <w:r>
      <w:fldChar w:fldCharType="begin"/>
    </w:r>
    <w:r>
      <w:instrText xml:space="preserve">PAGE   \* MERGEFORMAT</w:instrText>
    </w:r>
    <w:r>
      <w:fldChar w:fldCharType="separate"/>
    </w:r>
    <w:r>
      <w:rPr>
        <w:lang w:val="zh-CN"/>
      </w:rPr>
      <w:t>17</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DCB1A">
    <w:pPr>
      <w:pStyle w:val="51"/>
    </w:pPr>
    <w:r>
      <w:fldChar w:fldCharType="begin"/>
    </w:r>
    <w:r>
      <w:instrText xml:space="preserve"> PAGE   \* MERGEFORMAT \* MERGEFORMAT </w:instrText>
    </w:r>
    <w:r>
      <w:fldChar w:fldCharType="separate"/>
    </w:r>
    <w:r>
      <w:t>18</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6110">
    <w:pPr>
      <w:pStyle w:val="52"/>
    </w:pPr>
    <w:r>
      <w:fldChar w:fldCharType="begin"/>
    </w:r>
    <w:r>
      <w:instrText xml:space="preserve">PAGE   \* MERGEFORMAT</w:instrText>
    </w:r>
    <w:r>
      <w:fldChar w:fldCharType="separate"/>
    </w:r>
    <w:r>
      <w:rPr>
        <w:lang w:val="zh-CN"/>
      </w:rPr>
      <w:t>19</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2090E">
    <w:pPr>
      <w:pStyle w:val="51"/>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52F21">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0ADCB">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F8B2E">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BFD9B">
    <w:pPr>
      <w:pStyle w:val="52"/>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8A185">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AEB44">
    <w:pPr>
      <w:pStyle w:val="52"/>
    </w:pPr>
    <w:r>
      <w:fldChar w:fldCharType="begin"/>
    </w:r>
    <w:r>
      <w:instrText xml:space="preserve">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0B6CE">
    <w:pPr>
      <w:pStyle w:val="51"/>
    </w:pPr>
    <w:r>
      <w:fldChar w:fldCharType="begin"/>
    </w:r>
    <w:r>
      <w:instrText xml:space="preserve"> PAGE   \* MERGEFORMAT \* MERGEFORMAT </w:instrText>
    </w:r>
    <w:r>
      <w:fldChar w:fldCharType="separate"/>
    </w:r>
    <w:r>
      <w:t>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5BCF4">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EF731">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671F8">
    <w:pPr>
      <w:pStyle w:val="62"/>
    </w:pPr>
    <w:r>
      <w:fldChar w:fldCharType="begin"/>
    </w:r>
    <w:r>
      <w:instrText xml:space="preserve"> STYLEREF  标准文件_文件编号 \* MERGEFORMAT </w:instrText>
    </w:r>
    <w:r>
      <w:fldChar w:fldCharType="separate"/>
    </w:r>
    <w:r>
      <w:t>T/CASMES XX.5—XXXX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E3BEC">
    <w:pPr>
      <w:pStyle w:val="61"/>
    </w:pPr>
    <w:r>
      <w:fldChar w:fldCharType="begin"/>
    </w:r>
    <w:r>
      <w:instrText xml:space="preserve"> STYLEREF  标准文件_文件编号  \* MERGEFORMAT </w:instrText>
    </w:r>
    <w:r>
      <w:fldChar w:fldCharType="separate"/>
    </w:r>
    <w:r>
      <w:t>T/CASMES XX.5—XXXX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DBEEE">
    <w:pPr>
      <w:pStyle w:val="62"/>
    </w:pPr>
    <w:r>
      <w:fldChar w:fldCharType="begin"/>
    </w:r>
    <w:r>
      <w:instrText xml:space="preserve"> STYLEREF  标准文件_文件编号 \* MERGEFORMAT </w:instrText>
    </w:r>
    <w:r>
      <w:fldChar w:fldCharType="separate"/>
    </w:r>
    <w:r>
      <w:t>T/CASMES XX.5—XXXX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CB1F0">
    <w:pPr>
      <w:pStyle w:val="61"/>
    </w:pPr>
    <w:r>
      <w:fldChar w:fldCharType="begin"/>
    </w:r>
    <w:r>
      <w:instrText xml:space="preserve"> STYLEREF  标准文件_文件编号  \* MERGEFORMAT </w:instrText>
    </w:r>
    <w:r>
      <w:fldChar w:fldCharType="separate"/>
    </w:r>
    <w:r>
      <w:t>T/CASMES XX.5—XXXX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5C76">
    <w:pPr>
      <w:pStyle w:val="62"/>
    </w:pPr>
    <w:r>
      <w:fldChar w:fldCharType="begin"/>
    </w:r>
    <w:r>
      <w:instrText xml:space="preserve"> STYLEREF  标准文件_文件编号 \* MERGEFORMAT </w:instrText>
    </w:r>
    <w:r>
      <w:fldChar w:fldCharType="separate"/>
    </w:r>
    <w:r>
      <w:t>T/CASMES XX.5—XXXX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26259">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3EA5B">
    <w:pPr>
      <w:pStyle w:val="61"/>
    </w:pPr>
    <w:r>
      <w:fldChar w:fldCharType="begin"/>
    </w:r>
    <w:r>
      <w:instrText xml:space="preserve"> STYLEREF  标准文件_文件编号  \* MERGEFORMAT </w:instrText>
    </w:r>
    <w:r>
      <w:fldChar w:fldCharType="separate"/>
    </w:r>
    <w:r>
      <w:t>T/CASMES XX.5—XXXX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70BD1">
    <w:pPr>
      <w:pStyle w:val="62"/>
    </w:pPr>
    <w:r>
      <w:fldChar w:fldCharType="begin"/>
    </w:r>
    <w:r>
      <w:instrText xml:space="preserve"> STYLEREF  标准文件_文件编号 \* MERGEFORMAT </w:instrText>
    </w:r>
    <w:r>
      <w:fldChar w:fldCharType="separate"/>
    </w:r>
    <w:r>
      <w:t>T/CASMES XX.5—XXXX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1DDD2">
    <w:pPr>
      <w:pStyle w:val="61"/>
    </w:pPr>
    <w:r>
      <w:fldChar w:fldCharType="begin"/>
    </w:r>
    <w:r>
      <w:instrText xml:space="preserve"> STYLEREF  标准文件_文件编号  \* MERGEFORMAT </w:instrText>
    </w:r>
    <w:r>
      <w:fldChar w:fldCharType="separate"/>
    </w:r>
    <w:r>
      <w:t>T/CASMES XX.5—XXXX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CCB62">
    <w:pPr>
      <w:pStyle w:val="62"/>
    </w:pPr>
    <w:r>
      <w:fldChar w:fldCharType="begin"/>
    </w:r>
    <w:r>
      <w:instrText xml:space="preserve"> STYLEREF  标准文件_文件编号 \* MERGEFORMAT </w:instrText>
    </w:r>
    <w:r>
      <w:fldChar w:fldCharType="separate"/>
    </w:r>
    <w:r>
      <w:t>T/CASMES XX.5—XXXX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CFF71">
    <w:pPr>
      <w:pStyle w:val="61"/>
    </w:pPr>
    <w:r>
      <w:fldChar w:fldCharType="begin"/>
    </w:r>
    <w:r>
      <w:instrText xml:space="preserve"> STYLEREF  标准文件_文件编号  \* MERGEFORMAT </w:instrText>
    </w:r>
    <w:r>
      <w:fldChar w:fldCharType="separate"/>
    </w:r>
    <w:r>
      <w:t>T/CASMES XX.5—XXXX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534C3">
    <w:pPr>
      <w:pStyle w:val="62"/>
    </w:pPr>
    <w:r>
      <w:fldChar w:fldCharType="begin"/>
    </w:r>
    <w:r>
      <w:instrText xml:space="preserve"> STYLEREF  标准文件_文件编号 \* MERGEFORMAT </w:instrText>
    </w:r>
    <w:r>
      <w:fldChar w:fldCharType="separate"/>
    </w:r>
    <w:r>
      <w:t>T/CASMES XX.5—XXXX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F2AD2">
    <w:pPr>
      <w:pStyle w:val="61"/>
    </w:pPr>
    <w:r>
      <w:fldChar w:fldCharType="begin"/>
    </w:r>
    <w:r>
      <w:instrText xml:space="preserve"> STYLEREF  标准文件_文件编号  \* MERGEFORMAT </w:instrText>
    </w:r>
    <w:r>
      <w:fldChar w:fldCharType="separate"/>
    </w:r>
    <w:r>
      <w:t>T/CASMES XX.5—XXXX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C323E"/>
    <w:multiLevelType w:val="singleLevel"/>
    <w:tmpl w:val="8F3C323E"/>
    <w:lvl w:ilvl="0" w:tentative="0">
      <w:start w:val="1"/>
      <w:numFmt w:val="lowerLetter"/>
      <w:suff w:val="space"/>
      <w:lvlText w:val="%1)"/>
      <w:lvlJc w:val="left"/>
    </w:lvl>
  </w:abstractNum>
  <w:abstractNum w:abstractNumId="1">
    <w:nsid w:val="9187A358"/>
    <w:multiLevelType w:val="singleLevel"/>
    <w:tmpl w:val="9187A358"/>
    <w:lvl w:ilvl="0" w:tentative="0">
      <w:start w:val="1"/>
      <w:numFmt w:val="lowerLetter"/>
      <w:suff w:val="space"/>
      <w:lvlText w:val="%1)"/>
      <w:lvlJc w:val="left"/>
    </w:lvl>
  </w:abstractNum>
  <w:abstractNum w:abstractNumId="2">
    <w:nsid w:val="A584A49E"/>
    <w:multiLevelType w:val="singleLevel"/>
    <w:tmpl w:val="A584A49E"/>
    <w:lvl w:ilvl="0" w:tentative="0">
      <w:start w:val="1"/>
      <w:numFmt w:val="lowerLetter"/>
      <w:suff w:val="space"/>
      <w:lvlText w:val="%1)"/>
      <w:lvlJc w:val="left"/>
    </w:lvl>
  </w:abstractNum>
  <w:abstractNum w:abstractNumId="3">
    <w:nsid w:val="A5E6B56F"/>
    <w:multiLevelType w:val="singleLevel"/>
    <w:tmpl w:val="A5E6B56F"/>
    <w:lvl w:ilvl="0" w:tentative="0">
      <w:start w:val="1"/>
      <w:numFmt w:val="lowerLetter"/>
      <w:suff w:val="space"/>
      <w:lvlText w:val="%1)"/>
      <w:lvlJc w:val="left"/>
    </w:lvl>
  </w:abstractNum>
  <w:abstractNum w:abstractNumId="4">
    <w:nsid w:val="B1DD991A"/>
    <w:multiLevelType w:val="singleLevel"/>
    <w:tmpl w:val="B1DD991A"/>
    <w:lvl w:ilvl="0" w:tentative="0">
      <w:start w:val="1"/>
      <w:numFmt w:val="lowerLetter"/>
      <w:suff w:val="space"/>
      <w:lvlText w:val="%1)"/>
      <w:lvlJc w:val="left"/>
    </w:lvl>
  </w:abstractNum>
  <w:abstractNum w:abstractNumId="5">
    <w:nsid w:val="C64F5155"/>
    <w:multiLevelType w:val="singleLevel"/>
    <w:tmpl w:val="C64F5155"/>
    <w:lvl w:ilvl="0" w:tentative="0">
      <w:start w:val="1"/>
      <w:numFmt w:val="lowerLetter"/>
      <w:suff w:val="space"/>
      <w:lvlText w:val="%1)"/>
      <w:lvlJc w:val="left"/>
    </w:lvl>
  </w:abstractNum>
  <w:abstractNum w:abstractNumId="6">
    <w:nsid w:val="C9754C76"/>
    <w:multiLevelType w:val="singleLevel"/>
    <w:tmpl w:val="C9754C76"/>
    <w:lvl w:ilvl="0" w:tentative="0">
      <w:start w:val="1"/>
      <w:numFmt w:val="lowerLetter"/>
      <w:suff w:val="space"/>
      <w:lvlText w:val="%1)"/>
      <w:lvlJc w:val="left"/>
    </w:lvl>
  </w:abstractNum>
  <w:abstractNum w:abstractNumId="7">
    <w:nsid w:val="D5FE5CB2"/>
    <w:multiLevelType w:val="singleLevel"/>
    <w:tmpl w:val="D5FE5CB2"/>
    <w:lvl w:ilvl="0" w:tentative="0">
      <w:start w:val="1"/>
      <w:numFmt w:val="lowerLetter"/>
      <w:suff w:val="space"/>
      <w:lvlText w:val="%1)"/>
      <w:lvlJc w:val="left"/>
    </w:lvl>
  </w:abstractNum>
  <w:abstractNum w:abstractNumId="8">
    <w:nsid w:val="D98BE42B"/>
    <w:multiLevelType w:val="singleLevel"/>
    <w:tmpl w:val="D98BE42B"/>
    <w:lvl w:ilvl="0" w:tentative="0">
      <w:start w:val="1"/>
      <w:numFmt w:val="lowerLetter"/>
      <w:suff w:val="space"/>
      <w:lvlText w:val="%1)"/>
      <w:lvlJc w:val="left"/>
    </w:lvl>
  </w:abstractNum>
  <w:abstractNum w:abstractNumId="9">
    <w:nsid w:val="E87B5F50"/>
    <w:multiLevelType w:val="singleLevel"/>
    <w:tmpl w:val="E87B5F50"/>
    <w:lvl w:ilvl="0" w:tentative="0">
      <w:start w:val="1"/>
      <w:numFmt w:val="lowerLetter"/>
      <w:suff w:val="space"/>
      <w:lvlText w:val="%1)"/>
      <w:lvlJc w:val="left"/>
    </w:lvl>
  </w:abstractNum>
  <w:abstractNum w:abstractNumId="10">
    <w:nsid w:val="F25381BB"/>
    <w:multiLevelType w:val="singleLevel"/>
    <w:tmpl w:val="F25381BB"/>
    <w:lvl w:ilvl="0" w:tentative="0">
      <w:start w:val="1"/>
      <w:numFmt w:val="lowerLetter"/>
      <w:suff w:val="space"/>
      <w:lvlText w:val="%1)"/>
      <w:lvlJc w:val="left"/>
    </w:lvl>
  </w:abstractNum>
  <w:abstractNum w:abstractNumId="11">
    <w:nsid w:val="F4E04AB8"/>
    <w:multiLevelType w:val="singleLevel"/>
    <w:tmpl w:val="F4E04AB8"/>
    <w:lvl w:ilvl="0" w:tentative="0">
      <w:start w:val="1"/>
      <w:numFmt w:val="lowerLetter"/>
      <w:suff w:val="space"/>
      <w:lvlText w:val="%1)"/>
      <w:lvlJc w:val="left"/>
    </w:lvl>
  </w:abstractNum>
  <w:abstractNum w:abstractNumId="12">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9">
    <w:nsid w:val="1581250B"/>
    <w:multiLevelType w:val="singleLevel"/>
    <w:tmpl w:val="1581250B"/>
    <w:lvl w:ilvl="0" w:tentative="0">
      <w:start w:val="1"/>
      <w:numFmt w:val="lowerLetter"/>
      <w:suff w:val="space"/>
      <w:lvlText w:val="%1)"/>
      <w:lvlJc w:val="left"/>
    </w:lvl>
  </w:abstractNum>
  <w:abstractNum w:abstractNumId="20">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3">
    <w:nsid w:val="218B0768"/>
    <w:multiLevelType w:val="multilevel"/>
    <w:tmpl w:val="218B0768"/>
    <w:lvl w:ilvl="0" w:tentative="0">
      <w:start w:val="1"/>
      <w:numFmt w:val="decimal"/>
      <w:lvlText w:val="[%1]"/>
      <w:lvlJc w:val="left"/>
      <w:pPr>
        <w:ind w:left="846" w:hanging="420"/>
      </w:pPr>
      <w:rPr>
        <w:rFonts w:hint="eastAsia"/>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4">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5">
    <w:nsid w:val="2D552550"/>
    <w:multiLevelType w:val="singleLevel"/>
    <w:tmpl w:val="2D552550"/>
    <w:lvl w:ilvl="0" w:tentative="0">
      <w:start w:val="1"/>
      <w:numFmt w:val="lowerLetter"/>
      <w:suff w:val="space"/>
      <w:lvlText w:val="%1)"/>
      <w:lvlJc w:val="left"/>
    </w:lvl>
  </w:abstractNum>
  <w:abstractNum w:abstractNumId="26">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3369EDEB"/>
    <w:multiLevelType w:val="singleLevel"/>
    <w:tmpl w:val="3369EDEB"/>
    <w:lvl w:ilvl="0" w:tentative="0">
      <w:start w:val="1"/>
      <w:numFmt w:val="lowerLetter"/>
      <w:suff w:val="space"/>
      <w:lvlText w:val="%1)"/>
      <w:lvlJc w:val="left"/>
    </w:lvl>
  </w:abstractNum>
  <w:abstractNum w:abstractNumId="28">
    <w:nsid w:val="3E0C2956"/>
    <w:multiLevelType w:val="singleLevel"/>
    <w:tmpl w:val="3E0C2956"/>
    <w:lvl w:ilvl="0" w:tentative="0">
      <w:start w:val="1"/>
      <w:numFmt w:val="lowerLetter"/>
      <w:suff w:val="space"/>
      <w:lvlText w:val="%1)"/>
      <w:lvlJc w:val="left"/>
    </w:lvl>
  </w:abstractNum>
  <w:abstractNum w:abstractNumId="29">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0">
    <w:nsid w:val="45631D6F"/>
    <w:multiLevelType w:val="singleLevel"/>
    <w:tmpl w:val="45631D6F"/>
    <w:lvl w:ilvl="0" w:tentative="0">
      <w:start w:val="1"/>
      <w:numFmt w:val="lowerLetter"/>
      <w:suff w:val="space"/>
      <w:lvlText w:val="%1)"/>
      <w:lvlJc w:val="left"/>
    </w:lvl>
  </w:abstractNum>
  <w:abstractNum w:abstractNumId="31">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3">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5">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7">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5EF07F38"/>
    <w:multiLevelType w:val="singleLevel"/>
    <w:tmpl w:val="5EF07F38"/>
    <w:lvl w:ilvl="0" w:tentative="0">
      <w:start w:val="1"/>
      <w:numFmt w:val="lowerLetter"/>
      <w:suff w:val="space"/>
      <w:lvlText w:val="%1)"/>
      <w:lvlJc w:val="left"/>
    </w:lvl>
  </w:abstractNum>
  <w:abstractNum w:abstractNumId="39">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40">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1">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2">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3">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4">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7">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8">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9">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46"/>
  </w:num>
  <w:num w:numId="3">
    <w:abstractNumId w:val="17"/>
  </w:num>
  <w:num w:numId="4">
    <w:abstractNumId w:val="42"/>
  </w:num>
  <w:num w:numId="5">
    <w:abstractNumId w:val="36"/>
  </w:num>
  <w:num w:numId="6">
    <w:abstractNumId w:val="31"/>
  </w:num>
  <w:num w:numId="7">
    <w:abstractNumId w:val="21"/>
  </w:num>
  <w:num w:numId="8">
    <w:abstractNumId w:val="15"/>
  </w:num>
  <w:num w:numId="9">
    <w:abstractNumId w:val="22"/>
  </w:num>
  <w:num w:numId="10">
    <w:abstractNumId w:val="34"/>
  </w:num>
  <w:num w:numId="11">
    <w:abstractNumId w:val="44"/>
  </w:num>
  <w:num w:numId="12">
    <w:abstractNumId w:val="26"/>
  </w:num>
  <w:num w:numId="13">
    <w:abstractNumId w:val="29"/>
  </w:num>
  <w:num w:numId="14">
    <w:abstractNumId w:val="20"/>
  </w:num>
  <w:num w:numId="15">
    <w:abstractNumId w:val="37"/>
  </w:num>
  <w:num w:numId="16">
    <w:abstractNumId w:val="40"/>
  </w:num>
  <w:num w:numId="17">
    <w:abstractNumId w:val="35"/>
  </w:num>
  <w:num w:numId="18">
    <w:abstractNumId w:val="48"/>
  </w:num>
  <w:num w:numId="19">
    <w:abstractNumId w:val="33"/>
  </w:num>
  <w:num w:numId="20">
    <w:abstractNumId w:val="13"/>
  </w:num>
  <w:num w:numId="21">
    <w:abstractNumId w:val="24"/>
  </w:num>
  <w:num w:numId="22">
    <w:abstractNumId w:val="49"/>
  </w:num>
  <w:num w:numId="23">
    <w:abstractNumId w:val="39"/>
  </w:num>
  <w:num w:numId="24">
    <w:abstractNumId w:val="18"/>
  </w:num>
  <w:num w:numId="25">
    <w:abstractNumId w:val="45"/>
  </w:num>
  <w:num w:numId="26">
    <w:abstractNumId w:val="47"/>
  </w:num>
  <w:num w:numId="27">
    <w:abstractNumId w:val="14"/>
  </w:num>
  <w:num w:numId="28">
    <w:abstractNumId w:val="16"/>
  </w:num>
  <w:num w:numId="29">
    <w:abstractNumId w:val="32"/>
  </w:num>
  <w:num w:numId="30">
    <w:abstractNumId w:val="43"/>
  </w:num>
  <w:num w:numId="31">
    <w:abstractNumId w:val="4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25"/>
  </w:num>
  <w:num w:numId="39">
    <w:abstractNumId w:val="38"/>
  </w:num>
  <w:num w:numId="40">
    <w:abstractNumId w:val="8"/>
  </w:num>
  <w:num w:numId="41">
    <w:abstractNumId w:val="28"/>
  </w:num>
  <w:num w:numId="42">
    <w:abstractNumId w:val="4"/>
  </w:num>
  <w:num w:numId="43">
    <w:abstractNumId w:val="1"/>
  </w:num>
  <w:num w:numId="44">
    <w:abstractNumId w:val="30"/>
  </w:num>
  <w:num w:numId="45">
    <w:abstractNumId w:val="9"/>
  </w:num>
  <w:num w:numId="46">
    <w:abstractNumId w:val="2"/>
  </w:num>
  <w:num w:numId="47">
    <w:abstractNumId w:val="3"/>
  </w:num>
  <w:num w:numId="48">
    <w:abstractNumId w:val="19"/>
  </w:num>
  <w:num w:numId="49">
    <w:abstractNumId w:val="0"/>
  </w:num>
  <w:num w:numId="50">
    <w:abstractNumId w:val="6"/>
  </w:num>
  <w:num w:numId="51">
    <w:abstractNumId w:val="10"/>
  </w:num>
  <w:num w:numId="52">
    <w:abstractNumId w:val="11"/>
  </w:num>
  <w:num w:numId="53">
    <w:abstractNumId w:val="5"/>
  </w:num>
  <w:num w:numId="54">
    <w:abstractNumId w:val="27"/>
  </w:num>
  <w:num w:numId="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lMTE2OTAyODcwNzQyZjlhN2I4YmZjNTlhNzAyOTIifQ=="/>
  </w:docVars>
  <w:rsids>
    <w:rsidRoot w:val="004F0936"/>
    <w:rsid w:val="0000040A"/>
    <w:rsid w:val="00000A94"/>
    <w:rsid w:val="00001972"/>
    <w:rsid w:val="00001D9A"/>
    <w:rsid w:val="00007B3A"/>
    <w:rsid w:val="000107E0"/>
    <w:rsid w:val="00011FDE"/>
    <w:rsid w:val="00012FFD"/>
    <w:rsid w:val="0001346A"/>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C06"/>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4EE"/>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AB1"/>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93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69ED"/>
    <w:rsid w:val="0054132A"/>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2E1"/>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0574"/>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49AE"/>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FCC"/>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E88"/>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78F"/>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6C5"/>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C93"/>
    <w:rsid w:val="00DE62E1"/>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02AF"/>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8F12A8"/>
    <w:rsid w:val="12B75E60"/>
    <w:rsid w:val="14DD4C8B"/>
    <w:rsid w:val="168B7CC4"/>
    <w:rsid w:val="1D616ABB"/>
    <w:rsid w:val="21ED1832"/>
    <w:rsid w:val="2B19794E"/>
    <w:rsid w:val="36987B67"/>
    <w:rsid w:val="48BE6D5D"/>
    <w:rsid w:val="4B997FA3"/>
    <w:rsid w:val="4BA34B8C"/>
    <w:rsid w:val="59493105"/>
    <w:rsid w:val="70CA5E58"/>
    <w:rsid w:val="71062962"/>
    <w:rsid w:val="71477753"/>
    <w:rsid w:val="757F2368"/>
    <w:rsid w:val="76707FFB"/>
    <w:rsid w:val="79EA7BC5"/>
    <w:rsid w:val="7A751757"/>
    <w:rsid w:val="7C51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table" w:customStyle="1" w:styleId="2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glossaryDocument" Target="glossary/document.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3.jpeg"/><Relationship Id="rId35" Type="http://schemas.openxmlformats.org/officeDocument/2006/relationships/image" Target="media/image2.png"/><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0BAD1D096DA435C958A3CC3CE42E1DA"/>
        <w:style w:val=""/>
        <w:category>
          <w:name w:val="常规"/>
          <w:gallery w:val="placeholder"/>
        </w:category>
        <w:types>
          <w:type w:val="bbPlcHdr"/>
        </w:types>
        <w:behaviors>
          <w:behavior w:val="content"/>
        </w:behaviors>
        <w:description w:val=""/>
        <w:guid w:val="{61934528-37A1-49F9-BF08-2AAB414F29F7}"/>
      </w:docPartPr>
      <w:docPartBody>
        <w:p w14:paraId="74E4447D">
          <w:pPr>
            <w:pStyle w:val="5"/>
          </w:pPr>
          <w:r>
            <w:rPr>
              <w:rStyle w:val="4"/>
              <w:rFonts w:hint="eastAsia"/>
            </w:rPr>
            <w:t>单击或点击此处输入文字。</w:t>
          </w:r>
        </w:p>
      </w:docPartBody>
    </w:docPart>
    <w:docPart>
      <w:docPartPr>
        <w:name w:val="5FE49046297C4A68A6C5EFDE3F027740"/>
        <w:style w:val=""/>
        <w:category>
          <w:name w:val="常规"/>
          <w:gallery w:val="placeholder"/>
        </w:category>
        <w:types>
          <w:type w:val="bbPlcHdr"/>
        </w:types>
        <w:behaviors>
          <w:behavior w:val="content"/>
        </w:behaviors>
        <w:description w:val=""/>
        <w:guid w:val="{653A4C1D-7889-4750-B832-B9993DB68657}"/>
      </w:docPartPr>
      <w:docPartBody>
        <w:p w14:paraId="03C95449">
          <w:pPr>
            <w:pStyle w:val="6"/>
          </w:pPr>
          <w:r>
            <w:rPr>
              <w:rStyle w:val="4"/>
              <w:rFonts w:hint="eastAsia"/>
            </w:rPr>
            <w:t>选择一项。</w:t>
          </w:r>
        </w:p>
      </w:docPartBody>
    </w:docPart>
    <w:docPart>
      <w:docPartPr>
        <w:name w:val="82FAD4B12AFB42FD997383B282BB9FD2"/>
        <w:style w:val=""/>
        <w:category>
          <w:name w:val="常规"/>
          <w:gallery w:val="placeholder"/>
        </w:category>
        <w:types>
          <w:type w:val="bbPlcHdr"/>
        </w:types>
        <w:behaviors>
          <w:behavior w:val="content"/>
        </w:behaviors>
        <w:description w:val=""/>
        <w:guid w:val="{23D05D0A-0F65-4FE0-9D29-D2C0C0556922}"/>
      </w:docPartPr>
      <w:docPartBody>
        <w:p w14:paraId="4466FAF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D0"/>
    <w:rsid w:val="00125FC3"/>
    <w:rsid w:val="002B61F5"/>
    <w:rsid w:val="003A5430"/>
    <w:rsid w:val="004E2C37"/>
    <w:rsid w:val="00607BD0"/>
    <w:rsid w:val="00711627"/>
    <w:rsid w:val="00880EF2"/>
    <w:rsid w:val="00C1100C"/>
    <w:rsid w:val="00DD45EC"/>
    <w:rsid w:val="00E7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0BAD1D096DA435C958A3CC3CE42E1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FE49046297C4A68A6C5EFDE3F0277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2FAD4B12AFB42FD997383B282BB9F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58C968105124919A5150DA17DA1C75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44B16-D55D-4DFF-83B6-48FF41EA737B}">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25</Pages>
  <Words>13322</Words>
  <Characters>14287</Characters>
  <Lines>127</Lines>
  <Paragraphs>35</Paragraphs>
  <TotalTime>0</TotalTime>
  <ScaleCrop>false</ScaleCrop>
  <LinksUpToDate>false</LinksUpToDate>
  <CharactersWithSpaces>14578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2023-10-31T07:57:00Z</dcterms:created>
  <dc:creator>起草人</dc:creator>
  <dc:description>&lt;config cover="true" show_menu="true" version="1.0.0" doctype="SDKXY"&gt;_x000d_
&lt;/config&gt;</dc:description>
  <cp:lastModifiedBy>桦树林(李华)</cp:lastModifiedBy>
  <cp:lastPrinted>2021-02-02T08:22:00Z</cp:lastPrinted>
  <dcterms:modified xsi:type="dcterms:W3CDTF">2024-11-03T09:21:56Z</dcterms:modified>
  <dc:title>团体标准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2052-12.1.0.18608</vt:lpwstr>
  </property>
  <property fmtid="{D5CDD505-2E9C-101B-9397-08002B2CF9AE}" pid="16" name="ICV">
    <vt:lpwstr>90294906AE2D474AB709EFC64770AB72_12</vt:lpwstr>
  </property>
</Properties>
</file>