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EDD37">
      <w:pPr>
        <w:pStyle w:val="12"/>
        <w:ind w:left="0" w:leftChars="0" w:firstLine="0" w:firstLineChars="0"/>
        <w:jc w:val="center"/>
        <w:rPr>
          <w:rFonts w:hint="eastAsia"/>
          <w:b/>
          <w:bCs/>
          <w:sz w:val="32"/>
          <w:szCs w:val="32"/>
        </w:rPr>
      </w:pPr>
      <w:bookmarkStart w:id="0" w:name="_GoBack"/>
      <w:r>
        <w:rPr>
          <w:rFonts w:hint="eastAsia"/>
          <w:b/>
          <w:bCs/>
          <w:sz w:val="32"/>
          <w:szCs w:val="32"/>
        </w:rPr>
        <w:t>《</w:t>
      </w:r>
      <w:r>
        <w:rPr>
          <w:rFonts w:hint="eastAsia"/>
          <w:b/>
          <w:bCs/>
          <w:sz w:val="32"/>
          <w:szCs w:val="32"/>
          <w:lang w:eastAsia="zh-CN"/>
        </w:rPr>
        <w:t>停车场（库）公共设施配建导则</w:t>
      </w:r>
      <w:r>
        <w:rPr>
          <w:rFonts w:hint="eastAsia"/>
          <w:b/>
          <w:bCs/>
          <w:sz w:val="32"/>
          <w:szCs w:val="32"/>
        </w:rPr>
        <w:t>》</w:t>
      </w:r>
      <w:bookmarkEnd w:id="0"/>
    </w:p>
    <w:p w14:paraId="23995263">
      <w:pPr>
        <w:pStyle w:val="12"/>
        <w:ind w:left="0" w:leftChars="0" w:firstLine="0" w:firstLineChars="0"/>
        <w:jc w:val="center"/>
        <w:rPr>
          <w:rFonts w:hint="eastAsia"/>
          <w:b/>
          <w:bCs/>
          <w:sz w:val="32"/>
          <w:szCs w:val="32"/>
        </w:rPr>
      </w:pPr>
      <w:r>
        <w:rPr>
          <w:rFonts w:hint="eastAsia"/>
          <w:b/>
          <w:bCs/>
          <w:sz w:val="32"/>
          <w:szCs w:val="32"/>
        </w:rPr>
        <w:t>团体标准编制说明的主要内容</w:t>
      </w:r>
    </w:p>
    <w:p w14:paraId="10E8A21F">
      <w:pPr>
        <w:pStyle w:val="12"/>
        <w:ind w:left="0" w:leftChars="0" w:firstLine="560" w:firstLineChars="200"/>
        <w:rPr>
          <w:sz w:val="28"/>
          <w:szCs w:val="28"/>
        </w:rPr>
      </w:pPr>
      <w:r>
        <w:rPr>
          <w:rFonts w:hint="eastAsia"/>
          <w:sz w:val="28"/>
          <w:szCs w:val="28"/>
        </w:rPr>
        <w:t>一、工作简况</w:t>
      </w:r>
    </w:p>
    <w:p w14:paraId="570CFB81">
      <w:pPr>
        <w:pStyle w:val="12"/>
        <w:ind w:firstLine="560"/>
        <w:rPr>
          <w:rFonts w:hint="eastAsia"/>
          <w:sz w:val="28"/>
          <w:lang w:val="en-US" w:eastAsia="zh-CN"/>
        </w:rPr>
      </w:pPr>
      <w:r>
        <w:rPr>
          <w:rFonts w:hint="eastAsia"/>
          <w:sz w:val="28"/>
          <w:lang w:val="en-US" w:eastAsia="zh-CN"/>
        </w:rPr>
        <w:t>根据中小企协【2023】15号文件，中国中小企业协会下达制定《停车场（库）公共设施配建导则》团体标准，通过调研，目前全国各地方停车信息平台系统大部分未实现互联互通；停车场（库）设施设置和地面硬化没有统一标准，停车场（库）普遍存在标识标志不清晰、卫生条件脏乱差及未设置无障碍设施问题，一些停车场车位擅自改变用途，停车位施划不规范，收费管理系统设备施工设置没有规范；停车场管理制度、服务质量缺乏量化考评的依据，停车场经营管理服务水平参差不齐，当前停车建设与服务现状滞后于行业的发展，因此针对停车场建设管理服务有必要制定出台一套符合停车行业健康发展的指导性技术文件用于指导停车场经营者进行设施建设或改造，规范经营管理服务。</w:t>
      </w:r>
    </w:p>
    <w:p w14:paraId="5F3738B4">
      <w:pPr>
        <w:pStyle w:val="12"/>
        <w:ind w:firstLine="560"/>
        <w:rPr>
          <w:rFonts w:hint="eastAsia"/>
          <w:sz w:val="28"/>
          <w:lang w:val="en-US" w:eastAsia="zh-CN"/>
        </w:rPr>
      </w:pPr>
      <w:r>
        <w:rPr>
          <w:rFonts w:hint="eastAsia"/>
          <w:sz w:val="28"/>
          <w:lang w:val="en-US" w:eastAsia="zh-CN"/>
        </w:rPr>
        <w:t>我国部分省市响应国家号召相继发布了一系列相关的地方标准，如北京市《停车场（库）运营服务规范》、上海市系列标准《停车场服务管理规范》、杭州市《社会停车场运营管理服务规范》、成都市《停车场（库）运营管理服务规范》、昆明《智慧停车联网技术要求及管理规范》、天津《道路停车泊位经营服务规范》等。福建省分别制定了《福建省推动城市停车设施发展实施办法》《厦门市推动停车设施建设发展实施意见》，但目前尚未针对全国停车场的运营管理和服务制定相关的管理制度及统一的标准。</w:t>
      </w:r>
    </w:p>
    <w:p w14:paraId="424A18F8">
      <w:pPr>
        <w:pStyle w:val="12"/>
        <w:ind w:firstLine="560"/>
        <w:rPr>
          <w:sz w:val="28"/>
          <w:szCs w:val="28"/>
        </w:rPr>
      </w:pPr>
      <w:r>
        <w:rPr>
          <w:rFonts w:hint="eastAsia"/>
          <w:sz w:val="28"/>
          <w:szCs w:val="28"/>
        </w:rPr>
        <w:t>由厦门市停车产业协会、福建省公共设施维护服务行业协会牵头组织，调研有关标准、法律法规、国家及行业政策精神，调研行业主管部门的需求，初步确定标准框架。按确定的标准框架起草标准内容，内部研讨完善后，形成征求意见稿。</w:t>
      </w:r>
    </w:p>
    <w:p w14:paraId="59892F9F">
      <w:pPr>
        <w:pStyle w:val="12"/>
        <w:numPr>
          <w:ilvl w:val="0"/>
          <w:numId w:val="0"/>
        </w:numPr>
        <w:ind w:firstLine="560" w:firstLineChars="200"/>
        <w:rPr>
          <w:rFonts w:hint="eastAsia"/>
          <w:sz w:val="28"/>
          <w:szCs w:val="28"/>
        </w:rPr>
      </w:pPr>
      <w:r>
        <w:rPr>
          <w:rFonts w:hint="eastAsia"/>
          <w:sz w:val="28"/>
          <w:szCs w:val="28"/>
          <w:lang w:eastAsia="zh-CN"/>
        </w:rPr>
        <w:t>二、</w:t>
      </w:r>
      <w:r>
        <w:rPr>
          <w:rFonts w:hint="eastAsia"/>
          <w:sz w:val="28"/>
          <w:szCs w:val="28"/>
        </w:rPr>
        <w:t>标准编制原则和确定标准主要内容的论据</w:t>
      </w:r>
    </w:p>
    <w:p w14:paraId="473A918B">
      <w:pPr>
        <w:pStyle w:val="12"/>
        <w:ind w:left="0" w:leftChars="0" w:firstLine="560" w:firstLineChars="200"/>
        <w:rPr>
          <w:rFonts w:hint="eastAsia" w:eastAsia="仿宋_GB2312"/>
          <w:sz w:val="28"/>
          <w:szCs w:val="28"/>
          <w:lang w:eastAsia="zh-CN"/>
        </w:rPr>
      </w:pPr>
      <w:r>
        <w:rPr>
          <w:rFonts w:hint="eastAsia"/>
          <w:sz w:val="28"/>
          <w:lang w:eastAsia="zh-CN"/>
        </w:rPr>
        <w:t>1本文件规定了经营性停车场（库）公共设施的配建总则、停车基本设施、交通管理设施、建筑设备、安全防护设施、管理服务设施、智慧停车设施、机械停车设备、电动汽车充换电设施和其他设施、验收、管理及维护等要求。本文件适用于新建、改建或扩建的经营性停车场（库），其它类型停车场（库）可参照执行。2规范性引用文件；3术语和定义；4总则；</w:t>
      </w:r>
      <w:r>
        <w:rPr>
          <w:rFonts w:hint="eastAsia"/>
          <w:sz w:val="28"/>
          <w:lang w:val="en-US" w:eastAsia="zh-CN"/>
        </w:rPr>
        <w:t>5</w:t>
      </w:r>
      <w:r>
        <w:rPr>
          <w:rFonts w:hint="eastAsia"/>
          <w:sz w:val="28"/>
          <w:lang w:eastAsia="zh-CN"/>
        </w:rPr>
        <w:t>公共设施分类；</w:t>
      </w:r>
      <w:r>
        <w:rPr>
          <w:rFonts w:hint="eastAsia"/>
          <w:sz w:val="28"/>
          <w:lang w:val="en-US" w:eastAsia="zh-CN"/>
        </w:rPr>
        <w:t>6</w:t>
      </w:r>
      <w:r>
        <w:rPr>
          <w:rFonts w:hint="eastAsia"/>
          <w:sz w:val="28"/>
          <w:lang w:eastAsia="zh-CN"/>
        </w:rPr>
        <w:t>基本设施；</w:t>
      </w:r>
      <w:r>
        <w:rPr>
          <w:rFonts w:hint="eastAsia"/>
          <w:sz w:val="28"/>
          <w:lang w:val="en-US" w:eastAsia="zh-CN"/>
        </w:rPr>
        <w:t>7</w:t>
      </w:r>
      <w:r>
        <w:rPr>
          <w:rFonts w:hint="eastAsia"/>
          <w:sz w:val="28"/>
          <w:lang w:eastAsia="zh-CN"/>
        </w:rPr>
        <w:t>交通设施；</w:t>
      </w:r>
      <w:r>
        <w:rPr>
          <w:rFonts w:hint="eastAsia"/>
          <w:sz w:val="28"/>
          <w:lang w:val="en-US" w:eastAsia="zh-CN"/>
        </w:rPr>
        <w:t>8</w:t>
      </w:r>
      <w:r>
        <w:rPr>
          <w:rFonts w:hint="eastAsia"/>
          <w:sz w:val="28"/>
          <w:lang w:eastAsia="zh-CN"/>
        </w:rPr>
        <w:t>安全防护设施</w:t>
      </w:r>
      <w:r>
        <w:rPr>
          <w:rFonts w:hint="eastAsia"/>
          <w:sz w:val="28"/>
          <w:lang w:val="en-US" w:eastAsia="zh-CN"/>
        </w:rPr>
        <w:t>；9</w:t>
      </w:r>
      <w:r>
        <w:rPr>
          <w:rFonts w:hint="eastAsia"/>
          <w:sz w:val="28"/>
          <w:lang w:eastAsia="zh-CN"/>
        </w:rPr>
        <w:t>智慧停车设施</w:t>
      </w:r>
      <w:r>
        <w:rPr>
          <w:rFonts w:hint="eastAsia"/>
          <w:sz w:val="28"/>
          <w:lang w:val="en-US" w:eastAsia="zh-CN"/>
        </w:rPr>
        <w:t>；10</w:t>
      </w:r>
      <w:r>
        <w:rPr>
          <w:rFonts w:hint="eastAsia"/>
          <w:sz w:val="28"/>
          <w:lang w:eastAsia="zh-CN"/>
        </w:rPr>
        <w:t>充（换）电设施；</w:t>
      </w:r>
      <w:r>
        <w:rPr>
          <w:rFonts w:hint="eastAsia"/>
          <w:sz w:val="28"/>
          <w:lang w:val="en-US" w:eastAsia="zh-CN"/>
        </w:rPr>
        <w:t>11</w:t>
      </w:r>
      <w:r>
        <w:rPr>
          <w:rFonts w:hint="eastAsia"/>
          <w:sz w:val="28"/>
          <w:lang w:eastAsia="zh-CN"/>
        </w:rPr>
        <w:t>管理与维护8。</w:t>
      </w:r>
      <w:r>
        <w:rPr>
          <w:rFonts w:hint="eastAsia"/>
          <w:sz w:val="28"/>
          <w:lang w:eastAsia="zh-CN"/>
        </w:rPr>
        <w:tab/>
      </w:r>
    </w:p>
    <w:p w14:paraId="6A806BDC">
      <w:pPr>
        <w:pStyle w:val="12"/>
        <w:ind w:left="0" w:leftChars="0" w:firstLine="560" w:firstLineChars="200"/>
        <w:rPr>
          <w:sz w:val="28"/>
          <w:szCs w:val="28"/>
        </w:rPr>
      </w:pPr>
      <w:r>
        <w:rPr>
          <w:rFonts w:hint="eastAsia"/>
          <w:sz w:val="28"/>
          <w:szCs w:val="28"/>
        </w:rPr>
        <w:t>三、《停车场</w:t>
      </w:r>
      <w:r>
        <w:rPr>
          <w:rFonts w:hint="eastAsia"/>
          <w:sz w:val="28"/>
          <w:szCs w:val="28"/>
          <w:lang w:eastAsia="zh-CN"/>
        </w:rPr>
        <w:t>（库）公共设施配建</w:t>
      </w:r>
      <w:r>
        <w:rPr>
          <w:rFonts w:hint="eastAsia"/>
          <w:sz w:val="28"/>
          <w:szCs w:val="28"/>
        </w:rPr>
        <w:t>导则》是对现有停车场规范建设、合规经营，设备设施配套完善程度，停车管理系统智能化程度和停车场服务水平通过指导性技术文件量化评分，从而提升停车场整体建设服务质量，保障停车场经营者与停车者合法权益，对现有的停车场经营者起到引导作用，进一步提升停车场的设施条件和服务水平。</w:t>
      </w:r>
    </w:p>
    <w:p w14:paraId="19661039">
      <w:pPr>
        <w:pStyle w:val="12"/>
        <w:numPr>
          <w:ilvl w:val="0"/>
          <w:numId w:val="0"/>
        </w:numPr>
        <w:ind w:firstLine="560" w:firstLineChars="200"/>
        <w:rPr>
          <w:rFonts w:hint="default" w:eastAsia="仿宋_GB2312"/>
          <w:sz w:val="28"/>
          <w:szCs w:val="28"/>
          <w:lang w:val="en-US" w:eastAsia="zh-CN"/>
        </w:rPr>
      </w:pPr>
      <w:r>
        <w:rPr>
          <w:rFonts w:hint="eastAsia"/>
          <w:sz w:val="28"/>
          <w:szCs w:val="28"/>
          <w:lang w:val="en-US" w:eastAsia="zh-CN"/>
        </w:rPr>
        <w:t>四、</w:t>
      </w:r>
      <w:r>
        <w:rPr>
          <w:rFonts w:hint="eastAsia"/>
          <w:sz w:val="28"/>
          <w:szCs w:val="28"/>
        </w:rPr>
        <w:t>与有关的现行法律、法规和强制性国家标准的关系</w:t>
      </w:r>
      <w:r>
        <w:rPr>
          <w:rFonts w:hint="eastAsia"/>
          <w:sz w:val="28"/>
          <w:szCs w:val="28"/>
          <w:lang w:eastAsia="zh-CN"/>
        </w:rPr>
        <w:t>：</w:t>
      </w:r>
      <w:r>
        <w:rPr>
          <w:rFonts w:hint="eastAsia"/>
          <w:sz w:val="28"/>
          <w:szCs w:val="28"/>
          <w:lang w:val="en-US" w:eastAsia="zh-CN"/>
        </w:rPr>
        <w:t>无</w:t>
      </w:r>
    </w:p>
    <w:p w14:paraId="2F87CFA2">
      <w:pPr>
        <w:pStyle w:val="12"/>
        <w:numPr>
          <w:ilvl w:val="0"/>
          <w:numId w:val="2"/>
        </w:numPr>
        <w:ind w:left="0" w:leftChars="0" w:firstLine="560" w:firstLineChars="200"/>
        <w:rPr>
          <w:rFonts w:hint="eastAsia"/>
          <w:sz w:val="28"/>
          <w:szCs w:val="28"/>
        </w:rPr>
      </w:pPr>
      <w:r>
        <w:rPr>
          <w:rFonts w:hint="eastAsia"/>
          <w:sz w:val="28"/>
          <w:szCs w:val="28"/>
        </w:rPr>
        <w:t>重大分歧意见的处理经过和依据</w:t>
      </w:r>
      <w:r>
        <w:rPr>
          <w:rFonts w:hint="eastAsia"/>
          <w:sz w:val="28"/>
          <w:szCs w:val="28"/>
          <w:lang w:eastAsia="zh-CN"/>
        </w:rPr>
        <w:t>：无重大分歧</w:t>
      </w:r>
    </w:p>
    <w:p w14:paraId="3B628729">
      <w:pPr>
        <w:pStyle w:val="12"/>
        <w:numPr>
          <w:ilvl w:val="0"/>
          <w:numId w:val="2"/>
        </w:numPr>
        <w:ind w:left="0" w:leftChars="0" w:firstLine="560" w:firstLineChars="200"/>
        <w:rPr>
          <w:rFonts w:hint="eastAsia" w:eastAsia="仿宋_GB2312"/>
          <w:sz w:val="28"/>
          <w:szCs w:val="28"/>
          <w:lang w:eastAsia="zh-CN"/>
        </w:rPr>
      </w:pPr>
      <w:r>
        <w:rPr>
          <w:rFonts w:hint="eastAsia"/>
          <w:sz w:val="28"/>
          <w:szCs w:val="28"/>
        </w:rPr>
        <w:t>废止现行有关标准的建议</w:t>
      </w:r>
      <w:r>
        <w:rPr>
          <w:rFonts w:hint="eastAsia"/>
          <w:sz w:val="28"/>
          <w:szCs w:val="28"/>
          <w:lang w:eastAsia="zh-CN"/>
        </w:rPr>
        <w:t>：无</w:t>
      </w:r>
    </w:p>
    <w:p w14:paraId="03BCF2D9">
      <w:pPr>
        <w:pStyle w:val="12"/>
        <w:numPr>
          <w:ilvl w:val="0"/>
          <w:numId w:val="2"/>
        </w:numPr>
        <w:ind w:left="0" w:leftChars="0" w:firstLine="560" w:firstLineChars="200"/>
        <w:rPr>
          <w:rFonts w:hint="eastAsia"/>
          <w:sz w:val="28"/>
          <w:szCs w:val="28"/>
        </w:rPr>
      </w:pPr>
      <w:r>
        <w:rPr>
          <w:rFonts w:hint="eastAsia"/>
          <w:sz w:val="28"/>
          <w:szCs w:val="28"/>
        </w:rPr>
        <w:t>其他应予说明的事项</w:t>
      </w:r>
      <w:r>
        <w:rPr>
          <w:rFonts w:hint="eastAsia"/>
          <w:sz w:val="28"/>
          <w:szCs w:val="28"/>
          <w:lang w:eastAsia="zh-CN"/>
        </w:rPr>
        <w:t>：无</w:t>
      </w:r>
    </w:p>
    <w:p w14:paraId="10879184"/>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EFA48">
    <w:pPr>
      <w:pStyle w:val="3"/>
      <w:jc w:val="center"/>
    </w:pPr>
    <w:sdt>
      <w:sdtPr>
        <w:id w:val="-110438950"/>
        <w:docPartObj>
          <w:docPartGallery w:val="autotext"/>
        </w:docPartObj>
      </w:sdtPr>
      <w:sdtContent>
        <w:r>
          <w:fldChar w:fldCharType="begin"/>
        </w:r>
        <w:r>
          <w:instrText xml:space="preserve">PAGE   \* MERGEFORMAT</w:instrText>
        </w:r>
        <w:r>
          <w:fldChar w:fldCharType="separate"/>
        </w:r>
        <w:r>
          <w:rPr>
            <w:lang w:val="zh-CN"/>
          </w:rPr>
          <w:t>18</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5756">
    <w:pPr>
      <w:pStyle w:val="4"/>
      <w:pBdr>
        <w:bottom w:val="none" w:color="auto" w:sz="0" w:space="0"/>
      </w:pBdr>
    </w:pPr>
  </w:p>
  <w:p w14:paraId="7BB47C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5F25A"/>
    <w:multiLevelType w:val="singleLevel"/>
    <w:tmpl w:val="9B15F25A"/>
    <w:lvl w:ilvl="0" w:tentative="0">
      <w:start w:val="5"/>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1"/>
      <w:suff w:val="nothing"/>
      <w:lvlText w:val="%1.%2.%3　"/>
      <w:lvlJc w:val="left"/>
      <w:pPr>
        <w:ind w:left="2553"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142" w:firstLine="0"/>
      </w:pPr>
      <w:rPr>
        <w:rFonts w:hint="eastAsia" w:ascii="黑体" w:hAnsi="Times New Roman" w:eastAsia="黑体"/>
        <w:b w:val="0"/>
        <w:i w:val="0"/>
        <w:sz w:val="21"/>
      </w:rPr>
    </w:lvl>
    <w:lvl w:ilvl="5" w:tentative="0">
      <w:start w:val="1"/>
      <w:numFmt w:val="decimal"/>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GQwNmI1ODZhM2ZmMjVhZDI0MWE2OGFhZjA4ZDMifQ=="/>
  </w:docVars>
  <w:rsids>
    <w:rsidRoot w:val="00000000"/>
    <w:rsid w:val="0F561597"/>
    <w:rsid w:val="17A30A51"/>
    <w:rsid w:val="1C89693E"/>
    <w:rsid w:val="1FAC1F03"/>
    <w:rsid w:val="2AEC4A81"/>
    <w:rsid w:val="323C66AC"/>
    <w:rsid w:val="3548237A"/>
    <w:rsid w:val="3F744629"/>
    <w:rsid w:val="411F4664"/>
    <w:rsid w:val="41841E0A"/>
    <w:rsid w:val="436175A4"/>
    <w:rsid w:val="4CB16BCD"/>
    <w:rsid w:val="4FEF7931"/>
    <w:rsid w:val="6077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link w:val="16"/>
    <w:unhideWhenUsed/>
    <w:qFormat/>
    <w:uiPriority w:val="99"/>
    <w:pPr>
      <w:spacing w:after="120"/>
    </w:pPr>
    <w:rPr>
      <w:rFonts w:eastAsia="仿宋_GB2312"/>
      <w:sz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6">
    <w:name w:val="toc 2"/>
    <w:basedOn w:val="1"/>
    <w:next w:val="1"/>
    <w:qFormat/>
    <w:uiPriority w:val="39"/>
    <w:pPr>
      <w:tabs>
        <w:tab w:val="right" w:leader="dot" w:pos="9242"/>
      </w:tabs>
    </w:pPr>
    <w:rPr>
      <w:rFonts w:ascii="宋体"/>
      <w:szCs w:val="21"/>
    </w:rPr>
  </w:style>
  <w:style w:type="paragraph" w:styleId="7">
    <w:name w:val="Body Text First Indent"/>
    <w:basedOn w:val="2"/>
    <w:link w:val="15"/>
    <w:semiHidden/>
    <w:unhideWhenUsed/>
    <w:qFormat/>
    <w:uiPriority w:val="99"/>
    <w:pPr>
      <w:ind w:firstLine="420" w:firstLineChars="100"/>
    </w:pPr>
    <w:rPr>
      <w:rFonts w:eastAsia="宋体"/>
      <w:sz w:val="28"/>
    </w:rPr>
  </w:style>
  <w:style w:type="table" w:styleId="9">
    <w:name w:val="Table Grid"/>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spacing w:val="0"/>
      <w:w w:val="100"/>
      <w:szCs w:val="21"/>
      <w:u w:val="single"/>
    </w:rPr>
  </w:style>
  <w:style w:type="paragraph" w:customStyle="1" w:styleId="12">
    <w:name w:val="正缩2"/>
    <w:basedOn w:val="7"/>
    <w:link w:val="14"/>
    <w:qFormat/>
    <w:uiPriority w:val="1"/>
    <w:pPr>
      <w:keepNext/>
      <w:adjustRightInd w:val="0"/>
      <w:snapToGrid w:val="0"/>
      <w:spacing w:after="0" w:line="560" w:lineRule="exact"/>
      <w:ind w:firstLine="640" w:firstLineChars="200"/>
    </w:pPr>
    <w:rPr>
      <w:rFonts w:eastAsia="仿宋_GB2312"/>
      <w:sz w:val="32"/>
      <w:szCs w:val="32"/>
    </w:rPr>
  </w:style>
  <w:style w:type="paragraph" w:customStyle="1" w:styleId="13">
    <w:name w:val="表标题"/>
    <w:basedOn w:val="2"/>
    <w:qFormat/>
    <w:uiPriority w:val="4"/>
    <w:pPr>
      <w:widowControl/>
      <w:adjustRightInd w:val="0"/>
      <w:snapToGrid w:val="0"/>
      <w:spacing w:after="0" w:line="264" w:lineRule="auto"/>
      <w:jc w:val="center"/>
    </w:pPr>
    <w:rPr>
      <w:rFonts w:ascii="黑体" w:hAnsi="黑体" w:eastAsia="黑体" w:cs="宋体"/>
      <w:color w:val="000000"/>
      <w:kern w:val="0"/>
      <w:sz w:val="32"/>
      <w:szCs w:val="32"/>
    </w:rPr>
  </w:style>
  <w:style w:type="character" w:customStyle="1" w:styleId="14">
    <w:name w:val="正缩2 字符"/>
    <w:basedOn w:val="15"/>
    <w:link w:val="12"/>
    <w:qFormat/>
    <w:uiPriority w:val="1"/>
    <w:rPr>
      <w:rFonts w:eastAsia="仿宋_GB2312"/>
      <w:sz w:val="32"/>
      <w:szCs w:val="32"/>
    </w:rPr>
  </w:style>
  <w:style w:type="character" w:customStyle="1" w:styleId="15">
    <w:name w:val="正文首行缩进 字符"/>
    <w:basedOn w:val="16"/>
    <w:link w:val="7"/>
    <w:semiHidden/>
    <w:qFormat/>
    <w:uiPriority w:val="99"/>
    <w:rPr>
      <w:rFonts w:eastAsia="宋体"/>
      <w:sz w:val="28"/>
    </w:rPr>
  </w:style>
  <w:style w:type="character" w:customStyle="1" w:styleId="16">
    <w:name w:val="正文文本 字符"/>
    <w:basedOn w:val="10"/>
    <w:link w:val="2"/>
    <w:qFormat/>
    <w:uiPriority w:val="99"/>
    <w:rPr>
      <w:rFonts w:eastAsia="仿宋_GB2312"/>
      <w:sz w:val="21"/>
    </w:rPr>
  </w:style>
  <w:style w:type="paragraph" w:customStyle="1" w:styleId="17">
    <w:name w:val="表首行"/>
    <w:basedOn w:val="2"/>
    <w:qFormat/>
    <w:uiPriority w:val="3"/>
    <w:pPr>
      <w:spacing w:after="0" w:line="312" w:lineRule="auto"/>
      <w:jc w:val="center"/>
    </w:pPr>
    <w:rPr>
      <w:rFonts w:ascii="Times New Roman" w:hAnsi="Times New Roman" w:eastAsia="黑体"/>
    </w:rPr>
  </w:style>
  <w:style w:type="paragraph" w:customStyle="1" w:styleId="18">
    <w:name w:val="表正文"/>
    <w:basedOn w:val="2"/>
    <w:qFormat/>
    <w:uiPriority w:val="5"/>
    <w:pPr>
      <w:adjustRightInd w:val="0"/>
      <w:snapToGrid w:val="0"/>
      <w:spacing w:after="0"/>
    </w:pPr>
    <w:rPr>
      <w:rFonts w:ascii="Times New Roman" w:hAnsi="Times New Roman"/>
      <w:sz w:val="28"/>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参考文献、索引标题"/>
    <w:basedOn w:val="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1">
    <w:name w:val="二级条标题"/>
    <w:basedOn w:val="22"/>
    <w:next w:val="19"/>
    <w:qFormat/>
    <w:uiPriority w:val="0"/>
    <w:pPr>
      <w:numPr>
        <w:ilvl w:val="2"/>
      </w:numPr>
      <w:spacing w:before="50" w:after="50"/>
      <w:outlineLvl w:val="3"/>
    </w:pPr>
  </w:style>
  <w:style w:type="paragraph" w:customStyle="1" w:styleId="22">
    <w:name w:val="一级条标题"/>
    <w:next w:val="1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920</Words>
  <Characters>924</Characters>
  <Lines>0</Lines>
  <Paragraphs>0</Paragraphs>
  <TotalTime>4</TotalTime>
  <ScaleCrop>false</ScaleCrop>
  <LinksUpToDate>false</LinksUpToDate>
  <CharactersWithSpaces>925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2022-08-03T08:28:00Z</dcterms:created>
  <dc:creator>lenovo</dc:creator>
  <cp:lastModifiedBy>陈捷</cp:lastModifiedBy>
  <dcterms:modified xsi:type="dcterms:W3CDTF">2024-11-27T06:51:38Z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764C8728318B4CA9BBABD789CD796D4A_13</vt:lpwstr>
  </property>
</Properties>
</file>