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661E71">
      <w:pPr>
        <w:framePr w:wrap="auto" w:vAnchor="margin" w:hAnchor="text" w:yAlign="inline"/>
        <w:spacing w:before="120" w:beforeLines="50" w:after="120" w:afterLines="50" w:line="300" w:lineRule="auto"/>
        <w:jc w:val="center"/>
        <w:outlineLvl w:val="0"/>
        <w:rPr>
          <w:rFonts w:hint="default" w:ascii="宋体" w:hAnsi="宋体" w:eastAsia="宋体" w:cs="宋体"/>
          <w:b/>
          <w:bCs/>
          <w:sz w:val="48"/>
          <w:szCs w:val="48"/>
          <w:lang w:val="zh-TW"/>
        </w:rPr>
      </w:pPr>
    </w:p>
    <w:p w14:paraId="31AAC4EB">
      <w:pPr>
        <w:framePr w:wrap="auto" w:vAnchor="margin" w:hAnchor="text" w:yAlign="inline"/>
        <w:spacing w:before="120" w:beforeLines="50" w:after="120" w:afterLines="50" w:line="300" w:lineRule="auto"/>
        <w:jc w:val="center"/>
        <w:outlineLvl w:val="0"/>
        <w:rPr>
          <w:rFonts w:hint="default" w:ascii="宋体" w:hAnsi="宋体" w:eastAsia="宋体" w:cs="宋体"/>
          <w:b/>
          <w:bCs/>
          <w:sz w:val="48"/>
          <w:szCs w:val="48"/>
          <w:lang w:val="zh-TW"/>
        </w:rPr>
      </w:pPr>
    </w:p>
    <w:p w14:paraId="7F514C7A">
      <w:pPr>
        <w:framePr w:wrap="auto" w:vAnchor="margin" w:hAnchor="text" w:yAlign="inline"/>
        <w:spacing w:before="120" w:beforeLines="50" w:after="120" w:afterLines="50" w:line="300" w:lineRule="auto"/>
        <w:jc w:val="center"/>
        <w:outlineLvl w:val="0"/>
        <w:rPr>
          <w:rFonts w:hint="default" w:ascii="宋体" w:hAnsi="宋体" w:eastAsia="宋体" w:cs="宋体"/>
          <w:b/>
          <w:bCs/>
          <w:sz w:val="48"/>
          <w:szCs w:val="48"/>
          <w:lang w:val="zh-TW"/>
        </w:rPr>
      </w:pPr>
    </w:p>
    <w:p w14:paraId="6CEFCDBE">
      <w:pPr>
        <w:framePr w:wrap="auto" w:vAnchor="margin" w:hAnchor="text" w:yAlign="inline"/>
        <w:spacing w:before="120" w:beforeLines="50" w:after="120" w:afterLines="50" w:line="300" w:lineRule="auto"/>
        <w:jc w:val="center"/>
        <w:outlineLvl w:val="0"/>
        <w:rPr>
          <w:rFonts w:hint="default" w:ascii="宋体" w:hAnsi="宋体" w:eastAsia="宋体" w:cs="宋体"/>
          <w:b/>
          <w:bCs/>
          <w:sz w:val="48"/>
          <w:szCs w:val="48"/>
          <w:lang w:val="zh-TW"/>
        </w:rPr>
      </w:pPr>
    </w:p>
    <w:p w14:paraId="46B4E1BE">
      <w:pPr>
        <w:framePr w:wrap="auto" w:vAnchor="margin" w:hAnchor="text" w:yAlign="inline"/>
        <w:spacing w:before="120" w:beforeLines="50" w:after="120" w:afterLines="50" w:line="300" w:lineRule="auto"/>
        <w:jc w:val="center"/>
        <w:outlineLvl w:val="0"/>
        <w:rPr>
          <w:rFonts w:hint="default" w:ascii="黑体" w:hAnsi="黑体" w:eastAsia="黑体" w:cs="宋体"/>
          <w:sz w:val="48"/>
          <w:szCs w:val="48"/>
          <w:lang w:val="zh-TW"/>
        </w:rPr>
      </w:pPr>
      <w:r>
        <w:rPr>
          <w:rFonts w:ascii="黑体" w:hAnsi="黑体" w:eastAsia="黑体" w:cs="宋体"/>
          <w:sz w:val="48"/>
          <w:szCs w:val="48"/>
          <w:lang w:val="zh-TW"/>
        </w:rPr>
        <w:t>《数字贸易 基本概念与关键倡议》</w:t>
      </w:r>
    </w:p>
    <w:p w14:paraId="3E3859D3">
      <w:pPr>
        <w:framePr w:wrap="auto" w:vAnchor="margin" w:hAnchor="text" w:yAlign="inline"/>
        <w:spacing w:before="120" w:beforeLines="50" w:after="120" w:afterLines="50" w:line="300" w:lineRule="auto"/>
        <w:jc w:val="center"/>
        <w:outlineLvl w:val="0"/>
        <w:rPr>
          <w:rFonts w:hint="default" w:ascii="黑体" w:hAnsi="黑体" w:eastAsia="黑体" w:cs="宋体"/>
          <w:sz w:val="48"/>
          <w:szCs w:val="48"/>
          <w:lang w:val="zh-TW"/>
        </w:rPr>
      </w:pPr>
      <w:r>
        <w:rPr>
          <w:rFonts w:ascii="黑体" w:hAnsi="黑体" w:eastAsia="黑体" w:cs="宋体"/>
          <w:sz w:val="48"/>
          <w:szCs w:val="48"/>
          <w:lang w:val="zh-TW"/>
        </w:rPr>
        <w:t>团体标准（</w:t>
      </w:r>
      <w:r>
        <w:rPr>
          <w:rFonts w:ascii="黑体" w:hAnsi="黑体" w:eastAsia="黑体" w:cs="宋体"/>
          <w:sz w:val="48"/>
          <w:szCs w:val="48"/>
        </w:rPr>
        <w:t>征求意见</w:t>
      </w:r>
      <w:r>
        <w:rPr>
          <w:rFonts w:ascii="黑体" w:hAnsi="黑体" w:eastAsia="黑体" w:cs="宋体"/>
          <w:sz w:val="48"/>
          <w:szCs w:val="48"/>
          <w:lang w:val="zh-TW"/>
        </w:rPr>
        <w:t>稿）</w:t>
      </w:r>
    </w:p>
    <w:p w14:paraId="24450945">
      <w:pPr>
        <w:framePr w:wrap="auto" w:vAnchor="margin" w:hAnchor="text" w:yAlign="inline"/>
        <w:spacing w:before="120" w:beforeLines="50" w:after="120" w:afterLines="50" w:line="300" w:lineRule="auto"/>
        <w:jc w:val="center"/>
        <w:outlineLvl w:val="0"/>
        <w:rPr>
          <w:rFonts w:hint="default" w:ascii="黑体" w:hAnsi="黑体" w:eastAsia="黑体" w:cs="宋体"/>
          <w:sz w:val="48"/>
          <w:szCs w:val="48"/>
          <w:lang w:val="zh-TW"/>
        </w:rPr>
      </w:pPr>
      <w:r>
        <w:rPr>
          <w:rFonts w:ascii="黑体" w:hAnsi="黑体" w:eastAsia="黑体" w:cs="宋体"/>
          <w:sz w:val="48"/>
          <w:szCs w:val="48"/>
          <w:lang w:val="zh-TW"/>
        </w:rPr>
        <w:t>编制说明</w:t>
      </w:r>
    </w:p>
    <w:p w14:paraId="0B72C405">
      <w:pPr>
        <w:framePr w:wrap="auto" w:vAnchor="margin" w:hAnchor="text" w:yAlign="inline"/>
        <w:spacing w:before="120" w:beforeLines="50" w:after="120" w:afterLines="50" w:line="300" w:lineRule="auto"/>
        <w:jc w:val="center"/>
        <w:outlineLvl w:val="0"/>
        <w:rPr>
          <w:rFonts w:hint="default" w:ascii="宋体" w:hAnsi="宋体" w:eastAsia="宋体" w:cs="宋体"/>
          <w:b/>
          <w:bCs/>
          <w:sz w:val="48"/>
          <w:szCs w:val="48"/>
          <w:lang w:val="zh-TW"/>
        </w:rPr>
      </w:pPr>
    </w:p>
    <w:p w14:paraId="4CD6A113">
      <w:pPr>
        <w:framePr w:wrap="auto" w:vAnchor="margin" w:hAnchor="text" w:yAlign="inline"/>
        <w:spacing w:before="120" w:beforeLines="50" w:after="120" w:afterLines="50" w:line="300" w:lineRule="auto"/>
        <w:jc w:val="center"/>
        <w:outlineLvl w:val="0"/>
        <w:rPr>
          <w:rFonts w:hint="default" w:ascii="宋体" w:hAnsi="宋体" w:eastAsia="宋体" w:cs="宋体"/>
          <w:b/>
          <w:bCs/>
          <w:sz w:val="48"/>
          <w:szCs w:val="48"/>
          <w:lang w:val="zh-TW"/>
        </w:rPr>
      </w:pPr>
    </w:p>
    <w:p w14:paraId="60EE24A6">
      <w:pPr>
        <w:framePr w:wrap="auto" w:vAnchor="margin" w:hAnchor="text" w:yAlign="inline"/>
        <w:spacing w:before="120" w:beforeLines="50" w:after="120" w:afterLines="50" w:line="300" w:lineRule="auto"/>
        <w:outlineLvl w:val="0"/>
        <w:rPr>
          <w:rFonts w:hint="default" w:ascii="宋体" w:hAnsi="宋体" w:eastAsia="宋体" w:cs="宋体"/>
          <w:b/>
          <w:bCs/>
          <w:sz w:val="48"/>
          <w:szCs w:val="48"/>
          <w:lang w:val="zh-TW"/>
        </w:rPr>
      </w:pPr>
    </w:p>
    <w:p w14:paraId="2B00F0D6">
      <w:pPr>
        <w:framePr w:wrap="auto" w:vAnchor="margin" w:hAnchor="text" w:yAlign="inline"/>
        <w:spacing w:before="120" w:beforeLines="50" w:after="120" w:afterLines="50" w:line="300" w:lineRule="auto"/>
        <w:outlineLvl w:val="0"/>
        <w:rPr>
          <w:rFonts w:hint="default" w:ascii="宋体" w:hAnsi="宋体" w:eastAsia="宋体" w:cs="宋体"/>
          <w:b/>
          <w:bCs/>
          <w:sz w:val="48"/>
          <w:szCs w:val="48"/>
          <w:lang w:val="zh-TW"/>
        </w:rPr>
      </w:pPr>
    </w:p>
    <w:p w14:paraId="5E24173C">
      <w:pPr>
        <w:framePr w:wrap="auto" w:vAnchor="margin" w:hAnchor="text" w:yAlign="inline"/>
        <w:spacing w:before="120" w:beforeLines="50" w:after="120" w:afterLines="50" w:line="300" w:lineRule="auto"/>
        <w:jc w:val="center"/>
        <w:outlineLvl w:val="0"/>
        <w:rPr>
          <w:rFonts w:hint="default" w:ascii="宋体" w:hAnsi="宋体" w:eastAsia="宋体" w:cs="宋体"/>
          <w:b/>
          <w:bCs/>
          <w:sz w:val="48"/>
          <w:szCs w:val="48"/>
          <w:lang w:val="zh-TW"/>
        </w:rPr>
      </w:pPr>
    </w:p>
    <w:p w14:paraId="299C3C4E">
      <w:pPr>
        <w:framePr w:wrap="auto" w:vAnchor="margin" w:hAnchor="text" w:yAlign="inline"/>
        <w:spacing w:before="120" w:beforeLines="50" w:after="120" w:afterLines="50" w:line="300" w:lineRule="auto"/>
        <w:jc w:val="center"/>
        <w:outlineLvl w:val="0"/>
        <w:rPr>
          <w:rFonts w:hint="default" w:ascii="宋体" w:hAnsi="宋体" w:eastAsia="宋体" w:cs="宋体"/>
          <w:b/>
          <w:bCs/>
          <w:sz w:val="48"/>
          <w:szCs w:val="48"/>
          <w:lang w:val="zh-TW"/>
        </w:rPr>
      </w:pPr>
    </w:p>
    <w:p w14:paraId="69C23834">
      <w:pPr>
        <w:framePr w:wrap="auto" w:vAnchor="margin" w:hAnchor="text" w:yAlign="inline"/>
        <w:spacing w:before="120" w:beforeLines="50" w:after="120" w:afterLines="50" w:line="300" w:lineRule="auto"/>
        <w:jc w:val="center"/>
        <w:outlineLvl w:val="0"/>
        <w:rPr>
          <w:rFonts w:hint="default" w:ascii="宋体" w:hAnsi="宋体" w:eastAsia="宋体" w:cs="宋体"/>
          <w:b/>
          <w:bCs/>
          <w:sz w:val="48"/>
          <w:szCs w:val="48"/>
          <w:lang w:val="zh-TW"/>
        </w:rPr>
      </w:pPr>
    </w:p>
    <w:p w14:paraId="5AF301C0">
      <w:pPr>
        <w:framePr w:wrap="auto" w:vAnchor="margin" w:hAnchor="text" w:yAlign="inline"/>
        <w:spacing w:before="120" w:beforeLines="50" w:after="120" w:afterLines="50" w:line="300" w:lineRule="auto"/>
        <w:jc w:val="center"/>
        <w:outlineLvl w:val="0"/>
        <w:rPr>
          <w:rFonts w:hint="default" w:ascii="宋体" w:hAnsi="宋体" w:eastAsia="宋体" w:cs="宋体"/>
          <w:b/>
          <w:bCs/>
          <w:sz w:val="28"/>
          <w:szCs w:val="28"/>
          <w:lang w:val="zh-TW"/>
        </w:rPr>
      </w:pPr>
      <w:r>
        <w:rPr>
          <w:rFonts w:hint="cs" w:ascii="宋体" w:hAnsi="宋体" w:eastAsia="宋体" w:cs="宋体"/>
          <w:b/>
          <w:bCs/>
          <w:sz w:val="28"/>
          <w:szCs w:val="28"/>
          <w:lang w:val="zh-TW"/>
        </w:rPr>
        <w:t>中国国际贸易促进委员会商业行业委员会</w:t>
      </w:r>
    </w:p>
    <w:p w14:paraId="3796FAF1">
      <w:pPr>
        <w:framePr w:wrap="auto" w:vAnchor="margin" w:hAnchor="text" w:yAlign="inline"/>
        <w:spacing w:before="120" w:beforeLines="50" w:after="120" w:afterLines="50" w:line="300" w:lineRule="auto"/>
        <w:jc w:val="center"/>
        <w:outlineLvl w:val="0"/>
        <w:rPr>
          <w:rFonts w:hint="default" w:ascii="宋体" w:hAnsi="宋体" w:eastAsia="宋体" w:cs="宋体"/>
          <w:sz w:val="28"/>
          <w:szCs w:val="28"/>
          <w:lang w:val="zh-TW" w:eastAsia="zh-TW"/>
        </w:rPr>
      </w:pPr>
      <w:r>
        <w:rPr>
          <w:rFonts w:ascii="宋体" w:hAnsi="宋体" w:eastAsia="宋体" w:cs="宋体"/>
          <w:sz w:val="28"/>
          <w:szCs w:val="28"/>
          <w:lang w:val="zh-TW" w:eastAsia="zh-TW"/>
        </w:rPr>
        <w:t>二〇</w:t>
      </w:r>
      <w:r>
        <w:rPr>
          <w:rFonts w:ascii="宋体" w:hAnsi="宋体" w:eastAsia="宋体" w:cs="宋体"/>
          <w:sz w:val="28"/>
          <w:szCs w:val="28"/>
          <w:lang w:eastAsia="zh-TW"/>
        </w:rPr>
        <w:t>二四</w:t>
      </w:r>
      <w:r>
        <w:rPr>
          <w:rFonts w:ascii="宋体" w:hAnsi="宋体" w:eastAsia="宋体" w:cs="宋体"/>
          <w:sz w:val="28"/>
          <w:szCs w:val="28"/>
          <w:lang w:val="zh-TW" w:eastAsia="zh-TW"/>
        </w:rPr>
        <w:t>年</w:t>
      </w:r>
      <w:r>
        <w:rPr>
          <w:rFonts w:ascii="宋体" w:hAnsi="宋体" w:eastAsia="宋体" w:cs="宋体"/>
          <w:sz w:val="28"/>
          <w:szCs w:val="28"/>
          <w:lang w:eastAsia="zh-TW"/>
        </w:rPr>
        <w:t>十一</w:t>
      </w:r>
      <w:r>
        <w:rPr>
          <w:rFonts w:ascii="宋体" w:hAnsi="宋体" w:eastAsia="宋体" w:cs="宋体"/>
          <w:sz w:val="28"/>
          <w:szCs w:val="28"/>
          <w:lang w:val="zh-TW" w:eastAsia="zh-TW"/>
        </w:rPr>
        <w:t>月</w:t>
      </w:r>
      <w:r>
        <w:rPr>
          <w:rFonts w:ascii="宋体" w:hAnsi="宋体" w:eastAsia="宋体" w:cs="宋体"/>
          <w:sz w:val="28"/>
          <w:szCs w:val="28"/>
          <w:lang w:eastAsia="zh-TW"/>
        </w:rPr>
        <w:t>二十二</w:t>
      </w:r>
      <w:r>
        <w:rPr>
          <w:rFonts w:ascii="宋体" w:hAnsi="宋体" w:eastAsia="宋体" w:cs="宋体"/>
          <w:sz w:val="28"/>
          <w:szCs w:val="28"/>
          <w:lang w:val="zh-TW" w:eastAsia="zh-TW"/>
        </w:rPr>
        <w:t>日</w:t>
      </w:r>
    </w:p>
    <w:p w14:paraId="34603ED9">
      <w:pPr>
        <w:framePr w:wrap="auto" w:vAnchor="margin" w:hAnchor="text" w:yAlign="inline"/>
        <w:spacing w:line="300" w:lineRule="auto"/>
        <w:jc w:val="center"/>
        <w:outlineLvl w:val="0"/>
        <w:rPr>
          <w:rFonts w:hint="default" w:ascii="宋体" w:hAnsi="宋体" w:eastAsia="宋体" w:cs="宋体"/>
          <w:b/>
          <w:bCs/>
          <w:sz w:val="32"/>
          <w:szCs w:val="32"/>
          <w:lang w:val="zh-TW" w:eastAsia="zh-TW"/>
        </w:rPr>
        <w:sectPr>
          <w:headerReference r:id="rId3" w:type="default"/>
          <w:footerReference r:id="rId4" w:type="default"/>
          <w:pgSz w:w="11900" w:h="16840"/>
          <w:pgMar w:top="1440" w:right="1800" w:bottom="1440" w:left="1800" w:header="851" w:footer="992" w:gutter="0"/>
          <w:pgNumType w:start="1"/>
          <w:cols w:space="720" w:num="1"/>
        </w:sectPr>
      </w:pPr>
    </w:p>
    <w:p w14:paraId="617840D6">
      <w:pPr>
        <w:framePr w:wrap="auto" w:vAnchor="margin" w:hAnchor="text" w:yAlign="inline"/>
        <w:spacing w:line="300" w:lineRule="auto"/>
        <w:jc w:val="center"/>
        <w:outlineLvl w:val="0"/>
        <w:rPr>
          <w:rFonts w:hint="eastAsia" w:ascii="宋体" w:hAnsi="宋体" w:eastAsia="宋体" w:cs="宋体"/>
          <w:b/>
          <w:bCs/>
          <w:sz w:val="32"/>
          <w:szCs w:val="32"/>
          <w:lang w:val="zh-TW" w:eastAsia="zh-CN"/>
        </w:rPr>
      </w:pPr>
      <w:r>
        <w:rPr>
          <w:rFonts w:hint="cs" w:ascii="宋体" w:hAnsi="宋体" w:eastAsia="宋体" w:cs="宋体"/>
          <w:b/>
          <w:bCs/>
          <w:sz w:val="32"/>
          <w:szCs w:val="32"/>
          <w:lang w:val="zh-TW"/>
        </w:rPr>
        <w:t>《数字贸易</w:t>
      </w:r>
      <w:r>
        <w:rPr>
          <w:rFonts w:hint="default" w:ascii="宋体" w:hAnsi="宋体" w:eastAsia="宋体" w:cs="宋体"/>
          <w:b/>
          <w:bCs/>
          <w:sz w:val="32"/>
          <w:szCs w:val="32"/>
          <w:lang w:val="zh-TW"/>
        </w:rPr>
        <w:t xml:space="preserve"> 基本概念与关键倡议</w:t>
      </w:r>
      <w:r>
        <w:rPr>
          <w:rFonts w:hint="cs" w:ascii="宋体" w:hAnsi="宋体" w:eastAsia="宋体" w:cs="宋体"/>
          <w:b/>
          <w:bCs/>
          <w:sz w:val="32"/>
          <w:szCs w:val="32"/>
          <w:lang w:val="zh-TW"/>
        </w:rPr>
        <w:t>》</w:t>
      </w:r>
      <w:bookmarkStart w:id="0" w:name="_GoBack"/>
      <w:bookmarkEnd w:id="0"/>
    </w:p>
    <w:p w14:paraId="5D5C3E16">
      <w:pPr>
        <w:framePr w:wrap="auto" w:vAnchor="margin" w:hAnchor="text" w:yAlign="inline"/>
        <w:spacing w:line="300" w:lineRule="auto"/>
        <w:jc w:val="center"/>
        <w:outlineLvl w:val="0"/>
        <w:rPr>
          <w:rFonts w:hint="default"/>
          <w:b/>
          <w:bCs/>
          <w:sz w:val="32"/>
          <w:szCs w:val="32"/>
          <w:lang w:val="zh-TW" w:eastAsia="zh-TW"/>
        </w:rPr>
      </w:pPr>
      <w:r>
        <w:rPr>
          <w:rFonts w:ascii="宋体" w:hAnsi="宋体" w:eastAsia="宋体" w:cs="宋体"/>
          <w:b/>
          <w:bCs/>
          <w:sz w:val="32"/>
          <w:szCs w:val="32"/>
          <w:lang w:val="zh-TW" w:eastAsia="zh-TW"/>
        </w:rPr>
        <w:t>团体标准编制说明</w:t>
      </w:r>
    </w:p>
    <w:p w14:paraId="36C6C4DC">
      <w:pPr>
        <w:framePr w:wrap="auto" w:vAnchor="margin" w:hAnchor="text" w:yAlign="inline"/>
        <w:spacing w:line="360" w:lineRule="auto"/>
        <w:ind w:firstLine="482"/>
        <w:rPr>
          <w:rFonts w:hint="default" w:ascii="宋体" w:hAnsi="宋体" w:eastAsia="宋体" w:cs="宋体"/>
          <w:b/>
          <w:bCs/>
          <w:kern w:val="0"/>
          <w:sz w:val="24"/>
          <w:szCs w:val="24"/>
          <w:lang w:eastAsia="zh-TW"/>
        </w:rPr>
      </w:pPr>
    </w:p>
    <w:p w14:paraId="027AF0DC">
      <w:pPr>
        <w:pStyle w:val="16"/>
        <w:framePr w:wrap="auto" w:vAnchor="margin" w:hAnchor="text" w:yAlign="inline"/>
        <w:numPr>
          <w:ilvl w:val="0"/>
          <w:numId w:val="2"/>
        </w:numPr>
        <w:spacing w:line="360" w:lineRule="auto"/>
        <w:rPr>
          <w:rFonts w:hint="default" w:ascii="宋体" w:hAnsi="宋体" w:eastAsia="PMingLiU" w:cs="宋体"/>
          <w:b/>
          <w:bCs/>
          <w:color w:val="auto"/>
          <w:kern w:val="0"/>
          <w:sz w:val="24"/>
          <w:szCs w:val="24"/>
          <w:u w:color="0000FF"/>
          <w:lang w:val="zh-TW" w:eastAsia="zh-TW"/>
        </w:rPr>
      </w:pPr>
      <w:r>
        <w:rPr>
          <w:rFonts w:ascii="宋体" w:hAnsi="宋体" w:eastAsia="宋体" w:cs="宋体"/>
          <w:b/>
          <w:bCs/>
          <w:color w:val="auto"/>
          <w:kern w:val="0"/>
          <w:sz w:val="24"/>
          <w:szCs w:val="24"/>
          <w:u w:color="0000FF"/>
          <w:lang w:val="zh-TW" w:eastAsia="zh-TW"/>
        </w:rPr>
        <w:t>标准项目来源</w:t>
      </w:r>
    </w:p>
    <w:p w14:paraId="4176DF98">
      <w:pPr>
        <w:framePr w:wrap="auto" w:vAnchor="margin" w:hAnchor="text" w:yAlign="inline"/>
        <w:spacing w:line="300" w:lineRule="auto"/>
        <w:ind w:firstLine="480" w:firstLineChars="200"/>
        <w:outlineLvl w:val="0"/>
        <w:rPr>
          <w:rFonts w:hint="default" w:ascii="宋体" w:hAnsi="宋体" w:eastAsia="宋体" w:cs="宋体"/>
          <w:color w:val="auto"/>
          <w:sz w:val="24"/>
          <w:szCs w:val="24"/>
        </w:rPr>
      </w:pPr>
      <w:r>
        <w:rPr>
          <w:rFonts w:hint="cs" w:ascii="宋体" w:hAnsi="宋体" w:eastAsia="宋体" w:cs="宋体"/>
          <w:color w:val="auto"/>
          <w:sz w:val="24"/>
          <w:szCs w:val="24"/>
        </w:rPr>
        <w:t>我国数字贸易发展不断加快。以数据为关键要素、数字服务为核心、数字订购与数字交付为主要特征的数字贸易，已经成为国际贸易发展的新趋势和经济发展的新增长点</w:t>
      </w:r>
      <w:r>
        <w:rPr>
          <w:rFonts w:ascii="宋体" w:hAnsi="宋体" w:eastAsia="宋体" w:cs="宋体"/>
          <w:color w:val="auto"/>
          <w:sz w:val="24"/>
          <w:szCs w:val="24"/>
        </w:rPr>
        <w:t>。</w:t>
      </w:r>
      <w:r>
        <w:rPr>
          <w:rFonts w:hint="default" w:ascii="宋体" w:hAnsi="宋体" w:eastAsia="宋体" w:cs="宋体"/>
          <w:color w:val="auto"/>
          <w:sz w:val="24"/>
          <w:szCs w:val="24"/>
        </w:rPr>
        <w:t>2021年至2023年，全球数字贸易规模从6.02万亿美元激增至7.13万亿美元，年均增速高达8.8%。</w:t>
      </w:r>
      <w:r>
        <w:rPr>
          <w:rFonts w:ascii="宋体" w:hAnsi="宋体" w:eastAsia="宋体" w:cs="宋体"/>
          <w:color w:val="auto"/>
          <w:sz w:val="24"/>
          <w:szCs w:val="24"/>
        </w:rPr>
        <w:t>随着数字贸易的快速发展，</w:t>
      </w:r>
      <w:r>
        <w:rPr>
          <w:rFonts w:hint="cs" w:ascii="宋体" w:hAnsi="宋体" w:eastAsia="宋体" w:cs="宋体"/>
          <w:color w:val="auto"/>
          <w:sz w:val="24"/>
          <w:szCs w:val="24"/>
        </w:rPr>
        <w:t>为数字贸易提供定义和应用指南</w:t>
      </w:r>
      <w:r>
        <w:rPr>
          <w:rFonts w:ascii="宋体" w:hAnsi="宋体" w:eastAsia="宋体" w:cs="宋体"/>
          <w:color w:val="auto"/>
          <w:sz w:val="24"/>
          <w:szCs w:val="24"/>
        </w:rPr>
        <w:t>越来越重要，行业对标准化的需求日益迫切。目前，国内外尚缺乏</w:t>
      </w:r>
      <w:r>
        <w:rPr>
          <w:rFonts w:hint="cs" w:ascii="宋体" w:hAnsi="宋体" w:eastAsia="宋体" w:cs="宋体"/>
          <w:color w:val="auto"/>
          <w:sz w:val="24"/>
          <w:szCs w:val="24"/>
        </w:rPr>
        <w:t>清晰并被普遍接受的与数字贸易相关的</w:t>
      </w:r>
      <w:r>
        <w:rPr>
          <w:rFonts w:ascii="宋体" w:hAnsi="宋体" w:eastAsia="宋体" w:cs="宋体"/>
          <w:color w:val="auto"/>
          <w:sz w:val="24"/>
          <w:szCs w:val="24"/>
        </w:rPr>
        <w:t>基本概念</w:t>
      </w:r>
      <w:r>
        <w:rPr>
          <w:rFonts w:hint="cs" w:ascii="宋体" w:hAnsi="宋体" w:eastAsia="宋体" w:cs="宋体"/>
          <w:color w:val="auto"/>
          <w:sz w:val="24"/>
          <w:szCs w:val="24"/>
        </w:rPr>
        <w:t>术语</w:t>
      </w:r>
      <w:r>
        <w:rPr>
          <w:rFonts w:ascii="宋体" w:hAnsi="宋体" w:eastAsia="宋体" w:cs="宋体"/>
          <w:color w:val="auto"/>
          <w:sz w:val="24"/>
          <w:szCs w:val="24"/>
        </w:rPr>
        <w:t>的内涵外延界定，导致</w:t>
      </w:r>
      <w:r>
        <w:rPr>
          <w:rFonts w:hint="cs" w:ascii="宋体" w:hAnsi="宋体" w:eastAsia="宋体" w:cs="宋体"/>
          <w:color w:val="auto"/>
          <w:sz w:val="24"/>
          <w:szCs w:val="24"/>
        </w:rPr>
        <w:t>数字贸易相关重要因素的评估</w:t>
      </w:r>
      <w:r>
        <w:rPr>
          <w:rFonts w:ascii="宋体" w:hAnsi="宋体" w:eastAsia="宋体" w:cs="宋体"/>
          <w:color w:val="auto"/>
          <w:sz w:val="24"/>
          <w:szCs w:val="24"/>
        </w:rPr>
        <w:t>缺乏一致的</w:t>
      </w:r>
      <w:r>
        <w:rPr>
          <w:rFonts w:hint="cs" w:ascii="宋体" w:hAnsi="宋体" w:eastAsia="宋体" w:cs="宋体"/>
          <w:color w:val="auto"/>
          <w:sz w:val="24"/>
          <w:szCs w:val="24"/>
        </w:rPr>
        <w:t>评判准则</w:t>
      </w:r>
      <w:r>
        <w:rPr>
          <w:rFonts w:ascii="宋体" w:hAnsi="宋体" w:eastAsia="宋体" w:cs="宋体"/>
          <w:color w:val="auto"/>
          <w:sz w:val="24"/>
          <w:szCs w:val="24"/>
        </w:rPr>
        <w:t>和</w:t>
      </w:r>
      <w:r>
        <w:rPr>
          <w:rFonts w:hint="cs" w:ascii="宋体" w:hAnsi="宋体" w:eastAsia="宋体" w:cs="宋体"/>
          <w:color w:val="auto"/>
          <w:sz w:val="24"/>
          <w:szCs w:val="24"/>
        </w:rPr>
        <w:t>国际可比数据</w:t>
      </w:r>
      <w:r>
        <w:rPr>
          <w:rFonts w:ascii="宋体" w:hAnsi="宋体" w:eastAsia="宋体" w:cs="宋体"/>
          <w:color w:val="auto"/>
          <w:sz w:val="24"/>
          <w:szCs w:val="24"/>
        </w:rPr>
        <w:t>，影响政策制定和行业健康长远发展。项目参考国际电工委员会（IEC）及国际标准化组织（ISO）在电子商务领域的标准制定动向，提炼我国在该领域的理论探索和实践经验，</w:t>
      </w:r>
      <w:r>
        <w:rPr>
          <w:rFonts w:hint="cs" w:ascii="宋体" w:hAnsi="宋体" w:eastAsia="宋体" w:cs="宋体"/>
          <w:color w:val="auto"/>
          <w:sz w:val="24"/>
          <w:szCs w:val="24"/>
        </w:rPr>
        <w:t>为制定并实施数字贸易发展相关政策和倡议提供一种全面、协调的方法论</w:t>
      </w:r>
      <w:r>
        <w:rPr>
          <w:rFonts w:ascii="宋体" w:hAnsi="宋体" w:eastAsia="宋体" w:cs="宋体"/>
          <w:color w:val="auto"/>
          <w:sz w:val="24"/>
          <w:szCs w:val="24"/>
        </w:rPr>
        <w:t>，填补国内外空白，提升我国</w:t>
      </w:r>
      <w:r>
        <w:rPr>
          <w:rFonts w:hint="cs" w:ascii="宋体" w:hAnsi="宋体" w:eastAsia="宋体" w:cs="宋体"/>
          <w:color w:val="auto"/>
          <w:sz w:val="24"/>
          <w:szCs w:val="24"/>
        </w:rPr>
        <w:t>数字贸易</w:t>
      </w:r>
      <w:r>
        <w:rPr>
          <w:rFonts w:ascii="宋体" w:hAnsi="宋体" w:eastAsia="宋体" w:cs="宋体"/>
          <w:color w:val="auto"/>
          <w:sz w:val="24"/>
          <w:szCs w:val="24"/>
        </w:rPr>
        <w:t>产业的国际竞争力，为参与</w:t>
      </w:r>
      <w:r>
        <w:rPr>
          <w:rFonts w:hint="cs" w:ascii="宋体" w:hAnsi="宋体" w:eastAsia="宋体" w:cs="宋体"/>
          <w:color w:val="auto"/>
          <w:sz w:val="24"/>
          <w:szCs w:val="24"/>
        </w:rPr>
        <w:t>国际标准化组织电子商务交易保障技术委员会（</w:t>
      </w:r>
      <w:r>
        <w:rPr>
          <w:rFonts w:hint="default" w:ascii="宋体" w:hAnsi="宋体" w:eastAsia="宋体" w:cs="宋体"/>
          <w:color w:val="auto"/>
          <w:sz w:val="24"/>
          <w:szCs w:val="24"/>
        </w:rPr>
        <w:t>ISO/TC321）</w:t>
      </w:r>
      <w:r>
        <w:rPr>
          <w:rFonts w:ascii="宋体" w:hAnsi="宋体" w:eastAsia="宋体" w:cs="宋体"/>
          <w:color w:val="auto"/>
          <w:sz w:val="24"/>
          <w:szCs w:val="24"/>
        </w:rPr>
        <w:t>等国际标准研制修订提供“中国方案”，推动全球电商行业的标准化发展。</w:t>
      </w:r>
    </w:p>
    <w:p w14:paraId="086CA27E">
      <w:pPr>
        <w:pStyle w:val="16"/>
        <w:framePr w:wrap="auto" w:vAnchor="margin" w:hAnchor="text" w:yAlign="inline"/>
        <w:spacing w:line="360" w:lineRule="auto"/>
        <w:ind w:left="482" w:firstLine="0"/>
        <w:rPr>
          <w:rFonts w:hint="default" w:ascii="宋体" w:hAnsi="宋体" w:eastAsia="宋体" w:cs="宋体"/>
          <w:b/>
          <w:bCs/>
          <w:color w:val="auto"/>
          <w:kern w:val="0"/>
          <w:sz w:val="24"/>
          <w:szCs w:val="24"/>
          <w:u w:color="0000FF"/>
          <w:lang w:val="zh-TW"/>
        </w:rPr>
      </w:pPr>
      <w:r>
        <w:rPr>
          <w:rFonts w:ascii="宋体" w:hAnsi="宋体" w:eastAsia="宋体" w:cs="宋体"/>
          <w:b/>
          <w:bCs/>
          <w:color w:val="auto"/>
          <w:kern w:val="0"/>
          <w:sz w:val="24"/>
          <w:szCs w:val="24"/>
          <w:u w:color="0000FF"/>
          <w:lang w:val="zh-TW"/>
        </w:rPr>
        <w:t>二、标准制定的目的和意义</w:t>
      </w:r>
    </w:p>
    <w:p w14:paraId="4AA25ED7">
      <w:pPr>
        <w:pStyle w:val="16"/>
        <w:framePr w:wrap="auto" w:vAnchor="margin" w:hAnchor="text" w:yAlign="inline"/>
        <w:spacing w:line="360" w:lineRule="auto"/>
        <w:ind w:left="482" w:firstLine="0"/>
        <w:rPr>
          <w:rFonts w:hint="default" w:ascii="宋体" w:hAnsi="宋体" w:eastAsia="宋体" w:cs="宋体"/>
          <w:b/>
          <w:bCs/>
          <w:color w:val="auto"/>
          <w:sz w:val="24"/>
          <w:szCs w:val="24"/>
          <w:lang w:val="zh-TW"/>
        </w:rPr>
      </w:pPr>
      <w:r>
        <w:rPr>
          <w:rFonts w:ascii="宋体" w:hAnsi="宋体" w:eastAsia="宋体" w:cs="宋体"/>
          <w:b/>
          <w:bCs/>
          <w:color w:val="auto"/>
          <w:sz w:val="24"/>
          <w:szCs w:val="24"/>
          <w:lang w:val="zh-TW"/>
        </w:rPr>
        <w:t>（</w:t>
      </w:r>
      <w:r>
        <w:rPr>
          <w:rFonts w:ascii="宋体" w:hAnsi="宋体" w:eastAsia="宋体" w:cs="宋体"/>
          <w:b/>
          <w:bCs/>
          <w:color w:val="auto"/>
          <w:sz w:val="24"/>
          <w:szCs w:val="24"/>
        </w:rPr>
        <w:t>一</w:t>
      </w:r>
      <w:r>
        <w:rPr>
          <w:rFonts w:ascii="宋体" w:hAnsi="宋体" w:eastAsia="宋体" w:cs="宋体"/>
          <w:b/>
          <w:bCs/>
          <w:color w:val="auto"/>
          <w:sz w:val="24"/>
          <w:szCs w:val="24"/>
          <w:lang w:val="zh-TW"/>
        </w:rPr>
        <w:t>）</w:t>
      </w:r>
      <w:r>
        <w:rPr>
          <w:rFonts w:ascii="宋体" w:hAnsi="宋体" w:eastAsia="宋体" w:cs="宋体"/>
          <w:b/>
          <w:bCs/>
          <w:color w:val="auto"/>
          <w:kern w:val="0"/>
          <w:sz w:val="24"/>
          <w:szCs w:val="24"/>
          <w:u w:color="0000FF"/>
          <w:lang w:val="zh-TW"/>
        </w:rPr>
        <w:t>标准制定的</w:t>
      </w:r>
      <w:r>
        <w:rPr>
          <w:rFonts w:ascii="宋体" w:hAnsi="宋体" w:eastAsia="宋体" w:cs="宋体"/>
          <w:b/>
          <w:bCs/>
          <w:color w:val="auto"/>
          <w:sz w:val="24"/>
          <w:szCs w:val="24"/>
          <w:lang w:val="zh-TW"/>
        </w:rPr>
        <w:t>目的</w:t>
      </w:r>
    </w:p>
    <w:p w14:paraId="521D383E">
      <w:pPr>
        <w:framePr w:wrap="auto" w:vAnchor="margin" w:hAnchor="text" w:yAlign="inline"/>
        <w:spacing w:line="300" w:lineRule="auto"/>
        <w:ind w:firstLine="480" w:firstLineChars="200"/>
        <w:outlineLvl w:val="0"/>
        <w:rPr>
          <w:rFonts w:hint="default" w:ascii="宋体" w:hAnsi="宋体" w:eastAsia="宋体" w:cs="宋体"/>
          <w:color w:val="auto"/>
          <w:sz w:val="24"/>
          <w:szCs w:val="24"/>
          <w:lang w:val="zh-TW"/>
        </w:rPr>
      </w:pPr>
      <w:r>
        <w:rPr>
          <w:rFonts w:hint="cs" w:ascii="宋体" w:hAnsi="宋体" w:eastAsia="宋体" w:cs="宋体"/>
          <w:color w:val="auto"/>
          <w:sz w:val="24"/>
          <w:szCs w:val="24"/>
          <w:lang w:val="zh-TW"/>
        </w:rPr>
        <w:t>党的二十大报告指出：</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推动货物贸易优化升级，创新服务贸易发展机制，发展数字贸易，加快建设贸易强国。</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当前经济全球化深入发展，新兴市场崛起、贸易保护主义抬头、全球供应链重新布局等因素共同推动了全球贸易的结构性变革，依赖传统的贸易模式已难以满足快速变化的市场需求和复杂的国际环境。寻找和培育新的外贸动能，不仅是对这些变化的积极回应，也是促进我国经济长期增长和国际竞争力提升的关键。在此背景下，数字贸易以其低成本、高效率和广泛覆盖的特点，正在成为培育外贸新动能的</w:t>
      </w:r>
      <w:r>
        <w:rPr>
          <w:rFonts w:ascii="宋体" w:hAnsi="宋体" w:eastAsia="宋体" w:cs="宋体"/>
          <w:color w:val="auto"/>
          <w:sz w:val="24"/>
          <w:szCs w:val="24"/>
          <w:lang w:val="zh-TW"/>
        </w:rPr>
        <w:t>关键</w:t>
      </w:r>
      <w:r>
        <w:rPr>
          <w:rFonts w:hint="cs" w:ascii="宋体" w:hAnsi="宋体" w:eastAsia="宋体" w:cs="宋体"/>
          <w:color w:val="auto"/>
          <w:sz w:val="24"/>
          <w:szCs w:val="24"/>
          <w:lang w:val="zh-TW"/>
        </w:rPr>
        <w:t>力量。近年来我国数字贸易蓬勃发展，成为驱动外贸稳中提质的重要引擎。然而，受地缘政治震荡、产业链供应链体系</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拔河博弈</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等因素影响，我国数字贸易国际治理仍面临多边规则缺位、双边合作机制短板、</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数字鸿沟</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明显等挑战，值得高度关注。</w:t>
      </w:r>
    </w:p>
    <w:p w14:paraId="46039012">
      <w:pPr>
        <w:framePr w:wrap="auto" w:vAnchor="margin" w:hAnchor="text" w:yAlign="inline"/>
        <w:spacing w:line="300" w:lineRule="auto"/>
        <w:ind w:firstLine="480" w:firstLineChars="200"/>
        <w:outlineLvl w:val="0"/>
        <w:rPr>
          <w:rFonts w:hint="default" w:ascii="宋体" w:hAnsi="宋体" w:eastAsia="宋体" w:cs="宋体"/>
          <w:color w:val="auto"/>
          <w:sz w:val="24"/>
          <w:szCs w:val="24"/>
          <w:lang w:val="zh-TW"/>
        </w:rPr>
      </w:pPr>
      <w:r>
        <w:rPr>
          <w:rFonts w:hint="cs" w:ascii="宋体" w:hAnsi="宋体" w:eastAsia="宋体" w:cs="宋体"/>
          <w:color w:val="auto"/>
          <w:sz w:val="24"/>
          <w:szCs w:val="24"/>
          <w:lang w:val="zh-TW"/>
        </w:rPr>
        <w:t>为数字贸易</w:t>
      </w:r>
      <w:r>
        <w:rPr>
          <w:rFonts w:ascii="宋体" w:hAnsi="宋体" w:eastAsia="宋体" w:cs="宋体"/>
          <w:color w:val="auto"/>
          <w:sz w:val="24"/>
          <w:szCs w:val="24"/>
          <w:lang w:val="zh-TW"/>
        </w:rPr>
        <w:t>相关基本概念和关键倡议提供标准，旨在</w:t>
      </w:r>
      <w:r>
        <w:rPr>
          <w:rFonts w:hint="cs" w:ascii="宋体" w:hAnsi="宋体" w:eastAsia="宋体" w:cs="宋体"/>
          <w:color w:val="auto"/>
          <w:sz w:val="24"/>
          <w:szCs w:val="24"/>
          <w:lang w:val="zh-TW"/>
        </w:rPr>
        <w:t>确定清晰并</w:t>
      </w:r>
      <w:r>
        <w:rPr>
          <w:rFonts w:ascii="宋体" w:hAnsi="宋体" w:eastAsia="宋体" w:cs="宋体"/>
          <w:color w:val="auto"/>
          <w:sz w:val="24"/>
          <w:szCs w:val="24"/>
          <w:lang w:val="zh-TW"/>
        </w:rPr>
        <w:t>能够</w:t>
      </w:r>
      <w:r>
        <w:rPr>
          <w:rFonts w:hint="cs" w:ascii="宋体" w:hAnsi="宋体" w:eastAsia="宋体" w:cs="宋体"/>
          <w:color w:val="auto"/>
          <w:sz w:val="24"/>
          <w:szCs w:val="24"/>
          <w:lang w:val="zh-TW"/>
        </w:rPr>
        <w:t>被普遍接受的与数字贸易相关的术语和一系列通用定义，包括贸易数字化、跨境电子商务、数字产品贸易、数据贸易、通过数字化实现的服务贸易和数字服务贸易</w:t>
      </w:r>
      <w:r>
        <w:rPr>
          <w:rFonts w:ascii="宋体" w:hAnsi="宋体" w:eastAsia="宋体" w:cs="宋体"/>
          <w:color w:val="auto"/>
          <w:sz w:val="24"/>
          <w:szCs w:val="24"/>
          <w:lang w:val="zh-TW"/>
        </w:rPr>
        <w:t>等</w:t>
      </w:r>
      <w:r>
        <w:rPr>
          <w:rFonts w:hint="cs" w:ascii="宋体" w:hAnsi="宋体" w:eastAsia="宋体" w:cs="宋体"/>
          <w:color w:val="auto"/>
          <w:sz w:val="24"/>
          <w:szCs w:val="24"/>
          <w:lang w:val="zh-TW"/>
        </w:rPr>
        <w:t>；为数字贸易相关重要因素的评估提供评判准则，并帮助收集数字贸易（及其对区域和国家经济的影响）的国际可比数据；帮助强化数字平台、制造商、电商卖家、数字内容生产者、数字服务提供商、数据开发者和国际中间商之间的深入合作；促进出口加工行业的数字化和智能化转型升级。</w:t>
      </w:r>
    </w:p>
    <w:p w14:paraId="11BACB73">
      <w:pPr>
        <w:pStyle w:val="16"/>
        <w:framePr w:wrap="auto" w:vAnchor="margin" w:hAnchor="text" w:yAlign="inline"/>
        <w:spacing w:line="360" w:lineRule="auto"/>
        <w:ind w:firstLine="482" w:firstLineChars="200"/>
        <w:rPr>
          <w:rFonts w:hint="default" w:ascii="宋体" w:hAnsi="宋体" w:eastAsia="宋体" w:cs="宋体"/>
          <w:b/>
          <w:bCs/>
          <w:color w:val="auto"/>
          <w:sz w:val="24"/>
          <w:szCs w:val="24"/>
          <w:lang w:val="zh-TW"/>
        </w:rPr>
      </w:pPr>
      <w:r>
        <w:rPr>
          <w:rFonts w:ascii="宋体" w:hAnsi="宋体" w:eastAsia="宋体" w:cs="宋体"/>
          <w:b/>
          <w:bCs/>
          <w:color w:val="auto"/>
          <w:sz w:val="24"/>
          <w:szCs w:val="24"/>
          <w:lang w:val="zh-TW"/>
        </w:rPr>
        <w:t>（</w:t>
      </w:r>
      <w:r>
        <w:rPr>
          <w:rFonts w:ascii="宋体" w:hAnsi="宋体" w:eastAsia="宋体" w:cs="宋体"/>
          <w:b/>
          <w:bCs/>
          <w:color w:val="auto"/>
          <w:sz w:val="24"/>
          <w:szCs w:val="24"/>
        </w:rPr>
        <w:t>二</w:t>
      </w:r>
      <w:r>
        <w:rPr>
          <w:rFonts w:ascii="宋体" w:hAnsi="宋体" w:eastAsia="宋体" w:cs="宋体"/>
          <w:b/>
          <w:bCs/>
          <w:color w:val="auto"/>
          <w:sz w:val="24"/>
          <w:szCs w:val="24"/>
          <w:lang w:val="zh-TW"/>
        </w:rPr>
        <w:t>）项目任务的意义</w:t>
      </w:r>
    </w:p>
    <w:p w14:paraId="461BA423">
      <w:pPr>
        <w:pStyle w:val="16"/>
        <w:framePr w:wrap="auto" w:vAnchor="margin" w:hAnchor="text" w:yAlign="inline"/>
        <w:spacing w:line="360" w:lineRule="auto"/>
        <w:ind w:firstLine="480" w:firstLineChars="200"/>
        <w:rPr>
          <w:rFonts w:hint="default" w:ascii="宋体" w:hAnsi="宋体" w:eastAsia="宋体" w:cs="宋体"/>
          <w:color w:val="auto"/>
          <w:sz w:val="24"/>
          <w:szCs w:val="24"/>
          <w:lang w:val="zh-TW"/>
        </w:rPr>
      </w:pPr>
      <w:r>
        <w:rPr>
          <w:rFonts w:ascii="宋体" w:hAnsi="宋体" w:eastAsia="宋体" w:cs="宋体"/>
          <w:color w:val="auto"/>
          <w:sz w:val="24"/>
          <w:szCs w:val="24"/>
          <w:lang w:val="zh-TW"/>
        </w:rPr>
        <w:t>项目任务的意义，体现在以下几个方面：</w:t>
      </w:r>
    </w:p>
    <w:p w14:paraId="2D74B6BF">
      <w:pPr>
        <w:pStyle w:val="16"/>
        <w:framePr w:wrap="auto" w:vAnchor="margin" w:hAnchor="text" w:yAlign="inline"/>
        <w:spacing w:line="360" w:lineRule="auto"/>
        <w:ind w:firstLine="482" w:firstLineChars="200"/>
        <w:rPr>
          <w:rFonts w:hint="default" w:ascii="宋体" w:hAnsi="宋体" w:eastAsia="宋体" w:cs="宋体"/>
          <w:color w:val="auto"/>
          <w:sz w:val="24"/>
          <w:szCs w:val="24"/>
          <w:lang w:val="zh-TW"/>
        </w:rPr>
      </w:pPr>
      <w:r>
        <w:rPr>
          <w:rFonts w:ascii="宋体" w:hAnsi="宋体" w:eastAsia="宋体" w:cs="宋体"/>
          <w:b/>
          <w:bCs/>
          <w:color w:val="auto"/>
          <w:sz w:val="24"/>
          <w:szCs w:val="24"/>
        </w:rPr>
        <w:t>1.</w:t>
      </w:r>
      <w:r>
        <w:rPr>
          <w:rFonts w:ascii="宋体" w:hAnsi="宋体" w:eastAsia="宋体" w:cs="宋体"/>
          <w:b/>
          <w:bCs/>
          <w:color w:val="auto"/>
          <w:sz w:val="24"/>
          <w:szCs w:val="24"/>
          <w:lang w:val="zh-TW"/>
        </w:rPr>
        <w:t>提供指导。</w:t>
      </w:r>
      <w:r>
        <w:rPr>
          <w:rFonts w:ascii="宋体" w:hAnsi="宋体" w:eastAsia="宋体" w:cs="宋体"/>
          <w:bCs/>
          <w:color w:val="auto"/>
          <w:sz w:val="24"/>
          <w:szCs w:val="24"/>
          <w:lang w:val="zh-TW"/>
        </w:rPr>
        <w:t>项目</w:t>
      </w:r>
      <w:r>
        <w:rPr>
          <w:rFonts w:ascii="宋体" w:hAnsi="宋体" w:eastAsia="宋体" w:cs="宋体"/>
          <w:color w:val="auto"/>
          <w:sz w:val="24"/>
          <w:szCs w:val="24"/>
          <w:lang w:val="zh-TW"/>
        </w:rPr>
        <w:t>为数字贸易产业规划布局和发展提供科学的指导和明确的标准，使政策制定部门、研究机构、非营利组织和企业能够按照统一的方法和流程进行工作，有助于提高产业的建设质量、运行效率和运营效益，减少失误和风险。</w:t>
      </w:r>
    </w:p>
    <w:p w14:paraId="719383AB">
      <w:pPr>
        <w:pStyle w:val="16"/>
        <w:framePr w:wrap="auto" w:vAnchor="margin" w:hAnchor="text" w:yAlign="inline"/>
        <w:spacing w:line="360" w:lineRule="auto"/>
        <w:ind w:firstLine="482" w:firstLineChars="200"/>
        <w:rPr>
          <w:rFonts w:hint="default" w:ascii="宋体" w:hAnsi="宋体" w:eastAsia="宋体" w:cs="宋体"/>
          <w:color w:val="auto"/>
          <w:sz w:val="24"/>
          <w:szCs w:val="24"/>
          <w:lang w:val="zh-TW"/>
        </w:rPr>
      </w:pPr>
      <w:r>
        <w:rPr>
          <w:rFonts w:ascii="宋体" w:hAnsi="宋体" w:eastAsia="宋体" w:cs="宋体"/>
          <w:b/>
          <w:bCs/>
          <w:color w:val="auto"/>
          <w:sz w:val="24"/>
          <w:szCs w:val="24"/>
        </w:rPr>
        <w:t>2.</w:t>
      </w:r>
      <w:r>
        <w:rPr>
          <w:rFonts w:ascii="宋体" w:hAnsi="宋体" w:eastAsia="宋体" w:cs="宋体"/>
          <w:b/>
          <w:bCs/>
          <w:color w:val="auto"/>
          <w:sz w:val="24"/>
          <w:szCs w:val="24"/>
          <w:lang w:val="zh-TW"/>
        </w:rPr>
        <w:t>保证一致性。</w:t>
      </w:r>
      <w:r>
        <w:rPr>
          <w:rFonts w:ascii="宋体" w:hAnsi="宋体" w:eastAsia="宋体" w:cs="宋体"/>
          <w:bCs/>
          <w:color w:val="auto"/>
          <w:sz w:val="24"/>
          <w:szCs w:val="24"/>
          <w:lang w:val="zh-TW"/>
        </w:rPr>
        <w:t>项目</w:t>
      </w:r>
      <w:r>
        <w:rPr>
          <w:rFonts w:ascii="宋体" w:hAnsi="宋体" w:eastAsia="宋体" w:cs="宋体"/>
          <w:color w:val="auto"/>
          <w:sz w:val="24"/>
          <w:szCs w:val="24"/>
          <w:lang w:val="zh-TW"/>
        </w:rPr>
        <w:t>定义统一的术语、流程和标准，确保数字贸易产业的各利益相关方在整个开发和运营过程中保持一致，确保各利益相关方之间的沟通和理解一致，减少误解和混乱。</w:t>
      </w:r>
    </w:p>
    <w:p w14:paraId="432F1F7F">
      <w:pPr>
        <w:pStyle w:val="16"/>
        <w:framePr w:wrap="auto" w:vAnchor="margin" w:hAnchor="text" w:yAlign="inline"/>
        <w:spacing w:line="360" w:lineRule="auto"/>
        <w:ind w:firstLine="482" w:firstLineChars="200"/>
        <w:rPr>
          <w:rFonts w:hint="default" w:ascii="宋体" w:hAnsi="宋体" w:eastAsia="宋体" w:cs="宋体"/>
          <w:color w:val="auto"/>
          <w:sz w:val="24"/>
          <w:szCs w:val="24"/>
          <w:lang w:val="zh-TW"/>
        </w:rPr>
      </w:pPr>
      <w:r>
        <w:rPr>
          <w:rFonts w:hint="default" w:ascii="宋体" w:hAnsi="宋体" w:eastAsia="宋体" w:cs="宋体"/>
          <w:b/>
          <w:bCs/>
          <w:color w:val="auto"/>
          <w:sz w:val="24"/>
          <w:szCs w:val="24"/>
          <w:lang w:val="zh-TW"/>
        </w:rPr>
        <w:t>3.</w:t>
      </w:r>
      <w:r>
        <w:rPr>
          <w:rFonts w:ascii="宋体" w:hAnsi="宋体" w:eastAsia="宋体" w:cs="宋体"/>
          <w:b/>
          <w:bCs/>
          <w:color w:val="auto"/>
          <w:sz w:val="24"/>
          <w:szCs w:val="24"/>
          <w:lang w:val="zh-TW"/>
        </w:rPr>
        <w:t>提高普惠性。</w:t>
      </w:r>
      <w:r>
        <w:rPr>
          <w:rFonts w:ascii="宋体" w:hAnsi="宋体" w:eastAsia="宋体" w:cs="宋体"/>
          <w:bCs/>
          <w:color w:val="auto"/>
          <w:sz w:val="24"/>
          <w:szCs w:val="24"/>
          <w:lang w:val="zh-TW"/>
        </w:rPr>
        <w:t>项目</w:t>
      </w:r>
      <w:r>
        <w:rPr>
          <w:rFonts w:ascii="宋体" w:hAnsi="宋体" w:eastAsia="宋体" w:cs="宋体"/>
          <w:color w:val="auto"/>
          <w:sz w:val="24"/>
          <w:szCs w:val="24"/>
          <w:lang w:val="zh-TW"/>
        </w:rPr>
        <w:t>规范</w:t>
      </w:r>
      <w:r>
        <w:rPr>
          <w:rFonts w:hint="cs" w:ascii="宋体" w:hAnsi="宋体" w:eastAsia="宋体" w:cs="宋体"/>
          <w:color w:val="auto"/>
          <w:sz w:val="24"/>
          <w:szCs w:val="24"/>
          <w:lang w:val="zh-TW"/>
        </w:rPr>
        <w:t>数字贸易的数据收集、产业研究、政策制定与国际比较，帮助数字贸易企业获得运营指导和金融服务支持，并进入更广阔的潜在市场。帮助在数字化方面准备较不充分的经济体和企业，避免它们在竞争中落后</w:t>
      </w:r>
      <w:r>
        <w:rPr>
          <w:rFonts w:ascii="宋体" w:hAnsi="宋体" w:eastAsia="宋体" w:cs="宋体"/>
          <w:color w:val="auto"/>
          <w:sz w:val="24"/>
          <w:szCs w:val="24"/>
          <w:lang w:val="zh-TW"/>
        </w:rPr>
        <w:t>，助推</w:t>
      </w:r>
      <w:r>
        <w:rPr>
          <w:rFonts w:hint="cs" w:ascii="宋体" w:hAnsi="宋体" w:eastAsia="宋体" w:cs="宋体"/>
          <w:color w:val="auto"/>
          <w:sz w:val="24"/>
          <w:szCs w:val="24"/>
          <w:lang w:val="zh-TW"/>
        </w:rPr>
        <w:t>贸易平等的全面实现，特别是在弥合数字鸿沟等方面</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确保数字贸易产生更多普惠性成果</w:t>
      </w:r>
      <w:r>
        <w:rPr>
          <w:rFonts w:ascii="宋体" w:hAnsi="宋体" w:eastAsia="宋体" w:cs="宋体"/>
          <w:color w:val="auto"/>
          <w:sz w:val="24"/>
          <w:szCs w:val="24"/>
          <w:lang w:val="zh-TW"/>
        </w:rPr>
        <w:t>。</w:t>
      </w:r>
    </w:p>
    <w:p w14:paraId="01D82607">
      <w:pPr>
        <w:pStyle w:val="16"/>
        <w:framePr w:wrap="auto" w:vAnchor="margin" w:hAnchor="text" w:yAlign="inline"/>
        <w:spacing w:line="360" w:lineRule="auto"/>
        <w:ind w:firstLine="482" w:firstLineChars="200"/>
        <w:rPr>
          <w:rFonts w:hint="default" w:ascii="宋体" w:hAnsi="宋体" w:eastAsia="宋体" w:cs="宋体"/>
          <w:color w:val="auto"/>
          <w:sz w:val="24"/>
          <w:szCs w:val="24"/>
          <w:lang w:val="zh-TW"/>
        </w:rPr>
      </w:pPr>
      <w:r>
        <w:rPr>
          <w:rFonts w:hint="default" w:ascii="宋体" w:hAnsi="宋体" w:eastAsia="宋体" w:cs="宋体"/>
          <w:b/>
          <w:bCs/>
          <w:color w:val="auto"/>
          <w:sz w:val="24"/>
          <w:szCs w:val="24"/>
        </w:rPr>
        <w:t>4</w:t>
      </w:r>
      <w:r>
        <w:rPr>
          <w:rFonts w:ascii="宋体" w:hAnsi="宋体" w:eastAsia="宋体" w:cs="宋体"/>
          <w:b/>
          <w:bCs/>
          <w:color w:val="auto"/>
          <w:sz w:val="24"/>
          <w:szCs w:val="24"/>
        </w:rPr>
        <w:t>.</w:t>
      </w:r>
      <w:r>
        <w:rPr>
          <w:rFonts w:ascii="宋体" w:hAnsi="宋体" w:eastAsia="宋体" w:cs="宋体"/>
          <w:b/>
          <w:bCs/>
          <w:color w:val="auto"/>
          <w:sz w:val="24"/>
          <w:szCs w:val="24"/>
          <w:lang w:val="zh-TW"/>
        </w:rPr>
        <w:t>降低风险。</w:t>
      </w:r>
      <w:r>
        <w:rPr>
          <w:rFonts w:ascii="宋体" w:hAnsi="宋体" w:eastAsia="宋体" w:cs="宋体"/>
          <w:bCs/>
          <w:color w:val="auto"/>
          <w:sz w:val="24"/>
          <w:szCs w:val="24"/>
          <w:lang w:val="zh-TW"/>
        </w:rPr>
        <w:t>项目</w:t>
      </w:r>
      <w:r>
        <w:rPr>
          <w:rFonts w:ascii="宋体" w:hAnsi="宋体" w:eastAsia="宋体" w:cs="宋体"/>
          <w:color w:val="auto"/>
          <w:sz w:val="24"/>
          <w:szCs w:val="24"/>
          <w:lang w:val="zh-TW"/>
        </w:rPr>
        <w:t>包含的安全、隐私和合规要求，有助于减少潜在风险和违规行为。通过遵循标准，可以提高数字贸易产业的安全性和合规性，保护消费者数据和各方利益。</w:t>
      </w:r>
    </w:p>
    <w:p w14:paraId="5C379AAE">
      <w:pPr>
        <w:pStyle w:val="16"/>
        <w:framePr w:wrap="auto" w:vAnchor="margin" w:hAnchor="text" w:yAlign="inline"/>
        <w:spacing w:line="360" w:lineRule="auto"/>
        <w:ind w:firstLine="482" w:firstLineChars="200"/>
        <w:rPr>
          <w:rFonts w:hint="default" w:ascii="宋体" w:hAnsi="宋体" w:eastAsia="宋体" w:cs="宋体"/>
          <w:color w:val="auto"/>
          <w:sz w:val="24"/>
          <w:szCs w:val="24"/>
          <w:lang w:val="zh-TW"/>
        </w:rPr>
      </w:pPr>
      <w:r>
        <w:rPr>
          <w:rFonts w:hint="default" w:ascii="宋体" w:hAnsi="宋体" w:eastAsia="宋体" w:cs="宋体"/>
          <w:b/>
          <w:bCs/>
          <w:color w:val="auto"/>
          <w:sz w:val="24"/>
          <w:szCs w:val="24"/>
        </w:rPr>
        <w:t>5</w:t>
      </w:r>
      <w:r>
        <w:rPr>
          <w:rFonts w:ascii="宋体" w:hAnsi="宋体" w:eastAsia="宋体" w:cs="宋体"/>
          <w:b/>
          <w:bCs/>
          <w:color w:val="auto"/>
          <w:sz w:val="24"/>
          <w:szCs w:val="24"/>
        </w:rPr>
        <w:t>.减少成本和能源消耗</w:t>
      </w:r>
      <w:r>
        <w:rPr>
          <w:rFonts w:ascii="宋体" w:hAnsi="宋体" w:eastAsia="宋体" w:cs="宋体"/>
          <w:b/>
          <w:bCs/>
          <w:color w:val="auto"/>
          <w:sz w:val="24"/>
          <w:szCs w:val="24"/>
          <w:lang w:val="zh-TW"/>
        </w:rPr>
        <w:t>。</w:t>
      </w:r>
      <w:r>
        <w:rPr>
          <w:rFonts w:ascii="宋体" w:hAnsi="宋体" w:eastAsia="宋体" w:cs="宋体"/>
          <w:color w:val="auto"/>
          <w:sz w:val="24"/>
          <w:szCs w:val="24"/>
          <w:lang w:val="zh-TW"/>
        </w:rPr>
        <w:t>数字贸易活动中，</w:t>
      </w:r>
      <w:r>
        <w:rPr>
          <w:rFonts w:hint="cs" w:ascii="宋体" w:hAnsi="宋体" w:eastAsia="宋体" w:cs="宋体"/>
          <w:color w:val="auto"/>
          <w:sz w:val="24"/>
          <w:szCs w:val="24"/>
          <w:lang w:val="zh-TW"/>
        </w:rPr>
        <w:t>企业正从其</w:t>
      </w:r>
      <w:r>
        <w:rPr>
          <w:rFonts w:ascii="宋体" w:hAnsi="宋体" w:eastAsia="宋体" w:cs="宋体"/>
          <w:color w:val="auto"/>
          <w:sz w:val="24"/>
          <w:szCs w:val="24"/>
          <w:lang w:val="zh-TW"/>
        </w:rPr>
        <w:t>业务流程的</w:t>
      </w:r>
      <w:r>
        <w:rPr>
          <w:rFonts w:hint="cs" w:ascii="宋体" w:hAnsi="宋体" w:eastAsia="宋体" w:cs="宋体"/>
          <w:color w:val="auto"/>
          <w:sz w:val="24"/>
          <w:szCs w:val="24"/>
          <w:lang w:val="zh-TW"/>
        </w:rPr>
        <w:t>各个阶段收集数据，并运用这些数据提高生产率、降低成本。</w:t>
      </w:r>
      <w:r>
        <w:rPr>
          <w:rFonts w:ascii="宋体" w:hAnsi="宋体" w:eastAsia="宋体" w:cs="宋体"/>
          <w:bCs/>
          <w:color w:val="auto"/>
          <w:sz w:val="24"/>
          <w:szCs w:val="24"/>
          <w:lang w:val="zh-TW"/>
        </w:rPr>
        <w:t>项目</w:t>
      </w:r>
      <w:r>
        <w:rPr>
          <w:rFonts w:hint="cs" w:ascii="宋体" w:hAnsi="宋体" w:eastAsia="宋体" w:cs="宋体"/>
          <w:color w:val="auto"/>
          <w:sz w:val="24"/>
          <w:szCs w:val="24"/>
          <w:lang w:val="zh-TW"/>
        </w:rPr>
        <w:t>有助于相关企业分析生产成本，并为其原材料的物理性质建立约束，从而减少能源消耗，提升效率。</w:t>
      </w:r>
    </w:p>
    <w:p w14:paraId="5C35F1A2">
      <w:pPr>
        <w:pStyle w:val="16"/>
        <w:framePr w:wrap="auto" w:vAnchor="margin" w:hAnchor="text" w:yAlign="inline"/>
        <w:spacing w:line="360" w:lineRule="auto"/>
        <w:ind w:left="482" w:firstLine="0"/>
        <w:rPr>
          <w:rFonts w:hint="default" w:ascii="宋体" w:hAnsi="宋体" w:eastAsia="宋体" w:cs="宋体"/>
          <w:b/>
          <w:bCs/>
          <w:color w:val="auto"/>
          <w:kern w:val="0"/>
          <w:sz w:val="24"/>
          <w:szCs w:val="24"/>
          <w:u w:color="0000FF"/>
          <w:lang w:val="zh-TW"/>
        </w:rPr>
      </w:pPr>
      <w:r>
        <w:rPr>
          <w:rFonts w:ascii="宋体" w:hAnsi="宋体" w:eastAsia="宋体" w:cs="宋体"/>
          <w:b/>
          <w:bCs/>
          <w:color w:val="auto"/>
          <w:kern w:val="0"/>
          <w:sz w:val="24"/>
          <w:szCs w:val="24"/>
          <w:u w:color="0000FF"/>
          <w:lang w:val="zh-TW"/>
        </w:rPr>
        <w:t>三、标准起草的过程简述</w:t>
      </w:r>
    </w:p>
    <w:p w14:paraId="1C83BE54">
      <w:pPr>
        <w:framePr w:wrap="auto" w:vAnchor="margin" w:hAnchor="text" w:yAlign="inline"/>
        <w:spacing w:line="360" w:lineRule="auto"/>
        <w:ind w:firstLine="482" w:firstLineChars="200"/>
        <w:rPr>
          <w:rFonts w:hint="default" w:ascii="宋体" w:hAnsi="宋体" w:eastAsia="宋体" w:cs="宋体"/>
          <w:b/>
          <w:bCs/>
          <w:color w:val="auto"/>
          <w:kern w:val="0"/>
          <w:sz w:val="24"/>
          <w:szCs w:val="24"/>
          <w:u w:color="0000FF"/>
        </w:rPr>
      </w:pPr>
      <w:r>
        <w:rPr>
          <w:rFonts w:ascii="宋体" w:hAnsi="宋体" w:eastAsia="宋体" w:cs="宋体"/>
          <w:b/>
          <w:bCs/>
          <w:color w:val="auto"/>
          <w:kern w:val="0"/>
          <w:sz w:val="24"/>
          <w:szCs w:val="24"/>
          <w:u w:color="0000FF"/>
          <w:lang w:val="zh-TW"/>
        </w:rPr>
        <w:t>（一）预研阶段（</w:t>
      </w:r>
      <w:r>
        <w:rPr>
          <w:rFonts w:ascii="宋体" w:hAnsi="宋体" w:eastAsia="宋体" w:cs="宋体"/>
          <w:b/>
          <w:bCs/>
          <w:color w:val="auto"/>
          <w:kern w:val="0"/>
          <w:sz w:val="24"/>
          <w:szCs w:val="24"/>
          <w:u w:color="0000FF"/>
        </w:rPr>
        <w:t>2023年0</w:t>
      </w:r>
      <w:r>
        <w:rPr>
          <w:rFonts w:hint="default" w:ascii="宋体" w:hAnsi="宋体" w:eastAsia="宋体" w:cs="宋体"/>
          <w:b/>
          <w:bCs/>
          <w:color w:val="auto"/>
          <w:kern w:val="0"/>
          <w:sz w:val="24"/>
          <w:szCs w:val="24"/>
          <w:u w:color="0000FF"/>
        </w:rPr>
        <w:t>1</w:t>
      </w:r>
      <w:r>
        <w:rPr>
          <w:rFonts w:ascii="宋体" w:hAnsi="宋体" w:eastAsia="宋体" w:cs="宋体"/>
          <w:b/>
          <w:bCs/>
          <w:color w:val="auto"/>
          <w:kern w:val="0"/>
          <w:sz w:val="24"/>
          <w:szCs w:val="24"/>
          <w:u w:color="0000FF"/>
        </w:rPr>
        <w:t>月-2023年0</w:t>
      </w:r>
      <w:r>
        <w:rPr>
          <w:rFonts w:hint="default" w:ascii="宋体" w:hAnsi="宋体" w:eastAsia="宋体" w:cs="宋体"/>
          <w:b/>
          <w:bCs/>
          <w:color w:val="auto"/>
          <w:kern w:val="0"/>
          <w:sz w:val="24"/>
          <w:szCs w:val="24"/>
          <w:u w:color="0000FF"/>
        </w:rPr>
        <w:t>4</w:t>
      </w:r>
      <w:r>
        <w:rPr>
          <w:rFonts w:ascii="宋体" w:hAnsi="宋体" w:eastAsia="宋体" w:cs="宋体"/>
          <w:b/>
          <w:bCs/>
          <w:color w:val="auto"/>
          <w:kern w:val="0"/>
          <w:sz w:val="24"/>
          <w:szCs w:val="24"/>
          <w:u w:color="0000FF"/>
        </w:rPr>
        <w:t>月）</w:t>
      </w:r>
    </w:p>
    <w:p w14:paraId="05295444">
      <w:pPr>
        <w:framePr w:wrap="auto" w:vAnchor="margin" w:hAnchor="text" w:yAlign="inline"/>
        <w:spacing w:line="360" w:lineRule="auto"/>
        <w:ind w:firstLine="482" w:firstLineChars="200"/>
        <w:rPr>
          <w:rFonts w:hint="default" w:ascii="宋体" w:hAnsi="宋体" w:eastAsia="宋体" w:cs="宋体"/>
          <w:color w:val="auto"/>
          <w:sz w:val="24"/>
          <w:szCs w:val="24"/>
        </w:rPr>
      </w:pPr>
      <w:r>
        <w:rPr>
          <w:rFonts w:ascii="宋体" w:hAnsi="宋体" w:eastAsia="宋体" w:cs="宋体"/>
          <w:b/>
          <w:bCs/>
          <w:color w:val="auto"/>
          <w:sz w:val="24"/>
          <w:szCs w:val="24"/>
        </w:rPr>
        <w:t>1.</w:t>
      </w:r>
      <w:r>
        <w:rPr>
          <w:rFonts w:hint="default" w:ascii="宋体" w:hAnsi="宋体" w:eastAsia="宋体" w:cs="宋体"/>
          <w:b/>
          <w:bCs/>
          <w:color w:val="auto"/>
          <w:sz w:val="24"/>
          <w:szCs w:val="24"/>
        </w:rPr>
        <w:t>市场与需求分析</w:t>
      </w:r>
      <w:r>
        <w:rPr>
          <w:rFonts w:ascii="宋体" w:hAnsi="宋体" w:eastAsia="宋体" w:cs="宋体"/>
          <w:b/>
          <w:bCs/>
          <w:color w:val="auto"/>
          <w:sz w:val="24"/>
          <w:szCs w:val="24"/>
        </w:rPr>
        <w:t>。</w:t>
      </w:r>
      <w:r>
        <w:rPr>
          <w:rFonts w:hint="default" w:ascii="宋体" w:hAnsi="宋体" w:eastAsia="宋体" w:cs="宋体"/>
          <w:color w:val="auto"/>
          <w:sz w:val="24"/>
          <w:szCs w:val="24"/>
        </w:rPr>
        <w:t>通过数据收集、问卷调查和访谈等方式，深入了解</w:t>
      </w:r>
      <w:r>
        <w:rPr>
          <w:rFonts w:ascii="宋体" w:hAnsi="宋体" w:eastAsia="宋体" w:cs="宋体"/>
          <w:color w:val="auto"/>
          <w:sz w:val="24"/>
          <w:szCs w:val="24"/>
        </w:rPr>
        <w:t>数字贸易</w:t>
      </w:r>
      <w:r>
        <w:rPr>
          <w:rFonts w:hint="cs" w:ascii="宋体" w:hAnsi="宋体" w:eastAsia="宋体" w:cs="宋体"/>
          <w:color w:val="auto"/>
          <w:sz w:val="24"/>
          <w:szCs w:val="24"/>
        </w:rPr>
        <w:t>基本概念与关键倡议</w:t>
      </w:r>
      <w:r>
        <w:rPr>
          <w:rFonts w:ascii="宋体" w:hAnsi="宋体" w:eastAsia="宋体" w:cs="宋体"/>
          <w:color w:val="auto"/>
          <w:sz w:val="24"/>
          <w:szCs w:val="24"/>
        </w:rPr>
        <w:t>标准</w:t>
      </w:r>
      <w:r>
        <w:rPr>
          <w:rFonts w:hint="default" w:ascii="宋体" w:hAnsi="宋体" w:eastAsia="宋体" w:cs="宋体"/>
          <w:color w:val="auto"/>
          <w:sz w:val="24"/>
          <w:szCs w:val="24"/>
        </w:rPr>
        <w:t>的市场需求、现存问题及发展趋势。</w:t>
      </w:r>
    </w:p>
    <w:p w14:paraId="1D926D93">
      <w:pPr>
        <w:framePr w:wrap="auto" w:vAnchor="margin" w:hAnchor="text" w:yAlign="inline"/>
        <w:spacing w:line="360" w:lineRule="auto"/>
        <w:ind w:firstLine="482" w:firstLineChars="200"/>
        <w:rPr>
          <w:rFonts w:hint="default" w:ascii="宋体" w:hAnsi="宋体" w:eastAsia="宋体" w:cs="宋体"/>
          <w:color w:val="auto"/>
          <w:sz w:val="24"/>
          <w:szCs w:val="24"/>
        </w:rPr>
      </w:pPr>
      <w:r>
        <w:rPr>
          <w:rFonts w:ascii="宋体" w:hAnsi="宋体" w:eastAsia="宋体" w:cs="宋体"/>
          <w:b/>
          <w:bCs/>
          <w:color w:val="auto"/>
          <w:sz w:val="24"/>
          <w:szCs w:val="24"/>
        </w:rPr>
        <w:t>2.</w:t>
      </w:r>
      <w:r>
        <w:rPr>
          <w:rFonts w:hint="default" w:ascii="宋体" w:hAnsi="宋体" w:eastAsia="宋体" w:cs="宋体"/>
          <w:b/>
          <w:bCs/>
          <w:color w:val="auto"/>
          <w:sz w:val="24"/>
          <w:szCs w:val="24"/>
        </w:rPr>
        <w:t>政策与法规研究</w:t>
      </w:r>
      <w:r>
        <w:rPr>
          <w:rFonts w:ascii="宋体" w:hAnsi="宋体" w:eastAsia="宋体" w:cs="宋体"/>
          <w:b/>
          <w:bCs/>
          <w:color w:val="auto"/>
          <w:sz w:val="24"/>
          <w:szCs w:val="24"/>
        </w:rPr>
        <w:t>。</w:t>
      </w:r>
      <w:r>
        <w:rPr>
          <w:rFonts w:hint="default" w:ascii="宋体" w:hAnsi="宋体" w:eastAsia="宋体" w:cs="宋体"/>
          <w:color w:val="auto"/>
          <w:sz w:val="24"/>
          <w:szCs w:val="24"/>
        </w:rPr>
        <w:t>梳理与</w:t>
      </w:r>
      <w:r>
        <w:rPr>
          <w:rFonts w:ascii="宋体" w:hAnsi="宋体" w:eastAsia="宋体" w:cs="宋体"/>
          <w:color w:val="auto"/>
          <w:sz w:val="24"/>
          <w:szCs w:val="24"/>
        </w:rPr>
        <w:t>数字贸易</w:t>
      </w:r>
      <w:r>
        <w:rPr>
          <w:rFonts w:hint="cs" w:ascii="宋体" w:hAnsi="宋体" w:eastAsia="宋体" w:cs="宋体"/>
          <w:color w:val="auto"/>
          <w:sz w:val="24"/>
          <w:szCs w:val="24"/>
        </w:rPr>
        <w:t>基本概念与关键倡议</w:t>
      </w:r>
      <w:r>
        <w:rPr>
          <w:rFonts w:hint="default" w:ascii="宋体" w:hAnsi="宋体" w:eastAsia="宋体" w:cs="宋体"/>
          <w:color w:val="auto"/>
          <w:sz w:val="24"/>
          <w:szCs w:val="24"/>
        </w:rPr>
        <w:t>相关的国内外法律法规、政策导向，确保标准草案的合法性和适应性。</w:t>
      </w:r>
    </w:p>
    <w:p w14:paraId="15827513">
      <w:pPr>
        <w:framePr w:wrap="auto" w:vAnchor="margin" w:hAnchor="text" w:yAlign="inline"/>
        <w:spacing w:line="360" w:lineRule="auto"/>
        <w:ind w:firstLine="482" w:firstLineChars="200"/>
        <w:rPr>
          <w:rFonts w:hint="default" w:ascii="宋体" w:hAnsi="宋体" w:eastAsia="宋体" w:cs="宋体"/>
          <w:color w:val="auto"/>
          <w:sz w:val="24"/>
          <w:szCs w:val="24"/>
        </w:rPr>
      </w:pPr>
      <w:r>
        <w:rPr>
          <w:rFonts w:ascii="宋体" w:hAnsi="宋体" w:eastAsia="宋体" w:cs="宋体"/>
          <w:b/>
          <w:bCs/>
          <w:color w:val="auto"/>
          <w:sz w:val="24"/>
          <w:szCs w:val="24"/>
        </w:rPr>
        <w:t>3.</w:t>
      </w:r>
      <w:r>
        <w:rPr>
          <w:rFonts w:hint="default" w:ascii="宋体" w:hAnsi="宋体" w:eastAsia="宋体" w:cs="宋体"/>
          <w:b/>
          <w:bCs/>
          <w:color w:val="auto"/>
          <w:sz w:val="24"/>
          <w:szCs w:val="24"/>
        </w:rPr>
        <w:t>技术调研</w:t>
      </w:r>
      <w:r>
        <w:rPr>
          <w:rFonts w:ascii="宋体" w:hAnsi="宋体" w:eastAsia="宋体" w:cs="宋体"/>
          <w:b/>
          <w:bCs/>
          <w:color w:val="auto"/>
          <w:sz w:val="24"/>
          <w:szCs w:val="24"/>
        </w:rPr>
        <w:t>。</w:t>
      </w:r>
      <w:r>
        <w:rPr>
          <w:rFonts w:hint="default" w:ascii="宋体" w:hAnsi="宋体" w:eastAsia="宋体" w:cs="宋体"/>
          <w:color w:val="auto"/>
          <w:sz w:val="24"/>
          <w:szCs w:val="24"/>
        </w:rPr>
        <w:t>评估当前</w:t>
      </w:r>
      <w:r>
        <w:rPr>
          <w:rFonts w:hint="cs" w:ascii="宋体" w:hAnsi="宋体" w:eastAsia="宋体" w:cs="宋体"/>
          <w:color w:val="auto"/>
          <w:sz w:val="24"/>
          <w:szCs w:val="24"/>
        </w:rPr>
        <w:t>在全球各国政府部门、国际组织、智库和研究机构以及私营部门中广泛使用的与数字贸易相关的基本概念和关键举措</w:t>
      </w:r>
      <w:r>
        <w:rPr>
          <w:rFonts w:hint="default" w:ascii="宋体" w:hAnsi="宋体" w:eastAsia="宋体" w:cs="宋体"/>
          <w:color w:val="auto"/>
          <w:sz w:val="24"/>
          <w:szCs w:val="24"/>
        </w:rPr>
        <w:t>的最新发展，为标准草案提供技术支撑。</w:t>
      </w:r>
    </w:p>
    <w:p w14:paraId="48D2171E">
      <w:pPr>
        <w:framePr w:wrap="auto" w:vAnchor="margin" w:hAnchor="text" w:yAlign="inline"/>
        <w:spacing w:line="360" w:lineRule="auto"/>
        <w:ind w:firstLine="482" w:firstLineChars="200"/>
        <w:rPr>
          <w:rFonts w:hint="default" w:ascii="宋体" w:hAnsi="宋体" w:eastAsia="宋体" w:cs="宋体"/>
          <w:color w:val="auto"/>
          <w:sz w:val="24"/>
          <w:szCs w:val="24"/>
        </w:rPr>
      </w:pPr>
      <w:r>
        <w:rPr>
          <w:rFonts w:ascii="宋体" w:hAnsi="宋体" w:eastAsia="宋体" w:cs="宋体"/>
          <w:b/>
          <w:bCs/>
          <w:color w:val="auto"/>
          <w:sz w:val="24"/>
          <w:szCs w:val="24"/>
        </w:rPr>
        <w:t>4.</w:t>
      </w:r>
      <w:r>
        <w:rPr>
          <w:rFonts w:hint="default" w:ascii="宋体" w:hAnsi="宋体" w:eastAsia="宋体" w:cs="宋体"/>
          <w:b/>
          <w:bCs/>
          <w:color w:val="auto"/>
          <w:sz w:val="24"/>
          <w:szCs w:val="24"/>
        </w:rPr>
        <w:t>行业最佳实践</w:t>
      </w:r>
      <w:r>
        <w:rPr>
          <w:rFonts w:ascii="宋体" w:hAnsi="宋体" w:eastAsia="宋体" w:cs="宋体"/>
          <w:b/>
          <w:bCs/>
          <w:color w:val="auto"/>
          <w:sz w:val="24"/>
          <w:szCs w:val="24"/>
        </w:rPr>
        <w:t>。</w:t>
      </w:r>
      <w:r>
        <w:rPr>
          <w:rFonts w:hint="default" w:ascii="宋体" w:hAnsi="宋体" w:eastAsia="宋体" w:cs="宋体"/>
          <w:color w:val="auto"/>
          <w:sz w:val="24"/>
          <w:szCs w:val="24"/>
        </w:rPr>
        <w:t>研究</w:t>
      </w:r>
      <w:r>
        <w:rPr>
          <w:rFonts w:ascii="宋体" w:hAnsi="宋体" w:eastAsia="宋体" w:cs="宋体"/>
          <w:color w:val="auto"/>
          <w:sz w:val="24"/>
          <w:szCs w:val="24"/>
        </w:rPr>
        <w:t>数字贸易产业</w:t>
      </w:r>
      <w:r>
        <w:rPr>
          <w:rFonts w:hint="default" w:ascii="宋体" w:hAnsi="宋体" w:eastAsia="宋体" w:cs="宋体"/>
          <w:color w:val="auto"/>
          <w:sz w:val="24"/>
          <w:szCs w:val="24"/>
        </w:rPr>
        <w:t>的成功案例，包括国内外优秀的</w:t>
      </w:r>
      <w:r>
        <w:rPr>
          <w:rFonts w:ascii="宋体" w:hAnsi="宋体" w:eastAsia="宋体" w:cs="宋体"/>
          <w:color w:val="auto"/>
          <w:sz w:val="24"/>
          <w:szCs w:val="24"/>
        </w:rPr>
        <w:t>相关产业规划与政策制定</w:t>
      </w:r>
      <w:r>
        <w:rPr>
          <w:rFonts w:hint="default" w:ascii="宋体" w:hAnsi="宋体" w:eastAsia="宋体" w:cs="宋体"/>
          <w:color w:val="auto"/>
          <w:sz w:val="24"/>
          <w:szCs w:val="24"/>
        </w:rPr>
        <w:t>，汲取其成功经验。</w:t>
      </w:r>
    </w:p>
    <w:p w14:paraId="3ECDC319">
      <w:pPr>
        <w:framePr w:wrap="auto" w:vAnchor="margin" w:hAnchor="text" w:yAlign="inline"/>
        <w:spacing w:line="360" w:lineRule="auto"/>
        <w:ind w:firstLine="482" w:firstLineChars="200"/>
        <w:rPr>
          <w:rFonts w:hint="default" w:ascii="宋体" w:hAnsi="宋体" w:eastAsia="宋体" w:cs="宋体"/>
          <w:color w:val="auto"/>
          <w:sz w:val="24"/>
          <w:szCs w:val="24"/>
        </w:rPr>
      </w:pPr>
      <w:r>
        <w:rPr>
          <w:rFonts w:ascii="宋体" w:hAnsi="宋体" w:eastAsia="宋体" w:cs="宋体"/>
          <w:b/>
          <w:bCs/>
          <w:color w:val="auto"/>
          <w:sz w:val="24"/>
          <w:szCs w:val="24"/>
        </w:rPr>
        <w:t>5.组建项目团队。</w:t>
      </w:r>
      <w:r>
        <w:rPr>
          <w:rFonts w:hint="default" w:ascii="宋体" w:hAnsi="宋体" w:eastAsia="宋体" w:cs="宋体"/>
          <w:color w:val="auto"/>
          <w:sz w:val="24"/>
          <w:szCs w:val="24"/>
        </w:rPr>
        <w:t>确立</w:t>
      </w:r>
      <w:r>
        <w:rPr>
          <w:rFonts w:ascii="宋体" w:hAnsi="宋体" w:eastAsia="宋体" w:cs="宋体"/>
          <w:color w:val="auto"/>
          <w:sz w:val="24"/>
          <w:szCs w:val="24"/>
        </w:rPr>
        <w:t>团体标准研制</w:t>
      </w:r>
      <w:r>
        <w:rPr>
          <w:rFonts w:hint="default" w:ascii="宋体" w:hAnsi="宋体" w:eastAsia="宋体" w:cs="宋体"/>
          <w:color w:val="auto"/>
          <w:sz w:val="24"/>
          <w:szCs w:val="24"/>
        </w:rPr>
        <w:t>项目团队，</w:t>
      </w:r>
      <w:r>
        <w:rPr>
          <w:rFonts w:ascii="宋体" w:hAnsi="宋体" w:eastAsia="宋体" w:cs="宋体"/>
          <w:color w:val="auto"/>
          <w:sz w:val="24"/>
          <w:szCs w:val="24"/>
        </w:rPr>
        <w:t>根据标准研制的需要</w:t>
      </w:r>
      <w:r>
        <w:rPr>
          <w:rFonts w:hint="default" w:ascii="宋体" w:hAnsi="宋体" w:eastAsia="宋体" w:cs="宋体"/>
          <w:color w:val="auto"/>
          <w:sz w:val="24"/>
          <w:szCs w:val="24"/>
        </w:rPr>
        <w:t>分配角色和任务。</w:t>
      </w:r>
    </w:p>
    <w:p w14:paraId="76C270D1">
      <w:pPr>
        <w:framePr w:wrap="auto" w:vAnchor="margin" w:hAnchor="text" w:yAlign="inline"/>
        <w:spacing w:line="360" w:lineRule="auto"/>
        <w:ind w:firstLine="482" w:firstLineChars="200"/>
        <w:rPr>
          <w:rFonts w:hint="default" w:ascii="宋体" w:hAnsi="宋体" w:eastAsia="宋体" w:cs="宋体"/>
          <w:b/>
          <w:bCs/>
          <w:sz w:val="24"/>
          <w:szCs w:val="24"/>
          <w:lang w:val="zh-TW"/>
        </w:rPr>
      </w:pPr>
      <w:r>
        <w:rPr>
          <w:rFonts w:hint="default" w:ascii="宋体" w:hAnsi="宋体" w:eastAsia="宋体" w:cs="宋体"/>
          <w:b/>
          <w:bCs/>
          <w:sz w:val="24"/>
          <w:szCs w:val="24"/>
          <w:lang w:val="zh-TW"/>
        </w:rPr>
        <w:t>（二）立项阶段</w:t>
      </w:r>
      <w:r>
        <w:rPr>
          <w:rFonts w:ascii="宋体" w:hAnsi="宋体" w:eastAsia="宋体" w:cs="宋体"/>
          <w:b/>
          <w:bCs/>
          <w:sz w:val="24"/>
          <w:szCs w:val="24"/>
          <w:lang w:val="zh-TW"/>
        </w:rPr>
        <w:t>（</w:t>
      </w:r>
      <w:r>
        <w:rPr>
          <w:rFonts w:ascii="宋体" w:hAnsi="宋体" w:eastAsia="宋体" w:cs="宋体"/>
          <w:b/>
          <w:bCs/>
          <w:sz w:val="24"/>
          <w:szCs w:val="24"/>
        </w:rPr>
        <w:t>2023年0</w:t>
      </w:r>
      <w:r>
        <w:rPr>
          <w:rFonts w:hint="default" w:ascii="宋体" w:hAnsi="宋体" w:eastAsia="宋体" w:cs="宋体"/>
          <w:b/>
          <w:bCs/>
          <w:sz w:val="24"/>
          <w:szCs w:val="24"/>
        </w:rPr>
        <w:t>4</w:t>
      </w:r>
      <w:r>
        <w:rPr>
          <w:rFonts w:ascii="宋体" w:hAnsi="宋体" w:eastAsia="宋体" w:cs="宋体"/>
          <w:b/>
          <w:bCs/>
          <w:sz w:val="24"/>
          <w:szCs w:val="24"/>
        </w:rPr>
        <w:t>月</w:t>
      </w:r>
      <w:r>
        <w:rPr>
          <w:rFonts w:hint="default" w:ascii="宋体" w:hAnsi="宋体" w:eastAsia="宋体" w:cs="宋体"/>
          <w:b/>
          <w:bCs/>
          <w:sz w:val="24"/>
          <w:szCs w:val="24"/>
        </w:rPr>
        <w:t>28</w:t>
      </w:r>
      <w:r>
        <w:rPr>
          <w:rFonts w:ascii="宋体" w:hAnsi="宋体" w:eastAsia="宋体" w:cs="宋体"/>
          <w:b/>
          <w:bCs/>
          <w:sz w:val="24"/>
          <w:szCs w:val="24"/>
        </w:rPr>
        <w:t>日</w:t>
      </w:r>
      <w:r>
        <w:rPr>
          <w:rFonts w:ascii="宋体" w:hAnsi="宋体" w:eastAsia="宋体" w:cs="宋体"/>
          <w:b/>
          <w:bCs/>
          <w:sz w:val="24"/>
          <w:szCs w:val="24"/>
          <w:lang w:val="zh-TW"/>
        </w:rPr>
        <w:t>）</w:t>
      </w:r>
    </w:p>
    <w:p w14:paraId="1C6F00DB">
      <w:pPr>
        <w:framePr w:wrap="auto" w:vAnchor="margin" w:hAnchor="text" w:yAlign="inline"/>
        <w:spacing w:line="360" w:lineRule="auto"/>
        <w:ind w:firstLine="482" w:firstLineChars="200"/>
        <w:rPr>
          <w:rFonts w:hint="default" w:ascii="宋体" w:hAnsi="宋体" w:eastAsia="宋体" w:cs="宋体"/>
          <w:color w:val="auto"/>
          <w:sz w:val="24"/>
          <w:szCs w:val="24"/>
        </w:rPr>
      </w:pPr>
      <w:r>
        <w:rPr>
          <w:rFonts w:ascii="宋体" w:hAnsi="宋体" w:eastAsia="宋体" w:cs="宋体"/>
          <w:b/>
          <w:bCs/>
          <w:color w:val="auto"/>
          <w:sz w:val="24"/>
          <w:szCs w:val="24"/>
        </w:rPr>
        <w:t>1.</w:t>
      </w:r>
      <w:r>
        <w:rPr>
          <w:rFonts w:hint="default" w:ascii="宋体" w:hAnsi="宋体" w:eastAsia="宋体" w:cs="宋体"/>
          <w:b/>
          <w:bCs/>
          <w:color w:val="auto"/>
          <w:sz w:val="24"/>
          <w:szCs w:val="24"/>
        </w:rPr>
        <w:t>立项准备</w:t>
      </w:r>
      <w:r>
        <w:rPr>
          <w:rFonts w:ascii="宋体" w:hAnsi="宋体" w:eastAsia="宋体" w:cs="宋体"/>
          <w:b/>
          <w:bCs/>
          <w:color w:val="auto"/>
          <w:sz w:val="24"/>
          <w:szCs w:val="24"/>
        </w:rPr>
        <w:t>。</w:t>
      </w:r>
      <w:r>
        <w:rPr>
          <w:rFonts w:hint="default" w:ascii="宋体" w:hAnsi="宋体" w:eastAsia="宋体" w:cs="宋体"/>
          <w:color w:val="auto"/>
          <w:sz w:val="24"/>
          <w:szCs w:val="24"/>
        </w:rPr>
        <w:t>整合预研阶段的成果，制定标准</w:t>
      </w:r>
      <w:r>
        <w:rPr>
          <w:rFonts w:ascii="宋体" w:hAnsi="宋体" w:eastAsia="宋体" w:cs="宋体"/>
          <w:color w:val="auto"/>
          <w:sz w:val="24"/>
          <w:szCs w:val="24"/>
        </w:rPr>
        <w:t>研发</w:t>
      </w:r>
      <w:r>
        <w:rPr>
          <w:rFonts w:hint="default" w:ascii="宋体" w:hAnsi="宋体" w:eastAsia="宋体" w:cs="宋体"/>
          <w:color w:val="auto"/>
          <w:sz w:val="24"/>
          <w:szCs w:val="24"/>
        </w:rPr>
        <w:t>的初步方案和目标。</w:t>
      </w:r>
    </w:p>
    <w:p w14:paraId="6980A002">
      <w:pPr>
        <w:framePr w:wrap="auto" w:vAnchor="margin" w:hAnchor="text" w:yAlign="inline"/>
        <w:spacing w:line="360" w:lineRule="auto"/>
        <w:ind w:firstLine="482" w:firstLineChars="200"/>
        <w:rPr>
          <w:rFonts w:hint="default" w:ascii="宋体" w:hAnsi="宋体" w:eastAsia="宋体" w:cs="宋体"/>
          <w:b/>
          <w:bCs/>
          <w:sz w:val="24"/>
          <w:szCs w:val="24"/>
        </w:rPr>
      </w:pPr>
      <w:r>
        <w:rPr>
          <w:rFonts w:ascii="宋体" w:hAnsi="宋体" w:eastAsia="宋体" w:cs="宋体"/>
          <w:b/>
          <w:bCs/>
          <w:color w:val="auto"/>
          <w:sz w:val="24"/>
          <w:szCs w:val="24"/>
        </w:rPr>
        <w:t>2.</w:t>
      </w:r>
      <w:r>
        <w:rPr>
          <w:rFonts w:hint="default" w:ascii="宋体" w:hAnsi="宋体" w:eastAsia="宋体" w:cs="宋体"/>
          <w:b/>
          <w:bCs/>
          <w:color w:val="auto"/>
          <w:sz w:val="24"/>
          <w:szCs w:val="24"/>
        </w:rPr>
        <w:t>正式立项</w:t>
      </w:r>
      <w:r>
        <w:rPr>
          <w:rFonts w:ascii="宋体" w:hAnsi="宋体" w:eastAsia="宋体" w:cs="宋体"/>
          <w:b/>
          <w:bCs/>
          <w:color w:val="auto"/>
          <w:sz w:val="24"/>
          <w:szCs w:val="24"/>
        </w:rPr>
        <w:t>。</w:t>
      </w:r>
      <w:r>
        <w:rPr>
          <w:rFonts w:ascii="宋体" w:hAnsi="宋体" w:eastAsia="宋体" w:cs="宋体"/>
          <w:color w:val="auto"/>
          <w:sz w:val="24"/>
          <w:szCs w:val="24"/>
        </w:rPr>
        <w:t>2023年0</w:t>
      </w:r>
      <w:r>
        <w:rPr>
          <w:rFonts w:hint="default" w:ascii="宋体" w:hAnsi="宋体" w:eastAsia="宋体" w:cs="宋体"/>
          <w:color w:val="auto"/>
          <w:sz w:val="24"/>
          <w:szCs w:val="24"/>
        </w:rPr>
        <w:t>4</w:t>
      </w:r>
      <w:r>
        <w:rPr>
          <w:rFonts w:ascii="宋体" w:hAnsi="宋体" w:eastAsia="宋体" w:cs="宋体"/>
          <w:color w:val="auto"/>
          <w:sz w:val="24"/>
          <w:szCs w:val="24"/>
        </w:rPr>
        <w:t>月</w:t>
      </w:r>
      <w:r>
        <w:rPr>
          <w:rFonts w:hint="default" w:ascii="宋体" w:hAnsi="宋体" w:eastAsia="宋体" w:cs="宋体"/>
          <w:color w:val="auto"/>
          <w:sz w:val="24"/>
          <w:szCs w:val="24"/>
        </w:rPr>
        <w:t>28</w:t>
      </w:r>
      <w:r>
        <w:rPr>
          <w:rFonts w:ascii="宋体" w:hAnsi="宋体" w:eastAsia="宋体" w:cs="宋体"/>
          <w:color w:val="auto"/>
          <w:sz w:val="24"/>
          <w:szCs w:val="24"/>
        </w:rPr>
        <w:t>日，</w:t>
      </w:r>
      <w:r>
        <w:rPr>
          <w:rFonts w:ascii="宋体" w:hAnsi="宋体" w:eastAsia="宋体" w:cs="宋体"/>
          <w:color w:val="auto"/>
          <w:sz w:val="24"/>
          <w:szCs w:val="24"/>
          <w:lang w:val="zh-TW"/>
        </w:rPr>
        <w:t>商业行业委员会</w:t>
      </w:r>
      <w:r>
        <w:rPr>
          <w:rFonts w:ascii="宋体" w:hAnsi="宋体" w:eastAsia="宋体" w:cs="宋体"/>
          <w:color w:val="auto"/>
          <w:sz w:val="24"/>
          <w:szCs w:val="24"/>
        </w:rPr>
        <w:t>在全国团体标准信息平台发布《中国国际贸易促进委员会商业行业委员会关于下达2023年第四批团体标准项目计划的通知》及立项文件</w:t>
      </w:r>
      <w:r>
        <w:rPr>
          <w:rFonts w:ascii="宋体" w:hAnsi="宋体" w:eastAsia="宋体" w:cs="宋体"/>
          <w:color w:val="auto"/>
          <w:sz w:val="24"/>
          <w:szCs w:val="24"/>
          <w:lang w:val="zh-TW"/>
        </w:rPr>
        <w:t>《2023年第四批中国国贸促会商业行业委员会团体标准项目计划》，</w:t>
      </w:r>
      <w:r>
        <w:rPr>
          <w:rFonts w:ascii="宋体" w:hAnsi="宋体" w:eastAsia="宋体" w:cs="宋体"/>
          <w:color w:val="auto"/>
          <w:sz w:val="24"/>
          <w:szCs w:val="24"/>
        </w:rPr>
        <w:t>团体标准</w:t>
      </w:r>
      <w:r>
        <w:rPr>
          <w:rFonts w:ascii="宋体" w:hAnsi="宋体" w:eastAsia="宋体" w:cs="宋体"/>
          <w:color w:val="auto"/>
          <w:sz w:val="24"/>
          <w:szCs w:val="24"/>
          <w:lang w:val="zh-TW"/>
        </w:rPr>
        <w:t>CCPIT-CSC-JH2023</w:t>
      </w:r>
      <w:r>
        <w:rPr>
          <w:rFonts w:ascii="宋体" w:hAnsi="宋体" w:cs="宋体" w:eastAsiaTheme="minorEastAsia"/>
          <w:color w:val="auto"/>
          <w:sz w:val="24"/>
          <w:szCs w:val="24"/>
          <w:lang w:val="zh-TW"/>
        </w:rPr>
        <w:t>2</w:t>
      </w:r>
      <w:r>
        <w:rPr>
          <w:rFonts w:hint="default" w:ascii="宋体" w:hAnsi="宋体" w:eastAsia="PMingLiU" w:cs="宋体"/>
          <w:color w:val="auto"/>
          <w:sz w:val="24"/>
          <w:szCs w:val="24"/>
          <w:lang w:val="zh-TW"/>
        </w:rPr>
        <w:t>49</w:t>
      </w:r>
      <w:r>
        <w:rPr>
          <w:rFonts w:hint="cs" w:ascii="宋体" w:hAnsi="宋体" w:eastAsia="宋体" w:cs="宋体"/>
          <w:color w:val="auto"/>
          <w:sz w:val="24"/>
          <w:szCs w:val="24"/>
          <w:lang w:val="zh-TW"/>
        </w:rPr>
        <w:t>《</w:t>
      </w:r>
      <w:r>
        <w:rPr>
          <w:rFonts w:hint="cs" w:ascii="宋体" w:hAnsi="宋体" w:eastAsia="宋体" w:cs="宋体"/>
          <w:color w:val="auto"/>
          <w:sz w:val="24"/>
          <w:szCs w:val="24"/>
        </w:rPr>
        <w:t>数字贸易</w:t>
      </w:r>
      <w:r>
        <w:rPr>
          <w:rFonts w:ascii="宋体" w:hAnsi="宋体" w:eastAsia="宋体" w:cs="宋体"/>
          <w:color w:val="auto"/>
          <w:sz w:val="24"/>
          <w:szCs w:val="24"/>
        </w:rPr>
        <w:t xml:space="preserve"> </w:t>
      </w:r>
      <w:r>
        <w:rPr>
          <w:rFonts w:hint="cs" w:ascii="宋体" w:hAnsi="宋体" w:eastAsia="宋体" w:cs="宋体"/>
          <w:color w:val="auto"/>
          <w:sz w:val="24"/>
          <w:szCs w:val="24"/>
        </w:rPr>
        <w:t>基本概念与关键倡议</w:t>
      </w:r>
      <w:r>
        <w:rPr>
          <w:rFonts w:hint="cs" w:ascii="宋体" w:hAnsi="宋体" w:eastAsia="宋体" w:cs="宋体"/>
          <w:color w:val="auto"/>
          <w:sz w:val="24"/>
          <w:szCs w:val="24"/>
          <w:lang w:val="zh-TW"/>
        </w:rPr>
        <w:t>》</w:t>
      </w:r>
      <w:r>
        <w:rPr>
          <w:rFonts w:ascii="宋体" w:hAnsi="宋体" w:eastAsia="宋体" w:cs="宋体"/>
          <w:color w:val="auto"/>
          <w:sz w:val="24"/>
          <w:szCs w:val="24"/>
        </w:rPr>
        <w:t>正式立项。</w:t>
      </w:r>
    </w:p>
    <w:p w14:paraId="06874D63">
      <w:pPr>
        <w:framePr w:wrap="auto" w:vAnchor="margin" w:hAnchor="text" w:yAlign="inline"/>
        <w:spacing w:line="360" w:lineRule="auto"/>
        <w:ind w:firstLine="482" w:firstLineChars="200"/>
        <w:rPr>
          <w:rFonts w:hint="default" w:ascii="宋体" w:hAnsi="宋体" w:eastAsia="宋体" w:cs="宋体"/>
          <w:b/>
          <w:bCs/>
          <w:sz w:val="24"/>
          <w:szCs w:val="24"/>
          <w:lang w:val="zh-TW"/>
        </w:rPr>
      </w:pPr>
      <w:r>
        <w:rPr>
          <w:rFonts w:ascii="宋体" w:hAnsi="宋体" w:eastAsia="宋体" w:cs="宋体"/>
          <w:b/>
          <w:bCs/>
          <w:sz w:val="24"/>
          <w:szCs w:val="24"/>
          <w:lang w:val="zh-TW"/>
        </w:rPr>
        <w:t>（三）起草阶段（</w:t>
      </w:r>
      <w:r>
        <w:rPr>
          <w:rFonts w:ascii="宋体" w:hAnsi="宋体" w:eastAsia="宋体" w:cs="宋体"/>
          <w:b/>
          <w:bCs/>
          <w:sz w:val="24"/>
          <w:szCs w:val="24"/>
        </w:rPr>
        <w:t>2023年0</w:t>
      </w:r>
      <w:r>
        <w:rPr>
          <w:rFonts w:hint="default" w:ascii="宋体" w:hAnsi="宋体" w:eastAsia="宋体" w:cs="宋体"/>
          <w:b/>
          <w:bCs/>
          <w:sz w:val="24"/>
          <w:szCs w:val="24"/>
        </w:rPr>
        <w:t>5</w:t>
      </w:r>
      <w:r>
        <w:rPr>
          <w:rFonts w:ascii="宋体" w:hAnsi="宋体" w:eastAsia="宋体" w:cs="宋体"/>
          <w:b/>
          <w:bCs/>
          <w:sz w:val="24"/>
          <w:szCs w:val="24"/>
        </w:rPr>
        <w:t>月01日-2024年</w:t>
      </w:r>
      <w:r>
        <w:rPr>
          <w:rFonts w:hint="default" w:ascii="宋体" w:hAnsi="宋体" w:eastAsia="宋体" w:cs="宋体"/>
          <w:b/>
          <w:bCs/>
          <w:sz w:val="24"/>
          <w:szCs w:val="24"/>
        </w:rPr>
        <w:t>11</w:t>
      </w:r>
      <w:r>
        <w:rPr>
          <w:rFonts w:ascii="宋体" w:hAnsi="宋体" w:eastAsia="宋体" w:cs="宋体"/>
          <w:b/>
          <w:bCs/>
          <w:sz w:val="24"/>
          <w:szCs w:val="24"/>
        </w:rPr>
        <w:t>月</w:t>
      </w:r>
      <w:r>
        <w:rPr>
          <w:rFonts w:hint="default" w:ascii="宋体" w:hAnsi="宋体" w:eastAsia="宋体" w:cs="宋体"/>
          <w:b/>
          <w:bCs/>
          <w:sz w:val="24"/>
          <w:szCs w:val="24"/>
        </w:rPr>
        <w:t>22</w:t>
      </w:r>
      <w:r>
        <w:rPr>
          <w:rFonts w:ascii="宋体" w:hAnsi="宋体" w:eastAsia="宋体" w:cs="宋体"/>
          <w:b/>
          <w:bCs/>
          <w:sz w:val="24"/>
          <w:szCs w:val="24"/>
        </w:rPr>
        <w:t>日</w:t>
      </w:r>
      <w:r>
        <w:rPr>
          <w:rFonts w:ascii="宋体" w:hAnsi="宋体" w:eastAsia="宋体" w:cs="宋体"/>
          <w:b/>
          <w:bCs/>
          <w:sz w:val="24"/>
          <w:szCs w:val="24"/>
          <w:lang w:val="zh-TW"/>
        </w:rPr>
        <w:t>）</w:t>
      </w:r>
    </w:p>
    <w:p w14:paraId="0FB08E95">
      <w:pPr>
        <w:framePr w:wrap="auto" w:vAnchor="margin" w:hAnchor="text" w:yAlign="inline"/>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lang w:val="zh-TW"/>
        </w:rPr>
        <w:t>报商业行业委员会审阅，在行业内广泛征求意见，召开专家研讨会，并按照行业专家意见进一步修改、完善。</w:t>
      </w:r>
    </w:p>
    <w:p w14:paraId="035AA5C7">
      <w:pPr>
        <w:framePr w:wrap="auto" w:vAnchor="margin" w:hAnchor="text" w:yAlign="inline"/>
        <w:spacing w:line="360" w:lineRule="auto"/>
        <w:ind w:firstLine="482" w:firstLineChars="200"/>
        <w:rPr>
          <w:rFonts w:hint="default" w:ascii="宋体" w:hAnsi="宋体" w:eastAsia="宋体" w:cs="宋体"/>
          <w:color w:val="auto"/>
          <w:sz w:val="24"/>
          <w:szCs w:val="24"/>
        </w:rPr>
      </w:pPr>
      <w:r>
        <w:rPr>
          <w:rFonts w:ascii="宋体" w:hAnsi="宋体" w:eastAsia="宋体" w:cs="宋体"/>
          <w:b/>
          <w:bCs/>
          <w:color w:val="auto"/>
          <w:sz w:val="24"/>
          <w:szCs w:val="24"/>
        </w:rPr>
        <w:t>1.草案编写</w:t>
      </w:r>
      <w:r>
        <w:rPr>
          <w:rFonts w:ascii="宋体" w:hAnsi="宋体" w:eastAsia="宋体" w:cs="宋体"/>
          <w:color w:val="auto"/>
          <w:sz w:val="24"/>
          <w:szCs w:val="24"/>
        </w:rPr>
        <w:t>。根据预研阶段收集的信息，以及行业标准和法律法规，形成标准草案。</w:t>
      </w:r>
    </w:p>
    <w:p w14:paraId="479666E2">
      <w:pPr>
        <w:framePr w:wrap="auto" w:vAnchor="margin" w:hAnchor="text" w:yAlign="inline"/>
        <w:spacing w:line="360" w:lineRule="auto"/>
        <w:ind w:firstLine="482" w:firstLineChars="200"/>
        <w:rPr>
          <w:rFonts w:hint="default" w:ascii="宋体" w:hAnsi="宋体" w:eastAsia="宋体" w:cs="宋体"/>
          <w:color w:val="auto"/>
          <w:sz w:val="24"/>
          <w:szCs w:val="24"/>
        </w:rPr>
      </w:pPr>
      <w:r>
        <w:rPr>
          <w:rFonts w:ascii="宋体" w:hAnsi="宋体" w:eastAsia="宋体" w:cs="宋体"/>
          <w:b/>
          <w:bCs/>
          <w:color w:val="auto"/>
          <w:sz w:val="24"/>
          <w:szCs w:val="24"/>
        </w:rPr>
        <w:t>2.内部审议与修改</w:t>
      </w:r>
      <w:r>
        <w:rPr>
          <w:rFonts w:ascii="宋体" w:hAnsi="宋体" w:eastAsia="宋体" w:cs="宋体"/>
          <w:color w:val="auto"/>
          <w:sz w:val="24"/>
          <w:szCs w:val="24"/>
        </w:rPr>
        <w:t>。项目团队对草案进行初步审查，根据团队反馈进行修改。</w:t>
      </w:r>
    </w:p>
    <w:p w14:paraId="6FF5D0A7">
      <w:pPr>
        <w:framePr w:wrap="auto" w:vAnchor="margin" w:hAnchor="text" w:yAlign="inline"/>
        <w:spacing w:line="360" w:lineRule="auto"/>
        <w:ind w:firstLine="482" w:firstLineChars="200"/>
        <w:rPr>
          <w:rFonts w:hint="default" w:ascii="宋体" w:hAnsi="宋体" w:eastAsia="宋体" w:cs="宋体"/>
          <w:color w:val="auto"/>
          <w:sz w:val="24"/>
          <w:szCs w:val="24"/>
        </w:rPr>
      </w:pPr>
      <w:r>
        <w:rPr>
          <w:rFonts w:ascii="宋体" w:hAnsi="宋体" w:eastAsia="宋体" w:cs="宋体"/>
          <w:b/>
          <w:bCs/>
          <w:color w:val="auto"/>
          <w:sz w:val="24"/>
          <w:szCs w:val="24"/>
        </w:rPr>
        <w:t>3.专家咨询</w:t>
      </w:r>
      <w:r>
        <w:rPr>
          <w:rFonts w:ascii="宋体" w:hAnsi="宋体" w:eastAsia="宋体" w:cs="宋体"/>
          <w:color w:val="auto"/>
          <w:sz w:val="24"/>
          <w:szCs w:val="24"/>
        </w:rPr>
        <w:t>。邀请行业内的技术专家、法律专家等，对草案进行专业评审，并根据评审意见进行进一步修改。</w:t>
      </w:r>
    </w:p>
    <w:p w14:paraId="44528DBB">
      <w:pPr>
        <w:framePr w:wrap="auto" w:vAnchor="margin" w:hAnchor="text" w:yAlign="inline"/>
        <w:spacing w:line="360" w:lineRule="auto"/>
        <w:ind w:firstLine="482" w:firstLineChars="200"/>
        <w:rPr>
          <w:rFonts w:hint="default" w:ascii="宋体" w:hAnsi="宋体" w:eastAsia="宋体" w:cs="宋体"/>
          <w:color w:val="auto"/>
          <w:sz w:val="24"/>
          <w:szCs w:val="24"/>
        </w:rPr>
      </w:pPr>
      <w:r>
        <w:rPr>
          <w:rFonts w:ascii="宋体" w:hAnsi="宋体" w:eastAsia="宋体" w:cs="宋体"/>
          <w:b/>
          <w:bCs/>
          <w:color w:val="auto"/>
          <w:sz w:val="24"/>
          <w:szCs w:val="24"/>
        </w:rPr>
        <w:t>4.团标线上研讨会</w:t>
      </w:r>
      <w:r>
        <w:rPr>
          <w:rFonts w:ascii="宋体" w:hAnsi="宋体" w:eastAsia="宋体" w:cs="宋体"/>
          <w:color w:val="auto"/>
          <w:sz w:val="24"/>
          <w:szCs w:val="24"/>
        </w:rPr>
        <w:t>。202</w:t>
      </w:r>
      <w:r>
        <w:rPr>
          <w:rFonts w:hint="default" w:ascii="宋体" w:hAnsi="宋体" w:eastAsia="宋体" w:cs="宋体"/>
          <w:color w:val="auto"/>
          <w:sz w:val="24"/>
          <w:szCs w:val="24"/>
        </w:rPr>
        <w:t>4</w:t>
      </w:r>
      <w:r>
        <w:rPr>
          <w:rFonts w:ascii="宋体" w:hAnsi="宋体" w:eastAsia="宋体" w:cs="宋体"/>
          <w:color w:val="auto"/>
          <w:sz w:val="24"/>
          <w:szCs w:val="24"/>
        </w:rPr>
        <w:t>年0</w:t>
      </w:r>
      <w:r>
        <w:rPr>
          <w:rFonts w:hint="default" w:ascii="宋体" w:hAnsi="宋体" w:eastAsia="宋体" w:cs="宋体"/>
          <w:color w:val="auto"/>
          <w:sz w:val="24"/>
          <w:szCs w:val="24"/>
        </w:rPr>
        <w:t>1</w:t>
      </w:r>
      <w:r>
        <w:rPr>
          <w:rFonts w:ascii="宋体" w:hAnsi="宋体" w:eastAsia="宋体" w:cs="宋体"/>
          <w:color w:val="auto"/>
          <w:sz w:val="24"/>
          <w:szCs w:val="24"/>
        </w:rPr>
        <w:t>月</w:t>
      </w:r>
      <w:r>
        <w:rPr>
          <w:rFonts w:hint="default" w:ascii="宋体" w:hAnsi="宋体" w:eastAsia="宋体" w:cs="宋体"/>
          <w:color w:val="auto"/>
          <w:sz w:val="24"/>
          <w:szCs w:val="24"/>
        </w:rPr>
        <w:t>27</w:t>
      </w:r>
      <w:r>
        <w:rPr>
          <w:rFonts w:ascii="宋体" w:hAnsi="宋体" w:eastAsia="宋体" w:cs="宋体"/>
          <w:color w:val="auto"/>
          <w:sz w:val="24"/>
          <w:szCs w:val="24"/>
        </w:rPr>
        <w:t>日，召开团标线上研讨会。通过线上形式，广泛征求行业内部的意见和建议，进一步完善草案。</w:t>
      </w:r>
    </w:p>
    <w:p w14:paraId="2E140A8A">
      <w:pPr>
        <w:framePr w:wrap="auto" w:vAnchor="margin" w:hAnchor="text" w:yAlign="inline"/>
        <w:spacing w:line="360" w:lineRule="auto"/>
        <w:ind w:firstLine="482" w:firstLineChars="200"/>
        <w:rPr>
          <w:rFonts w:hint="default" w:ascii="宋体" w:hAnsi="宋体" w:eastAsia="宋体" w:cs="宋体"/>
          <w:b/>
          <w:bCs/>
          <w:sz w:val="24"/>
          <w:szCs w:val="24"/>
          <w:lang w:val="zh-TW"/>
        </w:rPr>
      </w:pPr>
      <w:r>
        <w:rPr>
          <w:rFonts w:ascii="宋体" w:hAnsi="宋体" w:eastAsia="宋体" w:cs="宋体"/>
          <w:b/>
          <w:bCs/>
          <w:sz w:val="24"/>
          <w:szCs w:val="24"/>
          <w:lang w:val="zh-TW"/>
        </w:rPr>
        <w:t>（四）征求意见阶段（2024年1</w:t>
      </w:r>
      <w:r>
        <w:rPr>
          <w:rFonts w:hint="default" w:ascii="宋体" w:hAnsi="宋体" w:eastAsia="PMingLiU" w:cs="宋体"/>
          <w:b/>
          <w:bCs/>
          <w:sz w:val="24"/>
          <w:szCs w:val="24"/>
          <w:lang w:val="zh-TW"/>
        </w:rPr>
        <w:t>1</w:t>
      </w:r>
      <w:r>
        <w:rPr>
          <w:rFonts w:ascii="宋体" w:hAnsi="宋体" w:eastAsia="宋体" w:cs="宋体"/>
          <w:b/>
          <w:bCs/>
          <w:sz w:val="24"/>
          <w:szCs w:val="24"/>
          <w:lang w:val="zh-TW"/>
        </w:rPr>
        <w:t>月—2024年</w:t>
      </w:r>
      <w:r>
        <w:rPr>
          <w:rFonts w:ascii="宋体" w:hAnsi="宋体" w:eastAsia="宋体" w:cs="宋体"/>
          <w:b/>
          <w:bCs/>
          <w:sz w:val="24"/>
          <w:szCs w:val="24"/>
        </w:rPr>
        <w:t>1</w:t>
      </w:r>
      <w:r>
        <w:rPr>
          <w:rFonts w:hint="default" w:ascii="宋体" w:hAnsi="宋体" w:eastAsia="宋体" w:cs="宋体"/>
          <w:b/>
          <w:bCs/>
          <w:sz w:val="24"/>
          <w:szCs w:val="24"/>
        </w:rPr>
        <w:t>2</w:t>
      </w:r>
      <w:r>
        <w:rPr>
          <w:rFonts w:ascii="宋体" w:hAnsi="宋体" w:eastAsia="宋体" w:cs="宋体"/>
          <w:b/>
          <w:bCs/>
          <w:sz w:val="24"/>
          <w:szCs w:val="24"/>
          <w:lang w:val="zh-TW"/>
        </w:rPr>
        <w:t>月）</w:t>
      </w:r>
    </w:p>
    <w:p w14:paraId="51E50E2C">
      <w:pPr>
        <w:framePr w:wrap="auto" w:vAnchor="margin" w:hAnchor="text" w:yAlign="inline"/>
        <w:spacing w:line="360" w:lineRule="auto"/>
        <w:ind w:firstLine="482" w:firstLineChars="200"/>
        <w:rPr>
          <w:rFonts w:hint="default" w:ascii="宋体" w:hAnsi="宋体" w:eastAsia="宋体" w:cs="宋体"/>
          <w:sz w:val="24"/>
          <w:szCs w:val="24"/>
          <w:lang w:val="zh-TW"/>
        </w:rPr>
      </w:pPr>
      <w:r>
        <w:rPr>
          <w:rFonts w:ascii="宋体" w:hAnsi="宋体" w:eastAsia="宋体" w:cs="宋体"/>
          <w:b/>
          <w:bCs/>
          <w:sz w:val="24"/>
          <w:szCs w:val="24"/>
        </w:rPr>
        <w:t>1.</w:t>
      </w:r>
      <w:r>
        <w:rPr>
          <w:rFonts w:ascii="宋体" w:hAnsi="宋体" w:eastAsia="宋体" w:cs="宋体"/>
          <w:b/>
          <w:bCs/>
          <w:sz w:val="24"/>
          <w:szCs w:val="24"/>
          <w:lang w:val="zh-TW"/>
        </w:rPr>
        <w:t>公开征求意见。</w:t>
      </w:r>
      <w:r>
        <w:rPr>
          <w:rFonts w:ascii="宋体" w:hAnsi="宋体" w:eastAsia="宋体" w:cs="宋体"/>
          <w:sz w:val="24"/>
          <w:szCs w:val="24"/>
          <w:lang w:val="zh-TW"/>
        </w:rPr>
        <w:t>2024年1</w:t>
      </w:r>
      <w:r>
        <w:rPr>
          <w:rFonts w:hint="default" w:ascii="宋体" w:hAnsi="宋体" w:eastAsia="PMingLiU" w:cs="宋体"/>
          <w:sz w:val="24"/>
          <w:szCs w:val="24"/>
          <w:lang w:val="zh-TW"/>
        </w:rPr>
        <w:t>1</w:t>
      </w:r>
      <w:r>
        <w:rPr>
          <w:rFonts w:ascii="宋体" w:hAnsi="宋体" w:eastAsia="宋体" w:cs="宋体"/>
          <w:sz w:val="24"/>
          <w:szCs w:val="24"/>
          <w:lang w:val="zh-TW"/>
        </w:rPr>
        <w:t>月</w:t>
      </w:r>
      <w:r>
        <w:rPr>
          <w:rFonts w:hint="default" w:ascii="宋体" w:hAnsi="宋体" w:eastAsia="PMingLiU" w:cs="宋体"/>
          <w:sz w:val="24"/>
          <w:szCs w:val="24"/>
          <w:lang w:val="zh-TW" w:eastAsia="zh-TW"/>
        </w:rPr>
        <w:t>23</w:t>
      </w:r>
      <w:r>
        <w:rPr>
          <w:rFonts w:ascii="宋体" w:hAnsi="宋体" w:eastAsia="宋体" w:cs="宋体"/>
          <w:sz w:val="24"/>
          <w:szCs w:val="24"/>
          <w:lang w:val="zh-TW"/>
        </w:rPr>
        <w:t>日—2024年1</w:t>
      </w:r>
      <w:r>
        <w:rPr>
          <w:rFonts w:hint="default" w:ascii="宋体" w:hAnsi="宋体" w:eastAsia="PMingLiU" w:cs="宋体"/>
          <w:sz w:val="24"/>
          <w:szCs w:val="24"/>
          <w:lang w:val="zh-TW"/>
        </w:rPr>
        <w:t>2</w:t>
      </w:r>
      <w:r>
        <w:rPr>
          <w:rFonts w:ascii="宋体" w:hAnsi="宋体" w:eastAsia="宋体" w:cs="宋体"/>
          <w:sz w:val="24"/>
          <w:szCs w:val="24"/>
          <w:lang w:val="zh-TW"/>
        </w:rPr>
        <w:t>月2</w:t>
      </w:r>
      <w:r>
        <w:rPr>
          <w:rFonts w:hint="default" w:ascii="宋体" w:hAnsi="宋体" w:eastAsia="PMingLiU" w:cs="宋体"/>
          <w:sz w:val="24"/>
          <w:szCs w:val="24"/>
          <w:lang w:val="zh-TW" w:eastAsia="zh-TW"/>
        </w:rPr>
        <w:t>3</w:t>
      </w:r>
      <w:r>
        <w:rPr>
          <w:rFonts w:ascii="宋体" w:hAnsi="宋体" w:eastAsia="宋体" w:cs="宋体"/>
          <w:sz w:val="24"/>
          <w:szCs w:val="24"/>
          <w:lang w:val="zh-TW"/>
        </w:rPr>
        <w:t>日，通过</w:t>
      </w:r>
      <w:r>
        <w:rPr>
          <w:rFonts w:ascii="宋体" w:hAnsi="宋体" w:eastAsia="宋体" w:cs="宋体"/>
          <w:sz w:val="24"/>
          <w:szCs w:val="24"/>
        </w:rPr>
        <w:t>微信公众号</w:t>
      </w:r>
      <w:r>
        <w:rPr>
          <w:rFonts w:ascii="宋体" w:hAnsi="宋体" w:eastAsia="宋体" w:cs="宋体"/>
          <w:sz w:val="24"/>
          <w:szCs w:val="24"/>
          <w:lang w:val="zh-TW"/>
        </w:rPr>
        <w:t>“贸促标准化平台”、全国团体标准信息平台</w:t>
      </w:r>
      <w:r>
        <w:rPr>
          <w:rFonts w:ascii="宋体" w:hAnsi="宋体" w:eastAsia="宋体" w:cs="宋体"/>
          <w:sz w:val="24"/>
          <w:szCs w:val="24"/>
        </w:rPr>
        <w:t>等</w:t>
      </w:r>
      <w:r>
        <w:rPr>
          <w:rFonts w:ascii="宋体" w:hAnsi="宋体" w:eastAsia="宋体" w:cs="宋体"/>
          <w:sz w:val="24"/>
          <w:szCs w:val="24"/>
          <w:lang w:val="zh-TW"/>
        </w:rPr>
        <w:t>官方网站、行业会议、邮件列表等多种渠道，向社会公众、行业企业、相关机构公开征求对标准草案的意见。</w:t>
      </w:r>
    </w:p>
    <w:p w14:paraId="5B5D971C">
      <w:pPr>
        <w:framePr w:wrap="auto" w:vAnchor="margin" w:hAnchor="text" w:yAlign="inline"/>
        <w:spacing w:line="360" w:lineRule="auto"/>
        <w:ind w:firstLine="482" w:firstLineChars="200"/>
        <w:rPr>
          <w:rFonts w:hint="default" w:ascii="宋体" w:hAnsi="宋体" w:eastAsia="宋体" w:cs="宋体"/>
          <w:b/>
          <w:bCs/>
          <w:sz w:val="24"/>
          <w:szCs w:val="24"/>
          <w:lang w:val="zh-TW"/>
        </w:rPr>
      </w:pPr>
      <w:r>
        <w:rPr>
          <w:rFonts w:ascii="宋体" w:hAnsi="宋体" w:eastAsia="宋体" w:cs="宋体"/>
          <w:b/>
          <w:bCs/>
          <w:sz w:val="24"/>
          <w:szCs w:val="24"/>
        </w:rPr>
        <w:t>2.</w:t>
      </w:r>
      <w:r>
        <w:rPr>
          <w:rFonts w:ascii="宋体" w:hAnsi="宋体" w:eastAsia="宋体" w:cs="宋体"/>
          <w:b/>
          <w:bCs/>
          <w:sz w:val="24"/>
          <w:szCs w:val="24"/>
          <w:lang w:val="zh-TW"/>
        </w:rPr>
        <w:t>意见整理与分析。</w:t>
      </w:r>
      <w:r>
        <w:rPr>
          <w:rFonts w:ascii="宋体" w:hAnsi="宋体" w:eastAsia="宋体" w:cs="宋体"/>
          <w:sz w:val="24"/>
          <w:szCs w:val="24"/>
          <w:lang w:val="zh-TW"/>
        </w:rPr>
        <w:t>对收到的反馈进行归纳整理，分析意见的合理性和可行性，为下一步修订提供依据。</w:t>
      </w:r>
    </w:p>
    <w:p w14:paraId="307AE0F1">
      <w:pPr>
        <w:framePr w:wrap="auto" w:vAnchor="margin" w:hAnchor="text" w:yAlign="inline"/>
        <w:spacing w:line="360" w:lineRule="auto"/>
        <w:ind w:firstLine="482"/>
        <w:rPr>
          <w:rFonts w:hint="default" w:ascii="宋体" w:hAnsi="宋体" w:eastAsia="宋体" w:cs="宋体"/>
          <w:b/>
          <w:bCs/>
          <w:kern w:val="0"/>
          <w:sz w:val="24"/>
          <w:szCs w:val="24"/>
          <w:lang w:val="zh-TW"/>
        </w:rPr>
      </w:pPr>
      <w:r>
        <w:rPr>
          <w:rFonts w:ascii="宋体" w:hAnsi="宋体" w:eastAsia="宋体" w:cs="宋体"/>
          <w:b/>
          <w:bCs/>
          <w:kern w:val="0"/>
          <w:sz w:val="24"/>
          <w:szCs w:val="24"/>
          <w:lang w:val="zh-TW"/>
        </w:rPr>
        <w:t>四、标准的主要内容和依据</w:t>
      </w:r>
    </w:p>
    <w:p w14:paraId="75145A3C">
      <w:pPr>
        <w:framePr w:wrap="auto" w:vAnchor="margin" w:hAnchor="text" w:yAlign="inline"/>
        <w:spacing w:line="360" w:lineRule="auto"/>
        <w:ind w:firstLine="480"/>
        <w:rPr>
          <w:rFonts w:hint="default" w:ascii="宋体" w:hAnsi="宋体" w:eastAsia="宋体" w:cs="宋体"/>
          <w:b/>
          <w:bCs/>
          <w:color w:val="auto"/>
          <w:sz w:val="24"/>
          <w:szCs w:val="24"/>
          <w:lang w:val="zh-TW"/>
        </w:rPr>
      </w:pPr>
      <w:r>
        <w:rPr>
          <w:rFonts w:ascii="宋体" w:hAnsi="宋体" w:eastAsia="宋体" w:cs="宋体"/>
          <w:b/>
          <w:bCs/>
          <w:color w:val="auto"/>
          <w:sz w:val="24"/>
          <w:szCs w:val="24"/>
        </w:rPr>
        <w:t>（一）</w:t>
      </w:r>
      <w:r>
        <w:rPr>
          <w:rFonts w:ascii="宋体" w:hAnsi="宋体" w:eastAsia="宋体" w:cs="宋体"/>
          <w:b/>
          <w:bCs/>
          <w:color w:val="auto"/>
          <w:sz w:val="24"/>
          <w:szCs w:val="24"/>
          <w:lang w:val="zh-TW"/>
        </w:rPr>
        <w:t>制定原则</w:t>
      </w:r>
    </w:p>
    <w:p w14:paraId="28D6A416">
      <w:pPr>
        <w:framePr w:wrap="auto" w:vAnchor="margin" w:hAnchor="text" w:yAlign="inline"/>
        <w:spacing w:line="360" w:lineRule="auto"/>
        <w:ind w:firstLine="480"/>
        <w:rPr>
          <w:rFonts w:hint="default" w:ascii="宋体" w:hAnsi="宋体" w:eastAsia="宋体" w:cs="宋体"/>
          <w:color w:val="auto"/>
          <w:sz w:val="24"/>
          <w:szCs w:val="24"/>
          <w:lang w:val="zh-TW"/>
        </w:rPr>
      </w:pPr>
      <w:r>
        <w:rPr>
          <w:rFonts w:ascii="宋体" w:hAnsi="宋体" w:eastAsia="宋体" w:cs="宋体"/>
          <w:color w:val="auto"/>
          <w:sz w:val="24"/>
          <w:szCs w:val="24"/>
          <w:lang w:val="zh-TW"/>
        </w:rPr>
        <w:t>在编制《</w:t>
      </w:r>
      <w:r>
        <w:rPr>
          <w:rFonts w:hint="cs" w:ascii="宋体" w:hAnsi="宋体" w:eastAsia="宋体" w:cs="宋体"/>
          <w:color w:val="auto"/>
          <w:sz w:val="24"/>
          <w:szCs w:val="24"/>
        </w:rPr>
        <w:t>数字贸易</w:t>
      </w:r>
      <w:r>
        <w:rPr>
          <w:rFonts w:hint="default" w:ascii="宋体" w:hAnsi="宋体" w:eastAsia="宋体" w:cs="宋体"/>
          <w:color w:val="auto"/>
          <w:sz w:val="24"/>
          <w:szCs w:val="24"/>
        </w:rPr>
        <w:t xml:space="preserve"> 基本概念与关键倡议</w:t>
      </w:r>
      <w:r>
        <w:rPr>
          <w:rFonts w:ascii="宋体" w:hAnsi="宋体" w:eastAsia="宋体" w:cs="宋体"/>
          <w:color w:val="auto"/>
          <w:sz w:val="24"/>
          <w:szCs w:val="24"/>
          <w:lang w:val="zh-TW"/>
        </w:rPr>
        <w:t>》团体标准时，我们遵循以下原则：</w:t>
      </w:r>
    </w:p>
    <w:p w14:paraId="4D61B63C">
      <w:pPr>
        <w:framePr w:wrap="auto" w:vAnchor="margin" w:hAnchor="text" w:yAlign="inline"/>
        <w:spacing w:line="360" w:lineRule="auto"/>
        <w:ind w:firstLine="480"/>
        <w:rPr>
          <w:rFonts w:hint="default" w:ascii="宋体" w:hAnsi="宋体" w:eastAsia="宋体" w:cs="宋体"/>
          <w:color w:val="auto"/>
          <w:sz w:val="24"/>
          <w:szCs w:val="24"/>
          <w:lang w:val="zh-TW"/>
        </w:rPr>
      </w:pPr>
      <w:r>
        <w:rPr>
          <w:rFonts w:ascii="宋体" w:hAnsi="宋体" w:eastAsia="宋体" w:cs="宋体"/>
          <w:b/>
          <w:bCs/>
          <w:color w:val="auto"/>
          <w:sz w:val="24"/>
          <w:szCs w:val="24"/>
        </w:rPr>
        <w:t>1</w:t>
      </w:r>
      <w:r>
        <w:rPr>
          <w:rFonts w:hAnsi="宋体" w:eastAsia="宋体" w:cs="宋体"/>
          <w:b/>
          <w:bCs/>
          <w:color w:val="auto"/>
          <w:sz w:val="24"/>
          <w:szCs w:val="24"/>
        </w:rPr>
        <w:t xml:space="preserve">. </w:t>
      </w:r>
      <w:r>
        <w:rPr>
          <w:rFonts w:ascii="宋体" w:hAnsi="宋体" w:eastAsia="宋体" w:cs="宋体"/>
          <w:b/>
          <w:bCs/>
          <w:color w:val="auto"/>
          <w:sz w:val="24"/>
          <w:szCs w:val="24"/>
        </w:rPr>
        <w:t>实用性原则。</w:t>
      </w:r>
      <w:r>
        <w:rPr>
          <w:rFonts w:ascii="宋体" w:hAnsi="宋体" w:eastAsia="宋体" w:cs="宋体"/>
          <w:color w:val="auto"/>
          <w:sz w:val="24"/>
          <w:szCs w:val="24"/>
          <w:lang w:val="zh-TW"/>
        </w:rPr>
        <w:t>确保标准具有实用性，能够切实解决</w:t>
      </w:r>
      <w:r>
        <w:rPr>
          <w:rFonts w:hint="cs" w:ascii="宋体" w:hAnsi="宋体" w:eastAsia="宋体" w:cs="宋体"/>
          <w:color w:val="auto"/>
          <w:sz w:val="24"/>
          <w:szCs w:val="24"/>
        </w:rPr>
        <w:t>数字贸易</w:t>
      </w:r>
      <w:r>
        <w:rPr>
          <w:rFonts w:ascii="宋体" w:hAnsi="宋体" w:eastAsia="宋体" w:cs="宋体"/>
          <w:color w:val="auto"/>
          <w:sz w:val="24"/>
          <w:szCs w:val="24"/>
        </w:rPr>
        <w:t>产业发展过程</w:t>
      </w:r>
      <w:r>
        <w:rPr>
          <w:rFonts w:ascii="宋体" w:hAnsi="宋体" w:eastAsia="宋体" w:cs="宋体"/>
          <w:color w:val="auto"/>
          <w:sz w:val="24"/>
          <w:szCs w:val="24"/>
          <w:lang w:val="zh-TW"/>
        </w:rPr>
        <w:t>中遇到的实际问题。</w:t>
      </w:r>
    </w:p>
    <w:p w14:paraId="3898F842">
      <w:pPr>
        <w:framePr w:wrap="auto" w:vAnchor="margin" w:hAnchor="text" w:yAlign="inline"/>
        <w:spacing w:line="360" w:lineRule="auto"/>
        <w:ind w:firstLine="480"/>
        <w:rPr>
          <w:rFonts w:hint="default" w:ascii="宋体" w:hAnsi="宋体" w:eastAsia="宋体" w:cs="宋体"/>
          <w:color w:val="auto"/>
          <w:sz w:val="24"/>
          <w:szCs w:val="24"/>
          <w:lang w:val="zh-TW"/>
        </w:rPr>
      </w:pPr>
      <w:r>
        <w:rPr>
          <w:rFonts w:ascii="宋体" w:hAnsi="宋体" w:eastAsia="宋体" w:cs="宋体"/>
          <w:b/>
          <w:bCs/>
          <w:color w:val="auto"/>
          <w:sz w:val="24"/>
          <w:szCs w:val="24"/>
        </w:rPr>
        <w:t>2</w:t>
      </w:r>
      <w:r>
        <w:rPr>
          <w:rFonts w:hAnsi="宋体" w:eastAsia="宋体" w:cs="宋体"/>
          <w:b/>
          <w:bCs/>
          <w:color w:val="auto"/>
          <w:sz w:val="24"/>
          <w:szCs w:val="24"/>
        </w:rPr>
        <w:t xml:space="preserve">. </w:t>
      </w:r>
      <w:r>
        <w:rPr>
          <w:rFonts w:ascii="宋体" w:hAnsi="宋体" w:eastAsia="宋体" w:cs="宋体"/>
          <w:b/>
          <w:bCs/>
          <w:color w:val="auto"/>
          <w:sz w:val="24"/>
          <w:szCs w:val="24"/>
        </w:rPr>
        <w:t>先进性原则。</w:t>
      </w:r>
      <w:r>
        <w:rPr>
          <w:rFonts w:ascii="宋体" w:hAnsi="宋体" w:eastAsia="宋体" w:cs="宋体"/>
          <w:color w:val="auto"/>
          <w:sz w:val="24"/>
          <w:szCs w:val="24"/>
          <w:lang w:val="zh-TW"/>
        </w:rPr>
        <w:t>标准具有前瞻性，充分考虑国内外数字贸易产业的未来发展趋势，适应行业未来的发展和变化。</w:t>
      </w:r>
    </w:p>
    <w:p w14:paraId="5F78DB5C">
      <w:pPr>
        <w:framePr w:wrap="auto" w:vAnchor="margin" w:hAnchor="text" w:yAlign="inline"/>
        <w:spacing w:line="360" w:lineRule="auto"/>
        <w:ind w:firstLine="480"/>
        <w:rPr>
          <w:rFonts w:hint="default" w:ascii="宋体" w:hAnsi="宋体" w:eastAsia="宋体" w:cs="宋体"/>
          <w:color w:val="auto"/>
          <w:sz w:val="24"/>
          <w:szCs w:val="24"/>
          <w:lang w:val="zh-TW"/>
        </w:rPr>
      </w:pPr>
      <w:r>
        <w:rPr>
          <w:rFonts w:ascii="宋体" w:hAnsi="宋体" w:eastAsia="宋体" w:cs="宋体"/>
          <w:b/>
          <w:bCs/>
          <w:color w:val="auto"/>
          <w:sz w:val="24"/>
          <w:szCs w:val="24"/>
        </w:rPr>
        <w:t>3</w:t>
      </w:r>
      <w:r>
        <w:rPr>
          <w:rFonts w:hAnsi="宋体" w:eastAsia="宋体" w:cs="宋体"/>
          <w:b/>
          <w:bCs/>
          <w:color w:val="auto"/>
          <w:sz w:val="24"/>
          <w:szCs w:val="24"/>
        </w:rPr>
        <w:t xml:space="preserve">. </w:t>
      </w:r>
      <w:r>
        <w:rPr>
          <w:rFonts w:ascii="宋体" w:hAnsi="宋体" w:eastAsia="宋体" w:cs="宋体"/>
          <w:b/>
          <w:bCs/>
          <w:color w:val="auto"/>
          <w:sz w:val="24"/>
          <w:szCs w:val="24"/>
        </w:rPr>
        <w:t>开放性原则。</w:t>
      </w:r>
      <w:r>
        <w:rPr>
          <w:rFonts w:ascii="宋体" w:hAnsi="宋体" w:eastAsia="宋体" w:cs="宋体"/>
          <w:color w:val="auto"/>
          <w:sz w:val="24"/>
          <w:szCs w:val="24"/>
          <w:lang w:val="zh-TW"/>
        </w:rPr>
        <w:t>强调标准的开放性，以便在不同规模和业务形式的企业中得到</w:t>
      </w:r>
      <w:r>
        <w:rPr>
          <w:rFonts w:ascii="宋体" w:hAnsi="宋体" w:eastAsia="宋体" w:cs="宋体"/>
          <w:color w:val="auto"/>
          <w:sz w:val="24"/>
          <w:szCs w:val="24"/>
        </w:rPr>
        <w:t>灵活</w:t>
      </w:r>
      <w:r>
        <w:rPr>
          <w:rFonts w:ascii="宋体" w:hAnsi="宋体" w:eastAsia="宋体" w:cs="宋体"/>
          <w:color w:val="auto"/>
          <w:sz w:val="24"/>
          <w:szCs w:val="24"/>
          <w:lang w:val="zh-TW"/>
        </w:rPr>
        <w:t>有效实施。</w:t>
      </w:r>
    </w:p>
    <w:p w14:paraId="3A843B07">
      <w:pPr>
        <w:framePr w:wrap="auto" w:vAnchor="margin" w:hAnchor="text" w:yAlign="inline"/>
        <w:spacing w:line="360" w:lineRule="auto"/>
        <w:ind w:firstLine="480"/>
        <w:rPr>
          <w:rFonts w:hint="default" w:ascii="宋体" w:hAnsi="宋体" w:eastAsia="宋体" w:cs="宋体"/>
          <w:color w:val="auto"/>
          <w:sz w:val="24"/>
          <w:szCs w:val="24"/>
          <w:lang w:val="zh-TW"/>
        </w:rPr>
      </w:pPr>
      <w:r>
        <w:rPr>
          <w:rFonts w:ascii="宋体" w:hAnsi="宋体" w:eastAsia="宋体" w:cs="宋体"/>
          <w:b/>
          <w:bCs/>
          <w:color w:val="auto"/>
          <w:sz w:val="24"/>
          <w:szCs w:val="24"/>
        </w:rPr>
        <w:t>4</w:t>
      </w:r>
      <w:r>
        <w:rPr>
          <w:rFonts w:hAnsi="宋体" w:eastAsia="宋体" w:cs="宋体"/>
          <w:b/>
          <w:bCs/>
          <w:color w:val="auto"/>
          <w:sz w:val="24"/>
          <w:szCs w:val="24"/>
        </w:rPr>
        <w:t xml:space="preserve">. </w:t>
      </w:r>
      <w:r>
        <w:rPr>
          <w:rFonts w:ascii="宋体" w:hAnsi="宋体" w:eastAsia="宋体" w:cs="宋体"/>
          <w:b/>
          <w:bCs/>
          <w:color w:val="auto"/>
          <w:sz w:val="24"/>
          <w:szCs w:val="24"/>
        </w:rPr>
        <w:t>国际性原则。</w:t>
      </w:r>
      <w:r>
        <w:rPr>
          <w:rFonts w:ascii="宋体" w:hAnsi="宋体" w:eastAsia="宋体" w:cs="宋体"/>
          <w:color w:val="auto"/>
          <w:sz w:val="24"/>
          <w:szCs w:val="24"/>
          <w:lang w:val="zh-TW"/>
        </w:rPr>
        <w:t>注重标准的国际性，参考国际标准和最佳实践，提升我国数字贸易行业的国际竞争力。</w:t>
      </w:r>
    </w:p>
    <w:p w14:paraId="7DD956E1">
      <w:pPr>
        <w:framePr w:wrap="auto" w:vAnchor="margin" w:hAnchor="text" w:yAlign="inline"/>
        <w:spacing w:line="360" w:lineRule="auto"/>
        <w:ind w:firstLine="480"/>
        <w:rPr>
          <w:rFonts w:hint="default"/>
        </w:rPr>
      </w:pPr>
      <w:r>
        <w:rPr>
          <w:rFonts w:ascii="宋体" w:hAnsi="宋体" w:eastAsia="宋体" w:cs="宋体"/>
          <w:color w:val="auto"/>
          <w:sz w:val="24"/>
          <w:szCs w:val="24"/>
          <w:lang w:val="zh-TW"/>
        </w:rPr>
        <w:t>通过这些原则，我们期望制定出既符合国内实际情况又具有国际视野的团体标准，推动数字贸易产业发展的规范化、标准化。</w:t>
      </w:r>
    </w:p>
    <w:p w14:paraId="15E6DFB1">
      <w:pPr>
        <w:pStyle w:val="12"/>
        <w:numPr>
          <w:ilvl w:val="0"/>
          <w:numId w:val="0"/>
        </w:numPr>
        <w:tabs>
          <w:tab w:val="left" w:pos="312"/>
        </w:tabs>
        <w:spacing w:before="240" w:after="240"/>
        <w:ind w:firstLine="482" w:firstLineChars="200"/>
        <w:rPr>
          <w:b/>
          <w:bCs/>
        </w:rPr>
      </w:pPr>
      <w:r>
        <w:rPr>
          <w:rFonts w:hint="eastAsia" w:ascii="宋体" w:hAnsi="宋体" w:eastAsia="宋体" w:cs="宋体"/>
          <w:b/>
          <w:bCs/>
          <w:sz w:val="24"/>
          <w:szCs w:val="24"/>
        </w:rPr>
        <w:t>（二）</w:t>
      </w:r>
      <w:r>
        <w:rPr>
          <w:rFonts w:ascii="宋体" w:hAnsi="宋体" w:eastAsia="宋体" w:cs="宋体"/>
          <w:b/>
          <w:bCs/>
          <w:sz w:val="24"/>
          <w:szCs w:val="24"/>
          <w:lang w:val="zh-TW"/>
        </w:rPr>
        <w:t>主要技术内容的说</w:t>
      </w:r>
      <w:r>
        <w:rPr>
          <w:rFonts w:hint="eastAsia" w:ascii="宋体" w:hAnsi="宋体" w:eastAsia="宋体" w:cs="宋体"/>
          <w:b/>
          <w:bCs/>
          <w:sz w:val="24"/>
          <w:szCs w:val="24"/>
          <w:lang w:val="zh-TW"/>
        </w:rPr>
        <w:t>明</w:t>
      </w:r>
    </w:p>
    <w:p w14:paraId="552036C8">
      <w:pPr>
        <w:framePr w:wrap="auto" w:vAnchor="margin" w:hAnchor="text" w:yAlign="inline"/>
        <w:spacing w:line="360" w:lineRule="auto"/>
        <w:ind w:firstLine="482"/>
        <w:rPr>
          <w:rFonts w:hint="default" w:hAnsi="宋体" w:eastAsia="宋体" w:cs="宋体"/>
          <w:b/>
          <w:bCs/>
          <w:color w:val="auto"/>
          <w:sz w:val="24"/>
          <w:szCs w:val="24"/>
        </w:rPr>
      </w:pPr>
      <w:r>
        <w:rPr>
          <w:rFonts w:hAnsi="宋体" w:eastAsia="宋体" w:cs="宋体"/>
          <w:b/>
          <w:bCs/>
          <w:color w:val="auto"/>
          <w:sz w:val="24"/>
          <w:szCs w:val="24"/>
        </w:rPr>
        <w:t>1. 基本概念。</w:t>
      </w:r>
      <w:r>
        <w:rPr>
          <w:rFonts w:hAnsi="宋体" w:eastAsia="宋体" w:cs="宋体"/>
          <w:bCs/>
          <w:color w:val="auto"/>
          <w:sz w:val="24"/>
          <w:szCs w:val="24"/>
        </w:rPr>
        <w:t>本标准</w:t>
      </w:r>
      <w:r>
        <w:rPr>
          <w:rFonts w:hint="cs" w:hAnsi="宋体" w:eastAsia="宋体" w:cs="宋体"/>
          <w:bCs/>
          <w:color w:val="auto"/>
          <w:sz w:val="24"/>
          <w:szCs w:val="24"/>
        </w:rPr>
        <w:t>给出了在全球各国政府部门、国际组织、智库和研究机构以及私营部门中广泛使用的与数字贸易相关的基本概念的信息和说明</w:t>
      </w:r>
      <w:r>
        <w:rPr>
          <w:rFonts w:hAnsi="宋体" w:eastAsia="宋体" w:cs="宋体"/>
          <w:bCs/>
          <w:color w:val="auto"/>
          <w:sz w:val="24"/>
          <w:szCs w:val="24"/>
        </w:rPr>
        <w:t>，涵盖数字贸易及相关基本概念、数字货物贸易及相关基本概念、数字内容贸易及相关基本概念、数字服务贸易及相关基本概念、数据及衍生品贸易及相关基本概念、数字化平台及相关基本概念、数字贸易国际合作相关基本概念、数字贸易配套服务相关基本概念等技术内容</w:t>
      </w:r>
      <w:r>
        <w:rPr>
          <w:rFonts w:hint="cs" w:hAnsi="宋体" w:eastAsia="宋体" w:cs="宋体"/>
          <w:bCs/>
          <w:color w:val="auto"/>
          <w:sz w:val="24"/>
          <w:szCs w:val="24"/>
        </w:rPr>
        <w:t>。</w:t>
      </w:r>
    </w:p>
    <w:p w14:paraId="4FE27A4F">
      <w:pPr>
        <w:framePr w:wrap="auto" w:vAnchor="margin" w:hAnchor="text" w:yAlign="inline"/>
        <w:spacing w:line="360" w:lineRule="auto"/>
        <w:ind w:firstLine="482"/>
        <w:rPr>
          <w:rFonts w:hint="default" w:hAnsi="宋体" w:cs="宋体" w:eastAsiaTheme="minorEastAsia"/>
          <w:color w:val="auto"/>
          <w:sz w:val="24"/>
          <w:szCs w:val="24"/>
          <w:lang w:val="zh-TW"/>
        </w:rPr>
      </w:pPr>
      <w:r>
        <w:rPr>
          <w:rFonts w:hAnsi="宋体" w:eastAsia="宋体" w:cs="宋体"/>
          <w:b/>
          <w:bCs/>
          <w:color w:val="auto"/>
          <w:sz w:val="24"/>
          <w:szCs w:val="24"/>
        </w:rPr>
        <w:t>2. 原则、指南和规则</w:t>
      </w:r>
      <w:r>
        <w:rPr>
          <w:rFonts w:hAnsi="宋体" w:eastAsia="宋体" w:cs="宋体"/>
          <w:b/>
          <w:bCs/>
          <w:color w:val="auto"/>
          <w:sz w:val="24"/>
          <w:szCs w:val="24"/>
          <w:lang w:val="zh-TW"/>
        </w:rPr>
        <w:t>。</w:t>
      </w:r>
      <w:r>
        <w:rPr>
          <w:rFonts w:hAnsi="宋体" w:eastAsia="宋体" w:cs="宋体"/>
          <w:bCs/>
          <w:color w:val="auto"/>
          <w:sz w:val="24"/>
          <w:szCs w:val="24"/>
        </w:rPr>
        <w:t>本标准</w:t>
      </w:r>
      <w:r>
        <w:rPr>
          <w:rFonts w:hint="cs" w:hAnsi="宋体" w:eastAsia="宋体" w:cs="宋体"/>
          <w:bCs/>
          <w:color w:val="auto"/>
          <w:sz w:val="24"/>
          <w:szCs w:val="24"/>
        </w:rPr>
        <w:t>给出了在全球各国政府部门、国际组织、智库和研究机构以及私营部门中广泛使用的与数字贸易相关</w:t>
      </w:r>
      <w:r>
        <w:rPr>
          <w:rFonts w:hAnsi="宋体" w:eastAsia="宋体" w:cs="宋体"/>
          <w:bCs/>
          <w:color w:val="auto"/>
          <w:sz w:val="24"/>
          <w:szCs w:val="24"/>
        </w:rPr>
        <w:t>的原则、指南和规则</w:t>
      </w:r>
      <w:r>
        <w:rPr>
          <w:rFonts w:hint="cs" w:hAnsi="宋体" w:eastAsia="宋体" w:cs="宋体"/>
          <w:bCs/>
          <w:color w:val="auto"/>
          <w:sz w:val="24"/>
          <w:szCs w:val="24"/>
        </w:rPr>
        <w:t>的信息和说明</w:t>
      </w:r>
      <w:r>
        <w:rPr>
          <w:rFonts w:hAnsi="宋体" w:eastAsia="宋体" w:cs="宋体"/>
          <w:bCs/>
          <w:color w:val="auto"/>
          <w:sz w:val="24"/>
          <w:szCs w:val="24"/>
        </w:rPr>
        <w:t>，涵盖原则和指南、规则和政策等技术内容。</w:t>
      </w:r>
    </w:p>
    <w:p w14:paraId="3E7B18DE">
      <w:pPr>
        <w:framePr w:wrap="auto" w:vAnchor="margin" w:hAnchor="text" w:yAlign="inline"/>
        <w:spacing w:line="360" w:lineRule="auto"/>
        <w:ind w:firstLine="482"/>
        <w:rPr>
          <w:rFonts w:hint="default" w:hAnsi="宋体" w:eastAsia="宋体" w:cs="宋体"/>
          <w:color w:val="auto"/>
          <w:sz w:val="24"/>
          <w:szCs w:val="24"/>
        </w:rPr>
      </w:pPr>
      <w:r>
        <w:rPr>
          <w:rFonts w:hAnsi="宋体" w:eastAsia="宋体" w:cs="宋体"/>
          <w:b/>
          <w:bCs/>
          <w:color w:val="auto"/>
          <w:sz w:val="24"/>
          <w:szCs w:val="24"/>
        </w:rPr>
        <w:t xml:space="preserve">3. </w:t>
      </w:r>
      <w:r>
        <w:rPr>
          <w:rFonts w:ascii="宋体" w:hAnsi="宋体" w:eastAsia="宋体" w:cs="宋体"/>
          <w:b/>
          <w:bCs/>
          <w:color w:val="auto"/>
          <w:sz w:val="24"/>
          <w:szCs w:val="24"/>
          <w:lang w:val="zh-TW"/>
        </w:rPr>
        <w:t>国际倡议和组织</w:t>
      </w:r>
      <w:r>
        <w:rPr>
          <w:rFonts w:hAnsi="宋体" w:eastAsia="宋体" w:cs="宋体"/>
          <w:b/>
          <w:bCs/>
          <w:color w:val="auto"/>
          <w:sz w:val="24"/>
          <w:szCs w:val="24"/>
          <w:lang w:val="zh-TW"/>
        </w:rPr>
        <w:t>。</w:t>
      </w:r>
      <w:r>
        <w:rPr>
          <w:rFonts w:hAnsi="宋体" w:eastAsia="宋体" w:cs="宋体"/>
          <w:bCs/>
          <w:color w:val="auto"/>
          <w:sz w:val="24"/>
          <w:szCs w:val="24"/>
        </w:rPr>
        <w:t>本标准</w:t>
      </w:r>
      <w:r>
        <w:rPr>
          <w:rFonts w:hAnsi="宋体" w:eastAsia="宋体" w:cs="宋体"/>
          <w:color w:val="auto"/>
          <w:sz w:val="24"/>
          <w:szCs w:val="24"/>
        </w:rPr>
        <w:t>给出了全球范围内跨国和国内</w:t>
      </w:r>
      <w:r>
        <w:rPr>
          <w:rFonts w:hint="cs" w:hAnsi="宋体" w:eastAsia="宋体" w:cs="宋体"/>
          <w:color w:val="auto"/>
          <w:sz w:val="24"/>
          <w:szCs w:val="24"/>
        </w:rPr>
        <w:t>监管机构、数字平台、制造商、电子商务供应商、数字内容生产商、数字服务提供商、数据开发者、国际中介机构、投资者和研究人员</w:t>
      </w:r>
      <w:r>
        <w:rPr>
          <w:rFonts w:hAnsi="宋体" w:eastAsia="宋体" w:cs="宋体"/>
          <w:color w:val="auto"/>
          <w:sz w:val="24"/>
          <w:szCs w:val="24"/>
        </w:rPr>
        <w:t>所认可的数字贸易相关国际倡议和组织的信息和说明。</w:t>
      </w:r>
    </w:p>
    <w:p w14:paraId="1375D345">
      <w:pPr>
        <w:framePr w:wrap="auto" w:vAnchor="margin" w:hAnchor="text" w:yAlign="inline"/>
        <w:spacing w:line="360" w:lineRule="auto"/>
        <w:ind w:firstLine="482"/>
        <w:rPr>
          <w:rFonts w:hint="default" w:ascii="宋体" w:hAnsi="宋体" w:eastAsia="宋体" w:cs="宋体"/>
          <w:b/>
          <w:bCs/>
          <w:kern w:val="0"/>
          <w:sz w:val="24"/>
          <w:szCs w:val="24"/>
          <w:lang w:val="zh-TW"/>
        </w:rPr>
      </w:pPr>
      <w:r>
        <w:rPr>
          <w:rFonts w:ascii="宋体" w:hAnsi="宋体" w:eastAsia="宋体" w:cs="宋体"/>
          <w:b/>
          <w:bCs/>
          <w:kern w:val="0"/>
          <w:sz w:val="24"/>
          <w:szCs w:val="24"/>
          <w:lang w:val="zh-TW"/>
        </w:rPr>
        <w:t>五、标准的水平</w:t>
      </w:r>
    </w:p>
    <w:p w14:paraId="2A36B0A5">
      <w:pPr>
        <w:framePr w:wrap="auto" w:vAnchor="margin" w:hAnchor="text" w:yAlign="inline"/>
        <w:spacing w:line="360" w:lineRule="auto"/>
        <w:ind w:firstLine="480" w:firstLineChars="200"/>
        <w:rPr>
          <w:rFonts w:hint="default" w:ascii="宋体" w:hAnsi="宋体" w:eastAsia="宋体" w:cs="宋体"/>
          <w:sz w:val="24"/>
          <w:szCs w:val="24"/>
          <w:lang w:val="zh-TW"/>
        </w:rPr>
      </w:pPr>
      <w:r>
        <w:rPr>
          <w:rFonts w:ascii="宋体" w:hAnsi="宋体" w:eastAsia="宋体" w:cs="宋体"/>
          <w:color w:val="auto"/>
          <w:sz w:val="24"/>
          <w:szCs w:val="24"/>
          <w:lang w:val="zh-TW"/>
        </w:rPr>
        <w:t>在编制《</w:t>
      </w:r>
      <w:r>
        <w:rPr>
          <w:rFonts w:hint="cs" w:ascii="宋体" w:hAnsi="宋体" w:eastAsia="宋体" w:cs="宋体"/>
          <w:color w:val="auto"/>
          <w:sz w:val="24"/>
          <w:szCs w:val="24"/>
        </w:rPr>
        <w:t>数字贸易</w:t>
      </w:r>
      <w:r>
        <w:rPr>
          <w:rFonts w:hint="default" w:ascii="宋体" w:hAnsi="宋体" w:eastAsia="宋体" w:cs="宋体"/>
          <w:color w:val="auto"/>
          <w:sz w:val="24"/>
          <w:szCs w:val="24"/>
        </w:rPr>
        <w:t xml:space="preserve"> 基本概念与关键倡议</w:t>
      </w:r>
      <w:r>
        <w:rPr>
          <w:rFonts w:ascii="宋体" w:hAnsi="宋体" w:eastAsia="宋体" w:cs="宋体"/>
          <w:color w:val="auto"/>
          <w:sz w:val="24"/>
          <w:szCs w:val="24"/>
          <w:lang w:val="zh-TW"/>
        </w:rPr>
        <w:t>》团体标准</w:t>
      </w:r>
      <w:r>
        <w:rPr>
          <w:rFonts w:ascii="宋体" w:hAnsi="宋体" w:eastAsia="宋体" w:cs="宋体"/>
          <w:sz w:val="24"/>
          <w:szCs w:val="24"/>
          <w:lang w:val="zh-TW"/>
        </w:rPr>
        <w:t>时，我们力求体现实用性、前瞻性和灵活性，确保对</w:t>
      </w:r>
      <w:r>
        <w:rPr>
          <w:rFonts w:hint="cs" w:ascii="宋体" w:hAnsi="宋体" w:eastAsia="宋体" w:cs="宋体"/>
          <w:color w:val="auto"/>
          <w:sz w:val="24"/>
          <w:szCs w:val="24"/>
        </w:rPr>
        <w:t>数字贸易</w:t>
      </w:r>
      <w:r>
        <w:rPr>
          <w:rFonts w:hint="default" w:ascii="宋体" w:hAnsi="宋体" w:eastAsia="宋体" w:cs="宋体"/>
          <w:color w:val="auto"/>
          <w:sz w:val="24"/>
          <w:szCs w:val="24"/>
        </w:rPr>
        <w:t>基本概念与关键倡议</w:t>
      </w:r>
      <w:r>
        <w:rPr>
          <w:rFonts w:ascii="宋体" w:hAnsi="宋体" w:eastAsia="宋体" w:cs="宋体"/>
          <w:color w:val="auto"/>
          <w:sz w:val="24"/>
          <w:szCs w:val="24"/>
        </w:rPr>
        <w:t>的界定和概括</w:t>
      </w:r>
      <w:r>
        <w:rPr>
          <w:rFonts w:ascii="宋体" w:hAnsi="宋体" w:eastAsia="宋体" w:cs="宋体"/>
          <w:sz w:val="24"/>
          <w:szCs w:val="24"/>
          <w:lang w:val="zh-TW"/>
        </w:rPr>
        <w:t>能够高效、稳定地进行，同时保证数据安全和数字贸易消费者体验的优化。具体而言，</w:t>
      </w:r>
      <w:r>
        <w:rPr>
          <w:rFonts w:hAnsi="宋体" w:eastAsia="宋体" w:cs="宋体"/>
          <w:bCs/>
          <w:color w:val="auto"/>
          <w:sz w:val="24"/>
          <w:szCs w:val="24"/>
        </w:rPr>
        <w:t>本标准</w:t>
      </w:r>
      <w:r>
        <w:rPr>
          <w:rFonts w:ascii="宋体" w:hAnsi="宋体" w:eastAsia="宋体" w:cs="宋体"/>
          <w:sz w:val="24"/>
          <w:szCs w:val="24"/>
          <w:lang w:val="zh-TW"/>
        </w:rPr>
        <w:t>的水平体现在以下几个方面：</w:t>
      </w:r>
    </w:p>
    <w:p w14:paraId="0F2374B9">
      <w:pPr>
        <w:framePr w:wrap="auto" w:vAnchor="margin" w:hAnchor="text" w:yAlign="inline"/>
        <w:spacing w:line="360" w:lineRule="auto"/>
        <w:ind w:firstLine="482"/>
        <w:rPr>
          <w:rFonts w:hint="default" w:ascii="宋体" w:hAnsi="宋体" w:eastAsia="宋体" w:cs="宋体"/>
          <w:sz w:val="24"/>
          <w:szCs w:val="24"/>
          <w:lang w:val="zh-TW"/>
        </w:rPr>
      </w:pPr>
      <w:r>
        <w:rPr>
          <w:rFonts w:ascii="宋体" w:hAnsi="宋体" w:eastAsia="宋体" w:cs="宋体"/>
          <w:b/>
          <w:bCs/>
          <w:sz w:val="24"/>
          <w:szCs w:val="24"/>
        </w:rPr>
        <w:t>1.</w:t>
      </w:r>
      <w:r>
        <w:rPr>
          <w:rFonts w:ascii="宋体" w:hAnsi="宋体" w:eastAsia="宋体" w:cs="宋体"/>
          <w:b/>
          <w:bCs/>
          <w:sz w:val="24"/>
          <w:szCs w:val="24"/>
          <w:lang w:val="zh-TW"/>
        </w:rPr>
        <w:t>全面系统。</w:t>
      </w:r>
      <w:r>
        <w:rPr>
          <w:rFonts w:hAnsi="宋体" w:eastAsia="宋体" w:cs="宋体"/>
          <w:bCs/>
          <w:color w:val="auto"/>
          <w:sz w:val="24"/>
          <w:szCs w:val="24"/>
        </w:rPr>
        <w:t>本标准</w:t>
      </w:r>
      <w:r>
        <w:rPr>
          <w:rFonts w:ascii="宋体" w:hAnsi="宋体" w:eastAsia="宋体" w:cs="宋体"/>
          <w:sz w:val="24"/>
          <w:szCs w:val="24"/>
          <w:lang w:val="zh-TW"/>
        </w:rPr>
        <w:t>涵盖了</w:t>
      </w:r>
      <w:r>
        <w:rPr>
          <w:rFonts w:hAnsi="宋体" w:eastAsia="宋体" w:cs="宋体"/>
          <w:bCs/>
          <w:color w:val="auto"/>
          <w:sz w:val="24"/>
          <w:szCs w:val="24"/>
        </w:rPr>
        <w:t>数字贸易、数字货物贸易、数字内容贸易、数字服务贸易、数据及衍生品贸易、数字化平台、数字贸易国际合作、数字贸易配套服务等核心概念和重要环节，以期</w:t>
      </w:r>
      <w:r>
        <w:rPr>
          <w:rFonts w:ascii="宋体" w:hAnsi="宋体" w:eastAsia="宋体" w:cs="宋体"/>
          <w:sz w:val="24"/>
          <w:szCs w:val="24"/>
          <w:lang w:val="zh-TW"/>
        </w:rPr>
        <w:t>为数字贸易产业提供</w:t>
      </w:r>
      <w:r>
        <w:rPr>
          <w:rFonts w:ascii="宋体" w:hAnsi="宋体" w:eastAsia="宋体" w:cs="宋体"/>
          <w:sz w:val="24"/>
          <w:szCs w:val="24"/>
        </w:rPr>
        <w:t>全面、系统</w:t>
      </w:r>
      <w:r>
        <w:rPr>
          <w:rFonts w:ascii="宋体" w:hAnsi="宋体" w:eastAsia="宋体" w:cs="宋体"/>
          <w:sz w:val="24"/>
          <w:szCs w:val="24"/>
          <w:lang w:val="zh-TW"/>
        </w:rPr>
        <w:t>的明确指导，确保每个环节都能有效协同。</w:t>
      </w:r>
    </w:p>
    <w:p w14:paraId="5E419B52">
      <w:pPr>
        <w:framePr w:wrap="auto" w:vAnchor="margin" w:hAnchor="text" w:yAlign="inline"/>
        <w:spacing w:line="360" w:lineRule="auto"/>
        <w:ind w:firstLine="482"/>
        <w:rPr>
          <w:rFonts w:hint="default" w:ascii="宋体" w:hAnsi="宋体" w:eastAsia="宋体" w:cs="宋体"/>
          <w:sz w:val="24"/>
          <w:szCs w:val="24"/>
          <w:lang w:val="zh-TW"/>
        </w:rPr>
      </w:pPr>
      <w:r>
        <w:rPr>
          <w:rFonts w:ascii="宋体" w:hAnsi="宋体" w:eastAsia="宋体" w:cs="宋体"/>
          <w:b/>
          <w:bCs/>
          <w:sz w:val="24"/>
          <w:szCs w:val="24"/>
        </w:rPr>
        <w:t>2.</w:t>
      </w:r>
      <w:r>
        <w:rPr>
          <w:rFonts w:ascii="宋体" w:hAnsi="宋体" w:eastAsia="宋体" w:cs="宋体"/>
          <w:b/>
          <w:bCs/>
          <w:sz w:val="24"/>
          <w:szCs w:val="24"/>
          <w:lang w:val="zh-TW"/>
        </w:rPr>
        <w:t>安全性。</w:t>
      </w:r>
      <w:r>
        <w:rPr>
          <w:rFonts w:hAnsi="宋体" w:eastAsia="宋体" w:cs="宋体"/>
          <w:bCs/>
          <w:color w:val="auto"/>
          <w:sz w:val="24"/>
          <w:szCs w:val="24"/>
        </w:rPr>
        <w:t>本标准</w:t>
      </w:r>
      <w:r>
        <w:rPr>
          <w:rFonts w:ascii="宋体" w:hAnsi="宋体" w:eastAsia="宋体" w:cs="宋体"/>
          <w:sz w:val="24"/>
          <w:szCs w:val="24"/>
        </w:rPr>
        <w:t>特别</w:t>
      </w:r>
      <w:r>
        <w:rPr>
          <w:rFonts w:ascii="宋体" w:hAnsi="宋体" w:eastAsia="宋体" w:cs="宋体"/>
          <w:sz w:val="24"/>
          <w:szCs w:val="24"/>
          <w:lang w:val="zh-TW"/>
        </w:rPr>
        <w:t>强调了对数字贸易中的交易安全、数据安全和隐私保护的关注</w:t>
      </w:r>
      <w:r>
        <w:rPr>
          <w:rFonts w:ascii="宋体" w:hAnsi="宋体" w:eastAsia="宋体" w:cs="宋体"/>
          <w:sz w:val="24"/>
          <w:szCs w:val="24"/>
        </w:rPr>
        <w:t>。</w:t>
      </w:r>
    </w:p>
    <w:p w14:paraId="15F088E2">
      <w:pPr>
        <w:framePr w:wrap="auto" w:vAnchor="margin" w:hAnchor="text" w:yAlign="inline"/>
        <w:spacing w:line="360" w:lineRule="auto"/>
        <w:ind w:firstLine="482"/>
        <w:rPr>
          <w:rFonts w:hint="default" w:ascii="宋体" w:hAnsi="宋体" w:eastAsia="宋体" w:cs="宋体"/>
          <w:sz w:val="24"/>
          <w:szCs w:val="24"/>
          <w:lang w:val="zh-TW"/>
        </w:rPr>
      </w:pPr>
      <w:r>
        <w:rPr>
          <w:rFonts w:ascii="宋体" w:hAnsi="宋体" w:eastAsia="宋体" w:cs="宋体"/>
          <w:b/>
          <w:bCs/>
          <w:sz w:val="24"/>
          <w:szCs w:val="24"/>
        </w:rPr>
        <w:t>3.</w:t>
      </w:r>
      <w:r>
        <w:rPr>
          <w:rFonts w:ascii="宋体" w:hAnsi="宋体" w:eastAsia="宋体" w:cs="宋体"/>
          <w:b/>
          <w:bCs/>
          <w:sz w:val="24"/>
          <w:szCs w:val="24"/>
          <w:lang w:val="zh-TW"/>
        </w:rPr>
        <w:t>消费者体验。</w:t>
      </w:r>
      <w:r>
        <w:rPr>
          <w:rFonts w:hAnsi="宋体" w:eastAsia="宋体" w:cs="宋体"/>
          <w:bCs/>
          <w:color w:val="auto"/>
          <w:sz w:val="24"/>
          <w:szCs w:val="24"/>
        </w:rPr>
        <w:t>本标准</w:t>
      </w:r>
      <w:r>
        <w:rPr>
          <w:rFonts w:ascii="宋体" w:hAnsi="宋体" w:eastAsia="宋体" w:cs="宋体"/>
          <w:sz w:val="24"/>
          <w:szCs w:val="24"/>
          <w:lang w:val="zh-TW"/>
        </w:rPr>
        <w:t>以消费者为中心，关注数字贸易全流程的消费者体验维护和满意度。</w:t>
      </w:r>
    </w:p>
    <w:p w14:paraId="47C015C0">
      <w:pPr>
        <w:framePr w:wrap="auto" w:vAnchor="margin" w:hAnchor="text" w:yAlign="inline"/>
        <w:spacing w:line="360" w:lineRule="auto"/>
        <w:ind w:firstLine="482"/>
        <w:rPr>
          <w:rFonts w:hint="default" w:ascii="宋体" w:hAnsi="宋体" w:eastAsia="宋体" w:cs="宋体"/>
          <w:sz w:val="24"/>
          <w:szCs w:val="24"/>
          <w:lang w:val="zh-TW"/>
        </w:rPr>
      </w:pPr>
      <w:r>
        <w:rPr>
          <w:rFonts w:ascii="宋体" w:hAnsi="宋体" w:eastAsia="宋体" w:cs="宋体"/>
          <w:b/>
          <w:bCs/>
          <w:sz w:val="24"/>
          <w:szCs w:val="24"/>
        </w:rPr>
        <w:t>4.</w:t>
      </w:r>
      <w:r>
        <w:rPr>
          <w:rFonts w:ascii="宋体" w:hAnsi="宋体" w:eastAsia="宋体" w:cs="宋体"/>
          <w:b/>
          <w:bCs/>
          <w:sz w:val="24"/>
          <w:szCs w:val="24"/>
          <w:lang w:val="zh-TW"/>
        </w:rPr>
        <w:t>适应性。</w:t>
      </w:r>
      <w:r>
        <w:rPr>
          <w:rFonts w:ascii="宋体" w:hAnsi="宋体" w:eastAsia="宋体" w:cs="宋体"/>
          <w:sz w:val="24"/>
          <w:szCs w:val="24"/>
          <w:lang w:val="zh-TW"/>
        </w:rPr>
        <w:t>考虑到数字贸易行业的快速变化和技术发展，</w:t>
      </w:r>
      <w:r>
        <w:rPr>
          <w:rFonts w:hAnsi="宋体" w:eastAsia="宋体" w:cs="宋体"/>
          <w:bCs/>
          <w:color w:val="auto"/>
          <w:sz w:val="24"/>
          <w:szCs w:val="24"/>
        </w:rPr>
        <w:t>本标准</w:t>
      </w:r>
      <w:r>
        <w:rPr>
          <w:rFonts w:ascii="宋体" w:hAnsi="宋体" w:eastAsia="宋体" w:cs="宋体"/>
          <w:sz w:val="24"/>
          <w:szCs w:val="24"/>
          <w:lang w:val="zh-TW"/>
        </w:rPr>
        <w:t>强调概念框架的适应性和文本内容的弹性，确保标准能够适应市场和技术的变化，持续满足使用者的需求。</w:t>
      </w:r>
    </w:p>
    <w:p w14:paraId="2F0F43D0">
      <w:pPr>
        <w:framePr w:wrap="auto" w:vAnchor="margin" w:hAnchor="text" w:yAlign="inline"/>
        <w:spacing w:line="360" w:lineRule="auto"/>
        <w:ind w:firstLine="482"/>
        <w:rPr>
          <w:rFonts w:hint="default" w:ascii="宋体" w:hAnsi="宋体" w:eastAsia="宋体" w:cs="宋体"/>
          <w:sz w:val="24"/>
          <w:szCs w:val="24"/>
          <w:lang w:val="zh-TW"/>
        </w:rPr>
      </w:pPr>
      <w:r>
        <w:rPr>
          <w:rFonts w:hint="default" w:ascii="宋体" w:hAnsi="宋体" w:eastAsia="宋体" w:cs="宋体"/>
          <w:b/>
          <w:bCs/>
          <w:sz w:val="24"/>
          <w:szCs w:val="24"/>
        </w:rPr>
        <w:t>5</w:t>
      </w:r>
      <w:r>
        <w:rPr>
          <w:rFonts w:ascii="宋体" w:hAnsi="宋体" w:eastAsia="宋体" w:cs="宋体"/>
          <w:b/>
          <w:bCs/>
          <w:sz w:val="24"/>
          <w:szCs w:val="24"/>
        </w:rPr>
        <w:t>.</w:t>
      </w:r>
      <w:r>
        <w:rPr>
          <w:rFonts w:ascii="宋体" w:hAnsi="宋体" w:eastAsia="宋体" w:cs="宋体"/>
          <w:b/>
          <w:bCs/>
          <w:sz w:val="24"/>
          <w:szCs w:val="24"/>
          <w:lang w:val="zh-TW"/>
        </w:rPr>
        <w:t>可持续发展。</w:t>
      </w:r>
      <w:r>
        <w:rPr>
          <w:rFonts w:hAnsi="宋体" w:eastAsia="宋体" w:cs="宋体"/>
          <w:bCs/>
          <w:color w:val="auto"/>
          <w:sz w:val="24"/>
          <w:szCs w:val="24"/>
        </w:rPr>
        <w:t>本标准</w:t>
      </w:r>
      <w:r>
        <w:rPr>
          <w:rFonts w:ascii="宋体" w:hAnsi="宋体" w:eastAsia="宋体" w:cs="宋体"/>
          <w:sz w:val="24"/>
          <w:szCs w:val="24"/>
          <w:lang w:val="zh-TW"/>
        </w:rPr>
        <w:t>支持《联合国2030可持续发展目标》，特别是</w:t>
      </w:r>
      <w:r>
        <w:rPr>
          <w:rFonts w:ascii="宋体" w:hAnsi="宋体" w:eastAsia="宋体" w:cs="宋体"/>
        </w:rPr>
        <w:t>体</w:t>
      </w:r>
      <w:r>
        <w:rPr>
          <w:rFonts w:ascii="宋体" w:hAnsi="宋体" w:eastAsia="宋体" w:cs="宋体"/>
          <w:sz w:val="24"/>
          <w:szCs w:val="24"/>
          <w:lang w:val="zh-TW"/>
        </w:rPr>
        <w:t>面的工作和经济增长；产业、创新和基础设施；减少不平等；和负责任的消费和生产。</w:t>
      </w:r>
    </w:p>
    <w:p w14:paraId="77A94CF7">
      <w:pPr>
        <w:framePr w:wrap="auto" w:vAnchor="margin" w:hAnchor="text" w:yAlign="inline"/>
        <w:spacing w:line="360" w:lineRule="auto"/>
        <w:ind w:firstLine="482"/>
        <w:rPr>
          <w:rFonts w:hint="default" w:ascii="宋体" w:hAnsi="宋体" w:eastAsia="宋体" w:cs="宋体"/>
          <w:sz w:val="24"/>
          <w:szCs w:val="24"/>
          <w:lang w:val="zh-TW"/>
        </w:rPr>
      </w:pPr>
      <w:r>
        <w:rPr>
          <w:rFonts w:ascii="宋体" w:hAnsi="宋体" w:eastAsia="宋体" w:cs="宋体"/>
          <w:sz w:val="24"/>
          <w:szCs w:val="24"/>
          <w:lang w:val="zh-TW"/>
        </w:rPr>
        <w:t>总的来说，</w:t>
      </w:r>
      <w:r>
        <w:rPr>
          <w:rFonts w:hAnsi="宋体" w:eastAsia="宋体" w:cs="宋体"/>
          <w:bCs/>
          <w:color w:val="auto"/>
          <w:sz w:val="24"/>
          <w:szCs w:val="24"/>
        </w:rPr>
        <w:t>本标准</w:t>
      </w:r>
      <w:r>
        <w:rPr>
          <w:rFonts w:hint="cs" w:ascii="宋体" w:hAnsi="宋体" w:eastAsia="宋体" w:cs="宋体"/>
          <w:sz w:val="24"/>
          <w:szCs w:val="24"/>
          <w:lang w:val="zh-TW"/>
        </w:rPr>
        <w:t>为数字贸易确定清晰并被普遍接受的相关术语和一系列通用定义，包括贸易数字化、跨境电子商务、数字产品贸易、数据贸易、通过数字化实现的服务贸易和数字服务贸易</w:t>
      </w:r>
      <w:r>
        <w:rPr>
          <w:rFonts w:ascii="宋体" w:hAnsi="宋体" w:eastAsia="宋体" w:cs="宋体"/>
          <w:sz w:val="24"/>
          <w:szCs w:val="24"/>
          <w:lang w:val="zh-TW"/>
        </w:rPr>
        <w:t>等</w:t>
      </w:r>
      <w:r>
        <w:rPr>
          <w:rFonts w:hint="cs" w:ascii="宋体" w:hAnsi="宋体" w:eastAsia="宋体" w:cs="宋体"/>
          <w:sz w:val="24"/>
          <w:szCs w:val="24"/>
          <w:lang w:val="zh-TW"/>
        </w:rPr>
        <w:t>；为数字贸易相关重要因素的评估提供评判准则，并帮助收集数字贸易（及其对区域和国家经济的影响）的国际可比数据；帮助保障数字贸易相关企业的组织弹性，并强化数字平台、制造商、电商卖家、数字内容生产者、数字服务提供商、数据开发者和国际中间商之间的深入合作；促进出口加工行业的数字化和智能化转型升级。</w:t>
      </w:r>
    </w:p>
    <w:p w14:paraId="34FA87BB">
      <w:pPr>
        <w:framePr w:wrap="auto" w:vAnchor="margin" w:hAnchor="text" w:yAlign="inline"/>
        <w:spacing w:line="360" w:lineRule="auto"/>
        <w:ind w:firstLine="482"/>
        <w:rPr>
          <w:rFonts w:hint="default" w:ascii="宋体" w:hAnsi="宋体" w:eastAsia="宋体" w:cs="宋体"/>
          <w:b/>
          <w:bCs/>
          <w:kern w:val="0"/>
          <w:sz w:val="24"/>
          <w:szCs w:val="24"/>
          <w:lang w:val="zh-TW"/>
        </w:rPr>
      </w:pPr>
      <w:r>
        <w:rPr>
          <w:rFonts w:ascii="宋体" w:hAnsi="宋体" w:eastAsia="宋体" w:cs="宋体"/>
          <w:b/>
          <w:bCs/>
          <w:kern w:val="0"/>
          <w:sz w:val="24"/>
          <w:szCs w:val="24"/>
          <w:lang w:val="zh-TW"/>
        </w:rPr>
        <w:t>六、与有关的现行法律法规和强制性国家标准的关系</w:t>
      </w:r>
    </w:p>
    <w:p w14:paraId="0A35EF46">
      <w:pPr>
        <w:framePr w:wrap="auto" w:vAnchor="margin" w:hAnchor="text" w:yAlign="inline"/>
        <w:spacing w:line="360" w:lineRule="auto"/>
        <w:ind w:firstLine="480"/>
        <w:rPr>
          <w:rFonts w:hint="default" w:ascii="宋体" w:hAnsi="宋体" w:eastAsia="宋体" w:cs="宋体"/>
          <w:color w:val="auto"/>
          <w:sz w:val="24"/>
          <w:szCs w:val="24"/>
          <w:lang w:val="zh-TW"/>
        </w:rPr>
      </w:pPr>
      <w:r>
        <w:rPr>
          <w:rFonts w:hint="default" w:ascii="宋体" w:hAnsi="宋体" w:eastAsia="宋体" w:cs="宋体"/>
          <w:color w:val="auto"/>
          <w:sz w:val="24"/>
          <w:szCs w:val="24"/>
          <w:lang w:val="zh-TW"/>
        </w:rPr>
        <w:t>本标准符合国家现行法律、法规、规章和强制性国家标准的要求。遵照GB/T1.1-2020 规定进行编写，与其它相关标准没有矛盾和抵触。</w:t>
      </w:r>
    </w:p>
    <w:p w14:paraId="5228F7D7">
      <w:pPr>
        <w:framePr w:wrap="auto" w:vAnchor="margin" w:hAnchor="text" w:yAlign="inline"/>
        <w:spacing w:line="360" w:lineRule="auto"/>
        <w:ind w:firstLine="480"/>
        <w:rPr>
          <w:rFonts w:hint="default" w:ascii="宋体" w:hAnsi="宋体" w:eastAsia="宋体" w:cs="宋体"/>
          <w:color w:val="auto"/>
          <w:sz w:val="24"/>
          <w:szCs w:val="24"/>
          <w:lang w:val="zh-TW"/>
        </w:rPr>
      </w:pPr>
      <w:r>
        <w:rPr>
          <w:rFonts w:hint="default" w:ascii="宋体" w:hAnsi="宋体" w:eastAsia="宋体" w:cs="宋体"/>
          <w:color w:val="auto"/>
          <w:sz w:val="24"/>
          <w:szCs w:val="24"/>
          <w:lang w:val="zh-TW"/>
        </w:rPr>
        <w:t>目前，</w:t>
      </w:r>
      <w:r>
        <w:rPr>
          <w:rFonts w:ascii="宋体" w:hAnsi="宋体" w:eastAsia="宋体" w:cs="宋体"/>
          <w:color w:val="auto"/>
          <w:sz w:val="24"/>
          <w:szCs w:val="24"/>
        </w:rPr>
        <w:t>国内外尚缺乏</w:t>
      </w:r>
      <w:r>
        <w:rPr>
          <w:rFonts w:hint="cs" w:ascii="宋体" w:hAnsi="宋体" w:eastAsia="宋体" w:cs="宋体"/>
          <w:color w:val="auto"/>
          <w:sz w:val="24"/>
          <w:szCs w:val="24"/>
        </w:rPr>
        <w:t>清晰并被普遍接受的与数字贸易相关的</w:t>
      </w:r>
      <w:r>
        <w:rPr>
          <w:rFonts w:ascii="宋体" w:hAnsi="宋体" w:eastAsia="宋体" w:cs="宋体"/>
          <w:color w:val="auto"/>
          <w:sz w:val="24"/>
          <w:szCs w:val="24"/>
        </w:rPr>
        <w:t>基本概念</w:t>
      </w:r>
      <w:r>
        <w:rPr>
          <w:rFonts w:hint="cs" w:ascii="宋体" w:hAnsi="宋体" w:eastAsia="宋体" w:cs="宋体"/>
          <w:color w:val="auto"/>
          <w:sz w:val="24"/>
          <w:szCs w:val="24"/>
        </w:rPr>
        <w:t>术语</w:t>
      </w:r>
      <w:r>
        <w:rPr>
          <w:rFonts w:ascii="宋体" w:hAnsi="宋体" w:eastAsia="宋体" w:cs="宋体"/>
          <w:color w:val="auto"/>
          <w:sz w:val="24"/>
          <w:szCs w:val="24"/>
        </w:rPr>
        <w:t>的内涵外延界定，导致</w:t>
      </w:r>
      <w:r>
        <w:rPr>
          <w:rFonts w:hint="cs" w:ascii="宋体" w:hAnsi="宋体" w:eastAsia="宋体" w:cs="宋体"/>
          <w:color w:val="auto"/>
          <w:sz w:val="24"/>
          <w:szCs w:val="24"/>
        </w:rPr>
        <w:t>数字贸易相关重要因素的评估</w:t>
      </w:r>
      <w:r>
        <w:rPr>
          <w:rFonts w:ascii="宋体" w:hAnsi="宋体" w:eastAsia="宋体" w:cs="宋体"/>
          <w:color w:val="auto"/>
          <w:sz w:val="24"/>
          <w:szCs w:val="24"/>
        </w:rPr>
        <w:t>缺乏一致的</w:t>
      </w:r>
      <w:r>
        <w:rPr>
          <w:rFonts w:hint="cs" w:ascii="宋体" w:hAnsi="宋体" w:eastAsia="宋体" w:cs="宋体"/>
          <w:color w:val="auto"/>
          <w:sz w:val="24"/>
          <w:szCs w:val="24"/>
        </w:rPr>
        <w:t>评判准则</w:t>
      </w:r>
      <w:r>
        <w:rPr>
          <w:rFonts w:ascii="宋体" w:hAnsi="宋体" w:eastAsia="宋体" w:cs="宋体"/>
          <w:color w:val="auto"/>
          <w:sz w:val="24"/>
          <w:szCs w:val="24"/>
        </w:rPr>
        <w:t>和</w:t>
      </w:r>
      <w:r>
        <w:rPr>
          <w:rFonts w:hint="cs" w:ascii="宋体" w:hAnsi="宋体" w:eastAsia="宋体" w:cs="宋体"/>
          <w:color w:val="auto"/>
          <w:sz w:val="24"/>
          <w:szCs w:val="24"/>
        </w:rPr>
        <w:t>国际可比数据</w:t>
      </w:r>
      <w:r>
        <w:rPr>
          <w:rFonts w:ascii="宋体" w:hAnsi="宋体" w:eastAsia="宋体" w:cs="宋体"/>
          <w:color w:val="auto"/>
          <w:sz w:val="24"/>
          <w:szCs w:val="24"/>
        </w:rPr>
        <w:t>，影响政策制定和行业健康长远发展。在这一领域内，</w:t>
      </w:r>
      <w:r>
        <w:rPr>
          <w:rFonts w:hint="default" w:ascii="宋体" w:hAnsi="宋体" w:eastAsia="宋体" w:cs="宋体"/>
          <w:color w:val="auto"/>
          <w:sz w:val="24"/>
          <w:szCs w:val="24"/>
          <w:lang w:val="zh-TW"/>
        </w:rPr>
        <w:t>相关国家标准、行业标准或地方标准尚未完全成熟和普及，因此本标准是该领域的首个标准，具有较强的引领作用。</w:t>
      </w:r>
      <w:r>
        <w:rPr>
          <w:rFonts w:ascii="宋体" w:hAnsi="宋体" w:eastAsia="宋体" w:cs="宋体"/>
          <w:color w:val="auto"/>
          <w:sz w:val="24"/>
          <w:szCs w:val="24"/>
        </w:rPr>
        <w:t>本标准</w:t>
      </w:r>
      <w:r>
        <w:rPr>
          <w:rFonts w:hint="default" w:ascii="宋体" w:hAnsi="宋体" w:eastAsia="宋体" w:cs="宋体"/>
          <w:color w:val="auto"/>
          <w:sz w:val="24"/>
          <w:szCs w:val="24"/>
          <w:lang w:val="zh-TW"/>
        </w:rPr>
        <w:t>与有关的现行</w:t>
      </w:r>
      <w:r>
        <w:rPr>
          <w:rFonts w:ascii="宋体" w:hAnsi="宋体" w:eastAsia="宋体" w:cs="宋体"/>
          <w:color w:val="auto"/>
          <w:sz w:val="24"/>
          <w:szCs w:val="24"/>
          <w:lang w:val="zh-TW"/>
        </w:rPr>
        <w:t>法律法规</w:t>
      </w:r>
      <w:r>
        <w:rPr>
          <w:rFonts w:hint="default" w:ascii="宋体" w:hAnsi="宋体" w:eastAsia="宋体" w:cs="宋体"/>
          <w:color w:val="auto"/>
          <w:sz w:val="24"/>
          <w:szCs w:val="24"/>
          <w:lang w:val="zh-TW"/>
        </w:rPr>
        <w:t>和强制性国家标准的关系紧密且互补。在制定</w:t>
      </w:r>
      <w:r>
        <w:rPr>
          <w:rFonts w:ascii="宋体" w:hAnsi="宋体" w:eastAsia="宋体" w:cs="宋体"/>
          <w:color w:val="auto"/>
          <w:sz w:val="24"/>
          <w:szCs w:val="24"/>
        </w:rPr>
        <w:t>本标准</w:t>
      </w:r>
      <w:r>
        <w:rPr>
          <w:rFonts w:hint="default" w:ascii="宋体" w:hAnsi="宋体" w:eastAsia="宋体" w:cs="宋体"/>
          <w:color w:val="auto"/>
          <w:sz w:val="24"/>
          <w:szCs w:val="24"/>
          <w:lang w:val="zh-TW"/>
        </w:rPr>
        <w:t>过程中，充分考虑现有的法律法规和强制性国家标准，确保其内容不仅遵循国家的规定，还细化并补充特定</w:t>
      </w:r>
      <w:r>
        <w:rPr>
          <w:rFonts w:ascii="宋体" w:hAnsi="宋体" w:eastAsia="宋体" w:cs="宋体"/>
          <w:color w:val="auto"/>
          <w:sz w:val="24"/>
          <w:szCs w:val="24"/>
          <w:lang w:val="zh-TW"/>
        </w:rPr>
        <w:t>细分行业领域</w:t>
      </w:r>
      <w:r>
        <w:rPr>
          <w:rFonts w:hint="default" w:ascii="宋体" w:hAnsi="宋体" w:eastAsia="宋体" w:cs="宋体"/>
          <w:color w:val="auto"/>
          <w:sz w:val="24"/>
          <w:szCs w:val="24"/>
          <w:lang w:val="zh-TW"/>
        </w:rPr>
        <w:t>的具体</w:t>
      </w:r>
      <w:r>
        <w:rPr>
          <w:rFonts w:ascii="宋体" w:hAnsi="宋体" w:eastAsia="宋体" w:cs="宋体"/>
          <w:color w:val="auto"/>
          <w:sz w:val="24"/>
          <w:szCs w:val="24"/>
          <w:lang w:val="zh-TW"/>
        </w:rPr>
        <w:t>概念界定，</w:t>
      </w:r>
      <w:r>
        <w:rPr>
          <w:rFonts w:ascii="宋体" w:hAnsi="宋体" w:eastAsia="宋体" w:cs="宋体"/>
          <w:color w:val="auto"/>
          <w:sz w:val="24"/>
          <w:szCs w:val="24"/>
        </w:rPr>
        <w:t>以</w:t>
      </w:r>
      <w:r>
        <w:rPr>
          <w:rFonts w:hint="default" w:ascii="宋体" w:hAnsi="宋体" w:eastAsia="宋体" w:cs="宋体"/>
          <w:color w:val="auto"/>
          <w:sz w:val="24"/>
          <w:szCs w:val="24"/>
          <w:lang w:val="zh-TW"/>
        </w:rPr>
        <w:t>增强</w:t>
      </w:r>
      <w:r>
        <w:rPr>
          <w:rFonts w:ascii="宋体" w:hAnsi="宋体" w:eastAsia="宋体" w:cs="宋体"/>
          <w:color w:val="auto"/>
          <w:sz w:val="24"/>
          <w:szCs w:val="24"/>
          <w:lang w:val="zh-TW"/>
        </w:rPr>
        <w:t>数字贸易基本概念与关键倡议</w:t>
      </w:r>
      <w:r>
        <w:rPr>
          <w:rFonts w:hint="default" w:ascii="宋体" w:hAnsi="宋体" w:eastAsia="宋体" w:cs="宋体"/>
          <w:color w:val="auto"/>
          <w:sz w:val="24"/>
          <w:szCs w:val="24"/>
          <w:lang w:val="zh-TW"/>
        </w:rPr>
        <w:t>的合法性和规范性，为</w:t>
      </w:r>
      <w:r>
        <w:rPr>
          <w:rFonts w:ascii="宋体" w:hAnsi="宋体" w:eastAsia="宋体" w:cs="宋体"/>
          <w:color w:val="auto"/>
          <w:sz w:val="24"/>
          <w:szCs w:val="24"/>
          <w:lang w:val="zh-TW"/>
        </w:rPr>
        <w:t>数字贸易</w:t>
      </w:r>
      <w:r>
        <w:rPr>
          <w:rFonts w:hint="cs" w:ascii="宋体" w:hAnsi="宋体" w:eastAsia="宋体" w:cs="宋体"/>
          <w:color w:val="auto"/>
          <w:sz w:val="24"/>
          <w:szCs w:val="24"/>
          <w:lang w:val="zh-TW"/>
        </w:rPr>
        <w:t>监管机构、数字平台、制造商、电子商务供应商、数字内容生产商、数字服务提供商、数据开发者、国际中介机构、投资者、国际倡议和研究人员等</w:t>
      </w:r>
      <w:r>
        <w:rPr>
          <w:rFonts w:ascii="宋体" w:hAnsi="宋体" w:eastAsia="宋体" w:cs="宋体"/>
          <w:color w:val="auto"/>
          <w:sz w:val="24"/>
          <w:szCs w:val="24"/>
          <w:lang w:val="zh-TW"/>
        </w:rPr>
        <w:t>提</w:t>
      </w:r>
      <w:r>
        <w:rPr>
          <w:rFonts w:hint="default" w:ascii="宋体" w:hAnsi="宋体" w:eastAsia="宋体" w:cs="宋体"/>
          <w:color w:val="auto"/>
          <w:sz w:val="24"/>
          <w:szCs w:val="24"/>
          <w:lang w:val="zh-TW"/>
        </w:rPr>
        <w:t>供了</w:t>
      </w:r>
      <w:r>
        <w:rPr>
          <w:rFonts w:hint="cs" w:ascii="宋体" w:hAnsi="宋体" w:eastAsia="宋体" w:cs="宋体"/>
          <w:color w:val="auto"/>
          <w:sz w:val="24"/>
          <w:szCs w:val="24"/>
          <w:lang w:val="zh-TW"/>
        </w:rPr>
        <w:t>数据收集、产业研究、政策制定与国际比较</w:t>
      </w:r>
      <w:r>
        <w:rPr>
          <w:rFonts w:ascii="宋体" w:hAnsi="宋体" w:eastAsia="宋体" w:cs="宋体"/>
          <w:color w:val="auto"/>
          <w:sz w:val="24"/>
          <w:szCs w:val="24"/>
          <w:lang w:val="zh-TW"/>
        </w:rPr>
        <w:t>的有效工具</w:t>
      </w:r>
      <w:r>
        <w:rPr>
          <w:rFonts w:hint="default" w:ascii="宋体" w:hAnsi="宋体" w:eastAsia="宋体" w:cs="宋体"/>
          <w:color w:val="auto"/>
          <w:sz w:val="24"/>
          <w:szCs w:val="24"/>
          <w:lang w:val="zh-TW"/>
        </w:rPr>
        <w:t>，推动行业的健康有序发展。</w:t>
      </w:r>
    </w:p>
    <w:p w14:paraId="37BA4DA2">
      <w:pPr>
        <w:framePr w:wrap="auto" w:vAnchor="margin" w:hAnchor="text" w:yAlign="inline"/>
        <w:spacing w:line="360" w:lineRule="auto"/>
        <w:ind w:firstLine="482"/>
        <w:rPr>
          <w:rFonts w:hint="default" w:ascii="宋体" w:hAnsi="宋体" w:eastAsia="宋体" w:cs="宋体"/>
          <w:b/>
          <w:bCs/>
          <w:kern w:val="0"/>
          <w:sz w:val="24"/>
          <w:szCs w:val="24"/>
          <w:lang w:val="zh-TW"/>
        </w:rPr>
      </w:pPr>
      <w:r>
        <w:rPr>
          <w:rFonts w:ascii="宋体" w:hAnsi="宋体" w:eastAsia="宋体" w:cs="宋体"/>
          <w:b/>
          <w:bCs/>
          <w:kern w:val="0"/>
          <w:sz w:val="24"/>
          <w:szCs w:val="24"/>
          <w:lang w:val="zh-TW"/>
        </w:rPr>
        <w:t>七、贯彻标准的要求和措施建议</w:t>
      </w:r>
    </w:p>
    <w:p w14:paraId="01411E7D">
      <w:pPr>
        <w:framePr w:wrap="auto" w:vAnchor="margin" w:hAnchor="text" w:yAlign="inline"/>
        <w:spacing w:line="360" w:lineRule="auto"/>
        <w:ind w:firstLine="482"/>
        <w:rPr>
          <w:rFonts w:hint="default" w:ascii="宋体" w:hAnsi="宋体" w:eastAsia="宋体" w:cs="宋体"/>
          <w:color w:val="auto"/>
          <w:sz w:val="24"/>
          <w:szCs w:val="24"/>
          <w:lang w:val="zh-TW"/>
        </w:rPr>
      </w:pPr>
      <w:r>
        <w:rPr>
          <w:rFonts w:ascii="宋体" w:hAnsi="宋体" w:eastAsia="宋体" w:cs="宋体"/>
          <w:b/>
          <w:bCs/>
          <w:color w:val="auto"/>
          <w:sz w:val="24"/>
          <w:szCs w:val="24"/>
        </w:rPr>
        <w:t>1.</w:t>
      </w:r>
      <w:r>
        <w:rPr>
          <w:rFonts w:ascii="宋体" w:hAnsi="宋体" w:eastAsia="宋体" w:cs="宋体"/>
          <w:b/>
          <w:bCs/>
          <w:color w:val="auto"/>
          <w:sz w:val="24"/>
          <w:szCs w:val="24"/>
          <w:lang w:val="zh-TW"/>
        </w:rPr>
        <w:t>熟悉标准内容。</w:t>
      </w:r>
      <w:r>
        <w:rPr>
          <w:rFonts w:ascii="宋体" w:hAnsi="宋体" w:eastAsia="宋体" w:cs="宋体"/>
          <w:color w:val="auto"/>
          <w:sz w:val="24"/>
          <w:szCs w:val="24"/>
          <w:lang w:val="zh-TW"/>
        </w:rPr>
        <w:t>首先，研读并熟悉本团体标准的全部内容。了解标准的目的、适用范围、主要技术内容以及相关标准和要求。</w:t>
      </w:r>
    </w:p>
    <w:p w14:paraId="3A3B64B2">
      <w:pPr>
        <w:framePr w:wrap="auto" w:vAnchor="margin" w:hAnchor="text" w:yAlign="inline"/>
        <w:spacing w:line="360" w:lineRule="auto"/>
        <w:ind w:firstLine="482"/>
        <w:rPr>
          <w:rFonts w:hint="default" w:ascii="宋体" w:hAnsi="宋体" w:eastAsia="宋体" w:cs="宋体"/>
          <w:color w:val="auto"/>
          <w:sz w:val="24"/>
          <w:szCs w:val="24"/>
          <w:lang w:val="zh-TW"/>
        </w:rPr>
      </w:pPr>
      <w:r>
        <w:rPr>
          <w:rFonts w:ascii="宋体" w:hAnsi="宋体" w:eastAsia="宋体" w:cs="宋体"/>
          <w:b/>
          <w:bCs/>
          <w:color w:val="auto"/>
          <w:sz w:val="24"/>
          <w:szCs w:val="24"/>
        </w:rPr>
        <w:t>2.</w:t>
      </w:r>
      <w:r>
        <w:rPr>
          <w:rFonts w:ascii="宋体" w:hAnsi="宋体" w:eastAsia="宋体" w:cs="宋体"/>
          <w:b/>
          <w:bCs/>
          <w:color w:val="auto"/>
          <w:sz w:val="24"/>
          <w:szCs w:val="24"/>
          <w:lang w:val="zh-TW"/>
        </w:rPr>
        <w:t>制定数字贸易业务发展规划。</w:t>
      </w:r>
      <w:r>
        <w:rPr>
          <w:rFonts w:ascii="宋体" w:hAnsi="宋体" w:eastAsia="宋体" w:cs="宋体"/>
          <w:color w:val="auto"/>
          <w:sz w:val="24"/>
          <w:szCs w:val="24"/>
          <w:lang w:val="zh-TW"/>
        </w:rPr>
        <w:t>根据</w:t>
      </w:r>
      <w:r>
        <w:rPr>
          <w:rFonts w:hAnsi="宋体" w:eastAsia="宋体" w:cs="宋体"/>
          <w:bCs/>
          <w:color w:val="auto"/>
          <w:sz w:val="24"/>
          <w:szCs w:val="24"/>
        </w:rPr>
        <w:t>本标准</w:t>
      </w:r>
      <w:r>
        <w:rPr>
          <w:rFonts w:ascii="宋体" w:hAnsi="宋体" w:eastAsia="宋体" w:cs="宋体"/>
          <w:color w:val="auto"/>
          <w:sz w:val="24"/>
          <w:szCs w:val="24"/>
          <w:lang w:val="zh-TW"/>
        </w:rPr>
        <w:t>的指导，为开展</w:t>
      </w:r>
      <w:r>
        <w:rPr>
          <w:rFonts w:hint="cs" w:ascii="宋体" w:hAnsi="宋体" w:eastAsia="宋体" w:cs="宋体"/>
          <w:color w:val="auto"/>
          <w:sz w:val="24"/>
          <w:szCs w:val="24"/>
        </w:rPr>
        <w:t>数字贸易</w:t>
      </w:r>
      <w:r>
        <w:rPr>
          <w:rFonts w:ascii="宋体" w:hAnsi="宋体" w:eastAsia="宋体" w:cs="宋体"/>
          <w:color w:val="auto"/>
          <w:sz w:val="24"/>
          <w:szCs w:val="24"/>
        </w:rPr>
        <w:t>业务活动制定明确、清晰的发展规划</w:t>
      </w:r>
      <w:r>
        <w:rPr>
          <w:rFonts w:ascii="宋体" w:hAnsi="宋体" w:eastAsia="宋体" w:cs="宋体"/>
          <w:color w:val="auto"/>
          <w:sz w:val="24"/>
          <w:szCs w:val="24"/>
          <w:lang w:val="zh-TW"/>
        </w:rPr>
        <w:t>。视所属的细分领域不同（</w:t>
      </w:r>
      <w:r>
        <w:rPr>
          <w:rFonts w:hAnsi="宋体" w:eastAsia="宋体" w:cs="宋体"/>
          <w:bCs/>
          <w:color w:val="auto"/>
          <w:sz w:val="24"/>
          <w:szCs w:val="24"/>
        </w:rPr>
        <w:t>数字贸易、数字货物贸易、数字内容贸易、数字服务贸易、数据及衍生品贸易、数字化平台、数字贸易国际合作、数字贸易配套服务等</w:t>
      </w:r>
      <w:r>
        <w:rPr>
          <w:rFonts w:ascii="宋体" w:hAnsi="宋体" w:eastAsia="宋体" w:cs="宋体"/>
          <w:color w:val="auto"/>
          <w:sz w:val="24"/>
          <w:szCs w:val="24"/>
          <w:lang w:val="zh-TW"/>
        </w:rPr>
        <w:t>），关键任务和所分配到的资源和责任也会有所不同。</w:t>
      </w:r>
    </w:p>
    <w:p w14:paraId="1392DEDA">
      <w:pPr>
        <w:framePr w:wrap="auto" w:vAnchor="margin" w:hAnchor="text" w:yAlign="inline"/>
        <w:spacing w:line="360" w:lineRule="auto"/>
        <w:ind w:firstLine="482"/>
        <w:rPr>
          <w:rFonts w:hint="default" w:ascii="宋体" w:hAnsi="宋体" w:eastAsia="PMingLiU" w:cs="宋体"/>
          <w:color w:val="auto"/>
          <w:sz w:val="24"/>
          <w:szCs w:val="24"/>
          <w:lang w:val="zh-TW"/>
        </w:rPr>
      </w:pPr>
      <w:r>
        <w:rPr>
          <w:rFonts w:hint="default" w:ascii="宋体" w:hAnsi="宋体" w:eastAsia="宋体" w:cs="宋体"/>
          <w:b/>
          <w:bCs/>
          <w:color w:val="auto"/>
          <w:sz w:val="24"/>
          <w:szCs w:val="24"/>
        </w:rPr>
        <w:t>3.</w:t>
      </w:r>
      <w:r>
        <w:rPr>
          <w:rFonts w:ascii="宋体" w:hAnsi="宋体" w:eastAsia="宋体" w:cs="宋体"/>
          <w:b/>
          <w:bCs/>
          <w:color w:val="auto"/>
          <w:sz w:val="24"/>
          <w:szCs w:val="24"/>
          <w:lang w:val="zh-TW"/>
        </w:rPr>
        <w:t>遵循标准要求开展数字贸易业务活动。</w:t>
      </w:r>
      <w:r>
        <w:rPr>
          <w:rFonts w:ascii="宋体" w:hAnsi="宋体" w:eastAsia="宋体" w:cs="宋体"/>
          <w:color w:val="auto"/>
          <w:sz w:val="24"/>
          <w:szCs w:val="24"/>
          <w:lang w:val="zh-TW"/>
        </w:rPr>
        <w:t>根据</w:t>
      </w:r>
      <w:r>
        <w:rPr>
          <w:rFonts w:hAnsi="宋体" w:eastAsia="宋体" w:cs="宋体"/>
          <w:bCs/>
          <w:color w:val="auto"/>
          <w:sz w:val="24"/>
          <w:szCs w:val="24"/>
        </w:rPr>
        <w:t>本标准</w:t>
      </w:r>
      <w:r>
        <w:rPr>
          <w:rFonts w:ascii="宋体" w:hAnsi="宋体" w:eastAsia="宋体" w:cs="宋体"/>
          <w:color w:val="auto"/>
          <w:sz w:val="24"/>
          <w:szCs w:val="24"/>
          <w:lang w:val="zh-TW"/>
        </w:rPr>
        <w:t>提出的</w:t>
      </w:r>
      <w:r>
        <w:rPr>
          <w:rFonts w:hint="default" w:ascii="宋体" w:hAnsi="宋体" w:eastAsia="宋体" w:cs="宋体"/>
          <w:color w:val="auto"/>
          <w:sz w:val="24"/>
          <w:szCs w:val="24"/>
          <w:lang w:val="zh-TW"/>
        </w:rPr>
        <w:t>创造公平竞争环境</w:t>
      </w:r>
      <w:r>
        <w:rPr>
          <w:rFonts w:ascii="宋体" w:hAnsi="宋体" w:eastAsia="宋体" w:cs="宋体"/>
          <w:color w:val="auto"/>
          <w:sz w:val="24"/>
          <w:szCs w:val="24"/>
          <w:lang w:val="zh-TW"/>
        </w:rPr>
        <w:t>、</w:t>
      </w:r>
      <w:r>
        <w:rPr>
          <w:rFonts w:hint="default" w:ascii="宋体" w:hAnsi="宋体" w:eastAsia="宋体" w:cs="宋体"/>
          <w:color w:val="auto"/>
          <w:sz w:val="24"/>
          <w:szCs w:val="24"/>
          <w:lang w:val="zh-TW"/>
        </w:rPr>
        <w:t>实现国际愿景</w:t>
      </w:r>
      <w:r>
        <w:rPr>
          <w:rFonts w:ascii="宋体" w:hAnsi="宋体" w:eastAsia="宋体" w:cs="宋体"/>
          <w:color w:val="auto"/>
          <w:sz w:val="24"/>
          <w:szCs w:val="24"/>
          <w:lang w:val="zh-TW"/>
        </w:rPr>
        <w:t>、</w:t>
      </w:r>
      <w:r>
        <w:rPr>
          <w:rFonts w:hint="default" w:ascii="宋体" w:hAnsi="宋体" w:eastAsia="宋体" w:cs="宋体"/>
          <w:color w:val="auto"/>
          <w:sz w:val="24"/>
          <w:szCs w:val="24"/>
          <w:lang w:val="zh-TW"/>
        </w:rPr>
        <w:t>确保全球市场准入</w:t>
      </w:r>
      <w:r>
        <w:rPr>
          <w:rFonts w:ascii="宋体" w:hAnsi="宋体" w:eastAsia="宋体" w:cs="宋体"/>
          <w:color w:val="auto"/>
          <w:sz w:val="24"/>
          <w:szCs w:val="24"/>
          <w:lang w:val="zh-TW"/>
        </w:rPr>
        <w:t>、</w:t>
      </w:r>
      <w:r>
        <w:rPr>
          <w:rFonts w:hint="default" w:ascii="宋体" w:hAnsi="宋体" w:eastAsia="宋体" w:cs="宋体"/>
          <w:color w:val="auto"/>
          <w:sz w:val="24"/>
          <w:szCs w:val="24"/>
          <w:lang w:val="zh-TW"/>
        </w:rPr>
        <w:t>支持全球数字经济</w:t>
      </w:r>
      <w:r>
        <w:rPr>
          <w:rFonts w:ascii="宋体" w:hAnsi="宋体" w:eastAsia="宋体" w:cs="宋体"/>
          <w:color w:val="auto"/>
          <w:sz w:val="24"/>
          <w:szCs w:val="24"/>
          <w:lang w:val="zh-TW"/>
        </w:rPr>
        <w:t>、</w:t>
      </w:r>
      <w:r>
        <w:rPr>
          <w:rFonts w:hint="default" w:ascii="宋体" w:hAnsi="宋体" w:eastAsia="宋体" w:cs="宋体"/>
          <w:color w:val="auto"/>
          <w:sz w:val="24"/>
          <w:szCs w:val="24"/>
          <w:lang w:val="zh-TW"/>
        </w:rPr>
        <w:t>促进创新</w:t>
      </w:r>
      <w:r>
        <w:rPr>
          <w:rFonts w:ascii="宋体" w:hAnsi="宋体" w:eastAsia="宋体" w:cs="宋体"/>
          <w:color w:val="auto"/>
          <w:sz w:val="24"/>
          <w:szCs w:val="24"/>
          <w:lang w:val="zh-TW"/>
        </w:rPr>
        <w:t>、</w:t>
      </w:r>
      <w:r>
        <w:rPr>
          <w:rFonts w:hint="default" w:ascii="宋体" w:hAnsi="宋体" w:eastAsia="宋体" w:cs="宋体"/>
          <w:color w:val="auto"/>
          <w:sz w:val="24"/>
          <w:szCs w:val="24"/>
          <w:lang w:val="zh-TW"/>
        </w:rPr>
        <w:t>促进跨境数据流动</w:t>
      </w:r>
      <w:r>
        <w:rPr>
          <w:rFonts w:ascii="宋体" w:hAnsi="宋体" w:eastAsia="宋体" w:cs="宋体"/>
          <w:color w:val="auto"/>
          <w:sz w:val="24"/>
          <w:szCs w:val="24"/>
          <w:lang w:val="zh-TW"/>
        </w:rPr>
        <w:t>、</w:t>
      </w:r>
      <w:r>
        <w:rPr>
          <w:rFonts w:hint="default" w:ascii="宋体" w:hAnsi="宋体" w:eastAsia="宋体" w:cs="宋体"/>
          <w:color w:val="auto"/>
          <w:sz w:val="24"/>
          <w:szCs w:val="24"/>
          <w:lang w:val="zh-TW"/>
        </w:rPr>
        <w:t>防止和解决本地化障碍</w:t>
      </w:r>
      <w:r>
        <w:rPr>
          <w:rFonts w:ascii="宋体" w:hAnsi="宋体" w:eastAsia="宋体" w:cs="宋体"/>
          <w:color w:val="auto"/>
          <w:sz w:val="24"/>
          <w:szCs w:val="24"/>
          <w:lang w:val="zh-TW"/>
        </w:rPr>
        <w:t>、</w:t>
      </w:r>
      <w:r>
        <w:rPr>
          <w:rFonts w:hint="default" w:ascii="宋体" w:hAnsi="宋体" w:eastAsia="宋体" w:cs="宋体"/>
          <w:color w:val="auto"/>
          <w:sz w:val="24"/>
          <w:szCs w:val="24"/>
          <w:lang w:val="zh-TW"/>
        </w:rPr>
        <w:t>抵制保护主义</w:t>
      </w:r>
      <w:r>
        <w:rPr>
          <w:rFonts w:ascii="宋体" w:hAnsi="宋体" w:eastAsia="宋体" w:cs="宋体"/>
          <w:color w:val="auto"/>
          <w:sz w:val="24"/>
          <w:szCs w:val="24"/>
          <w:lang w:val="zh-TW"/>
        </w:rPr>
        <w:t>、</w:t>
      </w:r>
      <w:r>
        <w:rPr>
          <w:rFonts w:hint="default" w:ascii="宋体" w:hAnsi="宋体" w:eastAsia="宋体" w:cs="宋体"/>
          <w:color w:val="auto"/>
          <w:sz w:val="24"/>
          <w:szCs w:val="24"/>
          <w:lang w:val="zh-TW"/>
        </w:rPr>
        <w:t>推动原材料的全球合作</w:t>
      </w:r>
      <w:r>
        <w:rPr>
          <w:rFonts w:ascii="宋体" w:hAnsi="宋体" w:eastAsia="宋体" w:cs="宋体"/>
          <w:color w:val="auto"/>
          <w:sz w:val="24"/>
          <w:szCs w:val="24"/>
          <w:lang w:val="zh-TW"/>
        </w:rPr>
        <w:t>等原则，开展数字贸易业务活动。</w:t>
      </w:r>
    </w:p>
    <w:p w14:paraId="047C1C81">
      <w:pPr>
        <w:framePr w:wrap="auto" w:vAnchor="margin" w:hAnchor="text" w:yAlign="inline"/>
        <w:spacing w:line="360" w:lineRule="auto"/>
        <w:ind w:firstLine="482"/>
        <w:rPr>
          <w:rFonts w:hint="default" w:ascii="宋体" w:hAnsi="宋体" w:eastAsia="宋体" w:cs="宋体"/>
          <w:color w:val="auto"/>
          <w:sz w:val="24"/>
          <w:szCs w:val="24"/>
          <w:lang w:val="zh-TW"/>
        </w:rPr>
      </w:pPr>
      <w:r>
        <w:rPr>
          <w:rFonts w:hint="default" w:ascii="宋体" w:hAnsi="宋体" w:eastAsia="宋体" w:cs="宋体"/>
          <w:b/>
          <w:bCs/>
          <w:color w:val="auto"/>
          <w:sz w:val="24"/>
          <w:szCs w:val="24"/>
        </w:rPr>
        <w:t>4</w:t>
      </w:r>
      <w:r>
        <w:rPr>
          <w:rFonts w:ascii="宋体" w:hAnsi="宋体" w:eastAsia="宋体" w:cs="宋体"/>
          <w:b/>
          <w:bCs/>
          <w:color w:val="auto"/>
          <w:sz w:val="24"/>
          <w:szCs w:val="24"/>
        </w:rPr>
        <w:t>.</w:t>
      </w:r>
      <w:r>
        <w:rPr>
          <w:rFonts w:ascii="宋体" w:hAnsi="宋体" w:eastAsia="宋体" w:cs="宋体"/>
          <w:b/>
          <w:bCs/>
          <w:color w:val="auto"/>
          <w:sz w:val="24"/>
          <w:szCs w:val="24"/>
          <w:lang w:val="zh-TW"/>
        </w:rPr>
        <w:t>定期进行标准评估和更新。</w:t>
      </w:r>
      <w:r>
        <w:rPr>
          <w:rFonts w:ascii="宋体" w:hAnsi="宋体" w:eastAsia="宋体" w:cs="宋体"/>
          <w:color w:val="auto"/>
          <w:sz w:val="24"/>
          <w:szCs w:val="24"/>
          <w:lang w:val="zh-TW"/>
        </w:rPr>
        <w:t>定期评估数字贸易基本概念与关键倡议标准的执行情况，并进行必要的更新和改进。跟踪技术发展、行业标准的变化，及时更新本标准，确保其与最新技术和要求保持一致。</w:t>
      </w:r>
    </w:p>
    <w:p w14:paraId="285E2308">
      <w:pPr>
        <w:framePr w:wrap="auto" w:vAnchor="margin" w:hAnchor="text" w:yAlign="inline"/>
        <w:spacing w:line="360" w:lineRule="auto"/>
        <w:ind w:firstLine="482"/>
        <w:rPr>
          <w:rFonts w:hint="default" w:ascii="宋体" w:hAnsi="宋体" w:eastAsia="宋体" w:cs="宋体"/>
          <w:color w:val="auto"/>
          <w:sz w:val="24"/>
          <w:szCs w:val="24"/>
          <w:lang w:val="zh-TW"/>
        </w:rPr>
      </w:pPr>
      <w:r>
        <w:rPr>
          <w:rFonts w:hint="default" w:ascii="宋体" w:hAnsi="宋体" w:eastAsia="宋体" w:cs="宋体"/>
          <w:b/>
          <w:bCs/>
          <w:color w:val="auto"/>
          <w:sz w:val="24"/>
          <w:szCs w:val="24"/>
        </w:rPr>
        <w:t>5</w:t>
      </w:r>
      <w:r>
        <w:rPr>
          <w:rFonts w:ascii="宋体" w:hAnsi="宋体" w:eastAsia="宋体" w:cs="宋体"/>
          <w:b/>
          <w:bCs/>
          <w:color w:val="auto"/>
          <w:sz w:val="24"/>
          <w:szCs w:val="24"/>
        </w:rPr>
        <w:t>.</w:t>
      </w:r>
      <w:r>
        <w:rPr>
          <w:rFonts w:ascii="宋体" w:hAnsi="宋体" w:eastAsia="宋体" w:cs="宋体"/>
          <w:b/>
          <w:bCs/>
          <w:color w:val="auto"/>
          <w:sz w:val="24"/>
          <w:szCs w:val="24"/>
          <w:lang w:val="zh-TW"/>
        </w:rPr>
        <w:t>培训和沟通。</w:t>
      </w:r>
      <w:r>
        <w:rPr>
          <w:rFonts w:ascii="宋体" w:hAnsi="宋体" w:eastAsia="宋体" w:cs="宋体"/>
          <w:color w:val="auto"/>
          <w:sz w:val="24"/>
          <w:szCs w:val="24"/>
          <w:lang w:val="zh-TW"/>
        </w:rPr>
        <w:t>对参与数字贸易业务活动的团队成员进行培训，确保他们理解并遵守本标准的要求。同时，与团队成员和相关利益相关者保持沟通，解答问题，解决疑虑，推动本标准的有效实施。</w:t>
      </w:r>
    </w:p>
    <w:p w14:paraId="3E72BD27">
      <w:pPr>
        <w:framePr w:wrap="auto" w:vAnchor="margin" w:hAnchor="text" w:yAlign="inline"/>
        <w:spacing w:line="360" w:lineRule="auto"/>
        <w:ind w:firstLine="482"/>
        <w:rPr>
          <w:rFonts w:hint="default" w:ascii="宋体" w:hAnsi="宋体" w:eastAsia="宋体" w:cs="宋体"/>
          <w:color w:val="auto"/>
          <w:sz w:val="24"/>
          <w:szCs w:val="24"/>
          <w:lang w:val="zh-TW"/>
        </w:rPr>
      </w:pPr>
      <w:r>
        <w:rPr>
          <w:rFonts w:ascii="宋体" w:hAnsi="宋体" w:eastAsia="宋体" w:cs="宋体"/>
          <w:color w:val="auto"/>
          <w:sz w:val="24"/>
          <w:szCs w:val="24"/>
          <w:lang w:val="zh-TW"/>
        </w:rPr>
        <w:t>按照本团体标准要求开展数字贸易业务，可以</w:t>
      </w:r>
      <w:r>
        <w:rPr>
          <w:rFonts w:hint="cs" w:ascii="宋体" w:hAnsi="宋体" w:eastAsia="宋体" w:cs="宋体"/>
          <w:color w:val="auto"/>
          <w:sz w:val="24"/>
          <w:szCs w:val="24"/>
          <w:lang w:val="zh-TW"/>
        </w:rPr>
        <w:t>确定清晰并</w:t>
      </w:r>
      <w:r>
        <w:rPr>
          <w:rFonts w:ascii="宋体" w:hAnsi="宋体" w:eastAsia="宋体" w:cs="宋体"/>
          <w:color w:val="auto"/>
          <w:sz w:val="24"/>
          <w:szCs w:val="24"/>
          <w:lang w:val="zh-TW"/>
        </w:rPr>
        <w:t>能够</w:t>
      </w:r>
      <w:r>
        <w:rPr>
          <w:rFonts w:hint="cs" w:ascii="宋体" w:hAnsi="宋体" w:eastAsia="宋体" w:cs="宋体"/>
          <w:color w:val="auto"/>
          <w:sz w:val="24"/>
          <w:szCs w:val="24"/>
          <w:lang w:val="zh-TW"/>
        </w:rPr>
        <w:t>被普遍接受的与数字贸易相关的术语和一系列通用定义，为数字贸易相关重要因素的评估提供评判准则，并帮助收集数字贸易（及其对区域和国家经济的影响）的国际可比数据；帮助强化数字平台、制造商、电商卖家、数字内容生产者、数字服务提供商、数据开发者和国际中间商之间的深入合作；促进出口加工行业的数字化和智能化转型升级</w:t>
      </w:r>
      <w:r>
        <w:rPr>
          <w:rFonts w:ascii="宋体" w:hAnsi="宋体" w:eastAsia="宋体" w:cs="宋体"/>
          <w:color w:val="auto"/>
          <w:sz w:val="24"/>
          <w:szCs w:val="24"/>
          <w:lang w:val="zh-TW"/>
        </w:rPr>
        <w:t>。同时，本标准的持续评估和更新，将</w:t>
      </w:r>
      <w:r>
        <w:rPr>
          <w:rFonts w:ascii="宋体" w:hAnsi="宋体" w:eastAsia="宋体" w:cs="宋体"/>
          <w:color w:val="auto"/>
          <w:sz w:val="24"/>
          <w:szCs w:val="24"/>
        </w:rPr>
        <w:t>紧跟</w:t>
      </w:r>
      <w:r>
        <w:rPr>
          <w:rFonts w:ascii="宋体" w:hAnsi="宋体" w:eastAsia="宋体" w:cs="宋体"/>
          <w:color w:val="auto"/>
          <w:sz w:val="24"/>
          <w:szCs w:val="24"/>
          <w:lang w:val="zh-TW"/>
        </w:rPr>
        <w:t>行业的技术发展和变化，保持标准的有效性和适应性。</w:t>
      </w:r>
    </w:p>
    <w:p w14:paraId="52CF5370">
      <w:pPr>
        <w:framePr w:wrap="auto" w:vAnchor="margin" w:hAnchor="text" w:yAlign="inline"/>
        <w:spacing w:line="360" w:lineRule="auto"/>
        <w:ind w:firstLine="482"/>
        <w:rPr>
          <w:rFonts w:hint="default" w:ascii="宋体" w:hAnsi="宋体" w:eastAsia="宋体" w:cs="宋体"/>
          <w:b/>
          <w:bCs/>
          <w:kern w:val="0"/>
          <w:sz w:val="24"/>
          <w:szCs w:val="24"/>
          <w:lang w:val="zh-TW"/>
        </w:rPr>
      </w:pPr>
      <w:r>
        <w:rPr>
          <w:rFonts w:ascii="宋体" w:hAnsi="宋体" w:eastAsia="宋体" w:cs="宋体"/>
          <w:b/>
          <w:bCs/>
          <w:kern w:val="0"/>
          <w:sz w:val="24"/>
          <w:szCs w:val="24"/>
          <w:lang w:val="zh-TW"/>
        </w:rPr>
        <w:t>八、标准实施的预期效果</w:t>
      </w:r>
    </w:p>
    <w:p w14:paraId="76C0DA75">
      <w:pPr>
        <w:framePr w:wrap="auto" w:vAnchor="margin" w:hAnchor="text" w:yAlign="inline"/>
        <w:spacing w:line="360" w:lineRule="auto"/>
        <w:ind w:firstLine="480"/>
        <w:rPr>
          <w:rFonts w:hint="default" w:ascii="宋体" w:hAnsi="宋体" w:eastAsia="宋体" w:cs="宋体"/>
          <w:color w:val="auto"/>
          <w:sz w:val="24"/>
          <w:szCs w:val="24"/>
          <w:lang w:val="zh-TW"/>
        </w:rPr>
      </w:pPr>
      <w:r>
        <w:rPr>
          <w:rFonts w:ascii="宋体" w:hAnsi="宋体" w:eastAsia="宋体" w:cs="宋体"/>
          <w:b/>
          <w:bCs/>
          <w:color w:val="auto"/>
          <w:sz w:val="24"/>
          <w:szCs w:val="24"/>
        </w:rPr>
        <w:t>1.</w:t>
      </w:r>
      <w:r>
        <w:rPr>
          <w:rFonts w:ascii="宋体" w:hAnsi="宋体" w:eastAsia="宋体" w:cs="宋体"/>
          <w:b/>
          <w:bCs/>
          <w:color w:val="auto"/>
          <w:sz w:val="24"/>
          <w:szCs w:val="24"/>
          <w:lang w:val="zh-TW"/>
        </w:rPr>
        <w:t>促进规范化和标准化。</w:t>
      </w:r>
      <w:r>
        <w:rPr>
          <w:rFonts w:ascii="宋体" w:hAnsi="宋体" w:eastAsia="宋体" w:cs="宋体"/>
          <w:color w:val="auto"/>
          <w:sz w:val="24"/>
          <w:szCs w:val="24"/>
          <w:lang w:val="zh-TW"/>
        </w:rPr>
        <w:t>本标准提供针对</w:t>
      </w:r>
      <w:r>
        <w:rPr>
          <w:rFonts w:hint="cs" w:ascii="宋体" w:hAnsi="宋体" w:eastAsia="宋体" w:cs="宋体"/>
          <w:color w:val="auto"/>
          <w:sz w:val="24"/>
          <w:szCs w:val="24"/>
        </w:rPr>
        <w:t>数字贸易</w:t>
      </w:r>
      <w:r>
        <w:rPr>
          <w:rFonts w:ascii="宋体" w:hAnsi="宋体" w:eastAsia="宋体" w:cs="宋体"/>
          <w:color w:val="auto"/>
          <w:sz w:val="24"/>
          <w:szCs w:val="24"/>
        </w:rPr>
        <w:t>基本概念与关键倡议信息和说明</w:t>
      </w:r>
      <w:r>
        <w:rPr>
          <w:rFonts w:ascii="宋体" w:hAnsi="宋体" w:eastAsia="宋体" w:cs="宋体"/>
          <w:color w:val="auto"/>
          <w:sz w:val="24"/>
          <w:szCs w:val="24"/>
          <w:lang w:val="zh-TW"/>
        </w:rPr>
        <w:t>，以期推动行业规范化和标准化发展，为企业提供统一的参考框架，确保数字贸易业务的开展符合行业最佳实践和标准要求。通过统一的标准规范，提高整个数字贸易行业的标准化</w:t>
      </w:r>
      <w:r>
        <w:rPr>
          <w:rFonts w:ascii="宋体" w:hAnsi="宋体" w:eastAsia="宋体" w:cs="宋体"/>
          <w:color w:val="auto"/>
          <w:sz w:val="24"/>
          <w:szCs w:val="24"/>
        </w:rPr>
        <w:t>水平</w:t>
      </w:r>
      <w:r>
        <w:rPr>
          <w:rFonts w:ascii="宋体" w:hAnsi="宋体" w:eastAsia="宋体" w:cs="宋体"/>
          <w:color w:val="auto"/>
          <w:sz w:val="24"/>
          <w:szCs w:val="24"/>
          <w:lang w:val="zh-TW"/>
        </w:rPr>
        <w:t>，使相关服务提供更加规范化、系统化。</w:t>
      </w:r>
    </w:p>
    <w:p w14:paraId="5F89B47C">
      <w:pPr>
        <w:framePr w:wrap="auto" w:vAnchor="margin" w:hAnchor="text" w:yAlign="inline"/>
        <w:spacing w:line="360" w:lineRule="auto"/>
        <w:ind w:firstLine="480"/>
        <w:rPr>
          <w:rFonts w:hint="default" w:ascii="宋体" w:hAnsi="宋体" w:eastAsia="宋体" w:cs="宋体"/>
          <w:color w:val="auto"/>
          <w:sz w:val="24"/>
          <w:szCs w:val="24"/>
          <w:lang w:val="zh-TW"/>
        </w:rPr>
      </w:pPr>
      <w:r>
        <w:rPr>
          <w:rFonts w:ascii="宋体" w:hAnsi="宋体" w:eastAsia="宋体" w:cs="宋体"/>
          <w:b/>
          <w:bCs/>
          <w:color w:val="auto"/>
          <w:sz w:val="24"/>
          <w:szCs w:val="24"/>
        </w:rPr>
        <w:t>2.</w:t>
      </w:r>
      <w:r>
        <w:rPr>
          <w:rFonts w:ascii="宋体" w:hAnsi="宋体" w:eastAsia="宋体" w:cs="宋体"/>
          <w:b/>
          <w:bCs/>
          <w:color w:val="auto"/>
          <w:sz w:val="24"/>
          <w:szCs w:val="24"/>
          <w:lang w:val="zh-TW"/>
        </w:rPr>
        <w:t>提高数字贸易业务开展的质量和效率。</w:t>
      </w:r>
      <w:r>
        <w:rPr>
          <w:rFonts w:ascii="宋体" w:hAnsi="宋体" w:eastAsia="宋体" w:cs="宋体"/>
          <w:color w:val="auto"/>
          <w:sz w:val="24"/>
          <w:szCs w:val="24"/>
          <w:lang w:val="zh-TW"/>
        </w:rPr>
        <w:t>本标准包含数字贸易产业关键倡议和政策制定的实践，通过引入创新技术、优化流程和标准化操作，可提高数字贸易业务开展的质量和效率，提升数字贸易产业的竞争力。标准化的运营和服务流程能够增强消费者满意度，提供更加稳定和可靠的服务体验，提升我国数字贸易产业在国际市场的竞争地位，增强国际影响力。</w:t>
      </w:r>
    </w:p>
    <w:p w14:paraId="40DDEE29">
      <w:pPr>
        <w:framePr w:wrap="auto" w:vAnchor="margin" w:hAnchor="text" w:yAlign="inline"/>
        <w:spacing w:line="360" w:lineRule="auto"/>
        <w:ind w:firstLine="480"/>
        <w:rPr>
          <w:rFonts w:hint="default" w:ascii="宋体" w:hAnsi="宋体" w:eastAsia="宋体" w:cs="宋体"/>
          <w:color w:val="auto"/>
          <w:sz w:val="24"/>
          <w:szCs w:val="24"/>
          <w:lang w:val="zh-TW"/>
        </w:rPr>
      </w:pPr>
      <w:r>
        <w:rPr>
          <w:rFonts w:hint="default" w:ascii="宋体" w:hAnsi="宋体" w:eastAsia="宋体" w:cs="宋体"/>
          <w:b/>
          <w:bCs/>
          <w:color w:val="auto"/>
          <w:sz w:val="24"/>
          <w:szCs w:val="24"/>
        </w:rPr>
        <w:t>3.</w:t>
      </w:r>
      <w:r>
        <w:rPr>
          <w:rFonts w:ascii="宋体" w:hAnsi="宋体" w:eastAsia="宋体" w:cs="宋体"/>
          <w:b/>
          <w:bCs/>
          <w:color w:val="auto"/>
          <w:sz w:val="24"/>
          <w:szCs w:val="24"/>
          <w:lang w:val="zh-TW"/>
        </w:rPr>
        <w:t>降低开发和运营成本。</w:t>
      </w:r>
      <w:r>
        <w:rPr>
          <w:rFonts w:ascii="宋体" w:hAnsi="宋体" w:eastAsia="宋体" w:cs="宋体"/>
          <w:color w:val="auto"/>
          <w:sz w:val="24"/>
          <w:szCs w:val="24"/>
          <w:lang w:val="zh-TW"/>
        </w:rPr>
        <w:t>本标准</w:t>
      </w:r>
      <w:r>
        <w:rPr>
          <w:rFonts w:hint="cs" w:ascii="宋体" w:hAnsi="宋体" w:eastAsia="宋体" w:cs="宋体"/>
          <w:sz w:val="24"/>
          <w:szCs w:val="24"/>
          <w:lang w:val="zh-TW"/>
        </w:rPr>
        <w:t>为数字贸易确定清晰并被普遍接受的相关术语和一系列通用定义，包括贸易数字化、跨境电子商务、数字产品贸易、数据贸易、通过数字化实现的服务贸易和数字服务贸易</w:t>
      </w:r>
      <w:r>
        <w:rPr>
          <w:rFonts w:ascii="宋体" w:hAnsi="宋体" w:eastAsia="宋体" w:cs="宋体"/>
          <w:sz w:val="24"/>
          <w:szCs w:val="24"/>
          <w:lang w:val="zh-TW"/>
        </w:rPr>
        <w:t>等</w:t>
      </w:r>
      <w:r>
        <w:rPr>
          <w:rFonts w:hint="cs" w:ascii="宋体" w:hAnsi="宋体" w:eastAsia="宋体" w:cs="宋体"/>
          <w:sz w:val="24"/>
          <w:szCs w:val="24"/>
          <w:lang w:val="zh-TW"/>
        </w:rPr>
        <w:t>；为数字贸易相关重要因素的评估提供评判准则，并帮助收集数字贸易（及其对区域和国家经济的影响）的国际可比数据；</w:t>
      </w:r>
      <w:r>
        <w:rPr>
          <w:rFonts w:ascii="宋体" w:hAnsi="宋体" w:eastAsia="宋体" w:cs="宋体"/>
          <w:color w:val="auto"/>
          <w:sz w:val="24"/>
          <w:szCs w:val="24"/>
          <w:lang w:val="zh-TW"/>
        </w:rPr>
        <w:t>有助于降低</w:t>
      </w:r>
      <w:r>
        <w:rPr>
          <w:rFonts w:ascii="宋体" w:hAnsi="宋体" w:eastAsia="宋体" w:cs="宋体"/>
          <w:color w:val="auto"/>
          <w:sz w:val="24"/>
          <w:szCs w:val="24"/>
        </w:rPr>
        <w:t>企业</w:t>
      </w:r>
      <w:r>
        <w:rPr>
          <w:rFonts w:ascii="宋体" w:hAnsi="宋体" w:eastAsia="宋体" w:cs="宋体"/>
          <w:color w:val="auto"/>
          <w:sz w:val="24"/>
          <w:szCs w:val="24"/>
          <w:lang w:val="zh-TW"/>
        </w:rPr>
        <w:t>开发和运营成本，减少不必要的重复工作和投入。通过合理规划和管理资源，可以提高开发效率、降低成本，提供更经济高效的数字贸易业务模式。</w:t>
      </w:r>
    </w:p>
    <w:p w14:paraId="1D067111">
      <w:pPr>
        <w:framePr w:wrap="auto" w:vAnchor="margin" w:hAnchor="text" w:yAlign="inline"/>
        <w:spacing w:line="360" w:lineRule="auto"/>
        <w:ind w:firstLine="480"/>
        <w:rPr>
          <w:rFonts w:hint="default" w:ascii="宋体" w:hAnsi="宋体" w:eastAsia="宋体" w:cs="宋体"/>
          <w:color w:val="auto"/>
          <w:sz w:val="24"/>
          <w:szCs w:val="24"/>
          <w:lang w:val="zh-TW"/>
        </w:rPr>
      </w:pPr>
      <w:r>
        <w:rPr>
          <w:rFonts w:hint="default" w:ascii="宋体" w:hAnsi="宋体" w:eastAsia="宋体" w:cs="宋体"/>
          <w:b/>
          <w:bCs/>
          <w:color w:val="auto"/>
          <w:sz w:val="24"/>
          <w:szCs w:val="24"/>
        </w:rPr>
        <w:t>4.</w:t>
      </w:r>
      <w:r>
        <w:rPr>
          <w:rFonts w:ascii="宋体" w:hAnsi="宋体" w:eastAsia="宋体" w:cs="宋体"/>
          <w:b/>
          <w:bCs/>
          <w:color w:val="auto"/>
          <w:sz w:val="24"/>
          <w:szCs w:val="24"/>
          <w:lang w:val="zh-TW"/>
        </w:rPr>
        <w:t>强化</w:t>
      </w:r>
      <w:r>
        <w:rPr>
          <w:rFonts w:ascii="宋体" w:hAnsi="宋体" w:eastAsia="宋体" w:cs="宋体"/>
          <w:b/>
          <w:bCs/>
          <w:color w:val="auto"/>
          <w:sz w:val="24"/>
          <w:szCs w:val="24"/>
        </w:rPr>
        <w:t>创新</w:t>
      </w:r>
      <w:r>
        <w:rPr>
          <w:rFonts w:ascii="宋体" w:hAnsi="宋体" w:eastAsia="宋体" w:cs="宋体"/>
          <w:b/>
          <w:bCs/>
          <w:color w:val="auto"/>
          <w:sz w:val="24"/>
          <w:szCs w:val="24"/>
          <w:lang w:val="zh-TW"/>
        </w:rPr>
        <w:t>与数据安全。</w:t>
      </w:r>
      <w:r>
        <w:rPr>
          <w:rFonts w:ascii="宋体" w:hAnsi="宋体" w:eastAsia="宋体" w:cs="宋体"/>
          <w:color w:val="auto"/>
          <w:sz w:val="24"/>
          <w:szCs w:val="24"/>
          <w:lang w:val="zh-TW"/>
        </w:rPr>
        <w:t>标准化环境鼓励企业在本标准的基础上创新，推动新技术、新模式的应用和发展，促进行业创新。明确的规范要求有助于加强数据管理和保护，确保企业合规运营，降低法律风险。</w:t>
      </w:r>
    </w:p>
    <w:p w14:paraId="0CDEBBD8">
      <w:pPr>
        <w:framePr w:wrap="auto" w:vAnchor="margin" w:hAnchor="text" w:yAlign="inline"/>
        <w:spacing w:line="360" w:lineRule="auto"/>
        <w:ind w:firstLine="480"/>
        <w:rPr>
          <w:rFonts w:hint="default" w:ascii="宋体" w:hAnsi="宋体" w:eastAsia="宋体" w:cs="宋体"/>
          <w:color w:val="auto"/>
          <w:sz w:val="24"/>
          <w:szCs w:val="24"/>
          <w:lang w:val="zh-TW"/>
        </w:rPr>
      </w:pPr>
      <w:r>
        <w:rPr>
          <w:rFonts w:ascii="宋体" w:hAnsi="宋体" w:eastAsia="宋体" w:cs="宋体"/>
          <w:b/>
          <w:bCs/>
          <w:color w:val="auto"/>
          <w:sz w:val="24"/>
          <w:szCs w:val="24"/>
        </w:rPr>
        <w:t>5.</w:t>
      </w:r>
      <w:r>
        <w:rPr>
          <w:rFonts w:ascii="宋体" w:hAnsi="宋体" w:eastAsia="宋体" w:cs="宋体"/>
          <w:b/>
          <w:bCs/>
          <w:color w:val="auto"/>
          <w:sz w:val="24"/>
          <w:szCs w:val="24"/>
          <w:lang w:val="zh-TW"/>
        </w:rPr>
        <w:t>支持监管</w:t>
      </w:r>
      <w:r>
        <w:rPr>
          <w:rFonts w:ascii="宋体" w:hAnsi="宋体" w:eastAsia="宋体" w:cs="宋体"/>
          <w:b/>
          <w:bCs/>
          <w:color w:val="auto"/>
          <w:sz w:val="24"/>
          <w:szCs w:val="24"/>
        </w:rPr>
        <w:t>和</w:t>
      </w:r>
      <w:r>
        <w:rPr>
          <w:rFonts w:ascii="宋体" w:hAnsi="宋体" w:eastAsia="宋体" w:cs="宋体"/>
          <w:b/>
          <w:bCs/>
          <w:color w:val="auto"/>
          <w:sz w:val="24"/>
          <w:szCs w:val="24"/>
          <w:lang w:val="zh-TW"/>
        </w:rPr>
        <w:t>推动国际合作。</w:t>
      </w:r>
      <w:r>
        <w:rPr>
          <w:rFonts w:ascii="宋体" w:hAnsi="宋体" w:eastAsia="宋体" w:cs="宋体"/>
          <w:color w:val="auto"/>
          <w:sz w:val="24"/>
          <w:szCs w:val="24"/>
          <w:lang w:val="zh-TW"/>
        </w:rPr>
        <w:t>为政府部门提供标准支持，方便政策的制定和落实，以及行业监管的执行。与国际标准接轨，促进国际技术交流和合作，推动全球数字贸易行业的健康发展。</w:t>
      </w:r>
    </w:p>
    <w:sectPr>
      <w:headerReference r:id="rId5" w:type="default"/>
      <w:footerReference r:id="rId6" w:type="default"/>
      <w:pgSz w:w="11900" w:h="16840"/>
      <w:pgMar w:top="1440" w:right="1800" w:bottom="1440" w:left="180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Helvetica Neue">
    <w:altName w:val="Arial"/>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E5FDC">
    <w:pPr>
      <w:pStyle w:val="4"/>
      <w:framePr w:wrap="auto" w:vAnchor="margin" w:hAnchor="text" w:yAlign="inline"/>
      <w:tabs>
        <w:tab w:val="right" w:pos="8280"/>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59866">
    <w:pPr>
      <w:pStyle w:val="4"/>
      <w:framePr w:wrap="auto" w:vAnchor="margin" w:hAnchor="text" w:yAlign="inline"/>
      <w:tabs>
        <w:tab w:val="right" w:pos="8280"/>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2F016">
    <w:pPr>
      <w:pStyle w:val="15"/>
      <w:framePr w:wrap="auto" w:vAnchor="margin" w:hAnchor="text" w:yAlign="inline"/>
      <w:rPr>
        <w:rFonts w:hint="eastAsia"/>
      </w:rPr>
    </w:pPr>
    <w:r>
      <mc:AlternateContent>
        <mc:Choice Requires="wps">
          <w:drawing>
            <wp:anchor distT="152400" distB="152400" distL="152400" distR="152400" simplePos="0" relativeHeight="251659264" behindDoc="1" locked="0" layoutInCell="1" allowOverlap="1">
              <wp:simplePos x="0" y="0"/>
              <wp:positionH relativeFrom="page">
                <wp:posOffset>3750945</wp:posOffset>
              </wp:positionH>
              <wp:positionV relativeFrom="page">
                <wp:posOffset>9833610</wp:posOffset>
              </wp:positionV>
              <wp:extent cx="57785" cy="131445"/>
              <wp:effectExtent l="0" t="0" r="0" b="0"/>
              <wp:wrapNone/>
              <wp:docPr id="1" name="officeArt object" descr="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2700" cap="flat">
                        <a:noFill/>
                        <a:miter lim="400000"/>
                      </a:ln>
                      <a:effectLst/>
                    </wps:spPr>
                    <wps:txbx>
                      <w:txbxContent>
                        <w:p w14:paraId="60EA91D7">
                          <w:pPr>
                            <w:pStyle w:val="4"/>
                          </w:pPr>
                          <w:r>
                            <w:fldChar w:fldCharType="begin"/>
                          </w:r>
                          <w:r>
                            <w:instrText xml:space="preserve"> PAGE </w:instrText>
                          </w:r>
                          <w:r>
                            <w:fldChar w:fldCharType="separate"/>
                          </w:r>
                          <w:r>
                            <w:t>3</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95.35pt;margin-top:774.3pt;height:10.35pt;width:4.55pt;mso-position-horizontal-relative:page;mso-position-vertical-relative:page;z-index:-251657216;mso-width-relative:page;mso-height-relative:page;" filled="f" stroked="f" coordsize="21600,21600" o:gfxdata="UEsDBAoAAAAAAIdO4kAAAAAAAAAAAAAAAAAEAAAAZHJzL1BLAwQUAAAACACHTuJAyVNUGNoAAAAN&#10;AQAADwAAAGRycy9kb3ducmV2LnhtbE2PzU7DMBCE70i8g7VI3KjTQkIT4vQAQkJQIaVw4LiNlyQi&#10;Xkex+/f2bE9w3JlPszPl6ugGtacp9J4NzGcJKOLG255bA58fzzdLUCEiWxw8k4ETBVhVlxclFtYf&#10;uKb9JrZKQjgUaKCLcSy0Dk1HDsPMj8TiffvJYZRzarWd8CDhbtCLJMm0w57lQ4cjPXbU/Gx2zsBr&#10;jes3rNOF712wXy/6/fTkyZjrq3nyACrSMf7BcK4v1aGSTlu/YxvUYCDNk3tBxUjvlhkoQdI8lzXb&#10;s5Tlt6CrUv9fUf0CUEsDBBQAAAAIAIdO4kBoGCiJAwIAAPUDAAAOAAAAZHJzL2Uyb0RvYy54bWyt&#10;U82O0zAQviPxDpbvNElp6SpqulqoFiEhQFp4ANexGyPbY2y3SV8A3oATF+48V5+DcX66q+WyB3Jw&#10;xuPxN/N9+bK+7owmR+GDAlvRYpZTIiyHWtl9Rb98vn1xRUmIzNZMgxUVPYlArzfPn61bV4o5NKBr&#10;4QmC2FC2rqJNjK7MssAbYViYgRMWDyV4wyJu/T6rPWsR3ehsnuevshZ87TxwEQJmt8MhHRH9UwBB&#10;SsXFFvjBCBsHVC80i0gpNMoFuumnlVLw+FHKICLRFUWmsV+xCca7tGabNSv3nrlG8XEE9pQRHnEy&#10;TFlseoHassjIwat/oIziHgLIOONgsoFIrwiyKPJH2tw1zImeC0od3EX08P9g+YfjJ09UjU6gxDKD&#10;H3wY6sZHAruvKCAltQgcNTv//HH+9ef8+zspkm6tCyVev3MIELvX0CWMMR8wmeTopDfpjZgEz1H1&#10;00V10UXCMblcra6WlHA8KV4Wi8UygWT3d50P8a0AQ1JQUZ9GSpjs+D7EoXQqSWkLt0przLNSW9Ii&#10;6HyVY2PO0KwSTdJfflBlVERDa2UqusjTM/bXNmGI3kRjp0R5oJai2O26ke8O6hPK0KKRKhq+HZgX&#10;lOh3Fr9Uct0U+CnYTYE9mDeA3kT1meUNoMzTgDeHCFL1DFO3oQUqkzbohl6j0bnJbg/3fdX937r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TVBjaAAAADQEAAA8AAAAAAAAAAQAgAAAAIgAAAGRy&#10;cy9kb3ducmV2LnhtbFBLAQIUABQAAAAIAIdO4kBoGCiJAwIAAPUDAAAOAAAAAAAAAAEAIAAAACkB&#10;AABkcnMvZTJvRG9jLnhtbFBLBQYAAAAABgAGAFkBAACeBQAAAAA=&#10;">
              <v:fill on="f" focussize="0,0"/>
              <v:stroke on="f" weight="1pt" miterlimit="4" joinstyle="miter"/>
              <v:imagedata o:title=""/>
              <o:lock v:ext="edit" aspectratio="f"/>
              <v:textbox inset="0mm,0mm,0mm,0mm">
                <w:txbxContent>
                  <w:p w14:paraId="60EA91D7">
                    <w:pPr>
                      <w:pStyle w:val="4"/>
                    </w:pPr>
                    <w:r>
                      <w:fldChar w:fldCharType="begin"/>
                    </w:r>
                    <w:r>
                      <w:instrText xml:space="preserve"> PAGE </w:instrText>
                    </w:r>
                    <w:r>
                      <w:fldChar w:fldCharType="separate"/>
                    </w:r>
                    <w:r>
                      <w:t>3</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4EDFF">
    <w:pPr>
      <w:pStyle w:val="15"/>
      <w:framePr w:wrap="auto" w:vAnchor="margin" w:hAnchor="text" w:yAlign="inline"/>
      <w:rPr>
        <w:rFonts w:hint="eastAsia"/>
      </w:rPr>
    </w:pPr>
    <w:r>
      <mc:AlternateContent>
        <mc:Choice Requires="wps">
          <w:drawing>
            <wp:anchor distT="152400" distB="152400" distL="152400" distR="152400" simplePos="0" relativeHeight="251660288" behindDoc="1" locked="0" layoutInCell="1" allowOverlap="1">
              <wp:simplePos x="0" y="0"/>
              <wp:positionH relativeFrom="page">
                <wp:posOffset>3750945</wp:posOffset>
              </wp:positionH>
              <wp:positionV relativeFrom="page">
                <wp:posOffset>9833610</wp:posOffset>
              </wp:positionV>
              <wp:extent cx="57785" cy="131445"/>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2700" cap="flat">
                        <a:noFill/>
                        <a:miter lim="400000"/>
                      </a:ln>
                      <a:effectLst/>
                    </wps:spPr>
                    <wps:txbx>
                      <w:txbxContent>
                        <w:p w14:paraId="1FB0D731">
                          <w:pPr>
                            <w:pStyle w:val="4"/>
                          </w:pPr>
                          <w:r>
                            <w:fldChar w:fldCharType="begin"/>
                          </w:r>
                          <w:r>
                            <w:instrText xml:space="preserve"> PAGE </w:instrText>
                          </w:r>
                          <w:r>
                            <w:fldChar w:fldCharType="separate"/>
                          </w:r>
                          <w:r>
                            <w:t>3</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95.35pt;margin-top:774.3pt;height:10.35pt;width:4.55pt;mso-position-horizontal-relative:page;mso-position-vertical-relative:page;z-index:-251656192;mso-width-relative:page;mso-height-relative:page;" filled="f" stroked="f" coordsize="21600,21600" o:gfxdata="UEsDBAoAAAAAAIdO4kAAAAAAAAAAAAAAAAAEAAAAZHJzL1BLAwQUAAAACACHTuJAyVNUGNoAAAAN&#10;AQAADwAAAGRycy9kb3ducmV2LnhtbE2PzU7DMBCE70i8g7VI3KjTQkIT4vQAQkJQIaVw4LiNlyQi&#10;Xkex+/f2bE9w3JlPszPl6ugGtacp9J4NzGcJKOLG255bA58fzzdLUCEiWxw8k4ETBVhVlxclFtYf&#10;uKb9JrZKQjgUaKCLcSy0Dk1HDsPMj8TiffvJYZRzarWd8CDhbtCLJMm0w57lQ4cjPXbU/Gx2zsBr&#10;jes3rNOF712wXy/6/fTkyZjrq3nyACrSMf7BcK4v1aGSTlu/YxvUYCDNk3tBxUjvlhkoQdI8lzXb&#10;s5Tlt6CrUv9fUf0CUEsDBBQAAAAIAIdO4kD3xA4gCgIAAP4DAAAOAAAAZHJzL2Uyb0RvYy54bWyt&#10;U82O0zAQviPxDpbvNEm3pVXVdLVQLUJCgLTwAK5jN0a2x9huk74AvAEnLnvnufocjPPTXS2XPZBD&#10;Mh6Pv5nv85f1dWs0OQofFNiSFpOcEmE5VMruS/r1y+2rJSUhMlsxDVaU9CQCvd68fLFu3EpMoQZd&#10;CU8QxIZV40pax+hWWRZ4LQwLE3DC4qYEb1jEpd9nlWcNohudTfP8ddaAr5wHLkLA7LbfpAOifw4g&#10;SKm42AI/GGFjj+qFZhEphVq5QDfdtFIKHj9JGUQkuqTINHZvbILxLr2zzZqt9p65WvFhBPacEZ5w&#10;MkxZbHqB2rLIyMGrf6CM4h4CyDjhYLKeSKcIsijyJ9rc1cyJjgtKHdxF9PD/YPnH42dPVIVOyBdX&#10;i1mxnM4psczgzffT3fhIYPcNlaSkEoGjeOdfP8+//5zvf5AiCdi4sEKcO4dIsX0DLYKN+YDJpEsr&#10;vUlfxCS4j/KfLvKLNhKOyfliscTmHHeKq2I2myeQ7OGs8yG+E2BICkrq00gJkx0/hNiXjiUpbeFW&#10;ad1dsLakQdDpIsfGnKFrJbqlO/yoyqiIztbKlHSWp2for22CE52bhk6Jck8tRbHdtYMOO6hOKEOD&#10;jipp+H5gXlCi31u8smS/MfBjsBsDezBvAU1aUMIsrwFlHge8OUSQqmOYuvUtUJm0QFt0Gg0WTr57&#10;vO6qHn7b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U1QY2gAAAA0BAAAPAAAAAAAAAAEAIAAA&#10;ACIAAABkcnMvZG93bnJldi54bWxQSwECFAAUAAAACACHTuJA98QOIAoCAAD+AwAADgAAAAAAAAAB&#10;ACAAAAApAQAAZHJzL2Uyb0RvYy54bWxQSwUGAAAAAAYABgBZAQAApQUAAAAA&#10;">
              <v:fill on="f" focussize="0,0"/>
              <v:stroke on="f" weight="1pt" miterlimit="4" joinstyle="miter"/>
              <v:imagedata o:title=""/>
              <o:lock v:ext="edit" aspectratio="f"/>
              <v:textbox inset="0mm,0mm,0mm,0mm">
                <w:txbxContent>
                  <w:p w14:paraId="1FB0D731">
                    <w:pPr>
                      <w:pStyle w:val="4"/>
                    </w:pPr>
                    <w:r>
                      <w:fldChar w:fldCharType="begin"/>
                    </w:r>
                    <w:r>
                      <w:instrText xml:space="preserve"> PAGE </w:instrText>
                    </w:r>
                    <w:r>
                      <w:fldChar w:fldCharType="separate"/>
                    </w:r>
                    <w:r>
                      <w:t>3</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2"/>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color w:val="800000"/>
        <w:spacing w:val="0"/>
        <w:kern w:val="0"/>
        <w:position w:val="0"/>
        <w:sz w:val="21"/>
        <w:szCs w:val="21"/>
        <w:u w:val="none"/>
        <w:vertAlign w:val="baseline"/>
      </w:rPr>
    </w:lvl>
    <w:lvl w:ilvl="2" w:tentative="0">
      <w:start w:val="1"/>
      <w:numFmt w:val="decimal"/>
      <w:suff w:val="nothing"/>
      <w:lvlText w:val="%1.%2.%3　"/>
      <w:lvlJc w:val="left"/>
      <w:pPr>
        <w:ind w:left="22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7C542B2"/>
    <w:multiLevelType w:val="multilevel"/>
    <w:tmpl w:val="37C542B2"/>
    <w:lvl w:ilvl="0" w:tentative="0">
      <w:start w:val="1"/>
      <w:numFmt w:val="japaneseCounting"/>
      <w:lvlText w:val="%1、"/>
      <w:lvlJc w:val="left"/>
      <w:pPr>
        <w:ind w:left="992" w:hanging="510"/>
      </w:pPr>
      <w:rPr>
        <w:rFonts w:hint="default" w:eastAsia="宋体"/>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
  <w:docVars>
    <w:docVar w:name="commondata" w:val="eyJoZGlkIjoiZmFhOTEwOTA4M2RhMmU1NGE4Zjg4ZmY1NTkwZWFmMjUifQ=="/>
  </w:docVars>
  <w:rsids>
    <w:rsidRoot w:val="001C1971"/>
    <w:rsid w:val="0000007A"/>
    <w:rsid w:val="00001B5B"/>
    <w:rsid w:val="00010B53"/>
    <w:rsid w:val="0001179B"/>
    <w:rsid w:val="000117FA"/>
    <w:rsid w:val="00015ECA"/>
    <w:rsid w:val="00021F88"/>
    <w:rsid w:val="00023AB0"/>
    <w:rsid w:val="00035B6D"/>
    <w:rsid w:val="00037A2E"/>
    <w:rsid w:val="00050AEC"/>
    <w:rsid w:val="00064574"/>
    <w:rsid w:val="00082FC8"/>
    <w:rsid w:val="00082FF1"/>
    <w:rsid w:val="00084859"/>
    <w:rsid w:val="000905AB"/>
    <w:rsid w:val="00094129"/>
    <w:rsid w:val="000B3167"/>
    <w:rsid w:val="000C006E"/>
    <w:rsid w:val="000E2274"/>
    <w:rsid w:val="000F45D3"/>
    <w:rsid w:val="000F71FA"/>
    <w:rsid w:val="00102875"/>
    <w:rsid w:val="00127FFC"/>
    <w:rsid w:val="00136DC2"/>
    <w:rsid w:val="001445DA"/>
    <w:rsid w:val="0014604F"/>
    <w:rsid w:val="00155E7C"/>
    <w:rsid w:val="00161D8A"/>
    <w:rsid w:val="001C1971"/>
    <w:rsid w:val="001D1EAC"/>
    <w:rsid w:val="001D6EA2"/>
    <w:rsid w:val="001E02CB"/>
    <w:rsid w:val="001E5CF5"/>
    <w:rsid w:val="001F2C3E"/>
    <w:rsid w:val="00204F84"/>
    <w:rsid w:val="00215755"/>
    <w:rsid w:val="00215DD7"/>
    <w:rsid w:val="00220C3E"/>
    <w:rsid w:val="00224882"/>
    <w:rsid w:val="00233DDD"/>
    <w:rsid w:val="002512F2"/>
    <w:rsid w:val="00264B72"/>
    <w:rsid w:val="002663D9"/>
    <w:rsid w:val="002665EC"/>
    <w:rsid w:val="00277D4F"/>
    <w:rsid w:val="0028709D"/>
    <w:rsid w:val="00295751"/>
    <w:rsid w:val="002A0F91"/>
    <w:rsid w:val="002A7030"/>
    <w:rsid w:val="002B4CE6"/>
    <w:rsid w:val="002D4343"/>
    <w:rsid w:val="002F0B8B"/>
    <w:rsid w:val="002F3AA6"/>
    <w:rsid w:val="002F3F3E"/>
    <w:rsid w:val="002F406B"/>
    <w:rsid w:val="002F6715"/>
    <w:rsid w:val="00301D3A"/>
    <w:rsid w:val="0030564F"/>
    <w:rsid w:val="0031319C"/>
    <w:rsid w:val="00313469"/>
    <w:rsid w:val="003333F3"/>
    <w:rsid w:val="0035380E"/>
    <w:rsid w:val="00360875"/>
    <w:rsid w:val="003712FA"/>
    <w:rsid w:val="00377697"/>
    <w:rsid w:val="00391E44"/>
    <w:rsid w:val="00392AF6"/>
    <w:rsid w:val="0039677A"/>
    <w:rsid w:val="003A0FD7"/>
    <w:rsid w:val="003B30F9"/>
    <w:rsid w:val="003C381C"/>
    <w:rsid w:val="003C3B8D"/>
    <w:rsid w:val="003C6F12"/>
    <w:rsid w:val="003D652D"/>
    <w:rsid w:val="003F0ECF"/>
    <w:rsid w:val="004005B0"/>
    <w:rsid w:val="00411EAC"/>
    <w:rsid w:val="004240F0"/>
    <w:rsid w:val="00435909"/>
    <w:rsid w:val="00437E03"/>
    <w:rsid w:val="00443C2C"/>
    <w:rsid w:val="00453F8D"/>
    <w:rsid w:val="00490EE1"/>
    <w:rsid w:val="00494BE0"/>
    <w:rsid w:val="004A1998"/>
    <w:rsid w:val="004B46F1"/>
    <w:rsid w:val="004B56C3"/>
    <w:rsid w:val="004D05EE"/>
    <w:rsid w:val="004D0D8D"/>
    <w:rsid w:val="004D285A"/>
    <w:rsid w:val="004F4EFE"/>
    <w:rsid w:val="004F5BA2"/>
    <w:rsid w:val="005117F8"/>
    <w:rsid w:val="00517666"/>
    <w:rsid w:val="00525B9B"/>
    <w:rsid w:val="00530A1D"/>
    <w:rsid w:val="00531A84"/>
    <w:rsid w:val="00546C9F"/>
    <w:rsid w:val="00550AA3"/>
    <w:rsid w:val="00555768"/>
    <w:rsid w:val="00575991"/>
    <w:rsid w:val="00591AFB"/>
    <w:rsid w:val="0059365C"/>
    <w:rsid w:val="005A1389"/>
    <w:rsid w:val="005A6EF5"/>
    <w:rsid w:val="005B13B2"/>
    <w:rsid w:val="005B1841"/>
    <w:rsid w:val="005D413E"/>
    <w:rsid w:val="005E1F4C"/>
    <w:rsid w:val="005F7B08"/>
    <w:rsid w:val="00605F70"/>
    <w:rsid w:val="006123BD"/>
    <w:rsid w:val="00641394"/>
    <w:rsid w:val="0064687D"/>
    <w:rsid w:val="00647AAD"/>
    <w:rsid w:val="00652646"/>
    <w:rsid w:val="00666AC0"/>
    <w:rsid w:val="00695C8A"/>
    <w:rsid w:val="006A4054"/>
    <w:rsid w:val="006A5904"/>
    <w:rsid w:val="006C60E4"/>
    <w:rsid w:val="006D28E6"/>
    <w:rsid w:val="006D3738"/>
    <w:rsid w:val="006E4EB5"/>
    <w:rsid w:val="006E7F2E"/>
    <w:rsid w:val="006F621B"/>
    <w:rsid w:val="00713B38"/>
    <w:rsid w:val="00716D2A"/>
    <w:rsid w:val="00720891"/>
    <w:rsid w:val="00735657"/>
    <w:rsid w:val="007401BA"/>
    <w:rsid w:val="007426B8"/>
    <w:rsid w:val="0075192C"/>
    <w:rsid w:val="00753EC9"/>
    <w:rsid w:val="0076049F"/>
    <w:rsid w:val="00760826"/>
    <w:rsid w:val="00791143"/>
    <w:rsid w:val="007A307D"/>
    <w:rsid w:val="007A482D"/>
    <w:rsid w:val="007A6EC1"/>
    <w:rsid w:val="007B430A"/>
    <w:rsid w:val="007C78B9"/>
    <w:rsid w:val="007D7840"/>
    <w:rsid w:val="007E5135"/>
    <w:rsid w:val="007F7367"/>
    <w:rsid w:val="008173ED"/>
    <w:rsid w:val="0082017F"/>
    <w:rsid w:val="00822ADD"/>
    <w:rsid w:val="00822B24"/>
    <w:rsid w:val="00831BAD"/>
    <w:rsid w:val="00844969"/>
    <w:rsid w:val="00844A75"/>
    <w:rsid w:val="00852083"/>
    <w:rsid w:val="00872310"/>
    <w:rsid w:val="008741FD"/>
    <w:rsid w:val="0087513A"/>
    <w:rsid w:val="0088394F"/>
    <w:rsid w:val="008A1E38"/>
    <w:rsid w:val="008B1FBE"/>
    <w:rsid w:val="008D0030"/>
    <w:rsid w:val="008D1A07"/>
    <w:rsid w:val="008D7934"/>
    <w:rsid w:val="008E22FF"/>
    <w:rsid w:val="008E73B2"/>
    <w:rsid w:val="00903C70"/>
    <w:rsid w:val="00903D18"/>
    <w:rsid w:val="009078BB"/>
    <w:rsid w:val="009103C1"/>
    <w:rsid w:val="0092426D"/>
    <w:rsid w:val="0092709E"/>
    <w:rsid w:val="00934BAA"/>
    <w:rsid w:val="00951C47"/>
    <w:rsid w:val="009531C1"/>
    <w:rsid w:val="009618BF"/>
    <w:rsid w:val="0096218D"/>
    <w:rsid w:val="00964B16"/>
    <w:rsid w:val="00991749"/>
    <w:rsid w:val="009936AB"/>
    <w:rsid w:val="009A2906"/>
    <w:rsid w:val="009A514C"/>
    <w:rsid w:val="009B366F"/>
    <w:rsid w:val="009B4725"/>
    <w:rsid w:val="009B6E69"/>
    <w:rsid w:val="009C08DA"/>
    <w:rsid w:val="009C316F"/>
    <w:rsid w:val="009C333D"/>
    <w:rsid w:val="009D2E05"/>
    <w:rsid w:val="009E6B45"/>
    <w:rsid w:val="009F19C0"/>
    <w:rsid w:val="009F6696"/>
    <w:rsid w:val="00A14861"/>
    <w:rsid w:val="00A22E73"/>
    <w:rsid w:val="00A26EE8"/>
    <w:rsid w:val="00A329F7"/>
    <w:rsid w:val="00A32A3E"/>
    <w:rsid w:val="00A369F1"/>
    <w:rsid w:val="00A56255"/>
    <w:rsid w:val="00A57BE2"/>
    <w:rsid w:val="00A64FD1"/>
    <w:rsid w:val="00A7221A"/>
    <w:rsid w:val="00A72D65"/>
    <w:rsid w:val="00A76DB0"/>
    <w:rsid w:val="00A87DD6"/>
    <w:rsid w:val="00A951B5"/>
    <w:rsid w:val="00AB1BCD"/>
    <w:rsid w:val="00AC4D4E"/>
    <w:rsid w:val="00AD31B3"/>
    <w:rsid w:val="00AE5E92"/>
    <w:rsid w:val="00AE6D5F"/>
    <w:rsid w:val="00AF5B7D"/>
    <w:rsid w:val="00AF62EC"/>
    <w:rsid w:val="00B0520A"/>
    <w:rsid w:val="00B11F91"/>
    <w:rsid w:val="00B154D0"/>
    <w:rsid w:val="00B33BF1"/>
    <w:rsid w:val="00B3497B"/>
    <w:rsid w:val="00B45AE7"/>
    <w:rsid w:val="00B5017B"/>
    <w:rsid w:val="00B55A34"/>
    <w:rsid w:val="00B613AD"/>
    <w:rsid w:val="00B71F50"/>
    <w:rsid w:val="00B85183"/>
    <w:rsid w:val="00B936A0"/>
    <w:rsid w:val="00B96F81"/>
    <w:rsid w:val="00BA46F6"/>
    <w:rsid w:val="00BA5F29"/>
    <w:rsid w:val="00BE01CF"/>
    <w:rsid w:val="00C01246"/>
    <w:rsid w:val="00C149D5"/>
    <w:rsid w:val="00C158F0"/>
    <w:rsid w:val="00C223EE"/>
    <w:rsid w:val="00C40669"/>
    <w:rsid w:val="00C50B12"/>
    <w:rsid w:val="00C731C6"/>
    <w:rsid w:val="00C870A4"/>
    <w:rsid w:val="00C923B3"/>
    <w:rsid w:val="00C9395C"/>
    <w:rsid w:val="00C97834"/>
    <w:rsid w:val="00CA543A"/>
    <w:rsid w:val="00CB128D"/>
    <w:rsid w:val="00CD3464"/>
    <w:rsid w:val="00CD4D23"/>
    <w:rsid w:val="00CE1B91"/>
    <w:rsid w:val="00CE51C9"/>
    <w:rsid w:val="00D06901"/>
    <w:rsid w:val="00D20D5B"/>
    <w:rsid w:val="00D30E5E"/>
    <w:rsid w:val="00D418D7"/>
    <w:rsid w:val="00D42091"/>
    <w:rsid w:val="00D42375"/>
    <w:rsid w:val="00D472E6"/>
    <w:rsid w:val="00D675A7"/>
    <w:rsid w:val="00D74546"/>
    <w:rsid w:val="00D81A09"/>
    <w:rsid w:val="00D92B72"/>
    <w:rsid w:val="00D92D8A"/>
    <w:rsid w:val="00D9431E"/>
    <w:rsid w:val="00DA1793"/>
    <w:rsid w:val="00DB3344"/>
    <w:rsid w:val="00DB392C"/>
    <w:rsid w:val="00DC0655"/>
    <w:rsid w:val="00DD1545"/>
    <w:rsid w:val="00DE06DE"/>
    <w:rsid w:val="00DE2B4F"/>
    <w:rsid w:val="00DF01B5"/>
    <w:rsid w:val="00DF4346"/>
    <w:rsid w:val="00DF5A59"/>
    <w:rsid w:val="00E045F4"/>
    <w:rsid w:val="00E20101"/>
    <w:rsid w:val="00E21072"/>
    <w:rsid w:val="00E223F5"/>
    <w:rsid w:val="00E40324"/>
    <w:rsid w:val="00E42EA4"/>
    <w:rsid w:val="00E476F5"/>
    <w:rsid w:val="00E66352"/>
    <w:rsid w:val="00E86919"/>
    <w:rsid w:val="00E95A59"/>
    <w:rsid w:val="00EA0E6F"/>
    <w:rsid w:val="00EA45A0"/>
    <w:rsid w:val="00EB7D2E"/>
    <w:rsid w:val="00ED4542"/>
    <w:rsid w:val="00ED6663"/>
    <w:rsid w:val="00EE0533"/>
    <w:rsid w:val="00EE0D56"/>
    <w:rsid w:val="00EE2BFC"/>
    <w:rsid w:val="00EE2EAB"/>
    <w:rsid w:val="00EE76D5"/>
    <w:rsid w:val="00EF578C"/>
    <w:rsid w:val="00F06039"/>
    <w:rsid w:val="00F10349"/>
    <w:rsid w:val="00F379DE"/>
    <w:rsid w:val="00F42915"/>
    <w:rsid w:val="00F4411B"/>
    <w:rsid w:val="00F52EE6"/>
    <w:rsid w:val="00F544E2"/>
    <w:rsid w:val="00F60ACD"/>
    <w:rsid w:val="00F707BF"/>
    <w:rsid w:val="00F770A2"/>
    <w:rsid w:val="00F91175"/>
    <w:rsid w:val="00F92653"/>
    <w:rsid w:val="00FB455B"/>
    <w:rsid w:val="00FF7D6D"/>
    <w:rsid w:val="060633F4"/>
    <w:rsid w:val="062D0592"/>
    <w:rsid w:val="06907B34"/>
    <w:rsid w:val="0C6B2020"/>
    <w:rsid w:val="0CEF76F2"/>
    <w:rsid w:val="16DE4551"/>
    <w:rsid w:val="174F6F43"/>
    <w:rsid w:val="1B7549F6"/>
    <w:rsid w:val="1DD45C6C"/>
    <w:rsid w:val="1E8D27EC"/>
    <w:rsid w:val="1FDE5C92"/>
    <w:rsid w:val="235E217B"/>
    <w:rsid w:val="23BE4D1F"/>
    <w:rsid w:val="24AC5E86"/>
    <w:rsid w:val="25215D4A"/>
    <w:rsid w:val="2B320625"/>
    <w:rsid w:val="2DD66AA1"/>
    <w:rsid w:val="37F979C7"/>
    <w:rsid w:val="3D9910E3"/>
    <w:rsid w:val="3F1B79B6"/>
    <w:rsid w:val="401D2E27"/>
    <w:rsid w:val="41615A67"/>
    <w:rsid w:val="48580610"/>
    <w:rsid w:val="488A4EC3"/>
    <w:rsid w:val="4A5A0CE1"/>
    <w:rsid w:val="4A7C464E"/>
    <w:rsid w:val="4C5F21E2"/>
    <w:rsid w:val="515431DE"/>
    <w:rsid w:val="536C2A87"/>
    <w:rsid w:val="556E3DBC"/>
    <w:rsid w:val="570E0F48"/>
    <w:rsid w:val="5B401FAF"/>
    <w:rsid w:val="5D8E646A"/>
    <w:rsid w:val="5E9D4675"/>
    <w:rsid w:val="68D43812"/>
    <w:rsid w:val="69C42603"/>
    <w:rsid w:val="734640B2"/>
    <w:rsid w:val="75CA2B92"/>
    <w:rsid w:val="791974F6"/>
    <w:rsid w:val="7DDB6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0"/>
    <w:pPr>
      <w:framePr w:wrap="around"/>
      <w:jc w:val="left"/>
    </w:pPr>
  </w:style>
  <w:style w:type="paragraph" w:styleId="3">
    <w:name w:val="Balloon Text"/>
    <w:basedOn w:val="1"/>
    <w:link w:val="26"/>
    <w:qFormat/>
    <w:uiPriority w:val="0"/>
    <w:pPr>
      <w:framePr w:wrap="around"/>
    </w:pPr>
    <w:rPr>
      <w:sz w:val="18"/>
      <w:szCs w:val="18"/>
    </w:rPr>
  </w:style>
  <w:style w:type="paragraph" w:styleId="4">
    <w:name w:val="footer"/>
    <w:qFormat/>
    <w:uiPriority w:val="0"/>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styleId="5">
    <w:name w:val="header"/>
    <w:basedOn w:val="1"/>
    <w:link w:val="17"/>
    <w:qFormat/>
    <w:uiPriority w:val="0"/>
    <w:pPr>
      <w:framePr w:wrap="around"/>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framePr w:wrap="around"/>
    </w:pPr>
    <w:rPr>
      <w:sz w:val="24"/>
    </w:rPr>
  </w:style>
  <w:style w:type="paragraph" w:styleId="7">
    <w:name w:val="annotation subject"/>
    <w:basedOn w:val="2"/>
    <w:next w:val="2"/>
    <w:link w:val="20"/>
    <w:semiHidden/>
    <w:unhideWhenUsed/>
    <w:qFormat/>
    <w:uiPriority w:val="0"/>
    <w:pPr>
      <w:framePr w:wrap="around"/>
    </w:pPr>
    <w:rPr>
      <w:b/>
      <w:bCs/>
    </w:rPr>
  </w:style>
  <w:style w:type="character" w:styleId="10">
    <w:name w:val="Hyperlink"/>
    <w:qFormat/>
    <w:uiPriority w:val="0"/>
    <w:rPr>
      <w:u w:val="single"/>
    </w:rPr>
  </w:style>
  <w:style w:type="character" w:styleId="11">
    <w:name w:val="annotation reference"/>
    <w:basedOn w:val="9"/>
    <w:semiHidden/>
    <w:unhideWhenUsed/>
    <w:qFormat/>
    <w:uiPriority w:val="0"/>
    <w:rPr>
      <w:sz w:val="21"/>
      <w:szCs w:val="21"/>
    </w:rPr>
  </w:style>
  <w:style w:type="paragraph" w:customStyle="1" w:styleId="12">
    <w:name w:val="章标题"/>
    <w:next w:val="13"/>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14">
    <w:name w:val="Table Normal"/>
    <w:qFormat/>
    <w:uiPriority w:val="0"/>
    <w:tblPr>
      <w:tblCellMar>
        <w:top w:w="0" w:type="dxa"/>
        <w:left w:w="0" w:type="dxa"/>
        <w:bottom w:w="0" w:type="dxa"/>
        <w:right w:w="0" w:type="dxa"/>
      </w:tblCellMar>
    </w:tblPr>
  </w:style>
  <w:style w:type="paragraph" w:customStyle="1" w:styleId="15">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6">
    <w:name w:val="列出段落1"/>
    <w:qFormat/>
    <w:uiPriority w:val="0"/>
    <w:pPr>
      <w:framePr w:wrap="around" w:vAnchor="margin" w:hAnchor="text" w:y="1"/>
      <w:widowControl w:val="0"/>
      <w:ind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7">
    <w:name w:val="页眉 字符"/>
    <w:basedOn w:val="9"/>
    <w:link w:val="5"/>
    <w:qFormat/>
    <w:uiPriority w:val="0"/>
    <w:rPr>
      <w:rFonts w:ascii="Arial Unicode MS" w:hAnsi="Arial Unicode MS" w:eastAsia="Times New Roman" w:cs="Arial Unicode MS"/>
      <w:color w:val="000000"/>
      <w:kern w:val="2"/>
      <w:sz w:val="18"/>
      <w:szCs w:val="18"/>
      <w:u w:color="000000"/>
    </w:rPr>
  </w:style>
  <w:style w:type="paragraph" w:customStyle="1" w:styleId="18">
    <w:name w:val="列表段落1"/>
    <w:basedOn w:val="1"/>
    <w:qFormat/>
    <w:uiPriority w:val="99"/>
    <w:pPr>
      <w:framePr w:wrap="around"/>
      <w:ind w:firstLine="420" w:firstLineChars="200"/>
    </w:pPr>
  </w:style>
  <w:style w:type="character" w:customStyle="1" w:styleId="19">
    <w:name w:val="批注文字 字符"/>
    <w:basedOn w:val="9"/>
    <w:link w:val="2"/>
    <w:semiHidden/>
    <w:qFormat/>
    <w:uiPriority w:val="0"/>
    <w:rPr>
      <w:rFonts w:ascii="Arial Unicode MS" w:hAnsi="Arial Unicode MS" w:eastAsia="Times New Roman" w:cs="Arial Unicode MS"/>
      <w:color w:val="000000"/>
      <w:kern w:val="2"/>
      <w:sz w:val="21"/>
      <w:szCs w:val="21"/>
      <w:u w:color="000000"/>
    </w:rPr>
  </w:style>
  <w:style w:type="character" w:customStyle="1" w:styleId="20">
    <w:name w:val="批注主题 字符"/>
    <w:basedOn w:val="19"/>
    <w:link w:val="7"/>
    <w:semiHidden/>
    <w:qFormat/>
    <w:uiPriority w:val="0"/>
    <w:rPr>
      <w:rFonts w:ascii="Arial Unicode MS" w:hAnsi="Arial Unicode MS" w:eastAsia="Times New Roman" w:cs="Arial Unicode MS"/>
      <w:b/>
      <w:bCs/>
      <w:color w:val="000000"/>
      <w:kern w:val="2"/>
      <w:sz w:val="21"/>
      <w:szCs w:val="21"/>
      <w:u w:color="000000"/>
    </w:rPr>
  </w:style>
  <w:style w:type="paragraph" w:customStyle="1" w:styleId="21">
    <w:name w:val="修订1"/>
    <w:hidden/>
    <w:unhideWhenUsed/>
    <w:qFormat/>
    <w:uiPriority w:val="99"/>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2">
    <w:name w:val="标准文件_段"/>
    <w:link w:val="2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
    <w:name w:val="标准文件_段 Char"/>
    <w:link w:val="22"/>
    <w:qFormat/>
    <w:uiPriority w:val="0"/>
    <w:rPr>
      <w:rFonts w:ascii="宋体"/>
      <w:sz w:val="21"/>
    </w:rPr>
  </w:style>
  <w:style w:type="paragraph" w:customStyle="1" w:styleId="24">
    <w:name w:val="修订2"/>
    <w:hidden/>
    <w:semiHidden/>
    <w:qFormat/>
    <w:uiPriority w:val="99"/>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5">
    <w:name w:val="修订3"/>
    <w:hidden/>
    <w:unhideWhenUsed/>
    <w:qFormat/>
    <w:uiPriority w:val="99"/>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26">
    <w:name w:val="批注框文本 字符"/>
    <w:basedOn w:val="9"/>
    <w:link w:val="3"/>
    <w:qFormat/>
    <w:uiPriority w:val="0"/>
    <w:rPr>
      <w:rFonts w:ascii="Arial Unicode MS" w:hAnsi="Arial Unicode MS" w:eastAsia="Times New Roman" w:cs="Arial Unicode MS"/>
      <w:color w:val="000000"/>
      <w:kern w:val="2"/>
      <w:sz w:val="18"/>
      <w:szCs w:val="18"/>
      <w:u w:color="000000"/>
    </w:rPr>
  </w:style>
  <w:style w:type="paragraph" w:styleId="27">
    <w:name w:val="List Paragraph"/>
    <w:basedOn w:val="1"/>
    <w:unhideWhenUsed/>
    <w:qFormat/>
    <w:uiPriority w:val="99"/>
    <w:pPr>
      <w:framePr w:wrap="around"/>
      <w:ind w:firstLine="420" w:firstLineChars="200"/>
    </w:pPr>
  </w:style>
  <w:style w:type="paragraph" w:customStyle="1" w:styleId="28">
    <w:name w:val="Revision"/>
    <w:hidden/>
    <w:unhideWhenUsed/>
    <w:qFormat/>
    <w:uiPriority w:val="99"/>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9</Pages>
  <Words>5785</Words>
  <Characters>5943</Characters>
  <Lines>42</Lines>
  <Paragraphs>12</Paragraphs>
  <TotalTime>0</TotalTime>
  <ScaleCrop>false</ScaleCrop>
  <LinksUpToDate>false</LinksUpToDate>
  <CharactersWithSpaces>5956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2019-03-19T02:01:00Z</dcterms:created>
  <dc:creator>HP</dc:creator>
  <cp:lastModifiedBy>董晓媛</cp:lastModifiedBy>
  <cp:lastPrinted>2019-06-17T03:57:00Z</cp:lastPrinted>
  <dcterms:modified xsi:type="dcterms:W3CDTF">2024-11-22T06:25:45Z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657178B20B984F04B5173E8492FEFEE7_13</vt:lpwstr>
  </property>
</Properties>
</file>