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D53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64060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ICS</w:t>
            </w:r>
            <w:r>
              <w:rPr>
                <w:rFonts w:hint="eastAsia" w:ascii="黑体" w:hAnsi="黑体" w:eastAsia="黑体"/>
                <w:sz w:val="21"/>
                <w:szCs w:val="21"/>
              </w:rPr>
              <w:t xml:space="preserve"> </w:t>
            </w:r>
          </w:p>
        </w:tc>
        <w:tc>
          <w:tcPr>
            <w:tcW w:w="8855" w:type="dxa"/>
          </w:tcPr>
          <w:p w14:paraId="2A47534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91</w:t>
            </w:r>
            <w:r>
              <w:rPr>
                <w:rFonts w:ascii="黑体" w:hAnsi="黑体" w:eastAsia="黑体"/>
                <w:sz w:val="21"/>
                <w:szCs w:val="21"/>
              </w:rPr>
              <w:t>.0</w:t>
            </w:r>
            <w:r>
              <w:rPr>
                <w:rFonts w:hint="eastAsia" w:ascii="黑体" w:hAnsi="黑体" w:eastAsia="黑体"/>
                <w:sz w:val="21"/>
                <w:szCs w:val="21"/>
              </w:rPr>
              <w:t>1</w:t>
            </w:r>
            <w:r>
              <w:rPr>
                <w:rFonts w:ascii="黑体" w:hAnsi="黑体" w:eastAsia="黑体"/>
                <w:sz w:val="21"/>
                <w:szCs w:val="21"/>
              </w:rPr>
              <w:t>0.</w:t>
            </w:r>
            <w:r>
              <w:rPr>
                <w:rFonts w:hint="eastAsia" w:ascii="黑体" w:hAnsi="黑体" w:eastAsia="黑体"/>
                <w:sz w:val="21"/>
                <w:szCs w:val="21"/>
              </w:rPr>
              <w:t>01</w:t>
            </w:r>
          </w:p>
        </w:tc>
      </w:tr>
      <w:tr w14:paraId="5988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C6F79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CCS</w:t>
            </w:r>
          </w:p>
        </w:tc>
        <w:tc>
          <w:tcPr>
            <w:tcW w:w="8855" w:type="dxa"/>
          </w:tcPr>
          <w:p w14:paraId="2B14D6F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 xml:space="preserve">P </w:t>
            </w:r>
            <w:r>
              <w:rPr>
                <w:rFonts w:hint="eastAsia" w:ascii="黑体" w:hAnsi="黑体" w:eastAsia="黑体"/>
                <w:sz w:val="21"/>
                <w:szCs w:val="21"/>
              </w:rPr>
              <w:t>30</w:t>
            </w:r>
          </w:p>
        </w:tc>
      </w:tr>
    </w:tbl>
    <w:p w14:paraId="604349D5">
      <w:pPr>
        <w:pStyle w:val="51"/>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14:paraId="107457C8">
      <w:pPr>
        <w:pStyle w:val="196"/>
      </w:pPr>
      <w:r>
        <w:t>T/CASMES</w:t>
      </w:r>
      <w:r>
        <w:rPr>
          <w:rFonts w:hint="eastAsia"/>
        </w:rPr>
        <w:t xml:space="preserve"> </w:t>
      </w:r>
      <w:r>
        <w:t>XXX</w:t>
      </w:r>
      <w:r>
        <w:rPr>
          <w:rFonts w:hAnsi="黑体"/>
        </w:rPr>
        <w:t>—</w:t>
      </w:r>
      <w:r>
        <w:t>2024</w:t>
      </w:r>
    </w:p>
    <w:p w14:paraId="5A58609B">
      <w:pPr>
        <w:pStyle w:val="197"/>
        <w:rPr>
          <w:rFonts w:hint="eastAsia"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0B7F090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8B2366">
      <w:pPr>
        <w:pStyle w:val="198"/>
        <w:framePr w:h="6974" w:hRule="exact" w:wrap="around" w:x="1419" w:anchorLock="1"/>
        <w:rPr>
          <w:rFonts w:hint="eastAsia"/>
        </w:rPr>
      </w:pPr>
      <w:r>
        <w:rPr>
          <w:rFonts w:hint="eastAsia"/>
        </w:rPr>
        <w:t>装配式混凝土建筑施工安全技术规程</w:t>
      </w:r>
    </w:p>
    <w:p w14:paraId="2BD9B435">
      <w:pPr>
        <w:pStyle w:val="126"/>
        <w:framePr w:w="9639" w:h="6974" w:hRule="exact" w:wrap="around" w:vAnchor="page" w:hAnchor="page" w:x="1419" w:y="6408" w:anchorLock="1"/>
        <w:textAlignment w:val="bottom"/>
        <w:rPr>
          <w:rFonts w:eastAsia="黑体"/>
          <w:szCs w:val="28"/>
        </w:rPr>
      </w:pPr>
    </w:p>
    <w:p w14:paraId="59E318EA">
      <w:pPr>
        <w:pStyle w:val="126"/>
        <w:framePr w:w="9639" w:h="6974" w:hRule="exact" w:wrap="around" w:vAnchor="page" w:hAnchor="page" w:x="1419" w:y="6408" w:anchorLock="1"/>
        <w:textAlignment w:val="bottom"/>
        <w:rPr>
          <w:rFonts w:eastAsia="黑体"/>
          <w:szCs w:val="28"/>
        </w:rPr>
      </w:pPr>
      <w:r>
        <w:rPr>
          <w:rFonts w:hint="eastAsia" w:eastAsia="黑体"/>
          <w:szCs w:val="28"/>
        </w:rPr>
        <w:t>Technical Regulations for Construction Safety of Prefabricated Concrete Buildings</w:t>
      </w:r>
    </w:p>
    <w:p w14:paraId="783FA3AB">
      <w:pPr>
        <w:pStyle w:val="198"/>
        <w:framePr w:h="6974" w:hRule="exact" w:wrap="around" w:x="1419" w:anchorLock="1"/>
        <w:rPr>
          <w:rFonts w:hint="eastAsia"/>
        </w:rPr>
      </w:pPr>
    </w:p>
    <w:p w14:paraId="3C76CF15">
      <w:pPr>
        <w:pStyle w:val="194"/>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34F32B20">
      <w:pPr>
        <w:pStyle w:val="195"/>
        <w:framePr w:wrap="around" w:y="14176"/>
      </w:pPr>
      <w:r>
        <w:rPr>
          <w:rFonts w:ascii="黑体"/>
        </w:rPr>
        <w:t>xxx</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6FCA43F0">
      <w:pPr>
        <w:pStyle w:val="152"/>
        <w:framePr w:h="584" w:hRule="exact" w:hSpace="181" w:vSpace="181" w:wrap="around" w:y="15027"/>
        <w:rPr>
          <w:rFonts w:hint="eastAsia" w:hAnsi="黑体"/>
        </w:rPr>
      </w:pPr>
      <w:r>
        <w:rPr>
          <w:rFonts w:hint="eastAsia" w:ascii="Times New Roman"/>
          <w:w w:val="100"/>
          <w:sz w:val="28"/>
        </w:rPr>
        <w:t>中国中小企业协会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E8C5368">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0C4426">
      <w:pPr>
        <w:widowControl/>
        <w:numPr>
          <w:ilvl w:val="0"/>
          <w:numId w:val="8"/>
        </w:numPr>
        <w:shd w:val="clear" w:color="FFFFFF" w:fill="FFFFFF"/>
        <w:adjustRightInd/>
        <w:spacing w:after="468" w:afterLines="150" w:line="240" w:lineRule="auto"/>
        <w:jc w:val="center"/>
        <w:outlineLvl w:val="0"/>
        <w:rPr>
          <w:rFonts w:ascii="黑体" w:hAnsi="Times New Roman" w:eastAsia="黑体"/>
          <w:spacing w:val="320"/>
          <w:kern w:val="0"/>
          <w:sz w:val="32"/>
          <w:szCs w:val="20"/>
        </w:rPr>
      </w:pPr>
      <w:bookmarkStart w:id="2" w:name="_Toc169991437"/>
      <w:bookmarkStart w:id="3" w:name="_Toc13300"/>
      <w:bookmarkStart w:id="4" w:name="_Toc134467293"/>
      <w:bookmarkStart w:id="5" w:name="_Toc134530865"/>
      <w:bookmarkStart w:id="6" w:name="_Toc3319"/>
      <w:bookmarkStart w:id="7" w:name="_Toc27824"/>
      <w:bookmarkStart w:id="8" w:name="_Toc28831"/>
      <w:bookmarkStart w:id="9" w:name="_Toc67047417"/>
      <w:bookmarkStart w:id="10" w:name="_Toc109647439"/>
      <w:bookmarkStart w:id="11" w:name="_Toc67305561"/>
      <w:bookmarkStart w:id="12" w:name="_Toc68870194"/>
      <w:bookmarkStart w:id="13" w:name="_Toc70518821"/>
      <w:bookmarkStart w:id="14" w:name="_Toc74226207"/>
      <w:bookmarkStart w:id="15" w:name="_Toc111033543"/>
      <w:bookmarkStart w:id="16" w:name="_Toc67053156"/>
      <w:bookmarkStart w:id="17" w:name="_Toc66981424"/>
      <w:bookmarkStart w:id="18" w:name="_Toc67071479"/>
      <w:bookmarkStart w:id="19" w:name="_Toc67069577"/>
      <w:bookmarkStart w:id="20" w:name="_Toc66899194"/>
      <w:bookmarkStart w:id="21" w:name="_Toc67044875"/>
      <w:bookmarkStart w:id="22" w:name="_Toc67082537"/>
      <w:bookmarkStart w:id="23" w:name="_Toc67066418"/>
      <w:bookmarkStart w:id="24" w:name="_Toc72853454"/>
      <w:bookmarkStart w:id="25" w:name="_Toc68869488"/>
      <w:bookmarkStart w:id="26" w:name="_Toc74142077"/>
      <w:bookmarkStart w:id="27" w:name="_Toc111033569"/>
      <w:bookmarkStart w:id="28" w:name="_Toc67079596"/>
      <w:bookmarkStart w:id="29" w:name="_Toc68855871"/>
      <w:bookmarkStart w:id="30" w:name="_Toc74150045"/>
      <w:bookmarkStart w:id="31" w:name="BookMark2"/>
      <w:r>
        <w:rPr>
          <w:rFonts w:ascii="黑体" w:hAnsi="Times New Roman" w:eastAsia="黑体"/>
          <w:spacing w:val="320"/>
          <w:kern w:val="0"/>
          <w:sz w:val="32"/>
          <w:szCs w:val="20"/>
        </w:rPr>
        <w:t>目次</w:t>
      </w:r>
      <w:bookmarkEnd w:id="2"/>
      <w:bookmarkEnd w:id="3"/>
      <w:bookmarkEnd w:id="4"/>
      <w:bookmarkEnd w:id="5"/>
      <w:bookmarkEnd w:id="6"/>
      <w:bookmarkEnd w:id="7"/>
      <w:bookmarkEnd w:id="8"/>
    </w:p>
    <w:sdt>
      <w:sdtPr>
        <w:rPr>
          <w:rFonts w:hAnsi="Times New Roman" w:eastAsia="黑体"/>
          <w:spacing w:val="320"/>
          <w:kern w:val="0"/>
          <w:sz w:val="32"/>
          <w:szCs w:val="20"/>
        </w:rPr>
        <w:id w:val="-2027708367"/>
        <w:docPartObj>
          <w:docPartGallery w:val="Table of Contents"/>
          <w:docPartUnique/>
        </w:docPartObj>
      </w:sdtPr>
      <w:sdtEndPr>
        <w:rPr>
          <w:rFonts w:hAnsi="宋体" w:eastAsia="宋体"/>
          <w:spacing w:val="0"/>
          <w:kern w:val="2"/>
          <w:sz w:val="21"/>
          <w:szCs w:val="21"/>
        </w:rPr>
      </w:sdtEndPr>
      <w:sdtContent>
        <w:p w14:paraId="32F666F4">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6AD8105B">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_Toc25063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_Toc25063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3765A9A3">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_Toc8610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szCs w:val="22"/>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_Toc8610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E1FB5CD">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_Toc11966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kern w:val="0"/>
              <w:szCs w:val="20"/>
              <w:lang w:bidi="ar"/>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_Toc11966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10596E3">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_Toc25139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szCs w:val="22"/>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_Toc25139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A226805">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_Toc14434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2"/>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_Toc14434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4F150434">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_Toc8540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2"/>
            </w:rPr>
            <w:t>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_Toc8540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7AE74748">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_Toc11336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2"/>
            </w:rPr>
            <w:t>构件</w:t>
          </w:r>
          <w:r>
            <w:rPr>
              <w:rFonts w:hint="eastAsia" w:ascii="宋体" w:hAnsi="宋体" w:eastAsia="宋体" w:cs="宋体"/>
              <w:szCs w:val="22"/>
              <w:lang w:val="en-US" w:eastAsia="zh-CN"/>
            </w:rPr>
            <w:t>进场、卸车与堆放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_Toc11336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1E0070F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_Toc24742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ascii="宋体" w:hAnsi="宋体" w:eastAsia="宋体" w:cs="宋体"/>
              <w:szCs w:val="22"/>
            </w:rPr>
            <w:t>进场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_Toc24742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7B1D5487">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_Toc4117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ascii="宋体" w:hAnsi="宋体" w:eastAsia="宋体" w:cs="宋体"/>
              <w:szCs w:val="22"/>
            </w:rPr>
            <w:t>卸车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6F0FB47">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_Toc30813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ascii="宋体" w:hAnsi="宋体" w:eastAsia="宋体" w:cs="宋体"/>
              <w:szCs w:val="22"/>
              <w:lang w:val="en-US" w:eastAsia="zh-CN"/>
            </w:rPr>
            <w:t>堆放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_Toc30813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3E1C37A2">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_Toc1851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2"/>
            </w:rPr>
            <w:t>构件安装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247E044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_Toc16693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ascii="宋体" w:hAnsi="宋体" w:eastAsia="宋体" w:cs="宋体"/>
              <w:szCs w:val="22"/>
            </w:rPr>
            <w:t>起吊准备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_Toc16693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636CAFD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_Toc26232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ascii="宋体" w:hAnsi="宋体" w:eastAsia="宋体" w:cs="宋体"/>
              <w:szCs w:val="22"/>
            </w:rPr>
            <w:t>构件吊装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_Toc26232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0E56079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_Toc10317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ascii="宋体" w:hAnsi="宋体" w:eastAsia="宋体" w:cs="宋体"/>
              <w:szCs w:val="22"/>
            </w:rPr>
            <w:t>构件就位和固定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_Toc10317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1D01624">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_Toc3175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7.4 </w:t>
          </w:r>
          <w:r>
            <w:rPr>
              <w:rFonts w:hint="eastAsia" w:ascii="宋体" w:hAnsi="宋体" w:eastAsia="宋体" w:cs="宋体"/>
              <w:szCs w:val="22"/>
            </w:rPr>
            <w:t>构件连接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D017EF9">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_Toc26619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7.5 </w:t>
          </w:r>
          <w:r>
            <w:rPr>
              <w:rFonts w:hint="eastAsia" w:ascii="宋体" w:hAnsi="宋体" w:eastAsia="宋体" w:cs="宋体"/>
              <w:szCs w:val="22"/>
            </w:rPr>
            <w:t>临时支撑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_Toc26619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69985D62">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_Toc28549 </w:instrText>
          </w:r>
          <w:r>
            <w:rPr>
              <w:rFonts w:hint="eastAsia" w:ascii="宋体" w:hAnsi="宋体" w:eastAsia="宋体" w:cs="宋体"/>
            </w:rPr>
            <w:fldChar w:fldCharType="separate"/>
          </w:r>
          <w:r>
            <w:rPr>
              <w:rFonts w:hint="eastAsia" w:ascii="宋体" w:hAnsi="宋体" w:eastAsia="宋体" w:cs="宋体"/>
              <w:i w:val="0"/>
              <w:szCs w:val="21"/>
            </w:rPr>
            <w:t xml:space="preserve">8 </w:t>
          </w:r>
          <w:r>
            <w:rPr>
              <w:rFonts w:hint="eastAsia" w:ascii="宋体" w:hAnsi="宋体" w:eastAsia="宋体" w:cs="宋体"/>
              <w:szCs w:val="22"/>
            </w:rPr>
            <w:t>现浇结构施工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_Toc28549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9D3FE7C">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_Toc13383 </w:instrText>
          </w:r>
          <w:r>
            <w:rPr>
              <w:rFonts w:hint="eastAsia" w:ascii="宋体" w:hAnsi="宋体" w:eastAsia="宋体" w:cs="宋体"/>
            </w:rPr>
            <w:fldChar w:fldCharType="separate"/>
          </w:r>
          <w:r>
            <w:rPr>
              <w:rFonts w:hint="eastAsia" w:ascii="宋体" w:hAnsi="宋体" w:eastAsia="宋体" w:cs="宋体"/>
              <w:i w:val="0"/>
              <w:szCs w:val="21"/>
            </w:rPr>
            <w:t xml:space="preserve">9 </w:t>
          </w:r>
          <w:r>
            <w:rPr>
              <w:rFonts w:hint="eastAsia" w:ascii="宋体" w:hAnsi="宋体" w:eastAsia="宋体" w:cs="宋体"/>
              <w:szCs w:val="22"/>
            </w:rPr>
            <w:t>高处作业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_Toc13383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300E6685">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_Toc5454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9.1 </w:t>
          </w:r>
          <w:r>
            <w:rPr>
              <w:rFonts w:hint="eastAsia" w:ascii="宋体" w:hAnsi="宋体" w:eastAsia="宋体" w:cs="宋体"/>
              <w:szCs w:val="22"/>
            </w:rPr>
            <w:t>外防护架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_Toc5454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321A170A">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_Toc24582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9.2 </w:t>
          </w:r>
          <w:r>
            <w:rPr>
              <w:rFonts w:hint="eastAsia" w:ascii="宋体" w:hAnsi="宋体" w:eastAsia="宋体" w:cs="宋体"/>
              <w:szCs w:val="22"/>
            </w:rPr>
            <w:t>临边、攀登作业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_Toc24582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79F34CD3">
          <w:pPr>
            <w:pStyle w:val="19"/>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_Toc869 </w:instrText>
          </w:r>
          <w:r>
            <w:rPr>
              <w:rFonts w:hint="eastAsia" w:ascii="宋体" w:hAnsi="宋体" w:eastAsia="宋体" w:cs="宋体"/>
            </w:rPr>
            <w:fldChar w:fldCharType="separate"/>
          </w:r>
          <w:r>
            <w:rPr>
              <w:rFonts w:hint="eastAsia" w:ascii="宋体" w:hAnsi="宋体" w:eastAsia="宋体" w:cs="宋体"/>
              <w:i w:val="0"/>
              <w:szCs w:val="21"/>
            </w:rPr>
            <w:t xml:space="preserve">10 </w:t>
          </w:r>
          <w:r>
            <w:rPr>
              <w:rFonts w:hint="eastAsia" w:ascii="宋体" w:hAnsi="宋体" w:eastAsia="宋体" w:cs="宋体"/>
              <w:szCs w:val="22"/>
            </w:rPr>
            <w:t>安全管理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1EFAE7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_Toc26602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10.1 </w:t>
          </w:r>
          <w:r>
            <w:rPr>
              <w:rFonts w:hint="eastAsia" w:ascii="宋体" w:hAnsi="宋体" w:eastAsia="宋体" w:cs="宋体"/>
              <w:szCs w:val="22"/>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_Toc26602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1668AB80">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10.2 </w:t>
          </w:r>
          <w:r>
            <w:rPr>
              <w:rFonts w:hint="eastAsia" w:ascii="宋体" w:hAnsi="宋体" w:eastAsia="宋体" w:cs="宋体"/>
              <w:szCs w:val="22"/>
            </w:rPr>
            <w:t>机械设备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135A1EAE">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_Toc31498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10.3 </w:t>
          </w:r>
          <w:r>
            <w:rPr>
              <w:rFonts w:hint="eastAsia" w:ascii="宋体" w:hAnsi="宋体" w:eastAsia="宋体" w:cs="宋体"/>
              <w:szCs w:val="22"/>
            </w:rPr>
            <w:t>临时用电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_Toc31498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280AD736">
          <w:pPr>
            <w:pStyle w:val="24"/>
            <w:tabs>
              <w:tab w:val="right" w:leader="dot" w:pos="9354"/>
              <w:tab w:val="clear" w:pos="9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_Toc3912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10.4 </w:t>
          </w:r>
          <w:r>
            <w:rPr>
              <w:rFonts w:hint="eastAsia" w:ascii="宋体" w:hAnsi="宋体" w:eastAsia="宋体" w:cs="宋体"/>
              <w:szCs w:val="22"/>
            </w:rPr>
            <w:t>特殊天气施工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_Toc3912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30134943">
          <w:pPr>
            <w:pStyle w:val="19"/>
            <w:tabs>
              <w:tab w:val="right" w:leader="dot" w:pos="9354"/>
            </w:tabs>
            <w:rPr>
              <w:rFonts w:hint="eastAsia" w:hAnsi="宋体"/>
            </w:rPr>
          </w:pPr>
          <w:r>
            <w:rPr>
              <w:rFonts w:hint="eastAsia" w:ascii="宋体" w:hAnsi="宋体" w:eastAsia="宋体" w:cs="宋体"/>
            </w:rPr>
            <w:fldChar w:fldCharType="end"/>
          </w:r>
        </w:p>
      </w:sdtContent>
    </w:sdt>
    <w:p w14:paraId="6EEE5BD7">
      <w:pPr>
        <w:pStyle w:val="90"/>
        <w:spacing w:after="468"/>
        <w:rPr>
          <w:spacing w:val="320"/>
        </w:rPr>
      </w:pPr>
      <w:r>
        <w:rPr>
          <w:spacing w:val="320"/>
        </w:rPr>
        <w:br w:type="page"/>
      </w:r>
    </w:p>
    <w:p w14:paraId="49463267">
      <w:pPr>
        <w:pStyle w:val="90"/>
        <w:spacing w:after="468"/>
      </w:pPr>
      <w:bookmarkStart w:id="32" w:name="_Toc25063"/>
      <w:r>
        <w:rPr>
          <w:spacing w:val="320"/>
        </w:rPr>
        <w:t>前</w:t>
      </w:r>
      <w: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25087774">
      <w:pPr>
        <w:pStyle w:val="57"/>
        <w:ind w:firstLine="420"/>
      </w:pPr>
      <w:r>
        <w:rPr>
          <w:rFonts w:hint="eastAsia"/>
        </w:rPr>
        <w:t>本文件按照GB/T 1.1—2020《标准化工作导则 第1部分：标准化文件的结构和起草规则》的规定起草。</w:t>
      </w:r>
    </w:p>
    <w:p w14:paraId="50DB7568">
      <w:pPr>
        <w:pStyle w:val="57"/>
        <w:ind w:firstLine="420"/>
      </w:pPr>
      <w:r>
        <w:rPr>
          <w:rFonts w:hint="eastAsia"/>
        </w:rPr>
        <w:t>本文</w:t>
      </w:r>
      <w:bookmarkStart w:id="88" w:name="_GoBack"/>
      <w:r>
        <w:rPr>
          <w:rFonts w:hint="eastAsia"/>
          <w:highlight w:val="none"/>
        </w:rPr>
        <w:t>件由浙江大豪建设有限公司提出。</w:t>
      </w:r>
      <w:bookmarkEnd w:id="88"/>
    </w:p>
    <w:p w14:paraId="0E33EF93">
      <w:pPr>
        <w:pStyle w:val="57"/>
        <w:ind w:firstLine="420"/>
      </w:pPr>
      <w:r>
        <w:rPr>
          <w:rFonts w:hint="eastAsia"/>
        </w:rPr>
        <w:t>本文件由中国中小企业协会归口。</w:t>
      </w:r>
    </w:p>
    <w:p w14:paraId="797A973E">
      <w:pPr>
        <w:pStyle w:val="57"/>
        <w:ind w:firstLine="420"/>
      </w:pPr>
      <w:r>
        <w:rPr>
          <w:rFonts w:hint="eastAsia"/>
        </w:rPr>
        <w:t>本文件起草单位：。</w:t>
      </w:r>
    </w:p>
    <w:p w14:paraId="6F09123E">
      <w:pPr>
        <w:pStyle w:val="57"/>
        <w:ind w:firstLine="420"/>
      </w:pPr>
      <w:r>
        <w:rPr>
          <w:rFonts w:hint="eastAsia"/>
        </w:rPr>
        <w:t>本文件主要起草人：。</w:t>
      </w:r>
    </w:p>
    <w:p w14:paraId="4A0DC3F1">
      <w:pPr>
        <w:pStyle w:val="57"/>
        <w:ind w:firstLine="420"/>
      </w:pPr>
    </w:p>
    <w:p w14:paraId="4500D364">
      <w:pPr>
        <w:pStyle w:val="57"/>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p>
    <w:bookmarkEnd w:id="31"/>
    <w:p w14:paraId="0BEA1D47">
      <w:pPr>
        <w:spacing w:line="20" w:lineRule="exact"/>
        <w:jc w:val="center"/>
        <w:rPr>
          <w:rFonts w:hint="eastAsia" w:ascii="黑体" w:hAnsi="黑体" w:eastAsia="黑体"/>
          <w:sz w:val="32"/>
          <w:szCs w:val="32"/>
        </w:rPr>
      </w:pPr>
      <w:bookmarkStart w:id="33" w:name="BookMark4"/>
    </w:p>
    <w:p w14:paraId="2F71EFB5">
      <w:pPr>
        <w:spacing w:line="20" w:lineRule="exact"/>
        <w:jc w:val="center"/>
        <w:rPr>
          <w:rFonts w:hint="eastAsia" w:ascii="黑体" w:hAnsi="黑体" w:eastAsia="黑体"/>
          <w:sz w:val="32"/>
          <w:szCs w:val="32"/>
        </w:rPr>
      </w:pPr>
    </w:p>
    <w:sdt>
      <w:sdtPr>
        <w:tag w:val="NEW_STAND_NAME"/>
        <w:id w:val="595910757"/>
        <w:lock w:val="sdtLocked"/>
        <w:placeholder>
          <w:docPart w:val="88D0A9E6ED8E41A5BC258D89F7A9C41B"/>
        </w:placeholder>
      </w:sdtPr>
      <w:sdtContent>
        <w:p w14:paraId="4105AE19">
          <w:pPr>
            <w:pStyle w:val="178"/>
            <w:spacing w:before="312" w:beforeLines="100" w:after="686" w:afterLines="220"/>
            <w:rPr>
              <w:rFonts w:hint="eastAsia"/>
            </w:rPr>
          </w:pPr>
          <w:bookmarkStart w:id="34" w:name="NEW_STAND_NAME"/>
          <w:r>
            <w:rPr>
              <w:rFonts w:hint="eastAsia"/>
            </w:rPr>
            <w:t>装配式混凝土建筑施工安全技术规程</w:t>
          </w:r>
        </w:p>
      </w:sdtContent>
    </w:sdt>
    <w:bookmarkEnd w:id="33"/>
    <w:bookmarkEnd w:id="34"/>
    <w:p w14:paraId="11F4C988">
      <w:pPr>
        <w:numPr>
          <w:ilvl w:val="0"/>
          <w:numId w:val="32"/>
        </w:numPr>
        <w:adjustRightInd/>
        <w:spacing w:before="312" w:beforeLines="100" w:after="312" w:afterLines="100" w:line="240" w:lineRule="auto"/>
        <w:ind w:left="0"/>
        <w:outlineLvl w:val="0"/>
        <w:rPr>
          <w:rFonts w:eastAsia="黑体"/>
          <w:szCs w:val="22"/>
        </w:rPr>
      </w:pPr>
      <w:bookmarkStart w:id="35" w:name="_Toc10341"/>
      <w:bookmarkStart w:id="36" w:name="_Toc92637187"/>
      <w:bookmarkStart w:id="37" w:name="_Toc8610"/>
      <w:bookmarkStart w:id="38" w:name="_Toc134516821"/>
      <w:r>
        <w:rPr>
          <w:rFonts w:eastAsia="黑体"/>
          <w:szCs w:val="22"/>
        </w:rPr>
        <w:t>范围</w:t>
      </w:r>
      <w:bookmarkEnd w:id="35"/>
      <w:bookmarkEnd w:id="36"/>
      <w:bookmarkEnd w:id="37"/>
      <w:bookmarkEnd w:id="38"/>
    </w:p>
    <w:p w14:paraId="76E40EB7">
      <w:pPr>
        <w:pStyle w:val="231"/>
        <w:rPr>
          <w:rFonts w:ascii="Times New Roman"/>
        </w:rPr>
      </w:pPr>
      <w:r>
        <w:rPr>
          <w:rFonts w:hint="eastAsia" w:ascii="Times New Roman"/>
        </w:rPr>
        <w:t>本文件规定了装配式混凝土建筑施工安全的基本要求、施工准备、构件</w:t>
      </w:r>
      <w:r>
        <w:rPr>
          <w:rFonts w:hint="eastAsia" w:ascii="Times New Roman"/>
          <w:lang w:val="en-US" w:eastAsia="zh-CN"/>
        </w:rPr>
        <w:t>进场、卸车与堆放</w:t>
      </w:r>
      <w:r>
        <w:rPr>
          <w:rFonts w:hint="eastAsia" w:ascii="Times New Roman"/>
        </w:rPr>
        <w:t>、构件安装、现浇结构施工、高处作业与外防护、安全管理等相关内容。</w:t>
      </w:r>
    </w:p>
    <w:p w14:paraId="2615780B">
      <w:pPr>
        <w:pStyle w:val="231"/>
        <w:rPr>
          <w:rFonts w:ascii="Times New Roman"/>
        </w:rPr>
      </w:pPr>
      <w:r>
        <w:rPr>
          <w:rFonts w:hint="eastAsia" w:ascii="Times New Roman"/>
        </w:rPr>
        <w:t>本文件适用于装配式混凝土建筑工程施工安全技术管理。</w:t>
      </w:r>
    </w:p>
    <w:p w14:paraId="20AB17B0">
      <w:pPr>
        <w:numPr>
          <w:ilvl w:val="0"/>
          <w:numId w:val="32"/>
        </w:numPr>
        <w:adjustRightInd/>
        <w:spacing w:before="312" w:beforeLines="100" w:after="312" w:afterLines="100" w:line="240" w:lineRule="auto"/>
        <w:ind w:left="0"/>
        <w:outlineLvl w:val="0"/>
      </w:pPr>
      <w:bookmarkStart w:id="39" w:name="_Toc26941"/>
      <w:bookmarkStart w:id="40" w:name="_Toc15985137"/>
      <w:bookmarkStart w:id="41" w:name="_Toc134516822"/>
      <w:bookmarkStart w:id="42" w:name="_Toc15893202"/>
      <w:bookmarkStart w:id="43" w:name="_Toc11966"/>
      <w:bookmarkStart w:id="44" w:name="_Toc92637188"/>
      <w:bookmarkStart w:id="45" w:name="_Toc15893419"/>
      <w:bookmarkStart w:id="46" w:name="_Toc4748160"/>
      <w:bookmarkStart w:id="47" w:name="_Toc4748268"/>
      <w:bookmarkStart w:id="48" w:name="_Toc15895509"/>
      <w:bookmarkStart w:id="49" w:name="_Toc15982598"/>
      <w:bookmarkStart w:id="50" w:name="_Toc2321"/>
      <w:bookmarkStart w:id="51" w:name="_Toc4744895"/>
      <w:bookmarkStart w:id="52" w:name="_Toc15994906"/>
      <w:r>
        <w:rPr>
          <w:rFonts w:eastAsia="黑体"/>
          <w:kern w:val="0"/>
          <w:szCs w:val="20"/>
          <w:lang w:bidi="ar"/>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EB87EAC">
      <w:pPr>
        <w:pStyle w:val="25"/>
        <w:tabs>
          <w:tab w:val="center" w:pos="4201"/>
          <w:tab w:val="right" w:leader="dot" w:pos="9298"/>
        </w:tabs>
        <w:autoSpaceDE w:val="0"/>
        <w:autoSpaceDN w:val="0"/>
        <w:spacing w:beforeAutospacing="0" w:afterAutospacing="0"/>
        <w:ind w:firstLine="420" w:firstLineChars="200"/>
        <w:rPr>
          <w:rFonts w:ascii="Times New Roman" w:hAnsi="Times New Roman"/>
          <w:sz w:val="21"/>
          <w:szCs w:val="20"/>
          <w:lang w:bidi="ar"/>
        </w:rPr>
      </w:pPr>
      <w:r>
        <w:rPr>
          <w:rFonts w:hint="eastAsia" w:ascii="Times New Roman" w:hAnsi="Times New Roman"/>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E06E1D">
      <w:pPr>
        <w:ind w:firstLine="420"/>
        <w:rPr>
          <w:rFonts w:ascii="Times New Roman"/>
          <w:szCs w:val="20"/>
        </w:rPr>
      </w:pPr>
      <w:r>
        <w:rPr>
          <w:rFonts w:hint="eastAsia" w:ascii="Times New Roman"/>
          <w:szCs w:val="20"/>
        </w:rPr>
        <w:t>GB 5144</w:t>
      </w:r>
      <w:r>
        <w:rPr>
          <w:rFonts w:hint="eastAsia" w:ascii="Times New Roman" w:hAnsi="Times New Roman"/>
        </w:rPr>
        <w:tab/>
      </w:r>
      <w:r>
        <w:rPr>
          <w:rFonts w:hint="eastAsia" w:ascii="Times New Roman" w:hAnsi="Times New Roman"/>
        </w:rPr>
        <w:tab/>
      </w:r>
      <w:r>
        <w:rPr>
          <w:rFonts w:hint="eastAsia" w:ascii="Times New Roman"/>
          <w:szCs w:val="20"/>
        </w:rPr>
        <w:t>塔式起重机安全规程</w:t>
      </w:r>
    </w:p>
    <w:p w14:paraId="4AED4260">
      <w:pPr>
        <w:ind w:firstLine="420"/>
        <w:rPr>
          <w:rFonts w:ascii="Times New Roman" w:hAnsi="Times New Roman"/>
        </w:rPr>
      </w:pPr>
      <w:r>
        <w:rPr>
          <w:rFonts w:hint="eastAsia" w:ascii="Times New Roman"/>
          <w:szCs w:val="20"/>
        </w:rPr>
        <w:t>GB 50026</w:t>
      </w:r>
      <w:r>
        <w:rPr>
          <w:rFonts w:hint="eastAsia" w:ascii="Times New Roman" w:hAnsi="Times New Roman"/>
        </w:rPr>
        <w:tab/>
      </w:r>
      <w:r>
        <w:rPr>
          <w:rFonts w:hint="eastAsia" w:ascii="Times New Roman"/>
          <w:szCs w:val="20"/>
        </w:rPr>
        <w:t>工程测量标准</w:t>
      </w:r>
    </w:p>
    <w:p w14:paraId="0B182FAD">
      <w:pPr>
        <w:ind w:firstLine="420"/>
        <w:rPr>
          <w:rFonts w:ascii="Times New Roman" w:hAnsi="Times New Roman"/>
        </w:rPr>
      </w:pPr>
      <w:r>
        <w:rPr>
          <w:rFonts w:hint="eastAsia" w:ascii="Times New Roman"/>
          <w:szCs w:val="20"/>
        </w:rPr>
        <w:t>GB 50194</w:t>
      </w:r>
      <w:r>
        <w:rPr>
          <w:rFonts w:hint="eastAsia" w:ascii="Times New Roman" w:hAnsi="Times New Roman"/>
        </w:rPr>
        <w:tab/>
      </w:r>
      <w:r>
        <w:rPr>
          <w:rFonts w:hint="eastAsia" w:ascii="Times New Roman"/>
          <w:szCs w:val="20"/>
        </w:rPr>
        <w:t>建设工程施工现场供用电安全规范</w:t>
      </w:r>
    </w:p>
    <w:p w14:paraId="39E9A84F">
      <w:pPr>
        <w:ind w:firstLine="420"/>
        <w:rPr>
          <w:rFonts w:ascii="Times New Roman" w:hAnsi="Times New Roman"/>
        </w:rPr>
      </w:pPr>
      <w:r>
        <w:rPr>
          <w:rFonts w:hint="eastAsia" w:ascii="Times New Roman" w:hAnsi="Times New Roman"/>
        </w:rPr>
        <w:t>GB 50666</w:t>
      </w:r>
      <w:r>
        <w:rPr>
          <w:rFonts w:hint="eastAsia" w:ascii="Times New Roman" w:hAnsi="Times New Roman"/>
        </w:rPr>
        <w:tab/>
      </w:r>
      <w:r>
        <w:rPr>
          <w:rFonts w:hint="eastAsia" w:ascii="Times New Roman" w:hAnsi="Times New Roman"/>
        </w:rPr>
        <w:t>混凝土结构工程施工规范</w:t>
      </w:r>
    </w:p>
    <w:p w14:paraId="53EABBD6">
      <w:pPr>
        <w:ind w:firstLine="420"/>
        <w:rPr>
          <w:rFonts w:ascii="Times New Roman"/>
          <w:szCs w:val="20"/>
        </w:rPr>
      </w:pPr>
      <w:r>
        <w:rPr>
          <w:rFonts w:hint="eastAsia" w:ascii="Times New Roman"/>
          <w:szCs w:val="20"/>
        </w:rPr>
        <w:t>GB 55034</w:t>
      </w:r>
      <w:r>
        <w:rPr>
          <w:rFonts w:hint="eastAsia" w:ascii="Times New Roman" w:hAnsi="Times New Roman"/>
        </w:rPr>
        <w:tab/>
      </w:r>
      <w:r>
        <w:rPr>
          <w:rFonts w:hint="eastAsia" w:ascii="Times New Roman"/>
          <w:szCs w:val="20"/>
        </w:rPr>
        <w:t>建筑与市政施工现场安全卫生与职业健康通用规范</w:t>
      </w:r>
    </w:p>
    <w:p w14:paraId="6F34D21D">
      <w:pPr>
        <w:ind w:firstLine="420"/>
        <w:rPr>
          <w:rFonts w:ascii="Times New Roman" w:hAnsi="Times New Roman"/>
        </w:rPr>
      </w:pPr>
      <w:r>
        <w:rPr>
          <w:rFonts w:hint="eastAsia" w:ascii="Times New Roman"/>
          <w:szCs w:val="20"/>
        </w:rPr>
        <w:t>JGJ 33</w:t>
      </w:r>
      <w:r>
        <w:rPr>
          <w:rFonts w:hint="eastAsia" w:ascii="Times New Roman" w:hAnsi="Times New Roman"/>
        </w:rPr>
        <w:tab/>
      </w:r>
      <w:r>
        <w:rPr>
          <w:rFonts w:hint="eastAsia" w:ascii="Times New Roman" w:hAnsi="Times New Roman"/>
        </w:rPr>
        <w:tab/>
      </w:r>
      <w:r>
        <w:rPr>
          <w:rFonts w:hint="eastAsia" w:ascii="Times New Roman"/>
          <w:szCs w:val="20"/>
        </w:rPr>
        <w:t>建筑机械使用安全技术规程</w:t>
      </w:r>
    </w:p>
    <w:p w14:paraId="586D866A">
      <w:pPr>
        <w:ind w:firstLine="420"/>
        <w:rPr>
          <w:rFonts w:ascii="Times New Roman" w:hAnsi="Times New Roman"/>
        </w:rPr>
      </w:pPr>
      <w:r>
        <w:rPr>
          <w:rFonts w:hint="eastAsia" w:ascii="Times New Roman"/>
          <w:szCs w:val="20"/>
        </w:rPr>
        <w:t>JGJ 46</w:t>
      </w:r>
      <w:r>
        <w:rPr>
          <w:rFonts w:hint="eastAsia" w:ascii="Times New Roman" w:hAnsi="Times New Roman"/>
        </w:rPr>
        <w:tab/>
      </w:r>
      <w:r>
        <w:rPr>
          <w:rFonts w:hint="eastAsia" w:ascii="Times New Roman" w:hAnsi="Times New Roman"/>
        </w:rPr>
        <w:tab/>
      </w:r>
      <w:r>
        <w:rPr>
          <w:rFonts w:hint="eastAsia" w:ascii="Times New Roman"/>
          <w:szCs w:val="20"/>
        </w:rPr>
        <w:t>施工现场临时用电安全技术规范</w:t>
      </w:r>
    </w:p>
    <w:p w14:paraId="7CCA6F4A">
      <w:pPr>
        <w:ind w:firstLine="420"/>
        <w:rPr>
          <w:rFonts w:ascii="Times New Roman" w:hAnsi="Times New Roman"/>
        </w:rPr>
      </w:pPr>
      <w:r>
        <w:rPr>
          <w:rFonts w:hint="eastAsia" w:ascii="Times New Roman" w:hAnsi="Times New Roman"/>
        </w:rPr>
        <w:t>JGJ 80</w:t>
      </w:r>
      <w:r>
        <w:rPr>
          <w:rFonts w:hint="eastAsia" w:ascii="Times New Roman" w:hAnsi="Times New Roman"/>
        </w:rPr>
        <w:tab/>
      </w:r>
      <w:r>
        <w:rPr>
          <w:rFonts w:hint="eastAsia" w:ascii="Times New Roman" w:hAnsi="Times New Roman"/>
        </w:rPr>
        <w:tab/>
      </w:r>
      <w:r>
        <w:rPr>
          <w:rFonts w:hint="eastAsia" w:ascii="Times New Roman" w:hAnsi="Times New Roman"/>
        </w:rPr>
        <w:t>建筑施工高处作业安全技术规范</w:t>
      </w:r>
    </w:p>
    <w:p w14:paraId="7D1C6177">
      <w:pPr>
        <w:ind w:firstLine="420"/>
        <w:rPr>
          <w:rFonts w:ascii="Times New Roman" w:hAnsi="Times New Roman"/>
        </w:rPr>
      </w:pPr>
      <w:r>
        <w:rPr>
          <w:rFonts w:hint="eastAsia" w:ascii="Times New Roman" w:hAnsi="Times New Roman"/>
        </w:rPr>
        <w:t>JGJ 130</w:t>
      </w:r>
      <w:r>
        <w:rPr>
          <w:rFonts w:hint="eastAsia" w:ascii="Times New Roman" w:hAnsi="Times New Roman"/>
        </w:rPr>
        <w:tab/>
      </w:r>
      <w:r>
        <w:rPr>
          <w:rFonts w:hint="eastAsia" w:ascii="Times New Roman" w:hAnsi="Times New Roman"/>
        </w:rPr>
        <w:tab/>
      </w:r>
      <w:r>
        <w:rPr>
          <w:rFonts w:hint="eastAsia" w:ascii="Times New Roman" w:hAnsi="Times New Roman"/>
        </w:rPr>
        <w:t>建筑施工扣件式钢管脚手架安全技术规范</w:t>
      </w:r>
    </w:p>
    <w:p w14:paraId="44D40E89">
      <w:pPr>
        <w:ind w:firstLine="420"/>
        <w:rPr>
          <w:rFonts w:ascii="Times New Roman" w:hAnsi="Times New Roman"/>
        </w:rPr>
      </w:pPr>
      <w:r>
        <w:rPr>
          <w:rFonts w:hint="eastAsia" w:ascii="Times New Roman" w:hAnsi="Times New Roman"/>
        </w:rPr>
        <w:t>JGJ 202</w:t>
      </w:r>
      <w:r>
        <w:rPr>
          <w:rFonts w:hint="eastAsia" w:ascii="Times New Roman" w:hAnsi="Times New Roman"/>
        </w:rPr>
        <w:tab/>
      </w:r>
      <w:r>
        <w:rPr>
          <w:rFonts w:hint="eastAsia" w:ascii="Times New Roman" w:hAnsi="Times New Roman"/>
        </w:rPr>
        <w:tab/>
      </w:r>
      <w:r>
        <w:rPr>
          <w:rFonts w:hint="eastAsia" w:ascii="Times New Roman" w:hAnsi="Times New Roman"/>
        </w:rPr>
        <w:t>建筑施工工具式脚手架安全技术规范</w:t>
      </w:r>
    </w:p>
    <w:p w14:paraId="163E84CC">
      <w:pPr>
        <w:ind w:firstLine="420"/>
        <w:rPr>
          <w:rFonts w:ascii="Times New Roman" w:hAnsi="Times New Roman"/>
        </w:rPr>
      </w:pPr>
      <w:r>
        <w:rPr>
          <w:rFonts w:hint="eastAsia" w:ascii="Times New Roman" w:hAnsi="Times New Roman"/>
        </w:rPr>
        <w:t>JGJ 231</w:t>
      </w:r>
      <w:r>
        <w:rPr>
          <w:rFonts w:hint="eastAsia" w:ascii="Times New Roman" w:hAnsi="Times New Roman"/>
        </w:rPr>
        <w:tab/>
      </w:r>
      <w:r>
        <w:rPr>
          <w:rFonts w:hint="eastAsia" w:ascii="Times New Roman" w:hAnsi="Times New Roman"/>
        </w:rPr>
        <w:tab/>
      </w:r>
      <w:r>
        <w:rPr>
          <w:rFonts w:hint="eastAsia" w:ascii="Times New Roman" w:hAnsi="Times New Roman"/>
        </w:rPr>
        <w:t>建筑施工承插型盘扣件钢管支架安全技术规程</w:t>
      </w:r>
    </w:p>
    <w:p w14:paraId="77795694">
      <w:pPr>
        <w:numPr>
          <w:ilvl w:val="0"/>
          <w:numId w:val="32"/>
        </w:numPr>
        <w:adjustRightInd/>
        <w:spacing w:before="312" w:beforeLines="100" w:after="312" w:afterLines="100" w:line="240" w:lineRule="auto"/>
        <w:ind w:left="0"/>
        <w:outlineLvl w:val="0"/>
        <w:rPr>
          <w:rFonts w:eastAsia="黑体"/>
          <w:szCs w:val="22"/>
        </w:rPr>
      </w:pPr>
      <w:bookmarkStart w:id="53" w:name="_Toc92637189"/>
      <w:bookmarkStart w:id="54" w:name="_Toc16572"/>
      <w:bookmarkStart w:id="55" w:name="_Toc134516823"/>
      <w:bookmarkStart w:id="56" w:name="_Toc16473"/>
      <w:bookmarkStart w:id="57" w:name="_Toc13514"/>
      <w:bookmarkStart w:id="58" w:name="_Toc25139"/>
      <w:bookmarkStart w:id="59" w:name="_Toc27930"/>
      <w:bookmarkStart w:id="60" w:name="_Toc26410"/>
      <w:bookmarkStart w:id="61" w:name="_Toc27238"/>
      <w:r>
        <w:rPr>
          <w:rFonts w:eastAsia="黑体"/>
          <w:szCs w:val="22"/>
        </w:rPr>
        <w:t>术语和定义</w:t>
      </w:r>
      <w:bookmarkEnd w:id="53"/>
      <w:bookmarkEnd w:id="54"/>
      <w:bookmarkEnd w:id="55"/>
      <w:bookmarkEnd w:id="56"/>
      <w:bookmarkEnd w:id="57"/>
      <w:bookmarkEnd w:id="58"/>
      <w:bookmarkEnd w:id="59"/>
      <w:bookmarkEnd w:id="60"/>
      <w:bookmarkEnd w:id="61"/>
    </w:p>
    <w:p w14:paraId="04FB6F1E">
      <w:pPr>
        <w:ind w:firstLine="420" w:firstLineChars="200"/>
      </w:pPr>
      <w:r>
        <w:t>下列术语和定义适用于本文件。</w:t>
      </w:r>
    </w:p>
    <w:p w14:paraId="3CE29569">
      <w:pPr>
        <w:numPr>
          <w:ilvl w:val="1"/>
          <w:numId w:val="32"/>
        </w:numPr>
        <w:adjustRightInd/>
        <w:spacing w:before="156" w:beforeLines="50" w:after="156" w:afterLines="50" w:line="240" w:lineRule="auto"/>
        <w:rPr>
          <w:rFonts w:ascii="Times New Roman" w:hAnsi="Times New Roman"/>
        </w:rPr>
      </w:pPr>
    </w:p>
    <w:p w14:paraId="5B8AA9DF">
      <w:pPr>
        <w:ind w:firstLine="420" w:firstLineChars="200"/>
        <w:rPr>
          <w:rFonts w:ascii="Times New Roman" w:hAnsi="Times New Roman" w:eastAsia="黑体"/>
        </w:rPr>
      </w:pPr>
      <w:r>
        <w:rPr>
          <w:rFonts w:ascii="Times New Roman" w:hAnsi="Times New Roman" w:eastAsia="黑体"/>
        </w:rPr>
        <w:t>装配式混凝土建筑　</w:t>
      </w:r>
      <w:r>
        <w:rPr>
          <w:rFonts w:hint="eastAsia" w:ascii="Times New Roman" w:hAnsi="Times New Roman" w:eastAsia="黑体"/>
        </w:rPr>
        <w:t>precast concrete building</w:t>
      </w:r>
      <w:r>
        <w:rPr>
          <w:rFonts w:ascii="Times New Roman" w:hAnsi="Times New Roman" w:eastAsia="黑体"/>
        </w:rPr>
        <w:t>　</w:t>
      </w:r>
    </w:p>
    <w:p w14:paraId="71A3A9D9">
      <w:pPr>
        <w:ind w:firstLine="420" w:firstLineChars="200"/>
        <w:rPr>
          <w:rFonts w:ascii="Times New Roman" w:hAnsi="Times New Roman"/>
        </w:rPr>
      </w:pPr>
      <w:r>
        <w:rPr>
          <w:rFonts w:hint="eastAsia" w:ascii="Times New Roman" w:hAnsi="Times New Roman"/>
        </w:rPr>
        <w:t>建筑的结构系统由混凝土部件（预制构件）构成的装配式建筑。</w:t>
      </w:r>
    </w:p>
    <w:p w14:paraId="2EB7E1DE">
      <w:pPr>
        <w:numPr>
          <w:ilvl w:val="1"/>
          <w:numId w:val="32"/>
        </w:numPr>
        <w:adjustRightInd/>
        <w:spacing w:before="156" w:beforeLines="50" w:after="156" w:afterLines="50" w:line="240" w:lineRule="auto"/>
        <w:rPr>
          <w:rFonts w:ascii="Times New Roman" w:hAnsi="Times New Roman"/>
        </w:rPr>
      </w:pPr>
    </w:p>
    <w:p w14:paraId="5F60DB30">
      <w:pPr>
        <w:ind w:firstLine="420" w:firstLineChars="200"/>
        <w:rPr>
          <w:rFonts w:ascii="Times New Roman" w:hAnsi="Times New Roman" w:eastAsia="黑体"/>
        </w:rPr>
      </w:pPr>
      <w:r>
        <w:rPr>
          <w:rFonts w:hint="eastAsia" w:ascii="Times New Roman" w:hAnsi="Times New Roman" w:eastAsia="黑体"/>
        </w:rPr>
        <w:t>装配式混凝土结构</w:t>
      </w:r>
      <w:r>
        <w:rPr>
          <w:rFonts w:ascii="Times New Roman" w:hAnsi="Times New Roman" w:eastAsia="黑体"/>
        </w:rPr>
        <w:t>　</w:t>
      </w:r>
      <w:r>
        <w:rPr>
          <w:rFonts w:hint="eastAsia" w:ascii="Times New Roman" w:hAnsi="Times New Roman" w:eastAsia="黑体"/>
        </w:rPr>
        <w:t>precast concrete structure</w:t>
      </w:r>
      <w:r>
        <w:rPr>
          <w:rFonts w:ascii="Times New Roman" w:hAnsi="Times New Roman" w:eastAsia="黑体"/>
        </w:rPr>
        <w:t>　</w:t>
      </w:r>
    </w:p>
    <w:p w14:paraId="21C59C9A">
      <w:pPr>
        <w:ind w:firstLine="420" w:firstLineChars="200"/>
        <w:rPr>
          <w:rFonts w:ascii="Times New Roman" w:hAnsi="Times New Roman"/>
        </w:rPr>
      </w:pPr>
      <w:r>
        <w:rPr>
          <w:rFonts w:hint="eastAsia" w:ascii="Times New Roman" w:hAnsi="Times New Roman"/>
        </w:rPr>
        <w:t>由预制混凝土构件通过可靠的连接方式装配而成的混凝土结构，包括装配整体式混凝土结构、全装配混凝土结构等。</w:t>
      </w:r>
    </w:p>
    <w:p w14:paraId="1593E81B">
      <w:pPr>
        <w:numPr>
          <w:ilvl w:val="1"/>
          <w:numId w:val="32"/>
        </w:numPr>
        <w:adjustRightInd/>
        <w:spacing w:before="156" w:beforeLines="50" w:after="156" w:afterLines="50" w:line="240" w:lineRule="auto"/>
        <w:rPr>
          <w:rFonts w:ascii="Times New Roman" w:hAnsi="Times New Roman"/>
        </w:rPr>
      </w:pPr>
    </w:p>
    <w:p w14:paraId="663C06D5">
      <w:pPr>
        <w:ind w:firstLine="420" w:firstLineChars="200"/>
        <w:rPr>
          <w:rFonts w:ascii="Times New Roman" w:hAnsi="Times New Roman" w:eastAsia="黑体"/>
        </w:rPr>
      </w:pPr>
      <w:r>
        <w:rPr>
          <w:rFonts w:hint="eastAsia" w:ascii="Times New Roman" w:hAnsi="Times New Roman" w:eastAsia="黑体"/>
        </w:rPr>
        <w:t>预制构件</w:t>
      </w:r>
      <w:r>
        <w:rPr>
          <w:rFonts w:ascii="Times New Roman" w:hAnsi="Times New Roman" w:eastAsia="黑体"/>
        </w:rPr>
        <w:t>　</w:t>
      </w:r>
      <w:r>
        <w:rPr>
          <w:rFonts w:hint="eastAsia" w:ascii="Times New Roman" w:hAnsi="Times New Roman" w:eastAsia="黑体"/>
        </w:rPr>
        <w:t>precast component</w:t>
      </w:r>
      <w:r>
        <w:rPr>
          <w:rFonts w:ascii="Times New Roman" w:hAnsi="Times New Roman" w:eastAsia="黑体"/>
        </w:rPr>
        <w:t>　</w:t>
      </w:r>
    </w:p>
    <w:p w14:paraId="27DF0DF8">
      <w:pPr>
        <w:ind w:firstLine="420" w:firstLineChars="200"/>
        <w:rPr>
          <w:rFonts w:ascii="Times New Roman" w:hAnsi="Times New Roman"/>
        </w:rPr>
      </w:pPr>
      <w:r>
        <w:rPr>
          <w:rFonts w:hint="eastAsia" w:ascii="Times New Roman" w:hAnsi="Times New Roman"/>
        </w:rPr>
        <w:t>在工厂或现场预先制作完成，构成装配式混凝土建筑结构系统的结构构件及其他构件，包括预制剪力墙、柱、梁、板和预制外围护墙板、内隔墙板、楼梯、挂板等，统称为预制构件。</w:t>
      </w:r>
    </w:p>
    <w:p w14:paraId="3327AED9">
      <w:pPr>
        <w:numPr>
          <w:ilvl w:val="1"/>
          <w:numId w:val="32"/>
        </w:numPr>
        <w:adjustRightInd/>
        <w:spacing w:before="156" w:beforeLines="50" w:after="156" w:afterLines="50" w:line="240" w:lineRule="auto"/>
        <w:rPr>
          <w:rFonts w:ascii="Times New Roman" w:hAnsi="Times New Roman"/>
        </w:rPr>
      </w:pPr>
    </w:p>
    <w:p w14:paraId="146B86D0">
      <w:pPr>
        <w:ind w:firstLine="420" w:firstLineChars="200"/>
        <w:rPr>
          <w:rFonts w:ascii="Times New Roman" w:hAnsi="Times New Roman" w:eastAsia="黑体"/>
        </w:rPr>
      </w:pPr>
      <w:r>
        <w:rPr>
          <w:rFonts w:hint="eastAsia" w:ascii="Times New Roman" w:hAnsi="Times New Roman" w:eastAsia="黑体"/>
        </w:rPr>
        <w:t>临时支撑</w:t>
      </w:r>
      <w:r>
        <w:rPr>
          <w:rFonts w:ascii="Times New Roman" w:hAnsi="Times New Roman" w:eastAsia="黑体"/>
        </w:rPr>
        <w:t>　</w:t>
      </w:r>
      <w:r>
        <w:rPr>
          <w:rFonts w:hint="eastAsia" w:ascii="Times New Roman" w:hAnsi="Times New Roman" w:eastAsia="黑体"/>
        </w:rPr>
        <w:t>temporary prop</w:t>
      </w:r>
      <w:r>
        <w:rPr>
          <w:rFonts w:ascii="Times New Roman" w:hAnsi="Times New Roman" w:eastAsia="黑体"/>
        </w:rPr>
        <w:t>　</w:t>
      </w:r>
    </w:p>
    <w:p w14:paraId="7C1F9414">
      <w:pPr>
        <w:ind w:firstLine="420" w:firstLineChars="200"/>
        <w:rPr>
          <w:rFonts w:ascii="Times New Roman" w:hAnsi="Times New Roman"/>
        </w:rPr>
      </w:pPr>
      <w:r>
        <w:rPr>
          <w:rFonts w:hint="eastAsia" w:ascii="Times New Roman" w:hAnsi="Times New Roman"/>
        </w:rPr>
        <w:t>预制构件安放就位后，为保证构件的承载力和稳定性而设置的临时支撑体系。</w:t>
      </w:r>
    </w:p>
    <w:p w14:paraId="6280BE25">
      <w:pPr>
        <w:numPr>
          <w:ilvl w:val="1"/>
          <w:numId w:val="32"/>
        </w:numPr>
        <w:adjustRightInd/>
        <w:spacing w:before="156" w:beforeLines="50" w:after="156" w:afterLines="50" w:line="240" w:lineRule="auto"/>
        <w:rPr>
          <w:rFonts w:ascii="Times New Roman" w:hAnsi="Times New Roman"/>
        </w:rPr>
      </w:pPr>
    </w:p>
    <w:p w14:paraId="000B8D74">
      <w:pPr>
        <w:ind w:firstLine="420" w:firstLineChars="200"/>
        <w:rPr>
          <w:rFonts w:ascii="Times New Roman" w:hAnsi="Times New Roman" w:eastAsia="黑体"/>
        </w:rPr>
      </w:pPr>
      <w:r>
        <w:rPr>
          <w:rFonts w:hint="eastAsia" w:ascii="Times New Roman" w:hAnsi="Times New Roman" w:eastAsia="黑体"/>
        </w:rPr>
        <w:t>外挂防护架</w:t>
      </w:r>
      <w:r>
        <w:rPr>
          <w:rFonts w:ascii="Times New Roman" w:hAnsi="Times New Roman" w:eastAsia="黑体"/>
        </w:rPr>
        <w:t>　</w:t>
      </w:r>
      <w:r>
        <w:rPr>
          <w:rFonts w:hint="eastAsia" w:ascii="Times New Roman" w:hAnsi="Times New Roman" w:eastAsia="黑体"/>
        </w:rPr>
        <w:t>hanging protective bracket</w:t>
      </w:r>
      <w:r>
        <w:rPr>
          <w:rFonts w:ascii="Times New Roman" w:hAnsi="Times New Roman" w:eastAsia="黑体"/>
        </w:rPr>
        <w:t>　</w:t>
      </w:r>
    </w:p>
    <w:p w14:paraId="563E3FDB">
      <w:pPr>
        <w:ind w:firstLine="420" w:firstLineChars="200"/>
        <w:rPr>
          <w:rFonts w:ascii="Times New Roman" w:hAnsi="Times New Roman"/>
        </w:rPr>
      </w:pPr>
      <w:r>
        <w:rPr>
          <w:rFonts w:hint="eastAsia" w:ascii="Times New Roman" w:hAnsi="Times New Roman"/>
        </w:rPr>
        <w:t>主体结构装配施工时，用于临边防护并固定在主体结构上的工具式外防护架。</w:t>
      </w:r>
    </w:p>
    <w:p w14:paraId="2D248E8D">
      <w:pPr>
        <w:numPr>
          <w:ilvl w:val="1"/>
          <w:numId w:val="32"/>
        </w:numPr>
        <w:adjustRightInd/>
        <w:spacing w:before="156" w:beforeLines="50" w:after="156" w:afterLines="50" w:line="240" w:lineRule="auto"/>
        <w:rPr>
          <w:rFonts w:ascii="Times New Roman" w:hAnsi="Times New Roman"/>
        </w:rPr>
      </w:pPr>
    </w:p>
    <w:p w14:paraId="6E7D7E1A">
      <w:pPr>
        <w:ind w:firstLine="420" w:firstLineChars="200"/>
        <w:rPr>
          <w:rFonts w:ascii="Times New Roman" w:hAnsi="Times New Roman" w:eastAsia="黑体"/>
        </w:rPr>
      </w:pPr>
      <w:r>
        <w:rPr>
          <w:rFonts w:hint="eastAsia" w:ascii="Times New Roman" w:hAnsi="Times New Roman" w:eastAsia="黑体"/>
        </w:rPr>
        <w:t>外挑防护架</w:t>
      </w:r>
      <w:r>
        <w:rPr>
          <w:rFonts w:ascii="Times New Roman" w:hAnsi="Times New Roman" w:eastAsia="黑体"/>
        </w:rPr>
        <w:t>　</w:t>
      </w:r>
      <w:r>
        <w:rPr>
          <w:rFonts w:hint="eastAsia" w:ascii="Times New Roman" w:hAnsi="Times New Roman" w:eastAsia="黑体"/>
        </w:rPr>
        <w:t>cantilevered protective bracket</w:t>
      </w:r>
      <w:r>
        <w:rPr>
          <w:rFonts w:ascii="Times New Roman" w:hAnsi="Times New Roman" w:eastAsia="黑体"/>
        </w:rPr>
        <w:t>　</w:t>
      </w:r>
    </w:p>
    <w:p w14:paraId="5F5BA534">
      <w:pPr>
        <w:ind w:firstLine="420" w:firstLineChars="200"/>
        <w:rPr>
          <w:rFonts w:ascii="Times New Roman" w:hAnsi="Times New Roman"/>
        </w:rPr>
      </w:pPr>
      <w:r>
        <w:rPr>
          <w:rFonts w:hint="eastAsia" w:ascii="Times New Roman" w:hAnsi="Times New Roman"/>
        </w:rPr>
        <w:t>由工具式钢管脚手架组成并从预制构件竖向支撑架上悬挑而出的外防护架。</w:t>
      </w:r>
    </w:p>
    <w:p w14:paraId="59DD9C2C">
      <w:pPr>
        <w:numPr>
          <w:ilvl w:val="1"/>
          <w:numId w:val="32"/>
        </w:numPr>
        <w:adjustRightInd/>
        <w:spacing w:before="156" w:beforeLines="50" w:after="156" w:afterLines="50" w:line="240" w:lineRule="auto"/>
        <w:rPr>
          <w:rFonts w:ascii="Times New Roman" w:hAnsi="Times New Roman"/>
        </w:rPr>
      </w:pPr>
    </w:p>
    <w:p w14:paraId="25BD2D7C">
      <w:pPr>
        <w:ind w:firstLine="420" w:firstLineChars="200"/>
        <w:rPr>
          <w:rFonts w:ascii="Times New Roman" w:hAnsi="Times New Roman" w:eastAsia="黑体"/>
        </w:rPr>
      </w:pPr>
      <w:r>
        <w:rPr>
          <w:rFonts w:hint="eastAsia" w:ascii="Times New Roman" w:hAnsi="Times New Roman" w:eastAsia="黑体"/>
        </w:rPr>
        <w:t>构件支承架</w:t>
      </w:r>
      <w:r>
        <w:rPr>
          <w:rFonts w:ascii="Times New Roman" w:hAnsi="Times New Roman" w:eastAsia="黑体"/>
        </w:rPr>
        <w:t>　</w:t>
      </w:r>
      <w:r>
        <w:rPr>
          <w:rFonts w:hint="eastAsia" w:ascii="Times New Roman" w:hAnsi="Times New Roman" w:eastAsia="黑体"/>
        </w:rPr>
        <w:t>component rack</w:t>
      </w:r>
      <w:r>
        <w:rPr>
          <w:rFonts w:ascii="Times New Roman" w:hAnsi="Times New Roman" w:eastAsia="黑体"/>
        </w:rPr>
        <w:t>　</w:t>
      </w:r>
    </w:p>
    <w:p w14:paraId="6586BE4B">
      <w:pPr>
        <w:ind w:firstLine="420" w:firstLineChars="200"/>
        <w:rPr>
          <w:rFonts w:ascii="Times New Roman" w:hAnsi="Times New Roman"/>
        </w:rPr>
      </w:pPr>
      <w:r>
        <w:rPr>
          <w:rFonts w:hint="eastAsia" w:ascii="Times New Roman" w:hAnsi="Times New Roman"/>
        </w:rPr>
        <w:t>构件运输和临时堆放时对构件进行临时固定的架体，如靠放架、插放架等。</w:t>
      </w:r>
    </w:p>
    <w:p w14:paraId="7D3F31B0">
      <w:pPr>
        <w:numPr>
          <w:ilvl w:val="1"/>
          <w:numId w:val="32"/>
        </w:numPr>
        <w:adjustRightInd/>
        <w:spacing w:before="156" w:beforeLines="50" w:after="156" w:afterLines="50" w:line="240" w:lineRule="auto"/>
        <w:rPr>
          <w:rFonts w:ascii="Times New Roman" w:hAnsi="Times New Roman"/>
        </w:rPr>
      </w:pPr>
    </w:p>
    <w:p w14:paraId="7C622319">
      <w:pPr>
        <w:ind w:firstLine="420" w:firstLineChars="200"/>
        <w:rPr>
          <w:rFonts w:ascii="Times New Roman" w:hAnsi="Times New Roman" w:eastAsia="黑体"/>
        </w:rPr>
      </w:pPr>
      <w:r>
        <w:rPr>
          <w:rFonts w:hint="eastAsia" w:ascii="Times New Roman" w:hAnsi="Times New Roman" w:eastAsia="黑体"/>
        </w:rPr>
        <w:t>工具式吊具</w:t>
      </w:r>
      <w:r>
        <w:rPr>
          <w:rFonts w:ascii="Times New Roman" w:hAnsi="Times New Roman" w:eastAsia="黑体"/>
        </w:rPr>
        <w:t>　</w:t>
      </w:r>
      <w:r>
        <w:rPr>
          <w:rFonts w:hint="eastAsia" w:ascii="Times New Roman" w:hAnsi="Times New Roman" w:eastAsia="黑体"/>
        </w:rPr>
        <w:t>implementation lifting tool</w:t>
      </w:r>
      <w:r>
        <w:rPr>
          <w:rFonts w:ascii="Times New Roman" w:hAnsi="Times New Roman" w:eastAsia="黑体"/>
        </w:rPr>
        <w:t>　</w:t>
      </w:r>
    </w:p>
    <w:p w14:paraId="5BE96127">
      <w:pPr>
        <w:ind w:firstLine="420" w:firstLineChars="200"/>
        <w:rPr>
          <w:rFonts w:ascii="Times New Roman" w:hAnsi="Times New Roman"/>
        </w:rPr>
      </w:pPr>
      <w:r>
        <w:rPr>
          <w:rFonts w:hint="eastAsia" w:ascii="Times New Roman" w:hAnsi="Times New Roman"/>
        </w:rPr>
        <w:t>用于预制混凝土构件吊装的定型化工具、机具和配件，如吊梁、吊索、吊钩和卡环等。</w:t>
      </w:r>
    </w:p>
    <w:p w14:paraId="234104BD">
      <w:pPr>
        <w:numPr>
          <w:ilvl w:val="0"/>
          <w:numId w:val="32"/>
        </w:numPr>
        <w:adjustRightInd/>
        <w:spacing w:before="312" w:beforeLines="100" w:after="312" w:afterLines="100" w:line="240" w:lineRule="auto"/>
        <w:ind w:left="0"/>
        <w:outlineLvl w:val="0"/>
        <w:rPr>
          <w:rFonts w:eastAsia="黑体"/>
          <w:szCs w:val="22"/>
        </w:rPr>
      </w:pPr>
      <w:bookmarkStart w:id="62" w:name="_Toc14434"/>
      <w:r>
        <w:rPr>
          <w:rFonts w:hint="eastAsia" w:eastAsia="黑体"/>
          <w:szCs w:val="22"/>
        </w:rPr>
        <w:t>基本要求</w:t>
      </w:r>
      <w:bookmarkEnd w:id="62"/>
    </w:p>
    <w:p w14:paraId="105F8BE6">
      <w:pPr>
        <w:pStyle w:val="235"/>
        <w:spacing w:before="156" w:after="156"/>
        <w:ind w:left="0"/>
        <w:rPr>
          <w:rFonts w:ascii="Times New Roman" w:eastAsia="宋体"/>
          <w:szCs w:val="20"/>
        </w:rPr>
      </w:pPr>
      <w:r>
        <w:rPr>
          <w:rFonts w:hint="eastAsia" w:ascii="Times New Roman" w:eastAsia="宋体"/>
          <w:szCs w:val="20"/>
        </w:rPr>
        <w:t>参建装配式混凝土建筑工程的各单位应建立和健全安全生产责任体系，明确各职能部门、管理人员安全生产责任，建立相应的安全生产管理制度和项目安全管理网络。</w:t>
      </w:r>
    </w:p>
    <w:p w14:paraId="3C86A3BD">
      <w:pPr>
        <w:pStyle w:val="235"/>
        <w:spacing w:before="156" w:after="156"/>
        <w:ind w:left="0"/>
        <w:rPr>
          <w:rFonts w:ascii="Times New Roman" w:eastAsia="宋体"/>
          <w:szCs w:val="20"/>
        </w:rPr>
      </w:pPr>
      <w:r>
        <w:rPr>
          <w:rFonts w:hint="eastAsia" w:ascii="Times New Roman" w:eastAsia="宋体"/>
          <w:szCs w:val="20"/>
        </w:rPr>
        <w:t>建设单位应组织协调设计、施工、预制构件生产、监理等项目参建单位对涉及施工安全的关键工况进行检查复核。</w:t>
      </w:r>
    </w:p>
    <w:p w14:paraId="14445172">
      <w:pPr>
        <w:pStyle w:val="235"/>
        <w:spacing w:before="156" w:after="156"/>
        <w:ind w:left="0"/>
        <w:rPr>
          <w:rFonts w:ascii="Times New Roman" w:eastAsia="宋体"/>
          <w:szCs w:val="20"/>
        </w:rPr>
      </w:pPr>
      <w:r>
        <w:rPr>
          <w:rFonts w:hint="eastAsia" w:ascii="Times New Roman" w:eastAsia="宋体"/>
          <w:szCs w:val="20"/>
        </w:rPr>
        <w:t>设计单位在结构设计时，宜考虑构件预制、安装阶段安全生产的需要。</w:t>
      </w:r>
    </w:p>
    <w:p w14:paraId="1BF53658">
      <w:pPr>
        <w:pStyle w:val="235"/>
        <w:spacing w:before="156" w:after="156"/>
        <w:ind w:left="0"/>
        <w:rPr>
          <w:rFonts w:ascii="Times New Roman" w:eastAsia="宋体"/>
          <w:szCs w:val="20"/>
        </w:rPr>
      </w:pPr>
      <w:r>
        <w:rPr>
          <w:rFonts w:hint="eastAsia" w:ascii="Times New Roman" w:eastAsia="宋体"/>
          <w:szCs w:val="20"/>
        </w:rPr>
        <w:t>施工单位应在装配式混凝土建筑工程施工前组织工程技术人员编制专项施工方案，按照安全生产相关规定制定和落实项目施工安全技术措施。</w:t>
      </w:r>
    </w:p>
    <w:p w14:paraId="29327CBA">
      <w:pPr>
        <w:pStyle w:val="235"/>
        <w:spacing w:before="156" w:after="156"/>
        <w:ind w:left="0"/>
        <w:rPr>
          <w:rFonts w:ascii="Times New Roman" w:eastAsia="宋体"/>
          <w:szCs w:val="20"/>
        </w:rPr>
      </w:pPr>
      <w:r>
        <w:rPr>
          <w:rFonts w:hint="eastAsia" w:ascii="Times New Roman" w:eastAsia="宋体"/>
          <w:szCs w:val="20"/>
        </w:rPr>
        <w:t>监理单位应结合装配式混凝土建筑工程专项施工方案编制监理实施细则，并对装配式混凝土建筑工程施工实施安全专项巡视检查。</w:t>
      </w:r>
    </w:p>
    <w:p w14:paraId="10E7AC3D">
      <w:pPr>
        <w:pStyle w:val="235"/>
        <w:spacing w:before="156" w:after="156"/>
        <w:ind w:left="0"/>
        <w:rPr>
          <w:rFonts w:ascii="Times New Roman" w:eastAsia="宋体"/>
          <w:szCs w:val="20"/>
        </w:rPr>
      </w:pPr>
      <w:r>
        <w:rPr>
          <w:rFonts w:hint="eastAsia" w:ascii="Times New Roman" w:eastAsia="宋体"/>
          <w:szCs w:val="20"/>
        </w:rPr>
        <w:t>装配式混凝土建筑施工前，宜选择有代表性的单元进行预制构件试安装，并应根据安装结果及时调整施工工艺、完善施工方案。</w:t>
      </w:r>
    </w:p>
    <w:p w14:paraId="22C74A46">
      <w:pPr>
        <w:pStyle w:val="235"/>
        <w:spacing w:before="156" w:after="156"/>
        <w:ind w:left="0"/>
        <w:rPr>
          <w:rFonts w:ascii="Times New Roman" w:eastAsia="宋体"/>
          <w:szCs w:val="20"/>
        </w:rPr>
      </w:pPr>
      <w:r>
        <w:rPr>
          <w:rFonts w:hint="eastAsia" w:ascii="Times New Roman" w:eastAsia="宋体"/>
          <w:szCs w:val="20"/>
        </w:rPr>
        <w:t>装配式混凝土建筑施工过程采取的安全措施应符合《建筑与市政施工现场安全卫生与职业健康通用规范》GB 55034和《建筑施工高处作业安全技术规范》JGJ 80的规定。</w:t>
      </w:r>
    </w:p>
    <w:p w14:paraId="5279160D">
      <w:pPr>
        <w:pStyle w:val="235"/>
        <w:spacing w:before="156" w:after="156"/>
        <w:ind w:left="0"/>
        <w:rPr>
          <w:rFonts w:ascii="Times New Roman" w:eastAsia="宋体"/>
          <w:szCs w:val="20"/>
        </w:rPr>
      </w:pPr>
      <w:r>
        <w:rPr>
          <w:rFonts w:hint="eastAsia" w:ascii="Times New Roman" w:eastAsia="宋体"/>
          <w:szCs w:val="20"/>
        </w:rPr>
        <w:t>装配式混凝土建筑施工宜采用建筑信息模型技术对施工全过程及关键工序进行模拟。</w:t>
      </w:r>
    </w:p>
    <w:p w14:paraId="0A4FDA86">
      <w:pPr>
        <w:numPr>
          <w:ilvl w:val="0"/>
          <w:numId w:val="32"/>
        </w:numPr>
        <w:adjustRightInd/>
        <w:spacing w:before="312" w:beforeLines="100" w:after="312" w:afterLines="100" w:line="240" w:lineRule="auto"/>
        <w:ind w:left="0"/>
        <w:outlineLvl w:val="0"/>
        <w:rPr>
          <w:rFonts w:eastAsia="黑体"/>
          <w:szCs w:val="22"/>
        </w:rPr>
      </w:pPr>
      <w:bookmarkStart w:id="63" w:name="bookmark6"/>
      <w:bookmarkEnd w:id="63"/>
      <w:bookmarkStart w:id="64" w:name="_Toc8540"/>
      <w:r>
        <w:rPr>
          <w:rFonts w:hint="eastAsia" w:eastAsia="黑体"/>
          <w:szCs w:val="22"/>
        </w:rPr>
        <w:t>施工准备</w:t>
      </w:r>
      <w:bookmarkEnd w:id="64"/>
    </w:p>
    <w:p w14:paraId="347F0C70">
      <w:pPr>
        <w:pStyle w:val="235"/>
        <w:spacing w:before="156" w:after="156"/>
        <w:ind w:left="0"/>
        <w:rPr>
          <w:rFonts w:ascii="Times New Roman" w:eastAsia="宋体"/>
          <w:szCs w:val="20"/>
        </w:rPr>
      </w:pPr>
      <w:r>
        <w:rPr>
          <w:rFonts w:hint="eastAsia" w:ascii="Times New Roman" w:eastAsia="宋体"/>
          <w:szCs w:val="20"/>
        </w:rPr>
        <w:t>在构件深化设计时，应考虑构件生产、吊装等环节，对吊点、施工设施和设备的附着点及拉结点等部位进行深化设计。</w:t>
      </w:r>
    </w:p>
    <w:p w14:paraId="090D02A7">
      <w:pPr>
        <w:pStyle w:val="235"/>
        <w:spacing w:before="156" w:after="156"/>
        <w:ind w:left="0"/>
        <w:rPr>
          <w:rFonts w:ascii="Times New Roman" w:eastAsia="宋体"/>
          <w:szCs w:val="20"/>
        </w:rPr>
      </w:pPr>
      <w:r>
        <w:rPr>
          <w:rFonts w:hint="eastAsia" w:ascii="Times New Roman" w:eastAsia="宋体"/>
          <w:szCs w:val="20"/>
        </w:rPr>
        <w:t>施工组织设计时，应根据项目特点、施工流程和施工工艺，明确预制构件进场路线及堆放位置，编制各类预制构件进场和堆放计划。</w:t>
      </w:r>
    </w:p>
    <w:p w14:paraId="532B6B9A">
      <w:pPr>
        <w:pStyle w:val="235"/>
        <w:spacing w:before="156" w:after="156"/>
        <w:ind w:left="0"/>
        <w:rPr>
          <w:rFonts w:ascii="Times New Roman" w:eastAsia="宋体"/>
          <w:szCs w:val="20"/>
        </w:rPr>
      </w:pPr>
      <w:r>
        <w:rPr>
          <w:rFonts w:hint="eastAsia" w:ascii="Times New Roman" w:eastAsia="宋体"/>
          <w:szCs w:val="20"/>
        </w:rPr>
        <w:t>场地平面布置应满足各类预制构件运输、卸车、堆放、吊装的安全要求。</w:t>
      </w:r>
    </w:p>
    <w:p w14:paraId="43CBCFDB">
      <w:pPr>
        <w:pStyle w:val="235"/>
        <w:spacing w:before="156" w:after="156"/>
        <w:ind w:left="0"/>
        <w:rPr>
          <w:rFonts w:ascii="Times New Roman" w:eastAsia="宋体"/>
          <w:szCs w:val="20"/>
        </w:rPr>
      </w:pPr>
      <w:r>
        <w:rPr>
          <w:rFonts w:hint="eastAsia" w:ascii="Times New Roman" w:eastAsia="宋体"/>
          <w:szCs w:val="20"/>
        </w:rPr>
        <w:t>根据施工进度和预制构件的总量，构件堆放场地有效面积不宜小于楼层面积的1/2，且应在现场吊装起重机械覆盖范围内，预制构件不宜二次搬运。</w:t>
      </w:r>
    </w:p>
    <w:p w14:paraId="7CF1E763">
      <w:pPr>
        <w:pStyle w:val="235"/>
        <w:spacing w:before="156" w:after="156"/>
        <w:ind w:left="0"/>
        <w:rPr>
          <w:rFonts w:ascii="Times New Roman" w:eastAsia="宋体"/>
          <w:szCs w:val="20"/>
        </w:rPr>
      </w:pPr>
      <w:r>
        <w:rPr>
          <w:rFonts w:hint="eastAsia" w:ascii="Times New Roman" w:eastAsia="宋体"/>
          <w:szCs w:val="20"/>
        </w:rPr>
        <w:t>构件堆放场地应设置围挡及警示标志；场地、道路应平整坚实、排水畅通，并应进行承载力验算。</w:t>
      </w:r>
    </w:p>
    <w:p w14:paraId="6746B135">
      <w:pPr>
        <w:pStyle w:val="235"/>
        <w:spacing w:before="156" w:after="156"/>
        <w:ind w:left="0"/>
        <w:jc w:val="both"/>
        <w:rPr>
          <w:rFonts w:ascii="Times New Roman" w:eastAsia="宋体"/>
          <w:szCs w:val="20"/>
        </w:rPr>
      </w:pPr>
      <w:r>
        <w:rPr>
          <w:rFonts w:hint="eastAsia" w:ascii="Times New Roman" w:eastAsia="宋体"/>
          <w:szCs w:val="20"/>
        </w:rPr>
        <w:t>在地下室顶板等结构部位设置临时道路、堆放场地时，施工单位应进行计算复核，不符合要求，应进行加固处理，并经设计单位确认。</w:t>
      </w:r>
    </w:p>
    <w:p w14:paraId="1E091BFE">
      <w:pPr>
        <w:pStyle w:val="235"/>
        <w:spacing w:before="156" w:after="156"/>
        <w:ind w:left="0"/>
        <w:jc w:val="both"/>
        <w:rPr>
          <w:rFonts w:ascii="Times New Roman" w:eastAsia="宋体"/>
          <w:szCs w:val="20"/>
        </w:rPr>
      </w:pPr>
      <w:r>
        <w:rPr>
          <w:rFonts w:hint="eastAsia" w:ascii="Times New Roman" w:eastAsia="宋体"/>
          <w:szCs w:val="20"/>
        </w:rPr>
        <w:t>现场配置的吊运起重机械的规格和数量应满足预制构件进场、卸车、堆放、吊装等作业的要求。</w:t>
      </w:r>
    </w:p>
    <w:p w14:paraId="5E839BAA">
      <w:pPr>
        <w:pStyle w:val="235"/>
        <w:spacing w:before="156" w:after="156"/>
        <w:ind w:left="0"/>
        <w:rPr>
          <w:rFonts w:ascii="Times New Roman" w:eastAsia="宋体"/>
          <w:szCs w:val="20"/>
        </w:rPr>
      </w:pPr>
      <w:r>
        <w:rPr>
          <w:rFonts w:hint="eastAsia" w:ascii="Times New Roman" w:eastAsia="宋体"/>
          <w:szCs w:val="20"/>
        </w:rPr>
        <w:t>用于现场施工的起重机械、工具式吊具、构件支承架应进行安全核验。</w:t>
      </w:r>
    </w:p>
    <w:p w14:paraId="79F7B207">
      <w:pPr>
        <w:pStyle w:val="235"/>
        <w:spacing w:before="156" w:after="156"/>
        <w:ind w:left="0"/>
        <w:rPr>
          <w:rFonts w:ascii="Times New Roman" w:eastAsia="宋体"/>
          <w:szCs w:val="20"/>
        </w:rPr>
      </w:pPr>
      <w:r>
        <w:rPr>
          <w:rFonts w:hint="eastAsia" w:ascii="Times New Roman" w:eastAsia="宋体"/>
          <w:szCs w:val="20"/>
        </w:rPr>
        <w:t>安装施工前，应进行测量放线、设置预制构件安装定位标识。测量放线应符合《工程测量标准》GB 50026的规定。</w:t>
      </w:r>
    </w:p>
    <w:p w14:paraId="2E75BE9D">
      <w:pPr>
        <w:pStyle w:val="235"/>
        <w:spacing w:before="156" w:after="156"/>
        <w:ind w:left="0"/>
        <w:rPr>
          <w:rFonts w:hint="eastAsia" w:ascii="宋体" w:hAnsi="宋体" w:eastAsia="宋体" w:cs="宋体"/>
          <w:sz w:val="20"/>
          <w:szCs w:val="20"/>
        </w:rPr>
      </w:pPr>
      <w:r>
        <w:rPr>
          <w:rFonts w:hint="eastAsia" w:ascii="Times New Roman" w:eastAsia="宋体"/>
          <w:szCs w:val="20"/>
        </w:rPr>
        <w:t>施工现场应建立预制构件进场验收管理制度。施工单位应对进入施工现场的每批预制构件全数进行质量验收，并经监理单位抽检合格后使用。</w:t>
      </w:r>
      <w:r>
        <w:rPr>
          <w:rFonts w:ascii="宋体" w:hAnsi="宋体" w:eastAsia="宋体" w:cs="宋体"/>
          <w:spacing w:val="7"/>
          <w:sz w:val="20"/>
          <w:szCs w:val="20"/>
        </w:rPr>
        <w:t>预制构件进场的安全检查、验收应包括下列主要内容：</w:t>
      </w:r>
    </w:p>
    <w:p w14:paraId="761E617A">
      <w:pPr>
        <w:pStyle w:val="248"/>
        <w:numPr>
          <w:ilvl w:val="0"/>
          <w:numId w:val="33"/>
        </w:numPr>
        <w:ind w:left="735" w:leftChars="150" w:hanging="420" w:hangingChars="200"/>
        <w:rPr>
          <w:rFonts w:hint="eastAsia"/>
        </w:rPr>
      </w:pPr>
      <w:r>
        <w:rPr>
          <w:rFonts w:hint="eastAsia"/>
        </w:rPr>
        <w:t>产品质量证明文件；</w:t>
      </w:r>
    </w:p>
    <w:p w14:paraId="068E7A5D">
      <w:pPr>
        <w:pStyle w:val="248"/>
        <w:numPr>
          <w:ilvl w:val="0"/>
          <w:numId w:val="33"/>
        </w:numPr>
        <w:ind w:left="735" w:leftChars="150" w:hanging="420" w:hangingChars="200"/>
        <w:rPr>
          <w:rFonts w:hint="eastAsia"/>
        </w:rPr>
      </w:pPr>
      <w:r>
        <w:rPr>
          <w:rFonts w:hint="eastAsia"/>
        </w:rPr>
        <w:t>预埋在预制构件内的吊点承载力证明文件；</w:t>
      </w:r>
    </w:p>
    <w:p w14:paraId="22F8EAC6">
      <w:pPr>
        <w:pStyle w:val="248"/>
        <w:numPr>
          <w:ilvl w:val="0"/>
          <w:numId w:val="33"/>
        </w:numPr>
        <w:ind w:left="735" w:leftChars="150" w:hanging="420" w:hangingChars="200"/>
        <w:rPr>
          <w:rFonts w:hint="eastAsia"/>
        </w:rPr>
      </w:pPr>
      <w:r>
        <w:rPr>
          <w:rFonts w:hint="eastAsia"/>
        </w:rPr>
        <w:t>外观及尺寸，尺寸偏差不应有影响结构性能和安装、使用功能的严重缺陷等；</w:t>
      </w:r>
    </w:p>
    <w:p w14:paraId="42536F1E">
      <w:pPr>
        <w:pStyle w:val="248"/>
        <w:numPr>
          <w:ilvl w:val="0"/>
          <w:numId w:val="33"/>
        </w:numPr>
        <w:ind w:left="735" w:leftChars="150" w:hanging="420" w:hangingChars="200"/>
        <w:rPr>
          <w:rFonts w:hint="eastAsia"/>
        </w:rPr>
      </w:pPr>
      <w:r>
        <w:rPr>
          <w:rFonts w:hint="eastAsia"/>
        </w:rPr>
        <w:t>喷涂的产品标识应清晰、耐久，标识内容应包括生产厂家标志、制作日期、品种、编码、检验状态等；</w:t>
      </w:r>
    </w:p>
    <w:p w14:paraId="15DAACCA">
      <w:pPr>
        <w:pStyle w:val="248"/>
        <w:numPr>
          <w:ilvl w:val="0"/>
          <w:numId w:val="33"/>
        </w:numPr>
        <w:ind w:left="735" w:leftChars="150" w:hanging="420" w:hangingChars="200"/>
        <w:rPr>
          <w:rFonts w:hint="eastAsia"/>
        </w:rPr>
      </w:pPr>
      <w:r>
        <w:rPr>
          <w:rFonts w:hint="eastAsia"/>
        </w:rPr>
        <w:t>预设螺栓(孔)、预留孔洞、插筋等应符合设计要求，功能标识应清晰；</w:t>
      </w:r>
    </w:p>
    <w:p w14:paraId="01238187">
      <w:pPr>
        <w:pStyle w:val="248"/>
        <w:numPr>
          <w:ilvl w:val="0"/>
          <w:numId w:val="33"/>
        </w:numPr>
        <w:ind w:left="735" w:leftChars="150" w:hanging="420" w:hangingChars="200"/>
        <w:rPr>
          <w:rFonts w:hint="eastAsia"/>
        </w:rPr>
      </w:pPr>
      <w:r>
        <w:rPr>
          <w:rFonts w:hint="eastAsia"/>
        </w:rPr>
        <w:t>吊点、施工设施和设备附着点、临时支撑点的位置、数量应符合设计要求；</w:t>
      </w:r>
    </w:p>
    <w:p w14:paraId="4A2CB7BD">
      <w:pPr>
        <w:pStyle w:val="248"/>
        <w:numPr>
          <w:ilvl w:val="0"/>
          <w:numId w:val="33"/>
        </w:numPr>
        <w:ind w:left="735" w:leftChars="150" w:hanging="420" w:hangingChars="200"/>
        <w:rPr>
          <w:rFonts w:hint="eastAsia"/>
        </w:rPr>
      </w:pPr>
      <w:r>
        <w:rPr>
          <w:rFonts w:hint="eastAsia"/>
        </w:rPr>
        <w:t>内埋式螺母、吊杆、吊钩等表面应光洁，不应有裂纹、刻痕、剥裂、锐角等现象。</w:t>
      </w:r>
    </w:p>
    <w:p w14:paraId="3091A122">
      <w:pPr>
        <w:pStyle w:val="235"/>
        <w:spacing w:before="156" w:after="156"/>
        <w:ind w:left="0"/>
        <w:rPr>
          <w:rFonts w:ascii="Times New Roman" w:eastAsia="宋体"/>
          <w:szCs w:val="20"/>
        </w:rPr>
      </w:pPr>
      <w:r>
        <w:rPr>
          <w:rFonts w:hint="eastAsia" w:ascii="Times New Roman" w:eastAsia="宋体"/>
          <w:szCs w:val="20"/>
        </w:rPr>
        <w:t>装配式混凝土建筑施工前，施工单位应及时组织相关方管理人员进行专项施工方案的交底。专项施工方案实施前，施工现场管理人员应当向作业人员进行安全技术交底。交底内容应满足质量技术要求并符合危险性较大的分部分项工程安全管理规定。交底形成书面记录由双方和项目专职安全生产管理人员共同签字确认。</w:t>
      </w:r>
    </w:p>
    <w:p w14:paraId="5DDF61A1">
      <w:pPr>
        <w:numPr>
          <w:ilvl w:val="0"/>
          <w:numId w:val="32"/>
        </w:numPr>
        <w:adjustRightInd/>
        <w:spacing w:before="312" w:beforeLines="100" w:after="312" w:afterLines="100" w:line="240" w:lineRule="auto"/>
        <w:ind w:left="0"/>
        <w:outlineLvl w:val="0"/>
        <w:rPr>
          <w:rFonts w:eastAsia="黑体"/>
          <w:szCs w:val="22"/>
        </w:rPr>
      </w:pPr>
      <w:bookmarkStart w:id="65" w:name="_Toc11336"/>
      <w:r>
        <w:rPr>
          <w:rFonts w:hint="eastAsia" w:eastAsia="黑体"/>
          <w:szCs w:val="22"/>
        </w:rPr>
        <w:t>构件</w:t>
      </w:r>
      <w:r>
        <w:rPr>
          <w:rFonts w:hint="eastAsia" w:eastAsia="黑体"/>
          <w:szCs w:val="22"/>
          <w:lang w:val="en-US" w:eastAsia="zh-CN"/>
        </w:rPr>
        <w:t>进场、卸车与堆放</w:t>
      </w:r>
      <w:bookmarkEnd w:id="65"/>
    </w:p>
    <w:p w14:paraId="5DB133E1">
      <w:pPr>
        <w:numPr>
          <w:ilvl w:val="1"/>
          <w:numId w:val="32"/>
        </w:numPr>
        <w:adjustRightInd/>
        <w:spacing w:before="156" w:beforeLines="50" w:after="156" w:afterLines="50" w:line="240" w:lineRule="auto"/>
        <w:outlineLvl w:val="1"/>
        <w:rPr>
          <w:rFonts w:hint="eastAsia" w:ascii="黑体" w:hAnsi="黑体" w:eastAsia="黑体"/>
          <w:szCs w:val="22"/>
        </w:rPr>
      </w:pPr>
      <w:bookmarkStart w:id="66" w:name="_Toc24742"/>
      <w:r>
        <w:rPr>
          <w:rFonts w:hint="eastAsia" w:ascii="黑体" w:hAnsi="黑体" w:eastAsia="黑体"/>
          <w:szCs w:val="22"/>
        </w:rPr>
        <w:t>进场</w:t>
      </w:r>
      <w:bookmarkEnd w:id="66"/>
    </w:p>
    <w:p w14:paraId="6B885F00">
      <w:pPr>
        <w:pStyle w:val="235"/>
        <w:spacing w:before="156" w:after="156"/>
        <w:ind w:left="0"/>
        <w:rPr>
          <w:rFonts w:ascii="Times New Roman" w:eastAsia="宋体"/>
          <w:szCs w:val="20"/>
        </w:rPr>
      </w:pPr>
      <w:r>
        <w:rPr>
          <w:rFonts w:hint="eastAsia" w:ascii="Times New Roman" w:eastAsia="宋体"/>
          <w:szCs w:val="20"/>
        </w:rPr>
        <w:t>施工现场应建立预制构件到货验收和报废管理制度，使用质量合格、符合设计要求的预制构件。</w:t>
      </w:r>
    </w:p>
    <w:p w14:paraId="7021CE2A">
      <w:pPr>
        <w:pStyle w:val="235"/>
        <w:spacing w:before="156" w:after="156"/>
        <w:ind w:left="0"/>
        <w:rPr>
          <w:rFonts w:hint="eastAsia" w:ascii="Times New Roman" w:eastAsia="宋体"/>
          <w:szCs w:val="20"/>
        </w:rPr>
      </w:pPr>
      <w:r>
        <w:rPr>
          <w:rFonts w:hint="eastAsia" w:ascii="Times New Roman" w:eastAsia="宋体"/>
          <w:szCs w:val="20"/>
        </w:rPr>
        <w:t>预制构件进场的安全检查、验收应包括下列内容：</w:t>
      </w:r>
    </w:p>
    <w:p w14:paraId="241407EB">
      <w:pPr>
        <w:pStyle w:val="248"/>
        <w:numPr>
          <w:ilvl w:val="0"/>
          <w:numId w:val="34"/>
        </w:numPr>
        <w:ind w:left="735" w:leftChars="150" w:hanging="420" w:hangingChars="200"/>
        <w:rPr>
          <w:rFonts w:hint="eastAsia"/>
        </w:rPr>
      </w:pPr>
      <w:r>
        <w:rPr>
          <w:rFonts w:hint="eastAsia"/>
        </w:rPr>
        <w:t>构件产品质量证明文件；</w:t>
      </w:r>
    </w:p>
    <w:p w14:paraId="7AFA1540">
      <w:pPr>
        <w:pStyle w:val="248"/>
        <w:numPr>
          <w:ilvl w:val="0"/>
          <w:numId w:val="34"/>
        </w:numPr>
        <w:ind w:left="735" w:leftChars="150" w:hanging="420" w:hangingChars="200"/>
        <w:rPr>
          <w:rFonts w:hint="eastAsia"/>
        </w:rPr>
      </w:pPr>
      <w:r>
        <w:rPr>
          <w:rFonts w:hint="eastAsia"/>
        </w:rPr>
        <w:t>预埋在构件内的吊点承力件承载力证明文件；</w:t>
      </w:r>
    </w:p>
    <w:p w14:paraId="37ABD504">
      <w:pPr>
        <w:pStyle w:val="248"/>
        <w:numPr>
          <w:ilvl w:val="0"/>
          <w:numId w:val="34"/>
        </w:numPr>
        <w:ind w:left="735" w:leftChars="150" w:hanging="420" w:hangingChars="200"/>
        <w:rPr>
          <w:rFonts w:hint="eastAsia"/>
        </w:rPr>
      </w:pPr>
      <w:r>
        <w:rPr>
          <w:rFonts w:hint="eastAsia"/>
        </w:rPr>
        <w:t>预制构件上喷涂的产品标识应清晰、耐久。标识内容应包括：生产厂标志、制作日期、品种、编码、检验状态等；</w:t>
      </w:r>
    </w:p>
    <w:p w14:paraId="27705F12">
      <w:pPr>
        <w:pStyle w:val="248"/>
        <w:numPr>
          <w:ilvl w:val="0"/>
          <w:numId w:val="34"/>
        </w:numPr>
        <w:ind w:left="735" w:leftChars="150" w:hanging="420" w:hangingChars="200"/>
        <w:rPr>
          <w:rFonts w:hint="eastAsia"/>
        </w:rPr>
      </w:pPr>
      <w:r>
        <w:rPr>
          <w:rFonts w:hint="eastAsia"/>
        </w:rPr>
        <w:t>吊点、施工设施和设备附着点、临时支撑点的位置、数量应符合设计要求。</w:t>
      </w:r>
    </w:p>
    <w:p w14:paraId="05AC6998">
      <w:pPr>
        <w:pStyle w:val="235"/>
        <w:spacing w:before="156" w:after="156"/>
        <w:ind w:left="0"/>
        <w:rPr>
          <w:rFonts w:hint="eastAsia" w:ascii="Times New Roman" w:eastAsia="宋体"/>
          <w:szCs w:val="20"/>
        </w:rPr>
      </w:pPr>
      <w:r>
        <w:rPr>
          <w:rFonts w:hint="eastAsia" w:ascii="Times New Roman" w:eastAsia="宋体"/>
          <w:szCs w:val="20"/>
        </w:rPr>
        <w:t>进场的运输车辆应按照指定的线路安全行驶，道路行进方向右侧或车行道上方宜设交通标志，行驶速度不应高于20km/h。</w:t>
      </w:r>
    </w:p>
    <w:p w14:paraId="2EE1732D">
      <w:pPr>
        <w:numPr>
          <w:ilvl w:val="1"/>
          <w:numId w:val="32"/>
        </w:numPr>
        <w:adjustRightInd/>
        <w:spacing w:before="156" w:beforeLines="50" w:after="156" w:afterLines="50" w:line="240" w:lineRule="auto"/>
        <w:outlineLvl w:val="1"/>
        <w:rPr>
          <w:rFonts w:hint="eastAsia" w:ascii="黑体" w:hAnsi="黑体" w:eastAsia="黑体"/>
          <w:szCs w:val="22"/>
        </w:rPr>
      </w:pPr>
      <w:bookmarkStart w:id="67" w:name="_Toc4117"/>
      <w:r>
        <w:rPr>
          <w:rFonts w:hint="eastAsia" w:ascii="黑体" w:hAnsi="黑体" w:eastAsia="黑体"/>
          <w:szCs w:val="22"/>
        </w:rPr>
        <w:t>卸车</w:t>
      </w:r>
      <w:bookmarkEnd w:id="67"/>
    </w:p>
    <w:p w14:paraId="55FAE945">
      <w:pPr>
        <w:pStyle w:val="235"/>
        <w:spacing w:before="156" w:after="156"/>
        <w:ind w:left="0"/>
        <w:rPr>
          <w:rFonts w:hint="eastAsia" w:ascii="Times New Roman" w:eastAsia="宋体"/>
          <w:szCs w:val="20"/>
        </w:rPr>
      </w:pPr>
      <w:r>
        <w:rPr>
          <w:rFonts w:hint="eastAsia" w:ascii="Times New Roman" w:eastAsia="宋体"/>
          <w:szCs w:val="20"/>
        </w:rPr>
        <w:t>装配式混凝土建筑施工专项方案中应明确构件卸车作业安全要求。</w:t>
      </w:r>
    </w:p>
    <w:p w14:paraId="558BC02C">
      <w:pPr>
        <w:pStyle w:val="235"/>
        <w:spacing w:before="156" w:after="156"/>
        <w:ind w:left="0"/>
        <w:rPr>
          <w:rFonts w:hint="eastAsia" w:ascii="Times New Roman" w:eastAsia="宋体"/>
          <w:szCs w:val="20"/>
        </w:rPr>
      </w:pPr>
      <w:r>
        <w:rPr>
          <w:rFonts w:hint="eastAsia" w:ascii="Times New Roman" w:eastAsia="宋体"/>
          <w:szCs w:val="20"/>
        </w:rPr>
        <w:t>预制构件卸车时应符合下列要求：</w:t>
      </w:r>
    </w:p>
    <w:p w14:paraId="4B43A9FB">
      <w:pPr>
        <w:pStyle w:val="248"/>
        <w:numPr>
          <w:ilvl w:val="0"/>
          <w:numId w:val="35"/>
        </w:numPr>
        <w:ind w:left="735" w:leftChars="150" w:hanging="420" w:hangingChars="200"/>
        <w:rPr>
          <w:rFonts w:hint="eastAsia"/>
        </w:rPr>
      </w:pPr>
      <w:r>
        <w:rPr>
          <w:rFonts w:hint="eastAsia"/>
        </w:rPr>
        <w:t>应设专人指挥，操作人员应位于安全位置；</w:t>
      </w:r>
    </w:p>
    <w:p w14:paraId="7C2678B8">
      <w:pPr>
        <w:pStyle w:val="248"/>
        <w:numPr>
          <w:ilvl w:val="0"/>
          <w:numId w:val="35"/>
        </w:numPr>
        <w:ind w:left="735" w:leftChars="150" w:hanging="420" w:hangingChars="200"/>
        <w:rPr>
          <w:rFonts w:hint="eastAsia"/>
        </w:rPr>
      </w:pPr>
      <w:r>
        <w:rPr>
          <w:rFonts w:hint="eastAsia"/>
        </w:rPr>
        <w:t>为保证车体平衡，防止构件移动、倾倒、变形，应根据预制构件品种、规格、数量，采取对称卸料、临时支撑等措施。</w:t>
      </w:r>
    </w:p>
    <w:p w14:paraId="1C2E25CB">
      <w:pPr>
        <w:pStyle w:val="235"/>
        <w:spacing w:before="156" w:after="156"/>
        <w:ind w:left="0"/>
        <w:rPr>
          <w:rFonts w:hint="eastAsia" w:ascii="Times New Roman" w:eastAsia="宋体"/>
          <w:szCs w:val="20"/>
        </w:rPr>
      </w:pPr>
      <w:r>
        <w:rPr>
          <w:rFonts w:hint="eastAsia" w:ascii="Times New Roman" w:eastAsia="宋体"/>
          <w:szCs w:val="20"/>
        </w:rPr>
        <w:t>卸车作业前，应复核所使用机械的工作性能，起重机械和索具设备应处于安全操作状态，并应核实现场环境、天气、道路状况等因素满足吊运作业要求。</w:t>
      </w:r>
    </w:p>
    <w:p w14:paraId="159E0A54">
      <w:pPr>
        <w:pStyle w:val="235"/>
        <w:spacing w:before="156" w:after="156"/>
        <w:ind w:left="0"/>
        <w:rPr>
          <w:rFonts w:hint="eastAsia" w:ascii="Times New Roman" w:eastAsia="宋体"/>
          <w:szCs w:val="20"/>
        </w:rPr>
      </w:pPr>
      <w:r>
        <w:rPr>
          <w:rFonts w:hint="eastAsia" w:ascii="Times New Roman" w:eastAsia="宋体"/>
          <w:szCs w:val="20"/>
        </w:rPr>
        <w:t>卸车作业区域四周应设置警戒标志，严禁非操作人员入内。</w:t>
      </w:r>
    </w:p>
    <w:p w14:paraId="73063CD9">
      <w:pPr>
        <w:pStyle w:val="235"/>
        <w:spacing w:before="156" w:after="156"/>
        <w:ind w:left="0"/>
        <w:rPr>
          <w:rFonts w:hint="eastAsia" w:ascii="Times New Roman" w:eastAsia="宋体"/>
          <w:szCs w:val="20"/>
        </w:rPr>
      </w:pPr>
      <w:r>
        <w:rPr>
          <w:rFonts w:hint="eastAsia" w:ascii="Times New Roman" w:eastAsia="宋体"/>
          <w:szCs w:val="20"/>
        </w:rPr>
        <w:t>夜间卸车作业时，应保证足够的照明。</w:t>
      </w:r>
    </w:p>
    <w:p w14:paraId="26C190CE">
      <w:pPr>
        <w:pStyle w:val="235"/>
        <w:spacing w:before="156" w:after="156"/>
        <w:ind w:left="0"/>
        <w:rPr>
          <w:rFonts w:hint="eastAsia" w:ascii="Times New Roman" w:eastAsia="宋体"/>
          <w:szCs w:val="20"/>
        </w:rPr>
      </w:pPr>
      <w:r>
        <w:rPr>
          <w:rFonts w:hint="eastAsia" w:ascii="Times New Roman" w:eastAsia="宋体"/>
          <w:szCs w:val="20"/>
        </w:rPr>
        <w:t>构件卸车挂吊钩、就位摘取吊钩时应设置专用登高工具及其他防护措施，严禁沿构件攀爬。</w:t>
      </w:r>
    </w:p>
    <w:p w14:paraId="61DC886A">
      <w:pPr>
        <w:numPr>
          <w:ilvl w:val="1"/>
          <w:numId w:val="32"/>
        </w:numPr>
        <w:adjustRightInd/>
        <w:spacing w:before="156" w:beforeLines="50" w:after="156" w:afterLines="50" w:line="240" w:lineRule="auto"/>
        <w:outlineLvl w:val="1"/>
        <w:rPr>
          <w:rFonts w:hint="eastAsia" w:ascii="黑体" w:hAnsi="黑体" w:eastAsia="黑体"/>
          <w:szCs w:val="22"/>
        </w:rPr>
      </w:pPr>
      <w:bookmarkStart w:id="68" w:name="_Toc30813"/>
      <w:r>
        <w:rPr>
          <w:rFonts w:hint="eastAsia" w:ascii="黑体" w:hAnsi="黑体" w:eastAsia="黑体"/>
          <w:szCs w:val="22"/>
          <w:lang w:val="en-US" w:eastAsia="zh-CN"/>
        </w:rPr>
        <w:t>堆放</w:t>
      </w:r>
      <w:bookmarkEnd w:id="68"/>
    </w:p>
    <w:p w14:paraId="6F491BF1">
      <w:pPr>
        <w:pStyle w:val="235"/>
        <w:spacing w:before="156" w:after="156"/>
        <w:ind w:left="0"/>
        <w:jc w:val="both"/>
        <w:rPr>
          <w:rFonts w:hint="eastAsia" w:ascii="Times New Roman" w:eastAsia="宋体"/>
          <w:szCs w:val="20"/>
        </w:rPr>
      </w:pPr>
      <w:r>
        <w:rPr>
          <w:rFonts w:hint="eastAsia" w:ascii="Times New Roman" w:eastAsia="宋体"/>
          <w:szCs w:val="20"/>
        </w:rPr>
        <w:t>预制构件应按品种、规格型号、吊装顺序分类分区堆放。构件堆放宜布置在起重机械工作范围内且不受其他工序作业影响的区域。预埋吊件宜朝外、朝上，便于起吊挂钩，标识应向外。</w:t>
      </w:r>
    </w:p>
    <w:p w14:paraId="2FD0E57E">
      <w:pPr>
        <w:pStyle w:val="235"/>
        <w:spacing w:before="156" w:after="156"/>
        <w:ind w:left="0"/>
        <w:jc w:val="both"/>
        <w:rPr>
          <w:rFonts w:hint="eastAsia" w:ascii="Times New Roman" w:eastAsia="宋体"/>
          <w:szCs w:val="20"/>
        </w:rPr>
      </w:pPr>
      <w:r>
        <w:rPr>
          <w:rFonts w:hint="eastAsia" w:ascii="Times New Roman" w:eastAsia="宋体"/>
          <w:szCs w:val="20"/>
        </w:rPr>
        <w:t>相邻堆垛之间应有足够的作业空间和安全操作距离，通道宽度不宜小于1.6 m，宜有明显的安全通道线或围栏。通道两边不应有突出或锐边物品。</w:t>
      </w:r>
    </w:p>
    <w:p w14:paraId="32D2F2F2">
      <w:pPr>
        <w:pStyle w:val="235"/>
        <w:spacing w:before="156" w:after="156"/>
        <w:ind w:left="0"/>
        <w:jc w:val="both"/>
        <w:rPr>
          <w:rFonts w:hint="eastAsia" w:ascii="Times New Roman" w:eastAsia="宋体"/>
          <w:szCs w:val="20"/>
        </w:rPr>
      </w:pPr>
      <w:r>
        <w:rPr>
          <w:rFonts w:hint="eastAsia" w:ascii="Times New Roman" w:eastAsia="宋体"/>
          <w:szCs w:val="20"/>
        </w:rPr>
        <w:t>预制构件应按设计支承位置稳定堆放。对易损构件、不规则构件，应专门分析后确定支承和加垫方法。</w:t>
      </w:r>
    </w:p>
    <w:p w14:paraId="74B84B3F">
      <w:pPr>
        <w:pStyle w:val="235"/>
        <w:spacing w:before="156" w:after="156"/>
        <w:ind w:left="0"/>
        <w:jc w:val="both"/>
        <w:rPr>
          <w:rFonts w:hint="eastAsia" w:ascii="Times New Roman" w:eastAsia="宋体"/>
          <w:szCs w:val="20"/>
        </w:rPr>
      </w:pPr>
      <w:r>
        <w:rPr>
          <w:rFonts w:hint="eastAsia" w:ascii="Times New Roman" w:eastAsia="宋体"/>
          <w:szCs w:val="20"/>
        </w:rPr>
        <w:t>重叠堆放的构件应采用垫木或适当支撑物分隔，底部宜设托架。垫块支承点位置宜与吊装时的起吊位置一致，上下对齐。</w:t>
      </w:r>
    </w:p>
    <w:p w14:paraId="74CD1E7B">
      <w:pPr>
        <w:pStyle w:val="235"/>
        <w:spacing w:before="156" w:after="156"/>
        <w:ind w:left="0"/>
        <w:jc w:val="both"/>
        <w:rPr>
          <w:rFonts w:hint="eastAsia" w:ascii="Times New Roman" w:eastAsia="宋体"/>
          <w:szCs w:val="20"/>
        </w:rPr>
      </w:pPr>
      <w:r>
        <w:rPr>
          <w:rFonts w:hint="eastAsia" w:ascii="Times New Roman" w:eastAsia="宋体"/>
          <w:szCs w:val="20"/>
        </w:rPr>
        <w:t>预制构件的重叠堆放高度，应根据构件大小、重量计算确定。预制梁、柱不宜超过3层；预制楼板、叠合板等构件不宜超过6层。</w:t>
      </w:r>
    </w:p>
    <w:p w14:paraId="42A1C280">
      <w:pPr>
        <w:pStyle w:val="235"/>
        <w:spacing w:before="156" w:after="156"/>
        <w:ind w:left="0"/>
        <w:jc w:val="both"/>
        <w:rPr>
          <w:rFonts w:hint="eastAsia" w:ascii="Times New Roman" w:eastAsia="宋体"/>
          <w:szCs w:val="20"/>
        </w:rPr>
      </w:pPr>
      <w:r>
        <w:rPr>
          <w:rFonts w:hint="eastAsia" w:ascii="Times New Roman" w:eastAsia="宋体"/>
          <w:szCs w:val="20"/>
        </w:rPr>
        <w:t>预制内、外墙板和挂板宜采用插放架或靠放架放置。插放架和靠放架应经设计分析确定，满足承载力、刚度和稳定性的要求。</w:t>
      </w:r>
    </w:p>
    <w:p w14:paraId="6DC045EC">
      <w:pPr>
        <w:pStyle w:val="235"/>
        <w:spacing w:before="156" w:after="156"/>
        <w:ind w:left="0"/>
        <w:jc w:val="both"/>
        <w:rPr>
          <w:rFonts w:hint="eastAsia" w:ascii="Times New Roman" w:eastAsia="宋体"/>
          <w:szCs w:val="20"/>
        </w:rPr>
      </w:pPr>
      <w:r>
        <w:rPr>
          <w:rFonts w:hint="eastAsia" w:ascii="Times New Roman" w:eastAsia="宋体"/>
          <w:szCs w:val="20"/>
        </w:rPr>
        <w:t>悬挑板、楼梯等其它构件应按现场吊装平面布置依次堆放，底部宜设托架，或采用木方支垫。</w:t>
      </w:r>
    </w:p>
    <w:p w14:paraId="61D9CDCA">
      <w:pPr>
        <w:pStyle w:val="235"/>
        <w:spacing w:before="156" w:after="156"/>
        <w:ind w:left="0"/>
        <w:jc w:val="both"/>
        <w:rPr>
          <w:rFonts w:hint="eastAsia" w:ascii="Times New Roman" w:eastAsia="宋体"/>
          <w:szCs w:val="20"/>
        </w:rPr>
      </w:pPr>
      <w:r>
        <w:rPr>
          <w:rFonts w:hint="eastAsia" w:ascii="Times New Roman" w:eastAsia="宋体"/>
          <w:szCs w:val="20"/>
        </w:rPr>
        <w:t>构件堆放作业时，操作人员应注意站位安全，避免发生倾覆、坠落。</w:t>
      </w:r>
    </w:p>
    <w:p w14:paraId="6819B7B6">
      <w:pPr>
        <w:numPr>
          <w:ilvl w:val="0"/>
          <w:numId w:val="32"/>
        </w:numPr>
        <w:adjustRightInd/>
        <w:spacing w:before="312" w:beforeLines="100" w:after="312" w:afterLines="100" w:line="240" w:lineRule="auto"/>
        <w:ind w:left="0"/>
        <w:outlineLvl w:val="0"/>
        <w:rPr>
          <w:rFonts w:eastAsia="黑体"/>
          <w:szCs w:val="22"/>
        </w:rPr>
      </w:pPr>
      <w:bookmarkStart w:id="69" w:name="bookmark8"/>
      <w:bookmarkEnd w:id="69"/>
      <w:bookmarkStart w:id="70" w:name="_Toc1851"/>
      <w:r>
        <w:rPr>
          <w:rFonts w:hint="eastAsia" w:eastAsia="黑体"/>
          <w:szCs w:val="22"/>
        </w:rPr>
        <w:t>构件安装</w:t>
      </w:r>
      <w:bookmarkEnd w:id="70"/>
    </w:p>
    <w:p w14:paraId="3DA9BE19">
      <w:pPr>
        <w:numPr>
          <w:ilvl w:val="1"/>
          <w:numId w:val="32"/>
        </w:numPr>
        <w:adjustRightInd/>
        <w:spacing w:before="156" w:beforeLines="50" w:after="156" w:afterLines="50" w:line="240" w:lineRule="auto"/>
        <w:outlineLvl w:val="1"/>
        <w:rPr>
          <w:rFonts w:hint="eastAsia" w:ascii="黑体" w:hAnsi="黑体" w:eastAsia="黑体"/>
          <w:szCs w:val="22"/>
        </w:rPr>
      </w:pPr>
      <w:bookmarkStart w:id="71" w:name="_Toc16693"/>
      <w:r>
        <w:rPr>
          <w:rFonts w:hint="eastAsia" w:ascii="黑体" w:hAnsi="黑体" w:eastAsia="黑体"/>
          <w:szCs w:val="22"/>
        </w:rPr>
        <w:t>起吊准备</w:t>
      </w:r>
      <w:bookmarkEnd w:id="71"/>
    </w:p>
    <w:p w14:paraId="33EE9E06">
      <w:pPr>
        <w:pStyle w:val="235"/>
        <w:spacing w:before="156" w:after="156"/>
        <w:ind w:left="0"/>
        <w:rPr>
          <w:rFonts w:ascii="Times New Roman" w:eastAsia="宋体"/>
          <w:szCs w:val="20"/>
        </w:rPr>
      </w:pPr>
      <w:r>
        <w:rPr>
          <w:rFonts w:hint="eastAsia" w:ascii="Times New Roman" w:eastAsia="宋体"/>
          <w:szCs w:val="20"/>
        </w:rPr>
        <w:t>构件安装前，应编制吊装作业的施工方案，施工方案的内容宜包含下列内容：</w:t>
      </w:r>
    </w:p>
    <w:p w14:paraId="643116F5">
      <w:pPr>
        <w:pStyle w:val="248"/>
        <w:numPr>
          <w:ilvl w:val="0"/>
          <w:numId w:val="36"/>
        </w:numPr>
        <w:ind w:left="735" w:leftChars="150" w:hanging="420" w:hangingChars="200"/>
        <w:rPr>
          <w:rFonts w:hint="eastAsia"/>
        </w:rPr>
      </w:pPr>
      <w:r>
        <w:rPr>
          <w:rFonts w:hint="eastAsia"/>
        </w:rPr>
        <w:t>工程概述、编制依据；</w:t>
      </w:r>
    </w:p>
    <w:p w14:paraId="4A4A997C">
      <w:pPr>
        <w:pStyle w:val="248"/>
        <w:numPr>
          <w:ilvl w:val="0"/>
          <w:numId w:val="36"/>
        </w:numPr>
        <w:ind w:left="735" w:leftChars="150" w:hanging="420" w:hangingChars="200"/>
        <w:rPr>
          <w:rFonts w:hint="eastAsia"/>
        </w:rPr>
      </w:pPr>
      <w:r>
        <w:rPr>
          <w:rFonts w:hint="eastAsia"/>
        </w:rPr>
        <w:t>预制构件重量和数量统计；</w:t>
      </w:r>
    </w:p>
    <w:p w14:paraId="2AEEF3C7">
      <w:pPr>
        <w:pStyle w:val="248"/>
        <w:numPr>
          <w:ilvl w:val="0"/>
          <w:numId w:val="36"/>
        </w:numPr>
        <w:ind w:left="735" w:leftChars="150" w:hanging="420" w:hangingChars="200"/>
        <w:rPr>
          <w:rFonts w:hint="eastAsia"/>
        </w:rPr>
      </w:pPr>
      <w:r>
        <w:rPr>
          <w:rFonts w:hint="eastAsia"/>
        </w:rPr>
        <w:t>吊具、吊点、吊装机械设备计算书；</w:t>
      </w:r>
    </w:p>
    <w:p w14:paraId="2C0AE8F1">
      <w:pPr>
        <w:pStyle w:val="248"/>
        <w:numPr>
          <w:ilvl w:val="0"/>
          <w:numId w:val="36"/>
        </w:numPr>
        <w:ind w:left="735" w:leftChars="150" w:hanging="420" w:hangingChars="200"/>
        <w:rPr>
          <w:rFonts w:hint="eastAsia"/>
        </w:rPr>
      </w:pPr>
      <w:r>
        <w:rPr>
          <w:rFonts w:hint="eastAsia"/>
        </w:rPr>
        <w:t>主要构件吊装施工工艺；</w:t>
      </w:r>
    </w:p>
    <w:p w14:paraId="3997429D">
      <w:pPr>
        <w:pStyle w:val="248"/>
        <w:numPr>
          <w:ilvl w:val="0"/>
          <w:numId w:val="36"/>
        </w:numPr>
        <w:ind w:left="735" w:leftChars="150" w:hanging="420" w:hangingChars="200"/>
        <w:rPr>
          <w:rFonts w:hint="eastAsia"/>
        </w:rPr>
      </w:pPr>
      <w:r>
        <w:rPr>
          <w:rFonts w:hint="eastAsia"/>
        </w:rPr>
        <w:t>吊装作业安全措施；</w:t>
      </w:r>
    </w:p>
    <w:p w14:paraId="7AE34B70">
      <w:pPr>
        <w:pStyle w:val="248"/>
        <w:numPr>
          <w:ilvl w:val="0"/>
          <w:numId w:val="36"/>
        </w:numPr>
        <w:ind w:left="735" w:leftChars="150" w:hanging="420" w:hangingChars="200"/>
        <w:rPr>
          <w:rFonts w:hint="eastAsia"/>
        </w:rPr>
      </w:pPr>
      <w:r>
        <w:rPr>
          <w:rFonts w:hint="eastAsia"/>
        </w:rPr>
        <w:t>质量保证措施；</w:t>
      </w:r>
    </w:p>
    <w:p w14:paraId="7CD1EFAF">
      <w:pPr>
        <w:pStyle w:val="248"/>
        <w:numPr>
          <w:ilvl w:val="0"/>
          <w:numId w:val="36"/>
        </w:numPr>
        <w:ind w:left="735" w:leftChars="150" w:hanging="420" w:hangingChars="200"/>
        <w:rPr>
          <w:rFonts w:hint="eastAsia"/>
        </w:rPr>
      </w:pPr>
      <w:r>
        <w:rPr>
          <w:rFonts w:hint="eastAsia"/>
        </w:rPr>
        <w:t>季节性施工措施；</w:t>
      </w:r>
    </w:p>
    <w:p w14:paraId="1CE51146">
      <w:pPr>
        <w:pStyle w:val="248"/>
        <w:numPr>
          <w:ilvl w:val="0"/>
          <w:numId w:val="36"/>
        </w:numPr>
        <w:ind w:left="735" w:leftChars="150" w:hanging="420" w:hangingChars="200"/>
        <w:rPr>
          <w:rFonts w:hint="eastAsia"/>
        </w:rPr>
      </w:pPr>
      <w:r>
        <w:rPr>
          <w:rFonts w:hint="eastAsia"/>
        </w:rPr>
        <w:t>应急预案。</w:t>
      </w:r>
    </w:p>
    <w:p w14:paraId="1AD47848">
      <w:pPr>
        <w:pStyle w:val="235"/>
        <w:spacing w:before="156" w:after="156"/>
        <w:ind w:left="0"/>
        <w:rPr>
          <w:rFonts w:ascii="Times New Roman" w:eastAsia="宋体"/>
          <w:szCs w:val="20"/>
        </w:rPr>
      </w:pPr>
      <w:r>
        <w:rPr>
          <w:rFonts w:hint="eastAsia" w:ascii="Times New Roman" w:eastAsia="宋体"/>
          <w:szCs w:val="20"/>
        </w:rPr>
        <w:t>吊具应根据吊装方式进行设计，并应满足下列要求：</w:t>
      </w:r>
    </w:p>
    <w:p w14:paraId="6417316E">
      <w:pPr>
        <w:pStyle w:val="248"/>
        <w:numPr>
          <w:ilvl w:val="0"/>
          <w:numId w:val="37"/>
        </w:numPr>
        <w:ind w:left="735" w:leftChars="150" w:hanging="420" w:hangingChars="200"/>
        <w:rPr>
          <w:rFonts w:hint="eastAsia"/>
        </w:rPr>
      </w:pPr>
      <w:r>
        <w:rPr>
          <w:rFonts w:hint="eastAsia"/>
        </w:rPr>
        <w:t>吊点位置的合力点应与构件的重心点重合；</w:t>
      </w:r>
    </w:p>
    <w:p w14:paraId="68D0298B">
      <w:pPr>
        <w:pStyle w:val="248"/>
        <w:numPr>
          <w:ilvl w:val="0"/>
          <w:numId w:val="37"/>
        </w:numPr>
        <w:ind w:left="735" w:leftChars="150" w:hanging="420" w:hangingChars="200"/>
        <w:rPr>
          <w:rFonts w:hint="eastAsia"/>
        </w:rPr>
      </w:pPr>
      <w:r>
        <w:rPr>
          <w:rFonts w:hint="eastAsia"/>
        </w:rPr>
        <w:t>墙板类构件起吊点不少于2个，预制楼板起吊点不少于4个，大于600×600mm截面的预制柱起吊点宜不少于2个；</w:t>
      </w:r>
    </w:p>
    <w:p w14:paraId="14D69882">
      <w:pPr>
        <w:pStyle w:val="248"/>
        <w:numPr>
          <w:ilvl w:val="0"/>
          <w:numId w:val="37"/>
        </w:numPr>
        <w:ind w:left="735" w:leftChars="150" w:hanging="420" w:hangingChars="200"/>
        <w:rPr>
          <w:rFonts w:hint="eastAsia"/>
        </w:rPr>
      </w:pPr>
      <w:r>
        <w:rPr>
          <w:rFonts w:hint="eastAsia"/>
        </w:rPr>
        <w:t>当在一个构件上设有4个吊点时，应按照3个吊点进行计算；</w:t>
      </w:r>
    </w:p>
    <w:p w14:paraId="07A572FF">
      <w:pPr>
        <w:pStyle w:val="248"/>
        <w:numPr>
          <w:ilvl w:val="0"/>
          <w:numId w:val="37"/>
        </w:numPr>
        <w:ind w:left="735" w:leftChars="150" w:hanging="420" w:hangingChars="200"/>
        <w:rPr>
          <w:rFonts w:hint="eastAsia"/>
        </w:rPr>
      </w:pPr>
      <w:r>
        <w:rPr>
          <w:rFonts w:hint="eastAsia"/>
        </w:rPr>
        <w:t>计算预制构件重量时，应取不小于1.5的动力系数；</w:t>
      </w:r>
    </w:p>
    <w:p w14:paraId="713943DA">
      <w:pPr>
        <w:pStyle w:val="248"/>
        <w:numPr>
          <w:ilvl w:val="0"/>
          <w:numId w:val="37"/>
        </w:numPr>
        <w:ind w:left="735" w:leftChars="150" w:hanging="420" w:hangingChars="200"/>
        <w:rPr>
          <w:rFonts w:hint="eastAsia"/>
        </w:rPr>
      </w:pPr>
      <w:r>
        <w:rPr>
          <w:rFonts w:hint="eastAsia"/>
        </w:rPr>
        <w:t>吊索水平夹角不宜小于60°，且不应小于45°；</w:t>
      </w:r>
    </w:p>
    <w:p w14:paraId="3CECEA45">
      <w:pPr>
        <w:pStyle w:val="248"/>
        <w:numPr>
          <w:ilvl w:val="0"/>
          <w:numId w:val="37"/>
        </w:numPr>
        <w:ind w:left="735" w:leftChars="150" w:hanging="420" w:hangingChars="200"/>
        <w:rPr>
          <w:rFonts w:hint="eastAsia"/>
        </w:rPr>
      </w:pPr>
      <w:r>
        <w:rPr>
          <w:rFonts w:hint="eastAsia"/>
        </w:rPr>
        <w:t>对尺寸较大、形状复杂或厚度较小的预制构件，宜采用分配梁或分配桁架等工具式吊具。</w:t>
      </w:r>
    </w:p>
    <w:p w14:paraId="67E43E71">
      <w:pPr>
        <w:pStyle w:val="235"/>
        <w:spacing w:before="156" w:after="156"/>
        <w:ind w:left="0"/>
        <w:jc w:val="both"/>
        <w:rPr>
          <w:rFonts w:ascii="Times New Roman" w:eastAsia="宋体"/>
          <w:szCs w:val="20"/>
        </w:rPr>
      </w:pPr>
      <w:r>
        <w:rPr>
          <w:rFonts w:hint="eastAsia" w:ascii="Times New Roman" w:eastAsia="宋体"/>
          <w:szCs w:val="20"/>
        </w:rPr>
        <w:t>安装施工前，应核对已施工完成部位的外观质量和尺寸偏差，确认预制构件的混凝土强度及预制构件和配件的型号、规格、数量等符合设计要求，并重点检查竖向连接钢筋的外露长度、垂直度、位置偏差等满足设计和施工要求。</w:t>
      </w:r>
    </w:p>
    <w:p w14:paraId="3A3C6C0A">
      <w:pPr>
        <w:pStyle w:val="235"/>
        <w:spacing w:before="156" w:after="156"/>
        <w:ind w:left="0"/>
        <w:jc w:val="both"/>
        <w:rPr>
          <w:rFonts w:ascii="Times New Roman" w:eastAsia="宋体"/>
          <w:szCs w:val="20"/>
        </w:rPr>
      </w:pPr>
      <w:r>
        <w:rPr>
          <w:rFonts w:hint="eastAsia" w:ascii="Times New Roman" w:eastAsia="宋体"/>
          <w:szCs w:val="20"/>
        </w:rPr>
        <w:t>吊装前，应按国家现行有关标准的规定和设计方案的要求对吊具、索具进行验收；焊接类吊具应进行验算并经验收合格后使用。</w:t>
      </w:r>
    </w:p>
    <w:p w14:paraId="3B098031">
      <w:pPr>
        <w:pStyle w:val="235"/>
        <w:spacing w:before="156" w:after="156"/>
        <w:ind w:left="0"/>
        <w:jc w:val="both"/>
        <w:rPr>
          <w:rFonts w:ascii="Times New Roman" w:eastAsia="宋体"/>
          <w:szCs w:val="20"/>
        </w:rPr>
      </w:pPr>
      <w:r>
        <w:rPr>
          <w:rFonts w:hint="eastAsia" w:ascii="Times New Roman" w:eastAsia="宋体"/>
          <w:szCs w:val="20"/>
        </w:rPr>
        <w:t>安装施工前，防护系统应按照施工方案进行搭设、验收；外挂防护架应分片试组装并全面检查，外挑防护架应与预制构件支撑架可靠连接，并与吊装作业相协调。</w:t>
      </w:r>
    </w:p>
    <w:p w14:paraId="7687B95B">
      <w:pPr>
        <w:pStyle w:val="235"/>
        <w:spacing w:before="156" w:after="156"/>
        <w:ind w:left="0"/>
        <w:jc w:val="both"/>
        <w:rPr>
          <w:rFonts w:ascii="Times New Roman" w:eastAsia="宋体"/>
          <w:szCs w:val="20"/>
        </w:rPr>
      </w:pPr>
      <w:r>
        <w:rPr>
          <w:rFonts w:hint="eastAsia" w:ascii="Times New Roman" w:eastAsia="宋体"/>
          <w:szCs w:val="20"/>
        </w:rPr>
        <w:t>吊装作业应实施区域封闭管理，并设置警戒线和警戒标识；无法实施隔离封闭时，应采取专项防护措施。</w:t>
      </w:r>
    </w:p>
    <w:p w14:paraId="4FDEC4EE">
      <w:pPr>
        <w:pStyle w:val="235"/>
        <w:spacing w:before="156" w:after="156"/>
        <w:ind w:left="0"/>
        <w:jc w:val="both"/>
      </w:pPr>
      <w:r>
        <w:rPr>
          <w:rFonts w:hint="eastAsia" w:ascii="Times New Roman" w:eastAsia="宋体"/>
          <w:szCs w:val="20"/>
        </w:rPr>
        <w:t>安装前，宜选择有代表性的单元进行预制构件试安装，并应根据试安装结果调整完善施工方案和施工工艺。</w:t>
      </w:r>
    </w:p>
    <w:p w14:paraId="3035B574">
      <w:pPr>
        <w:numPr>
          <w:ilvl w:val="1"/>
          <w:numId w:val="32"/>
        </w:numPr>
        <w:adjustRightInd/>
        <w:spacing w:before="156" w:beforeLines="50" w:after="156" w:afterLines="50" w:line="240" w:lineRule="auto"/>
        <w:outlineLvl w:val="1"/>
        <w:rPr>
          <w:rFonts w:hint="eastAsia" w:ascii="黑体" w:hAnsi="黑体" w:eastAsia="黑体"/>
          <w:szCs w:val="22"/>
        </w:rPr>
      </w:pPr>
      <w:bookmarkStart w:id="72" w:name="_Toc26232"/>
      <w:r>
        <w:rPr>
          <w:rFonts w:hint="eastAsia" w:ascii="黑体" w:hAnsi="黑体" w:eastAsia="黑体"/>
          <w:szCs w:val="22"/>
        </w:rPr>
        <w:t>构件吊装</w:t>
      </w:r>
      <w:bookmarkEnd w:id="72"/>
    </w:p>
    <w:p w14:paraId="177EF890">
      <w:pPr>
        <w:pStyle w:val="235"/>
        <w:spacing w:before="156" w:after="156"/>
        <w:ind w:left="0"/>
        <w:rPr>
          <w:rFonts w:ascii="Times New Roman" w:eastAsia="宋体"/>
          <w:szCs w:val="20"/>
        </w:rPr>
      </w:pPr>
      <w:r>
        <w:rPr>
          <w:rFonts w:hint="eastAsia" w:ascii="Times New Roman" w:eastAsia="宋体"/>
          <w:szCs w:val="20"/>
        </w:rPr>
        <w:t>预制构件应按照施工方案吊装顺序提前编号，吊装时应按编号顺序起吊。</w:t>
      </w:r>
    </w:p>
    <w:p w14:paraId="7D12627B">
      <w:pPr>
        <w:pStyle w:val="235"/>
        <w:spacing w:before="156" w:after="156"/>
        <w:ind w:left="0"/>
        <w:rPr>
          <w:rFonts w:ascii="Times New Roman" w:eastAsia="宋体"/>
          <w:szCs w:val="20"/>
        </w:rPr>
      </w:pPr>
      <w:r>
        <w:rPr>
          <w:rFonts w:hint="eastAsia" w:ascii="Times New Roman" w:eastAsia="宋体"/>
          <w:szCs w:val="20"/>
        </w:rPr>
        <w:t>每班作业时宜先试吊一次，检查吊具与起重设备，每次起吊脱离堆放点时应予以适当停顿，确认起吊作业安全可靠后继续提升。</w:t>
      </w:r>
    </w:p>
    <w:p w14:paraId="45591566">
      <w:pPr>
        <w:pStyle w:val="235"/>
        <w:spacing w:before="156" w:after="156"/>
        <w:ind w:left="0"/>
        <w:rPr>
          <w:rFonts w:ascii="Times New Roman" w:eastAsia="宋体"/>
          <w:szCs w:val="20"/>
        </w:rPr>
      </w:pPr>
      <w:r>
        <w:rPr>
          <w:rFonts w:hint="eastAsia" w:ascii="Times New Roman" w:eastAsia="宋体"/>
          <w:szCs w:val="20"/>
        </w:rPr>
        <w:t>在构件起吊、移动、就位的过程中，信号工、司索工、起重机械司机应协调一致，保持通讯畅通，信号不明不得吊运和安装。</w:t>
      </w:r>
    </w:p>
    <w:p w14:paraId="0596C8B1">
      <w:pPr>
        <w:pStyle w:val="235"/>
        <w:spacing w:before="156" w:after="156"/>
        <w:ind w:left="0"/>
        <w:rPr>
          <w:rFonts w:ascii="Times New Roman" w:eastAsia="宋体"/>
          <w:szCs w:val="20"/>
        </w:rPr>
      </w:pPr>
      <w:r>
        <w:rPr>
          <w:rFonts w:hint="eastAsia" w:ascii="Times New Roman" w:eastAsia="宋体"/>
          <w:szCs w:val="20"/>
        </w:rPr>
        <w:t>预制构件在吊装过程中，宜于构件两端绑扎牵引绳，并应由操作人员控制构件的平衡和稳定，不得偏斜、摇摆和扭转。</w:t>
      </w:r>
    </w:p>
    <w:p w14:paraId="049DF197">
      <w:pPr>
        <w:pStyle w:val="235"/>
        <w:spacing w:before="156" w:after="156"/>
        <w:ind w:left="0"/>
        <w:rPr>
          <w:rFonts w:ascii="Times New Roman" w:eastAsia="宋体"/>
          <w:szCs w:val="20"/>
        </w:rPr>
      </w:pPr>
      <w:r>
        <w:rPr>
          <w:rFonts w:hint="eastAsia" w:ascii="Times New Roman" w:eastAsia="宋体"/>
          <w:szCs w:val="20"/>
        </w:rPr>
        <w:t>构件应采用垂直吊运，严禁斜拉、斜吊，吊装的构件应及时安装就位，严禁吊装构件长时间悬停在空中。</w:t>
      </w:r>
    </w:p>
    <w:p w14:paraId="3A49E5AD">
      <w:pPr>
        <w:pStyle w:val="235"/>
        <w:spacing w:before="156" w:after="156"/>
        <w:ind w:left="0"/>
        <w:rPr>
          <w:rFonts w:ascii="Times New Roman" w:eastAsia="宋体"/>
          <w:szCs w:val="20"/>
        </w:rPr>
      </w:pPr>
      <w:r>
        <w:rPr>
          <w:rFonts w:hint="eastAsia" w:ascii="Times New Roman" w:eastAsia="宋体"/>
          <w:szCs w:val="20"/>
        </w:rPr>
        <w:t>平卧堆放的竖向构件在起吊扶直过程中的受力状态宜经过验算复核；在起吊扶直过程中，应正确使用不同功能的预设吊点，并按设计要求和操作规定进行吊点的转换，避免吊点损坏。</w:t>
      </w:r>
    </w:p>
    <w:p w14:paraId="3FFD040D">
      <w:pPr>
        <w:pStyle w:val="235"/>
        <w:spacing w:before="156" w:after="156"/>
        <w:ind w:left="0"/>
        <w:jc w:val="both"/>
        <w:rPr>
          <w:rFonts w:ascii="Times New Roman" w:eastAsia="宋体"/>
          <w:szCs w:val="20"/>
        </w:rPr>
      </w:pPr>
      <w:r>
        <w:rPr>
          <w:rFonts w:hint="eastAsia" w:ascii="Times New Roman" w:eastAsia="宋体"/>
          <w:szCs w:val="20"/>
        </w:rPr>
        <w:t>采用行走式起重设备吊装时，应确保吊装安全距离，监控支承地基变化情况和吊具的受力情况。</w:t>
      </w:r>
    </w:p>
    <w:p w14:paraId="68913745">
      <w:pPr>
        <w:pStyle w:val="235"/>
        <w:spacing w:before="156" w:after="156"/>
        <w:ind w:left="0"/>
        <w:rPr>
          <w:rFonts w:ascii="Times New Roman" w:eastAsia="宋体"/>
          <w:szCs w:val="20"/>
        </w:rPr>
      </w:pPr>
      <w:r>
        <w:rPr>
          <w:rFonts w:hint="eastAsia" w:ascii="Times New Roman" w:eastAsia="宋体"/>
          <w:szCs w:val="20"/>
        </w:rPr>
        <w:t>吊装作业时，非作业人员严禁进入吊装警戒区，在起吊的预制构件坠落半径范围内严禁人员停留或通过。</w:t>
      </w:r>
    </w:p>
    <w:p w14:paraId="26023606">
      <w:pPr>
        <w:pStyle w:val="235"/>
        <w:spacing w:before="156" w:after="156"/>
        <w:ind w:left="0"/>
        <w:rPr>
          <w:rFonts w:ascii="Times New Roman" w:eastAsia="宋体"/>
          <w:szCs w:val="20"/>
        </w:rPr>
      </w:pPr>
      <w:r>
        <w:rPr>
          <w:rFonts w:hint="eastAsia" w:ascii="Times New Roman" w:eastAsia="宋体"/>
          <w:szCs w:val="20"/>
        </w:rPr>
        <w:t>夜间不宜进行吊装作业，大雨天、雾天、大雪天及六级以上大风天等恶劣天气应停止构件吊装作业。</w:t>
      </w:r>
    </w:p>
    <w:p w14:paraId="3DDF437F">
      <w:pPr>
        <w:numPr>
          <w:ilvl w:val="1"/>
          <w:numId w:val="32"/>
        </w:numPr>
        <w:adjustRightInd/>
        <w:spacing w:before="156" w:beforeLines="50" w:after="156" w:afterLines="50" w:line="240" w:lineRule="auto"/>
        <w:outlineLvl w:val="1"/>
        <w:rPr>
          <w:rFonts w:hint="eastAsia" w:ascii="黑体" w:hAnsi="黑体" w:eastAsia="黑体"/>
          <w:szCs w:val="22"/>
        </w:rPr>
      </w:pPr>
      <w:bookmarkStart w:id="73" w:name="_Toc10317"/>
      <w:r>
        <w:rPr>
          <w:rFonts w:hint="eastAsia" w:ascii="黑体" w:hAnsi="黑体" w:eastAsia="黑体"/>
          <w:szCs w:val="22"/>
        </w:rPr>
        <w:t>构件就位和固定</w:t>
      </w:r>
      <w:bookmarkEnd w:id="73"/>
    </w:p>
    <w:p w14:paraId="392D2545">
      <w:pPr>
        <w:pStyle w:val="235"/>
        <w:spacing w:before="156" w:after="156"/>
        <w:ind w:left="0"/>
        <w:rPr>
          <w:rFonts w:ascii="Times New Roman" w:eastAsia="宋体"/>
          <w:szCs w:val="20"/>
        </w:rPr>
      </w:pPr>
      <w:r>
        <w:rPr>
          <w:rFonts w:hint="eastAsia" w:ascii="Times New Roman" w:eastAsia="宋体"/>
          <w:szCs w:val="20"/>
        </w:rPr>
        <w:t>预制构件吊装就位后，应及时校准并采用有效的临时固定或支撑措施。临时固定措施、临时支撑系统应具有足够的强度、刚度和整体稳定性，应按《混凝土结构工程施工规范》GB 50666的有关规定进行验算。</w:t>
      </w:r>
    </w:p>
    <w:p w14:paraId="13FBA282">
      <w:pPr>
        <w:pStyle w:val="235"/>
        <w:spacing w:before="156" w:after="156"/>
        <w:ind w:left="0"/>
        <w:rPr>
          <w:rFonts w:ascii="Times New Roman" w:eastAsia="宋体"/>
          <w:szCs w:val="20"/>
        </w:rPr>
      </w:pPr>
      <w:r>
        <w:rPr>
          <w:rFonts w:hint="eastAsia" w:ascii="Times New Roman" w:eastAsia="宋体"/>
          <w:szCs w:val="20"/>
        </w:rPr>
        <w:t>实际施工荷载不应超过设计验算值，就位后的预制构件不宜单独承受较大的集中荷载。</w:t>
      </w:r>
    </w:p>
    <w:p w14:paraId="379611EB">
      <w:pPr>
        <w:pStyle w:val="235"/>
        <w:spacing w:before="156" w:after="156"/>
        <w:ind w:left="0"/>
        <w:rPr>
          <w:rFonts w:ascii="Times New Roman" w:eastAsia="宋体"/>
          <w:szCs w:val="20"/>
        </w:rPr>
      </w:pPr>
      <w:r>
        <w:rPr>
          <w:rFonts w:hint="eastAsia" w:ascii="Times New Roman" w:eastAsia="宋体"/>
          <w:szCs w:val="20"/>
        </w:rPr>
        <w:t>预制构件卸钩应在校准定位及临时支撑安装完成后进性，作业人员应位于可靠的立足点上。</w:t>
      </w:r>
    </w:p>
    <w:p w14:paraId="133A4329">
      <w:pPr>
        <w:pStyle w:val="235"/>
        <w:spacing w:before="156" w:after="156"/>
        <w:ind w:left="0"/>
        <w:rPr>
          <w:rFonts w:ascii="Times New Roman" w:eastAsia="宋体"/>
          <w:szCs w:val="20"/>
        </w:rPr>
      </w:pPr>
      <w:r>
        <w:rPr>
          <w:rFonts w:hint="eastAsia" w:ascii="Times New Roman" w:eastAsia="宋体"/>
          <w:szCs w:val="20"/>
        </w:rPr>
        <w:t>在柱、结构墙板等竖向构件就位安装时，应采用专用工具将竖向构件的标高调整到位，作业人员不应将手伸入拼装缝内。</w:t>
      </w:r>
    </w:p>
    <w:p w14:paraId="3D2F26C1">
      <w:pPr>
        <w:numPr>
          <w:ilvl w:val="1"/>
          <w:numId w:val="32"/>
        </w:numPr>
        <w:adjustRightInd/>
        <w:spacing w:before="156" w:beforeLines="50" w:after="156" w:afterLines="50" w:line="240" w:lineRule="auto"/>
        <w:outlineLvl w:val="1"/>
        <w:rPr>
          <w:rFonts w:hint="eastAsia" w:ascii="黑体" w:hAnsi="黑体" w:eastAsia="黑体"/>
          <w:szCs w:val="22"/>
        </w:rPr>
      </w:pPr>
      <w:bookmarkStart w:id="74" w:name="_Toc3175"/>
      <w:r>
        <w:rPr>
          <w:rFonts w:hint="eastAsia" w:ascii="黑体" w:hAnsi="黑体" w:eastAsia="黑体"/>
          <w:szCs w:val="22"/>
        </w:rPr>
        <w:t>构件连接</w:t>
      </w:r>
      <w:bookmarkEnd w:id="74"/>
    </w:p>
    <w:p w14:paraId="54EE900E">
      <w:pPr>
        <w:pStyle w:val="235"/>
        <w:spacing w:before="156" w:after="156"/>
        <w:ind w:left="0"/>
        <w:rPr>
          <w:rFonts w:ascii="Times New Roman" w:eastAsia="宋体"/>
          <w:szCs w:val="20"/>
        </w:rPr>
      </w:pPr>
      <w:r>
        <w:rPr>
          <w:rFonts w:hint="eastAsia" w:ascii="Times New Roman" w:eastAsia="宋体"/>
          <w:szCs w:val="20"/>
        </w:rPr>
        <w:t>采用钢筋套筒灌浆连接、钢筋浆锚搭接连接的预制构件施工应符合下列规定：</w:t>
      </w:r>
    </w:p>
    <w:p w14:paraId="5F195009">
      <w:pPr>
        <w:pStyle w:val="248"/>
        <w:numPr>
          <w:ilvl w:val="0"/>
          <w:numId w:val="38"/>
        </w:numPr>
        <w:ind w:left="735" w:leftChars="150" w:hanging="420" w:hangingChars="200"/>
        <w:rPr>
          <w:rFonts w:hint="eastAsia"/>
        </w:rPr>
      </w:pPr>
      <w:r>
        <w:rPr>
          <w:rFonts w:hint="eastAsia"/>
        </w:rPr>
        <w:t>现浇混凝土中伸出的钢筋应采用专用定位模具，并采用可靠的固定措施控制连接钢筋的中心位置，钢筋外露长度应满足设计要求；</w:t>
      </w:r>
    </w:p>
    <w:p w14:paraId="69205923">
      <w:pPr>
        <w:pStyle w:val="248"/>
        <w:numPr>
          <w:ilvl w:val="0"/>
          <w:numId w:val="38"/>
        </w:numPr>
        <w:ind w:left="735" w:leftChars="150" w:hanging="420" w:hangingChars="200"/>
        <w:rPr>
          <w:rFonts w:hint="eastAsia"/>
        </w:rPr>
      </w:pPr>
      <w:r>
        <w:rPr>
          <w:rFonts w:hint="eastAsia"/>
        </w:rPr>
        <w:t>应检查被连接钢筋的规格、数量、位置和长度，确认达到设计要求后，进行连接作业，严禁随意切割、强行调整连接钢筋。</w:t>
      </w:r>
    </w:p>
    <w:p w14:paraId="190874D3">
      <w:pPr>
        <w:pStyle w:val="235"/>
        <w:spacing w:before="156" w:after="156"/>
        <w:ind w:left="0"/>
        <w:rPr>
          <w:rFonts w:ascii="Times New Roman" w:eastAsia="宋体"/>
          <w:szCs w:val="20"/>
        </w:rPr>
      </w:pPr>
      <w:r>
        <w:rPr>
          <w:rFonts w:hint="eastAsia" w:ascii="Times New Roman" w:eastAsia="宋体"/>
          <w:szCs w:val="20"/>
        </w:rPr>
        <w:t>灌浆施工前，须对灌浆料的性能指标进行检测。并应加强全过程质量监控，灌浆施工过程宜留存影像资料。节点注浆时应确保管路通畅，注浆设备应设置压力保护装置。</w:t>
      </w:r>
    </w:p>
    <w:p w14:paraId="747685B6">
      <w:pPr>
        <w:pStyle w:val="235"/>
        <w:spacing w:before="156" w:after="156"/>
        <w:ind w:left="0"/>
        <w:rPr>
          <w:rFonts w:ascii="Times New Roman" w:eastAsia="宋体"/>
          <w:szCs w:val="20"/>
        </w:rPr>
      </w:pPr>
      <w:r>
        <w:rPr>
          <w:rFonts w:hint="eastAsia" w:ascii="Times New Roman" w:eastAsia="宋体"/>
          <w:szCs w:val="20"/>
        </w:rPr>
        <w:t>冬季中进行钢筋灌浆连接施工时，应采用专用低温型灌浆料，并采用辅助加热保温措施。</w:t>
      </w:r>
    </w:p>
    <w:p w14:paraId="01F486C4">
      <w:pPr>
        <w:pStyle w:val="235"/>
        <w:spacing w:before="156" w:after="156"/>
        <w:ind w:left="0"/>
        <w:rPr>
          <w:rFonts w:ascii="Times New Roman" w:eastAsia="宋体"/>
          <w:szCs w:val="20"/>
        </w:rPr>
      </w:pPr>
      <w:r>
        <w:rPr>
          <w:rFonts w:hint="eastAsia" w:ascii="Times New Roman" w:eastAsia="宋体"/>
          <w:szCs w:val="20"/>
        </w:rPr>
        <w:t>采用钢筋套筒连接的竖向构件吊装就位后，应及时进行灌浆连接。</w:t>
      </w:r>
    </w:p>
    <w:p w14:paraId="1CE2B332">
      <w:pPr>
        <w:pStyle w:val="235"/>
        <w:spacing w:before="156" w:after="156"/>
        <w:ind w:left="0"/>
        <w:rPr>
          <w:rFonts w:ascii="Times New Roman" w:eastAsia="宋体"/>
          <w:szCs w:val="20"/>
        </w:rPr>
      </w:pPr>
      <w:r>
        <w:rPr>
          <w:rFonts w:hint="eastAsia" w:ascii="Times New Roman" w:eastAsia="宋体"/>
          <w:szCs w:val="20"/>
        </w:rPr>
        <w:t>若楼层中设置较多现浇竖向构件时，宜采用多层安装后灌浆施工工艺；构件安装后，应及时设置斜支撑，结构构件未灌浆楼层不应超过两层。</w:t>
      </w:r>
    </w:p>
    <w:p w14:paraId="40013C2A">
      <w:pPr>
        <w:pStyle w:val="235"/>
        <w:spacing w:before="156" w:after="156"/>
        <w:ind w:left="0"/>
        <w:rPr>
          <w:rFonts w:ascii="Times New Roman" w:eastAsia="宋体"/>
          <w:szCs w:val="20"/>
        </w:rPr>
      </w:pPr>
      <w:r>
        <w:rPr>
          <w:rFonts w:hint="eastAsia" w:ascii="Times New Roman" w:eastAsia="宋体"/>
          <w:szCs w:val="20"/>
        </w:rPr>
        <w:t>当采用焊接或螺栓连接时，必须按设计要求连接，外露铁件、夹心保温层等部位应采取防腐和</w:t>
      </w:r>
      <w:bookmarkStart w:id="75" w:name="bookmark15"/>
      <w:bookmarkEnd w:id="75"/>
      <w:r>
        <w:rPr>
          <w:rFonts w:hint="eastAsia" w:ascii="Times New Roman" w:eastAsia="宋体"/>
          <w:szCs w:val="20"/>
        </w:rPr>
        <w:t>防火措施。</w:t>
      </w:r>
    </w:p>
    <w:p w14:paraId="0A6DEE2E">
      <w:pPr>
        <w:pStyle w:val="235"/>
        <w:spacing w:before="156" w:after="156"/>
        <w:ind w:left="0"/>
        <w:rPr>
          <w:rFonts w:ascii="Times New Roman" w:eastAsia="宋体"/>
          <w:szCs w:val="20"/>
        </w:rPr>
      </w:pPr>
      <w:r>
        <w:rPr>
          <w:rFonts w:hint="eastAsia" w:ascii="Times New Roman" w:eastAsia="宋体"/>
          <w:szCs w:val="20"/>
        </w:rPr>
        <w:t>若采用后张预应力筋连接预制构件，预应力工程施工应符合《混凝土结构工程施工规范》GB 50666的相关规定。</w:t>
      </w:r>
    </w:p>
    <w:p w14:paraId="365702CC">
      <w:pPr>
        <w:numPr>
          <w:ilvl w:val="1"/>
          <w:numId w:val="32"/>
        </w:numPr>
        <w:adjustRightInd/>
        <w:spacing w:before="156" w:beforeLines="50" w:after="156" w:afterLines="50" w:line="240" w:lineRule="auto"/>
        <w:outlineLvl w:val="1"/>
        <w:rPr>
          <w:rFonts w:hint="eastAsia" w:ascii="黑体" w:hAnsi="黑体" w:eastAsia="黑体"/>
          <w:szCs w:val="22"/>
        </w:rPr>
      </w:pPr>
      <w:bookmarkStart w:id="76" w:name="_Toc26619"/>
      <w:r>
        <w:rPr>
          <w:rFonts w:hint="eastAsia" w:ascii="黑体" w:hAnsi="黑体" w:eastAsia="黑体"/>
          <w:szCs w:val="22"/>
        </w:rPr>
        <w:t>临时支撑</w:t>
      </w:r>
      <w:bookmarkEnd w:id="76"/>
    </w:p>
    <w:p w14:paraId="43132CC4">
      <w:pPr>
        <w:pStyle w:val="235"/>
        <w:spacing w:before="156" w:after="156"/>
        <w:ind w:left="0"/>
        <w:rPr>
          <w:rFonts w:ascii="Times New Roman" w:eastAsia="宋体"/>
          <w:szCs w:val="20"/>
        </w:rPr>
      </w:pPr>
      <w:r>
        <w:rPr>
          <w:rFonts w:hint="eastAsia" w:ascii="Times New Roman" w:eastAsia="宋体"/>
          <w:szCs w:val="20"/>
        </w:rPr>
        <w:t>装配式混凝土结构的临时支撑宜采用工具式支架，并应根据施工过程中的各种工况进行设计验算，保证足够的承载力、刚度和整体稳定性。</w:t>
      </w:r>
    </w:p>
    <w:p w14:paraId="51A9412E">
      <w:pPr>
        <w:pStyle w:val="235"/>
        <w:spacing w:before="156" w:after="156"/>
        <w:ind w:left="0"/>
        <w:rPr>
          <w:rFonts w:ascii="Times New Roman" w:eastAsia="宋体"/>
          <w:szCs w:val="20"/>
        </w:rPr>
      </w:pPr>
      <w:r>
        <w:rPr>
          <w:rFonts w:hint="eastAsia" w:ascii="Times New Roman" w:eastAsia="宋体"/>
          <w:szCs w:val="20"/>
        </w:rPr>
        <w:t>竖向预制构件安装采用临时支撑时应符合下列规定：</w:t>
      </w:r>
    </w:p>
    <w:p w14:paraId="653663B7">
      <w:pPr>
        <w:pStyle w:val="248"/>
        <w:numPr>
          <w:ilvl w:val="0"/>
          <w:numId w:val="39"/>
        </w:numPr>
        <w:ind w:left="735" w:leftChars="150" w:hanging="420" w:hangingChars="200"/>
        <w:rPr>
          <w:rFonts w:hint="eastAsia"/>
        </w:rPr>
      </w:pPr>
      <w:r>
        <w:rPr>
          <w:rFonts w:hint="eastAsia"/>
        </w:rPr>
        <w:t>预制构件的临时支撑应保证构件施工过程中的稳定性，且不应少于2道；</w:t>
      </w:r>
    </w:p>
    <w:p w14:paraId="729C53CC">
      <w:pPr>
        <w:pStyle w:val="248"/>
        <w:numPr>
          <w:ilvl w:val="0"/>
          <w:numId w:val="39"/>
        </w:numPr>
        <w:ind w:left="735" w:leftChars="150" w:hanging="420" w:hangingChars="200"/>
        <w:rPr>
          <w:rFonts w:hint="eastAsia"/>
        </w:rPr>
      </w:pPr>
      <w:r>
        <w:rPr>
          <w:rFonts w:hint="eastAsia"/>
        </w:rPr>
        <w:t>对墙板构件、截面小于600×600mm的预制柱的上部斜支撑，其支撑点距离板底的距离不宜小于构件高度的2/3，且不应小于构件高度的1/2；斜撑顶部应固定在预留螺栓孔上，不得另行开孔，斜支撑底部与地面或楼面应采用螺栓或钢筋环进行锚固；支撑与水平面的夹角在40°</w:t>
      </w:r>
      <w:r>
        <w:rPr>
          <w:rFonts w:ascii="Times New Roman" w:hAnsi="Times New Roman"/>
        </w:rPr>
        <w:t>~</w:t>
      </w:r>
      <w:r>
        <w:rPr>
          <w:rFonts w:hint="eastAsia"/>
        </w:rPr>
        <w:t>50°之间；</w:t>
      </w:r>
    </w:p>
    <w:p w14:paraId="72479DA9">
      <w:pPr>
        <w:pStyle w:val="248"/>
        <w:numPr>
          <w:ilvl w:val="0"/>
          <w:numId w:val="39"/>
        </w:numPr>
        <w:ind w:left="735" w:leftChars="150" w:hanging="420" w:hangingChars="200"/>
        <w:rPr>
          <w:rFonts w:hint="eastAsia"/>
        </w:rPr>
      </w:pPr>
      <w:r>
        <w:rPr>
          <w:rFonts w:hint="eastAsia"/>
        </w:rPr>
        <w:t>若出现预留孔与设计不符的情况，应经设计、生产单位出具方案后方能施工。</w:t>
      </w:r>
    </w:p>
    <w:p w14:paraId="4078539B">
      <w:pPr>
        <w:pStyle w:val="235"/>
        <w:spacing w:before="156" w:after="156"/>
        <w:ind w:left="0"/>
        <w:rPr>
          <w:rFonts w:ascii="Times New Roman" w:eastAsia="宋体"/>
          <w:szCs w:val="20"/>
        </w:rPr>
      </w:pPr>
      <w:r>
        <w:rPr>
          <w:rFonts w:hint="eastAsia" w:ascii="Times New Roman" w:eastAsia="宋体"/>
          <w:szCs w:val="20"/>
        </w:rPr>
        <w:t>水平预制构件安装采用临时支撑时应符合下列规定：</w:t>
      </w:r>
    </w:p>
    <w:p w14:paraId="632C3AD9">
      <w:pPr>
        <w:pStyle w:val="248"/>
        <w:numPr>
          <w:ilvl w:val="0"/>
          <w:numId w:val="40"/>
        </w:numPr>
        <w:ind w:left="735" w:leftChars="150" w:hanging="420" w:hangingChars="200"/>
        <w:rPr>
          <w:rFonts w:hint="eastAsia"/>
        </w:rPr>
      </w:pPr>
      <w:r>
        <w:rPr>
          <w:rFonts w:hint="eastAsia"/>
        </w:rPr>
        <w:t>支撑应具有足够的承载力、刚度和稳定性，有效承受混凝土构件的自重、施工荷载及风荷载；</w:t>
      </w:r>
    </w:p>
    <w:p w14:paraId="32DA72FF">
      <w:pPr>
        <w:pStyle w:val="248"/>
        <w:numPr>
          <w:ilvl w:val="0"/>
          <w:numId w:val="40"/>
        </w:numPr>
        <w:ind w:left="735" w:leftChars="150" w:hanging="420" w:hangingChars="200"/>
        <w:rPr>
          <w:rFonts w:hint="eastAsia"/>
        </w:rPr>
      </w:pPr>
      <w:r>
        <w:rPr>
          <w:rFonts w:hint="eastAsia"/>
        </w:rPr>
        <w:t>支撑应根据施工方案设置，支撑系统的间距及距离墙、柱、梁边的净距应符合设计要求，竖向连续支撑层数不宜少于2层，上下层支撑应在同一铅垂线上，支撑标高应符合设计规定，且应考虑支撑系统本身的变形；</w:t>
      </w:r>
    </w:p>
    <w:p w14:paraId="017A6427">
      <w:pPr>
        <w:pStyle w:val="248"/>
        <w:numPr>
          <w:ilvl w:val="0"/>
          <w:numId w:val="40"/>
        </w:numPr>
        <w:ind w:left="735" w:leftChars="150" w:hanging="420" w:hangingChars="200"/>
        <w:rPr>
          <w:rFonts w:hint="eastAsia"/>
        </w:rPr>
      </w:pPr>
      <w:r>
        <w:rPr>
          <w:rFonts w:hint="eastAsia"/>
        </w:rPr>
        <w:t>预制叠合板边缘，应增设竖向支撑杆件，预制叠合板竖向支撑点位置应靠近起吊点，支撑杆件顶部的支托梁宜垂直于预制叠合板的主受力方向；</w:t>
      </w:r>
    </w:p>
    <w:p w14:paraId="4F60D288">
      <w:pPr>
        <w:pStyle w:val="248"/>
        <w:numPr>
          <w:ilvl w:val="0"/>
          <w:numId w:val="40"/>
        </w:numPr>
        <w:ind w:left="735" w:leftChars="150" w:hanging="420" w:hangingChars="200"/>
        <w:rPr>
          <w:rFonts w:hint="eastAsia"/>
        </w:rPr>
      </w:pPr>
      <w:r>
        <w:rPr>
          <w:rFonts w:hint="eastAsia"/>
        </w:rPr>
        <w:t>首层支撑架体的地基必须平整坚实，宜采取硬化措施。</w:t>
      </w:r>
    </w:p>
    <w:p w14:paraId="5079853F">
      <w:pPr>
        <w:pStyle w:val="235"/>
        <w:spacing w:before="156" w:after="156"/>
        <w:ind w:left="0"/>
        <w:jc w:val="both"/>
        <w:rPr>
          <w:rFonts w:ascii="Times New Roman" w:eastAsia="宋体"/>
          <w:szCs w:val="20"/>
        </w:rPr>
      </w:pPr>
      <w:r>
        <w:rPr>
          <w:rFonts w:hint="eastAsia" w:ascii="Times New Roman" w:eastAsia="宋体"/>
          <w:szCs w:val="20"/>
        </w:rPr>
        <w:t>预制柱等竖向构件，应设置不少于两个正交方向的可调斜支撑，且可调支撑应能承受拉、压力。若在结构形成整体前，可调斜支撑不能保证构件稳定性，应在构件四个方向加设缆风绳固定，或采用专门制作的金属临时固定架固定。用于临时固定的缆风绳下部应设紧绳器，并牢固地固定在锚桩上。</w:t>
      </w:r>
    </w:p>
    <w:p w14:paraId="60F99F05">
      <w:pPr>
        <w:pStyle w:val="235"/>
        <w:spacing w:before="156" w:after="156"/>
        <w:ind w:left="0"/>
        <w:jc w:val="both"/>
        <w:rPr>
          <w:rFonts w:ascii="Times New Roman" w:eastAsia="宋体"/>
          <w:szCs w:val="20"/>
        </w:rPr>
      </w:pPr>
      <w:r>
        <w:rPr>
          <w:rFonts w:hint="eastAsia" w:ascii="Times New Roman" w:eastAsia="宋体"/>
          <w:szCs w:val="20"/>
        </w:rPr>
        <w:t>叠合楼板、阳台、空调板等水平构件安装就位后，对未形成空间稳定体系的部分应设置竖向支撑架体；阳台等边缘构件的竖向支撑架体应形成自稳定的整体架，并宜与相邻结构可靠连接。</w:t>
      </w:r>
    </w:p>
    <w:p w14:paraId="63567A8D">
      <w:pPr>
        <w:pStyle w:val="235"/>
        <w:spacing w:before="156" w:after="156"/>
        <w:ind w:left="0"/>
        <w:rPr>
          <w:rFonts w:ascii="Times New Roman" w:eastAsia="宋体"/>
          <w:szCs w:val="20"/>
        </w:rPr>
      </w:pPr>
      <w:r>
        <w:rPr>
          <w:rFonts w:hint="eastAsia" w:ascii="Times New Roman" w:eastAsia="宋体"/>
          <w:szCs w:val="20"/>
        </w:rPr>
        <w:t>严禁将外防护系统作为吊装构件的临时支撑。</w:t>
      </w:r>
    </w:p>
    <w:p w14:paraId="07A8571B">
      <w:pPr>
        <w:pStyle w:val="235"/>
        <w:spacing w:before="156" w:after="156"/>
        <w:ind w:left="0"/>
        <w:rPr>
          <w:rFonts w:ascii="Times New Roman" w:eastAsia="宋体"/>
          <w:szCs w:val="20"/>
        </w:rPr>
      </w:pPr>
      <w:r>
        <w:rPr>
          <w:rFonts w:hint="eastAsia" w:ascii="Times New Roman" w:eastAsia="宋体"/>
          <w:szCs w:val="20"/>
        </w:rPr>
        <w:t>水平叠合构件下的临时支撑应在叠合层混凝土达到规定强度后拆除。</w:t>
      </w:r>
    </w:p>
    <w:p w14:paraId="60225F27">
      <w:pPr>
        <w:numPr>
          <w:ilvl w:val="0"/>
          <w:numId w:val="32"/>
        </w:numPr>
        <w:adjustRightInd/>
        <w:spacing w:before="312" w:beforeLines="100" w:after="312" w:afterLines="100" w:line="240" w:lineRule="auto"/>
        <w:ind w:left="0"/>
        <w:outlineLvl w:val="0"/>
        <w:rPr>
          <w:rFonts w:eastAsia="黑体"/>
          <w:szCs w:val="22"/>
        </w:rPr>
      </w:pPr>
      <w:bookmarkStart w:id="77" w:name="_Toc28549"/>
      <w:r>
        <w:rPr>
          <w:rFonts w:hint="eastAsia" w:eastAsia="黑体"/>
          <w:szCs w:val="22"/>
        </w:rPr>
        <w:t>现浇结构施工</w:t>
      </w:r>
      <w:bookmarkEnd w:id="77"/>
    </w:p>
    <w:p w14:paraId="21A94BCA">
      <w:pPr>
        <w:pStyle w:val="235"/>
        <w:spacing w:before="156" w:after="156"/>
        <w:ind w:left="0"/>
        <w:rPr>
          <w:rFonts w:ascii="Times New Roman" w:eastAsia="宋体"/>
          <w:szCs w:val="20"/>
        </w:rPr>
      </w:pPr>
      <w:r>
        <w:rPr>
          <w:rFonts w:hint="eastAsia" w:ascii="Times New Roman" w:eastAsia="宋体"/>
          <w:szCs w:val="20"/>
        </w:rPr>
        <w:t>现浇结构施工严禁随意切割、拆除、损坏预留钢筋、支撑架、角码、螺栓等部件，不应在现场对预制构件进行二次切割、开洞。</w:t>
      </w:r>
    </w:p>
    <w:p w14:paraId="76CD3815">
      <w:pPr>
        <w:pStyle w:val="235"/>
        <w:spacing w:before="156" w:after="156"/>
        <w:ind w:left="0"/>
        <w:rPr>
          <w:rFonts w:ascii="Times New Roman" w:eastAsia="宋体"/>
          <w:szCs w:val="20"/>
        </w:rPr>
      </w:pPr>
      <w:r>
        <w:rPr>
          <w:rFonts w:hint="eastAsia" w:ascii="Times New Roman" w:eastAsia="宋体"/>
          <w:szCs w:val="20"/>
        </w:rPr>
        <w:t>梁、板等水平预制构件两端支座处的搁置长度应满足设计要求，搁置处的受力状态应保持均匀一致。</w:t>
      </w:r>
    </w:p>
    <w:p w14:paraId="39ED6435">
      <w:pPr>
        <w:pStyle w:val="235"/>
        <w:spacing w:before="156" w:after="156"/>
        <w:ind w:left="0"/>
        <w:rPr>
          <w:rFonts w:ascii="Times New Roman" w:eastAsia="宋体"/>
          <w:szCs w:val="20"/>
        </w:rPr>
      </w:pPr>
      <w:r>
        <w:rPr>
          <w:rFonts w:hint="eastAsia" w:ascii="Times New Roman" w:eastAsia="宋体"/>
          <w:szCs w:val="20"/>
        </w:rPr>
        <w:t>当现浇部位模板支撑在预制构件上时，应对预制构件承载力进行复核计算。</w:t>
      </w:r>
    </w:p>
    <w:p w14:paraId="632A125A">
      <w:pPr>
        <w:pStyle w:val="235"/>
        <w:spacing w:before="156" w:after="156"/>
        <w:ind w:left="0"/>
        <w:rPr>
          <w:rFonts w:ascii="Times New Roman" w:eastAsia="宋体"/>
          <w:szCs w:val="20"/>
        </w:rPr>
      </w:pPr>
      <w:r>
        <w:rPr>
          <w:rFonts w:hint="eastAsia" w:ascii="Times New Roman" w:eastAsia="宋体"/>
          <w:szCs w:val="20"/>
        </w:rPr>
        <w:t>现浇结构与预制构件连接处节点宜采用工具式组合模板，连接处混凝土宜采用机械振捣方式一次性浇筑密实。</w:t>
      </w:r>
    </w:p>
    <w:p w14:paraId="600F0360">
      <w:pPr>
        <w:pStyle w:val="235"/>
        <w:spacing w:before="156" w:after="156"/>
        <w:ind w:left="0"/>
        <w:jc w:val="both"/>
        <w:rPr>
          <w:rFonts w:ascii="Times New Roman" w:eastAsia="宋体"/>
          <w:szCs w:val="20"/>
        </w:rPr>
      </w:pPr>
      <w:r>
        <w:rPr>
          <w:rFonts w:hint="eastAsia" w:ascii="Times New Roman" w:eastAsia="宋体"/>
          <w:szCs w:val="20"/>
        </w:rPr>
        <w:t>竖向现浇构件模板宜采用对拉螺杆加固，局部应采取防倾覆措施。预制构件深化设计、加工时，宜提前预留用以与模板相连的对拉固定孔位。</w:t>
      </w:r>
    </w:p>
    <w:p w14:paraId="3B015D4E">
      <w:pPr>
        <w:pStyle w:val="235"/>
        <w:spacing w:before="156" w:after="156"/>
        <w:ind w:left="0"/>
        <w:jc w:val="both"/>
        <w:rPr>
          <w:rFonts w:ascii="Times New Roman" w:eastAsia="宋体"/>
          <w:szCs w:val="20"/>
        </w:rPr>
      </w:pPr>
      <w:r>
        <w:rPr>
          <w:rFonts w:hint="eastAsia" w:ascii="Times New Roman" w:eastAsia="宋体"/>
          <w:szCs w:val="20"/>
        </w:rPr>
        <w:t>在水平叠合浇筑构件吊装完成后、现浇部位施工前，应按施工方案要求，对临时支架进行验收。</w:t>
      </w:r>
    </w:p>
    <w:p w14:paraId="3E655499">
      <w:pPr>
        <w:pStyle w:val="235"/>
        <w:spacing w:before="156" w:after="156"/>
        <w:ind w:left="0"/>
        <w:rPr>
          <w:rFonts w:ascii="Times New Roman" w:eastAsia="宋体"/>
          <w:szCs w:val="20"/>
        </w:rPr>
      </w:pPr>
      <w:r>
        <w:rPr>
          <w:rFonts w:hint="eastAsia" w:ascii="Times New Roman" w:eastAsia="宋体"/>
          <w:szCs w:val="20"/>
        </w:rPr>
        <w:t>叠合板钢筋绑扎完成后，应采用定位模具对墙、柱竖向预留插筋进行限位，保证竖向受力钢筋位置准确。</w:t>
      </w:r>
    </w:p>
    <w:p w14:paraId="506B5490">
      <w:pPr>
        <w:pStyle w:val="235"/>
        <w:spacing w:before="156" w:after="156"/>
        <w:ind w:left="0"/>
        <w:rPr>
          <w:rFonts w:ascii="Times New Roman" w:eastAsia="宋体"/>
          <w:szCs w:val="20"/>
        </w:rPr>
      </w:pPr>
      <w:r>
        <w:rPr>
          <w:rFonts w:hint="eastAsia" w:ascii="Times New Roman" w:eastAsia="宋体"/>
          <w:szCs w:val="20"/>
        </w:rPr>
        <w:t>现浇结构施工采用泵送混凝土浇筑时，应采取措施防止泵送设备超重和冲击力影响预制构件及临时支撑体系安全。</w:t>
      </w:r>
    </w:p>
    <w:p w14:paraId="4097F021">
      <w:pPr>
        <w:pStyle w:val="235"/>
        <w:spacing w:before="156" w:after="156"/>
        <w:ind w:left="0"/>
        <w:rPr>
          <w:rFonts w:ascii="Times New Roman" w:eastAsia="宋体"/>
          <w:szCs w:val="20"/>
        </w:rPr>
      </w:pPr>
      <w:r>
        <w:rPr>
          <w:rFonts w:hint="eastAsia" w:ascii="Times New Roman" w:eastAsia="宋体"/>
          <w:szCs w:val="20"/>
        </w:rPr>
        <w:t>非阻燃型夹心保温外墙板后浇混凝土连接节点区域的钢筋安装施工时，不得采用焊接连接。</w:t>
      </w:r>
    </w:p>
    <w:p w14:paraId="1FE3F755">
      <w:pPr>
        <w:pStyle w:val="235"/>
        <w:spacing w:before="156" w:after="156"/>
        <w:ind w:left="0"/>
        <w:jc w:val="both"/>
        <w:rPr>
          <w:rFonts w:ascii="Times New Roman" w:eastAsia="宋体"/>
          <w:szCs w:val="20"/>
        </w:rPr>
      </w:pPr>
      <w:r>
        <w:rPr>
          <w:rFonts w:hint="eastAsia" w:ascii="Times New Roman" w:eastAsia="宋体"/>
          <w:szCs w:val="20"/>
        </w:rPr>
        <w:t>对于承受预制构件的高大模板体系，其设计、施工应符合危险性较大分部分项工程的相关规定。</w:t>
      </w:r>
    </w:p>
    <w:p w14:paraId="07944D73">
      <w:pPr>
        <w:numPr>
          <w:ilvl w:val="0"/>
          <w:numId w:val="32"/>
        </w:numPr>
        <w:adjustRightInd/>
        <w:spacing w:before="312" w:beforeLines="100" w:after="312" w:afterLines="100" w:line="240" w:lineRule="auto"/>
        <w:ind w:left="0"/>
        <w:outlineLvl w:val="0"/>
        <w:rPr>
          <w:rFonts w:eastAsia="黑体"/>
          <w:szCs w:val="22"/>
        </w:rPr>
      </w:pPr>
      <w:bookmarkStart w:id="78" w:name="bookmark10"/>
      <w:bookmarkEnd w:id="78"/>
      <w:bookmarkStart w:id="79" w:name="_Toc13383"/>
      <w:r>
        <w:rPr>
          <w:rFonts w:hint="eastAsia" w:eastAsia="黑体"/>
          <w:szCs w:val="22"/>
        </w:rPr>
        <w:t>高处作业</w:t>
      </w:r>
      <w:bookmarkEnd w:id="79"/>
    </w:p>
    <w:p w14:paraId="5F6BF8E3">
      <w:pPr>
        <w:numPr>
          <w:ilvl w:val="1"/>
          <w:numId w:val="32"/>
        </w:numPr>
        <w:adjustRightInd/>
        <w:spacing w:before="156" w:beforeLines="50" w:after="156" w:afterLines="50" w:line="240" w:lineRule="auto"/>
        <w:outlineLvl w:val="1"/>
        <w:rPr>
          <w:rFonts w:hint="eastAsia" w:ascii="黑体" w:hAnsi="黑体" w:eastAsia="黑体"/>
          <w:szCs w:val="22"/>
        </w:rPr>
      </w:pPr>
      <w:bookmarkStart w:id="80" w:name="_Toc5454"/>
      <w:r>
        <w:rPr>
          <w:rFonts w:hint="eastAsia" w:ascii="黑体" w:hAnsi="黑体" w:eastAsia="黑体"/>
          <w:szCs w:val="22"/>
        </w:rPr>
        <w:t>外防护架</w:t>
      </w:r>
      <w:bookmarkEnd w:id="80"/>
    </w:p>
    <w:p w14:paraId="4C37FA93">
      <w:pPr>
        <w:pStyle w:val="235"/>
        <w:spacing w:before="156" w:after="156"/>
        <w:ind w:left="0"/>
        <w:rPr>
          <w:rFonts w:ascii="Times New Roman" w:eastAsia="宋体"/>
          <w:szCs w:val="20"/>
        </w:rPr>
      </w:pPr>
      <w:r>
        <w:rPr>
          <w:rFonts w:hint="eastAsia" w:ascii="Times New Roman" w:eastAsia="宋体"/>
          <w:szCs w:val="20"/>
        </w:rPr>
        <w:t>外防护架宜选应工具化、定型化产品，经验收合格后使用。</w:t>
      </w:r>
    </w:p>
    <w:p w14:paraId="1A94B8A4">
      <w:pPr>
        <w:pStyle w:val="235"/>
        <w:spacing w:before="156" w:after="156"/>
        <w:ind w:left="0"/>
        <w:rPr>
          <w:rFonts w:ascii="Times New Roman" w:eastAsia="宋体"/>
          <w:szCs w:val="20"/>
        </w:rPr>
      </w:pPr>
      <w:r>
        <w:rPr>
          <w:rFonts w:hint="eastAsia" w:ascii="Times New Roman" w:eastAsia="宋体"/>
          <w:szCs w:val="20"/>
        </w:rPr>
        <w:t>外防护架施工前，应根据工程结构、施工环境等特点编制施工方案，并经总承包单位技术负责人审批、项目总监理工程师审核后实施。</w:t>
      </w:r>
    </w:p>
    <w:p w14:paraId="567C19E2">
      <w:pPr>
        <w:pStyle w:val="235"/>
        <w:spacing w:before="156" w:after="156"/>
        <w:ind w:left="0"/>
        <w:rPr>
          <w:rFonts w:ascii="Times New Roman" w:eastAsia="宋体"/>
          <w:szCs w:val="20"/>
        </w:rPr>
      </w:pPr>
      <w:r>
        <w:rPr>
          <w:rFonts w:hint="eastAsia" w:ascii="Times New Roman" w:eastAsia="宋体"/>
          <w:szCs w:val="20"/>
        </w:rPr>
        <w:t>外防护架施工方案编制除应符合危险性较大的分部分项工程管理相关法律法规及相关标准规范的要求外，应包括以下内容：</w:t>
      </w:r>
    </w:p>
    <w:p w14:paraId="71F9D6AE">
      <w:pPr>
        <w:pStyle w:val="248"/>
        <w:numPr>
          <w:ilvl w:val="0"/>
          <w:numId w:val="41"/>
        </w:numPr>
        <w:ind w:left="735" w:leftChars="150" w:hanging="420" w:hangingChars="200"/>
        <w:rPr>
          <w:rFonts w:hint="eastAsia"/>
        </w:rPr>
      </w:pPr>
      <w:r>
        <w:rPr>
          <w:rFonts w:hint="eastAsia"/>
        </w:rPr>
        <w:t>特殊部位的处理措施；</w:t>
      </w:r>
    </w:p>
    <w:p w14:paraId="18ADBA6A">
      <w:pPr>
        <w:pStyle w:val="248"/>
        <w:numPr>
          <w:ilvl w:val="0"/>
          <w:numId w:val="41"/>
        </w:numPr>
        <w:ind w:left="735" w:leftChars="150" w:hanging="420" w:hangingChars="200"/>
        <w:rPr>
          <w:rFonts w:hint="eastAsia"/>
        </w:rPr>
      </w:pPr>
      <w:r>
        <w:rPr>
          <w:rFonts w:hint="eastAsia"/>
        </w:rPr>
        <w:t>安装、升降、拆除程序及安全措施；</w:t>
      </w:r>
    </w:p>
    <w:p w14:paraId="5BD528E2">
      <w:pPr>
        <w:pStyle w:val="248"/>
        <w:numPr>
          <w:ilvl w:val="0"/>
          <w:numId w:val="41"/>
        </w:numPr>
        <w:ind w:left="735" w:leftChars="150" w:hanging="420" w:hangingChars="200"/>
        <w:rPr>
          <w:rFonts w:hint="eastAsia"/>
        </w:rPr>
      </w:pPr>
      <w:r>
        <w:rPr>
          <w:rFonts w:hint="eastAsia"/>
        </w:rPr>
        <w:t>使用过程的安全措施。</w:t>
      </w:r>
    </w:p>
    <w:p w14:paraId="1B8E3EAB">
      <w:pPr>
        <w:pStyle w:val="235"/>
        <w:spacing w:before="156" w:after="156"/>
        <w:ind w:left="0"/>
        <w:rPr>
          <w:rFonts w:ascii="Times New Roman" w:eastAsia="宋体"/>
          <w:szCs w:val="20"/>
        </w:rPr>
      </w:pPr>
      <w:r>
        <w:rPr>
          <w:rFonts w:hint="eastAsia" w:ascii="Times New Roman" w:eastAsia="宋体"/>
          <w:szCs w:val="20"/>
        </w:rPr>
        <w:t>外防护架的附墙点需设置在预制构件上时，应由设计单位对该预制构件的安全性进行复核，并出具相应核算书。在预制构件生产时，应进行相应附墙点孔洞的预留，预留位置应准确。</w:t>
      </w:r>
    </w:p>
    <w:p w14:paraId="3B06F46C">
      <w:pPr>
        <w:pStyle w:val="235"/>
        <w:spacing w:before="156" w:after="156"/>
        <w:ind w:left="0"/>
        <w:rPr>
          <w:rFonts w:ascii="Times New Roman" w:eastAsia="宋体"/>
          <w:szCs w:val="20"/>
        </w:rPr>
      </w:pPr>
      <w:r>
        <w:rPr>
          <w:rFonts w:hint="eastAsia" w:ascii="Times New Roman" w:eastAsia="宋体"/>
          <w:szCs w:val="20"/>
        </w:rPr>
        <w:t>附着式升降脚手架的附墙支座、悬臂构件严禁设置在预制构件上。</w:t>
      </w:r>
    </w:p>
    <w:p w14:paraId="14DBA5F5">
      <w:pPr>
        <w:pStyle w:val="235"/>
        <w:spacing w:before="156" w:after="156"/>
        <w:ind w:left="0"/>
        <w:rPr>
          <w:rFonts w:ascii="Times New Roman" w:eastAsia="宋体"/>
          <w:szCs w:val="20"/>
        </w:rPr>
      </w:pPr>
      <w:r>
        <w:rPr>
          <w:rFonts w:hint="eastAsia" w:ascii="Times New Roman" w:eastAsia="宋体"/>
          <w:szCs w:val="20"/>
        </w:rPr>
        <w:t>使用外挂防护架作为外防护架时应符合以下要求：</w:t>
      </w:r>
    </w:p>
    <w:p w14:paraId="497A6FDC">
      <w:pPr>
        <w:pStyle w:val="248"/>
        <w:numPr>
          <w:ilvl w:val="0"/>
          <w:numId w:val="42"/>
        </w:numPr>
        <w:ind w:left="735" w:leftChars="150" w:hanging="420" w:hangingChars="200"/>
        <w:rPr>
          <w:rFonts w:hint="eastAsia"/>
        </w:rPr>
      </w:pPr>
      <w:r>
        <w:rPr>
          <w:rFonts w:hint="eastAsia"/>
        </w:rPr>
        <w:t>应按照《建筑施工工具式脚手架安全技术规范》JGJ 202中外挂防护架的要求编制施工方案，并严格按照方案进行安装、提升、拆除、管理等；施工方案中应包含对外挂防护架的设计验算</w:t>
      </w:r>
      <w:r>
        <w:rPr>
          <w:rFonts w:hint="eastAsia"/>
          <w:lang w:eastAsia="zh-CN"/>
        </w:rPr>
        <w:t>；</w:t>
      </w:r>
    </w:p>
    <w:p w14:paraId="79222C2D">
      <w:pPr>
        <w:pStyle w:val="248"/>
        <w:numPr>
          <w:ilvl w:val="0"/>
          <w:numId w:val="42"/>
        </w:numPr>
        <w:ind w:left="735" w:leftChars="150" w:hanging="420" w:hangingChars="200"/>
        <w:rPr>
          <w:rFonts w:hint="eastAsia"/>
        </w:rPr>
      </w:pPr>
      <w:r>
        <w:rPr>
          <w:rFonts w:hint="eastAsia"/>
        </w:rPr>
        <w:t>使用塔吊进行提升时，确保挂好吊钩前，严禁松动架体与建筑结构的连接螺栓；螺栓未松动时，严禁起吊架体；螺栓紧固前，不得脱钩；</w:t>
      </w:r>
    </w:p>
    <w:p w14:paraId="2F05B1B6">
      <w:pPr>
        <w:pStyle w:val="248"/>
        <w:numPr>
          <w:ilvl w:val="0"/>
          <w:numId w:val="42"/>
        </w:numPr>
        <w:ind w:left="735" w:leftChars="150" w:hanging="420" w:hangingChars="200"/>
        <w:rPr>
          <w:rFonts w:hint="eastAsia"/>
        </w:rPr>
      </w:pPr>
      <w:r>
        <w:rPr>
          <w:rFonts w:hint="eastAsia"/>
        </w:rPr>
        <w:t>架体与结构、两片外挂架之间有间隙，应用采用硬质材料进行封闭；</w:t>
      </w:r>
    </w:p>
    <w:p w14:paraId="087F543C">
      <w:pPr>
        <w:pStyle w:val="248"/>
        <w:numPr>
          <w:ilvl w:val="0"/>
          <w:numId w:val="42"/>
        </w:numPr>
        <w:ind w:left="735" w:leftChars="150" w:hanging="420" w:hangingChars="200"/>
        <w:rPr>
          <w:rFonts w:hint="eastAsia"/>
        </w:rPr>
      </w:pPr>
      <w:r>
        <w:rPr>
          <w:rFonts w:hint="eastAsia"/>
        </w:rPr>
        <w:t>搭设及安装完毕后，必须进行荷载试验，持载4h后未发现焊缝开裂、主体结构变形等情况后使用。荷载试验部位由项目安全部指定，试验过程中，项目部应派专人在地面进行管理，坠落半径内不得允许人通过；</w:t>
      </w:r>
    </w:p>
    <w:p w14:paraId="17CF2F5B">
      <w:pPr>
        <w:pStyle w:val="248"/>
        <w:numPr>
          <w:ilvl w:val="0"/>
          <w:numId w:val="42"/>
        </w:numPr>
        <w:ind w:left="735" w:leftChars="150" w:hanging="420" w:hangingChars="200"/>
        <w:rPr>
          <w:rFonts w:hint="eastAsia"/>
        </w:rPr>
      </w:pPr>
      <w:r>
        <w:rPr>
          <w:rFonts w:hint="eastAsia"/>
        </w:rPr>
        <w:t>外挂防护架使用的钢管、扣件等材料必须送专业检测机构进行力学性能检测，相关力学指标应满足设计要求。</w:t>
      </w:r>
    </w:p>
    <w:p w14:paraId="02587A53">
      <w:pPr>
        <w:pStyle w:val="235"/>
        <w:spacing w:before="156" w:after="156"/>
        <w:ind w:left="0"/>
        <w:rPr>
          <w:rFonts w:ascii="Times New Roman" w:eastAsia="宋体"/>
          <w:szCs w:val="20"/>
        </w:rPr>
      </w:pPr>
      <w:r>
        <w:rPr>
          <w:rFonts w:hint="eastAsia" w:ascii="Times New Roman" w:eastAsia="宋体"/>
          <w:szCs w:val="20"/>
        </w:rPr>
        <w:t>使用外挑防护架作为外防护架时应符合以下要求：</w:t>
      </w:r>
    </w:p>
    <w:p w14:paraId="1759617A">
      <w:pPr>
        <w:pStyle w:val="248"/>
        <w:numPr>
          <w:ilvl w:val="0"/>
          <w:numId w:val="43"/>
        </w:numPr>
        <w:ind w:left="735" w:leftChars="150" w:hanging="420" w:hangingChars="200"/>
        <w:rPr>
          <w:rFonts w:hint="eastAsia"/>
        </w:rPr>
      </w:pPr>
      <w:r>
        <w:rPr>
          <w:rFonts w:hint="eastAsia"/>
        </w:rPr>
        <w:t>应对外挑防护架架体进行设计、验算，并对与外挑防护架相连的竖向支撑架的连续3根立杆进行受力计算，确保外防护架架体和连接立杆稳定可靠；</w:t>
      </w:r>
    </w:p>
    <w:p w14:paraId="5AFD35F3">
      <w:pPr>
        <w:pStyle w:val="248"/>
        <w:numPr>
          <w:ilvl w:val="0"/>
          <w:numId w:val="43"/>
        </w:numPr>
        <w:ind w:left="735" w:leftChars="150" w:hanging="420" w:hangingChars="200"/>
        <w:rPr>
          <w:rFonts w:hint="eastAsia"/>
        </w:rPr>
      </w:pPr>
      <w:r>
        <w:rPr>
          <w:rFonts w:hint="eastAsia"/>
        </w:rPr>
        <w:t>与外挑防护架相连的竖向支撑架的连续3根立杆之间应加设斜撑连接；</w:t>
      </w:r>
    </w:p>
    <w:p w14:paraId="3F0B97B3">
      <w:pPr>
        <w:pStyle w:val="248"/>
        <w:numPr>
          <w:ilvl w:val="0"/>
          <w:numId w:val="43"/>
        </w:numPr>
        <w:ind w:left="735" w:leftChars="150" w:hanging="420" w:hangingChars="200"/>
        <w:rPr>
          <w:rFonts w:hint="eastAsia"/>
        </w:rPr>
      </w:pPr>
      <w:r>
        <w:rPr>
          <w:rFonts w:hint="eastAsia"/>
        </w:rPr>
        <w:t>在操作层，应设置外挑防护架与建筑结构的拉结；</w:t>
      </w:r>
    </w:p>
    <w:p w14:paraId="3AC78180">
      <w:pPr>
        <w:pStyle w:val="248"/>
        <w:numPr>
          <w:ilvl w:val="0"/>
          <w:numId w:val="43"/>
        </w:numPr>
        <w:ind w:left="735" w:leftChars="150" w:hanging="420" w:hangingChars="200"/>
        <w:rPr>
          <w:rFonts w:hint="eastAsia"/>
        </w:rPr>
      </w:pPr>
      <w:r>
        <w:rPr>
          <w:rFonts w:hint="eastAsia"/>
        </w:rPr>
        <w:t>在外挑防护架搭设、拆除过程中，作业人员应系好安全带，下方坠落半径内应设置警戒；</w:t>
      </w:r>
    </w:p>
    <w:p w14:paraId="12BFCC51">
      <w:pPr>
        <w:pStyle w:val="248"/>
        <w:numPr>
          <w:ilvl w:val="0"/>
          <w:numId w:val="43"/>
        </w:numPr>
        <w:ind w:left="735" w:leftChars="150" w:hanging="420" w:hangingChars="200"/>
        <w:rPr>
          <w:rFonts w:hint="eastAsia"/>
        </w:rPr>
      </w:pPr>
      <w:r>
        <w:rPr>
          <w:rFonts w:hint="eastAsia"/>
        </w:rPr>
        <w:t>不得在架体上堆放、周转材料；严禁使用外挑防护架支承模板或上部结构。</w:t>
      </w:r>
    </w:p>
    <w:p w14:paraId="630DF778">
      <w:pPr>
        <w:pStyle w:val="235"/>
        <w:spacing w:before="156" w:after="156"/>
        <w:ind w:left="0"/>
        <w:jc w:val="both"/>
        <w:rPr>
          <w:rFonts w:ascii="Times New Roman" w:eastAsia="宋体"/>
          <w:szCs w:val="20"/>
        </w:rPr>
      </w:pPr>
      <w:r>
        <w:rPr>
          <w:rFonts w:hint="eastAsia" w:ascii="Times New Roman" w:eastAsia="宋体"/>
          <w:szCs w:val="20"/>
        </w:rPr>
        <w:t>外防护架栏杆上横杆应高出施工作业面1.2m以上。脚手板离墙面的距离的距离不应大于150mm。架体底层应用硬质材料铺设严密，与墙体无间隙。</w:t>
      </w:r>
    </w:p>
    <w:p w14:paraId="29DBB1B4">
      <w:pPr>
        <w:pStyle w:val="235"/>
        <w:spacing w:before="156" w:after="156"/>
        <w:ind w:left="0"/>
        <w:rPr>
          <w:rFonts w:ascii="Times New Roman" w:eastAsia="宋体"/>
          <w:szCs w:val="20"/>
        </w:rPr>
      </w:pPr>
      <w:r>
        <w:rPr>
          <w:rFonts w:hint="eastAsia" w:ascii="Times New Roman" w:eastAsia="宋体"/>
          <w:szCs w:val="20"/>
        </w:rPr>
        <w:t>外防护架提升前，应清理架体上的物料；提升过程中，严禁人员停留架体上。</w:t>
      </w:r>
    </w:p>
    <w:p w14:paraId="6C3D0A93">
      <w:pPr>
        <w:pStyle w:val="235"/>
        <w:spacing w:before="156" w:after="156"/>
        <w:ind w:left="0"/>
        <w:rPr>
          <w:rFonts w:ascii="Times New Roman" w:eastAsia="宋体"/>
          <w:szCs w:val="20"/>
        </w:rPr>
      </w:pPr>
      <w:r>
        <w:rPr>
          <w:rFonts w:hint="eastAsia" w:ascii="Times New Roman" w:eastAsia="宋体"/>
          <w:szCs w:val="20"/>
        </w:rPr>
        <w:t>外防护架应由专业人员进行搭设、提升、拆卸作业。</w:t>
      </w:r>
    </w:p>
    <w:p w14:paraId="7CCB8E7A">
      <w:pPr>
        <w:pStyle w:val="235"/>
        <w:spacing w:before="156" w:after="156"/>
        <w:ind w:left="0"/>
        <w:rPr>
          <w:rFonts w:ascii="Times New Roman" w:eastAsia="宋体"/>
          <w:szCs w:val="20"/>
        </w:rPr>
      </w:pPr>
      <w:r>
        <w:rPr>
          <w:rFonts w:hint="eastAsia" w:ascii="Times New Roman" w:eastAsia="宋体"/>
          <w:szCs w:val="20"/>
        </w:rPr>
        <w:t>当采用上下两套架体作为外防护架时，提升、拆除下方架体的钢丝绳不应穿过上方架体。</w:t>
      </w:r>
    </w:p>
    <w:p w14:paraId="2825DFE0">
      <w:pPr>
        <w:pStyle w:val="235"/>
        <w:spacing w:before="156" w:after="156"/>
        <w:ind w:left="0"/>
        <w:rPr>
          <w:rFonts w:ascii="Times New Roman" w:eastAsia="宋体"/>
          <w:szCs w:val="20"/>
        </w:rPr>
      </w:pPr>
      <w:r>
        <w:rPr>
          <w:rFonts w:hint="eastAsia" w:ascii="Times New Roman" w:eastAsia="宋体"/>
          <w:szCs w:val="20"/>
        </w:rPr>
        <w:t>外防护架搭设、提升、拆卸过程中，下方应设置警戒隔离区域；使用过程中，坠落半径内通道、作业面应设置安全防护棚。</w:t>
      </w:r>
    </w:p>
    <w:p w14:paraId="500A4A19">
      <w:pPr>
        <w:pStyle w:val="235"/>
        <w:spacing w:before="156" w:after="156"/>
        <w:ind w:left="0"/>
        <w:rPr>
          <w:rFonts w:ascii="Times New Roman" w:eastAsia="宋体"/>
          <w:szCs w:val="20"/>
        </w:rPr>
      </w:pPr>
      <w:r>
        <w:rPr>
          <w:rFonts w:hint="eastAsia" w:ascii="Times New Roman" w:eastAsia="宋体"/>
          <w:szCs w:val="20"/>
        </w:rPr>
        <w:t>拆下的相关扣件和配件等应及时运至地面或相应的结构层，严禁高空抛掷。</w:t>
      </w:r>
    </w:p>
    <w:p w14:paraId="35C983FD">
      <w:pPr>
        <w:pStyle w:val="235"/>
        <w:spacing w:before="156" w:after="156"/>
        <w:ind w:left="0"/>
        <w:jc w:val="both"/>
        <w:rPr>
          <w:rFonts w:ascii="Times New Roman" w:eastAsia="宋体"/>
          <w:szCs w:val="20"/>
        </w:rPr>
      </w:pPr>
      <w:r>
        <w:rPr>
          <w:rFonts w:hint="eastAsia" w:ascii="Times New Roman" w:eastAsia="宋体"/>
          <w:szCs w:val="20"/>
        </w:rPr>
        <w:t>采用悬挑架、落地架等其他形式进行防护时，应</w:t>
      </w:r>
      <w:r>
        <w:rPr>
          <w:rFonts w:hint="eastAsia" w:ascii="Times New Roman" w:eastAsia="宋体"/>
          <w:szCs w:val="20"/>
          <w:lang w:eastAsia="zh-CN"/>
        </w:rPr>
        <w:t>按</w:t>
      </w:r>
      <w:r>
        <w:rPr>
          <w:rFonts w:hint="eastAsia" w:ascii="Times New Roman" w:eastAsia="宋体"/>
          <w:szCs w:val="20"/>
        </w:rPr>
        <w:t>《建筑施工工具式脚手架安全技术规范》JGJ 202、《建筑施工扣件式钢管脚手架安全技术规范》JGJ 130和《建筑施工承插型盘扣件钢管支架安全技术规程》JGJ 231等有关规定。</w:t>
      </w:r>
    </w:p>
    <w:p w14:paraId="0ED951C3">
      <w:pPr>
        <w:numPr>
          <w:ilvl w:val="1"/>
          <w:numId w:val="32"/>
        </w:numPr>
        <w:adjustRightInd/>
        <w:spacing w:before="156" w:beforeLines="50" w:after="156" w:afterLines="50" w:line="240" w:lineRule="auto"/>
        <w:outlineLvl w:val="1"/>
        <w:rPr>
          <w:rFonts w:hint="eastAsia" w:ascii="黑体" w:hAnsi="黑体" w:eastAsia="黑体"/>
          <w:szCs w:val="22"/>
        </w:rPr>
      </w:pPr>
      <w:bookmarkStart w:id="81" w:name="_Toc24582"/>
      <w:r>
        <w:rPr>
          <w:rFonts w:hint="eastAsia" w:ascii="黑体" w:hAnsi="黑体" w:eastAsia="黑体"/>
          <w:szCs w:val="22"/>
        </w:rPr>
        <w:t>临边、攀登作业</w:t>
      </w:r>
      <w:bookmarkEnd w:id="81"/>
    </w:p>
    <w:p w14:paraId="422258F1">
      <w:pPr>
        <w:pStyle w:val="235"/>
        <w:spacing w:before="156" w:after="156"/>
        <w:ind w:left="0"/>
        <w:rPr>
          <w:rFonts w:ascii="Times New Roman" w:eastAsia="宋体"/>
          <w:szCs w:val="20"/>
        </w:rPr>
      </w:pPr>
      <w:r>
        <w:rPr>
          <w:rFonts w:hint="eastAsia" w:ascii="Times New Roman" w:eastAsia="宋体"/>
          <w:szCs w:val="20"/>
        </w:rPr>
        <w:t>预制构件安装时，应使用登高设施攀登作业。高处作业时，应设置操作平台。</w:t>
      </w:r>
    </w:p>
    <w:p w14:paraId="3ABAEABF">
      <w:pPr>
        <w:pStyle w:val="235"/>
        <w:spacing w:before="156" w:after="156"/>
        <w:ind w:left="0"/>
        <w:rPr>
          <w:rFonts w:ascii="Times New Roman" w:eastAsia="宋体"/>
          <w:szCs w:val="20"/>
        </w:rPr>
      </w:pPr>
      <w:r>
        <w:rPr>
          <w:rFonts w:hint="eastAsia" w:ascii="Times New Roman" w:eastAsia="宋体"/>
          <w:szCs w:val="20"/>
        </w:rPr>
        <w:t>临边进行预制构件安装时，作业人员应佩戴安全带。</w:t>
      </w:r>
    </w:p>
    <w:p w14:paraId="2FCC6905">
      <w:pPr>
        <w:pStyle w:val="235"/>
        <w:spacing w:before="156" w:after="156"/>
        <w:ind w:left="0"/>
        <w:rPr>
          <w:rFonts w:ascii="Times New Roman" w:eastAsia="宋体"/>
          <w:szCs w:val="20"/>
        </w:rPr>
      </w:pPr>
      <w:r>
        <w:rPr>
          <w:rFonts w:hint="eastAsia" w:ascii="Times New Roman" w:eastAsia="宋体"/>
          <w:szCs w:val="20"/>
        </w:rPr>
        <w:t>临边进行预制构件就位时，作业人员应站在预制构件的内侧。</w:t>
      </w:r>
    </w:p>
    <w:p w14:paraId="4FE5B12B">
      <w:pPr>
        <w:pStyle w:val="235"/>
        <w:spacing w:before="156" w:after="156"/>
        <w:ind w:left="0"/>
        <w:rPr>
          <w:rFonts w:ascii="Times New Roman" w:eastAsia="宋体"/>
          <w:szCs w:val="20"/>
        </w:rPr>
      </w:pPr>
      <w:r>
        <w:rPr>
          <w:rFonts w:hint="eastAsia" w:ascii="Times New Roman" w:eastAsia="宋体"/>
          <w:szCs w:val="20"/>
        </w:rPr>
        <w:t>临边进行预制构件就位时，若预制构件离安装面大于1m时，宜使用牵揽绳辅助就位。</w:t>
      </w:r>
    </w:p>
    <w:p w14:paraId="39CA9BFC">
      <w:pPr>
        <w:pStyle w:val="235"/>
        <w:spacing w:before="156" w:after="156"/>
        <w:ind w:left="0"/>
        <w:rPr>
          <w:rFonts w:ascii="Times New Roman" w:eastAsia="宋体"/>
          <w:szCs w:val="20"/>
        </w:rPr>
      </w:pPr>
      <w:r>
        <w:rPr>
          <w:rFonts w:hint="eastAsia" w:ascii="Times New Roman" w:eastAsia="宋体"/>
          <w:szCs w:val="20"/>
        </w:rPr>
        <w:t>在预制构件安装过程中，临边、洞口的防护应牢固、可靠，并符合《建筑施工高处作业安全技术规范》JGJ 80的相关要求。</w:t>
      </w:r>
    </w:p>
    <w:p w14:paraId="2CCED276">
      <w:pPr>
        <w:numPr>
          <w:ilvl w:val="0"/>
          <w:numId w:val="32"/>
        </w:numPr>
        <w:adjustRightInd/>
        <w:spacing w:before="312" w:beforeLines="100" w:after="312" w:afterLines="100" w:line="240" w:lineRule="auto"/>
        <w:ind w:left="0"/>
        <w:outlineLvl w:val="0"/>
        <w:rPr>
          <w:rFonts w:eastAsia="黑体"/>
          <w:szCs w:val="22"/>
        </w:rPr>
      </w:pPr>
      <w:bookmarkStart w:id="82" w:name="bookmark11"/>
      <w:bookmarkEnd w:id="82"/>
      <w:bookmarkStart w:id="83" w:name="_Toc869"/>
      <w:r>
        <w:rPr>
          <w:rFonts w:hint="eastAsia" w:eastAsia="黑体"/>
          <w:szCs w:val="22"/>
        </w:rPr>
        <w:t>安全管理</w:t>
      </w:r>
      <w:bookmarkEnd w:id="83"/>
    </w:p>
    <w:p w14:paraId="156CD063">
      <w:pPr>
        <w:numPr>
          <w:ilvl w:val="1"/>
          <w:numId w:val="32"/>
        </w:numPr>
        <w:adjustRightInd/>
        <w:spacing w:before="156" w:beforeLines="50" w:after="156" w:afterLines="50" w:line="240" w:lineRule="auto"/>
        <w:outlineLvl w:val="1"/>
        <w:rPr>
          <w:rFonts w:hint="eastAsia" w:ascii="黑体" w:hAnsi="黑体" w:eastAsia="黑体"/>
          <w:szCs w:val="22"/>
        </w:rPr>
      </w:pPr>
      <w:bookmarkStart w:id="84" w:name="_Toc26602"/>
      <w:r>
        <w:rPr>
          <w:rFonts w:hint="eastAsia" w:ascii="黑体" w:hAnsi="黑体" w:eastAsia="黑体"/>
          <w:szCs w:val="22"/>
        </w:rPr>
        <w:t>一般规定</w:t>
      </w:r>
      <w:bookmarkEnd w:id="84"/>
    </w:p>
    <w:p w14:paraId="0A831F70">
      <w:pPr>
        <w:pStyle w:val="235"/>
        <w:spacing w:before="156" w:after="156"/>
        <w:ind w:left="0"/>
        <w:rPr>
          <w:rFonts w:ascii="Times New Roman" w:eastAsia="宋体"/>
          <w:szCs w:val="20"/>
        </w:rPr>
      </w:pPr>
      <w:r>
        <w:rPr>
          <w:rFonts w:hint="eastAsia" w:ascii="Times New Roman" w:eastAsia="宋体"/>
          <w:szCs w:val="20"/>
        </w:rPr>
        <w:t>从事装配式混凝土建筑施工的项目经理、专职安全管理人员及建筑起重机械司机、建筑起重信号司索工、电工、焊工、架子工等特种作业人员应持证上岗，装配工、灌浆工等应经过专业培训合格后上岗作业。</w:t>
      </w:r>
    </w:p>
    <w:p w14:paraId="6359CB60">
      <w:pPr>
        <w:pStyle w:val="235"/>
        <w:spacing w:before="156" w:after="156"/>
        <w:ind w:left="0"/>
        <w:jc w:val="both"/>
        <w:rPr>
          <w:rFonts w:ascii="Times New Roman" w:eastAsia="宋体"/>
          <w:szCs w:val="20"/>
        </w:rPr>
      </w:pPr>
      <w:r>
        <w:rPr>
          <w:rFonts w:hint="eastAsia" w:ascii="Times New Roman" w:eastAsia="宋体"/>
          <w:szCs w:val="20"/>
        </w:rPr>
        <w:t>施工单位应建立健全安全事故隐患排查制度，对检查发现的安全事故隐患应定人员、定时间、定措施整改。</w:t>
      </w:r>
    </w:p>
    <w:p w14:paraId="06DC0ADA">
      <w:pPr>
        <w:pStyle w:val="235"/>
        <w:spacing w:before="156" w:after="156"/>
        <w:ind w:left="0"/>
        <w:jc w:val="both"/>
        <w:rPr>
          <w:rFonts w:ascii="Times New Roman" w:eastAsia="宋体"/>
          <w:szCs w:val="20"/>
        </w:rPr>
      </w:pPr>
      <w:r>
        <w:rPr>
          <w:rFonts w:hint="eastAsia" w:ascii="Times New Roman" w:eastAsia="宋体"/>
          <w:szCs w:val="20"/>
        </w:rPr>
        <w:t>施工单位应在施工现场显著位置设置“危大工程”公告牌。公告内容包括“危大工程”名称、施工时间、可能出现的风险、应急预案及防范措施、具体责任人员、联系方式等。危险区域设置安全警示标志，并在施工现场明显位置设置验收标识牌，公示验收时间及责任人员。</w:t>
      </w:r>
    </w:p>
    <w:p w14:paraId="42991307">
      <w:pPr>
        <w:pStyle w:val="235"/>
        <w:spacing w:before="156" w:after="156"/>
        <w:ind w:left="0"/>
        <w:jc w:val="both"/>
        <w:rPr>
          <w:rFonts w:ascii="Times New Roman" w:eastAsia="宋体"/>
          <w:szCs w:val="20"/>
        </w:rPr>
      </w:pPr>
      <w:r>
        <w:rPr>
          <w:rFonts w:hint="eastAsia" w:ascii="Times New Roman" w:eastAsia="宋体"/>
          <w:szCs w:val="20"/>
        </w:rPr>
        <w:t>装配式混凝土建筑施工宜建立安全信息化管理体系，进行施工安全信息化技术化管理。装配式混凝土建筑安全信息化管理宜采用智慧工地管理平台，管理内容宜包括下列事项：</w:t>
      </w:r>
    </w:p>
    <w:p w14:paraId="057BD87A">
      <w:pPr>
        <w:pStyle w:val="248"/>
        <w:numPr>
          <w:ilvl w:val="0"/>
          <w:numId w:val="44"/>
        </w:numPr>
        <w:ind w:left="735" w:leftChars="150" w:hanging="420" w:hangingChars="200"/>
        <w:rPr>
          <w:rFonts w:hint="eastAsia"/>
        </w:rPr>
      </w:pPr>
      <w:r>
        <w:rPr>
          <w:rFonts w:hint="eastAsia"/>
        </w:rPr>
        <w:t>收集环境信息，根据实际情况发布天气预警信息；</w:t>
      </w:r>
    </w:p>
    <w:p w14:paraId="7B2C6721">
      <w:pPr>
        <w:pStyle w:val="248"/>
        <w:numPr>
          <w:ilvl w:val="0"/>
          <w:numId w:val="44"/>
        </w:numPr>
        <w:ind w:left="735" w:leftChars="150" w:hanging="420" w:hangingChars="200"/>
        <w:rPr>
          <w:rFonts w:hint="eastAsia"/>
        </w:rPr>
      </w:pPr>
      <w:r>
        <w:rPr>
          <w:rFonts w:hint="eastAsia"/>
        </w:rPr>
        <w:t>进行风险的辨识，分级管控；</w:t>
      </w:r>
    </w:p>
    <w:p w14:paraId="717D60A2">
      <w:pPr>
        <w:pStyle w:val="248"/>
        <w:numPr>
          <w:ilvl w:val="0"/>
          <w:numId w:val="44"/>
        </w:numPr>
        <w:ind w:left="735" w:leftChars="150" w:hanging="420" w:hangingChars="200"/>
        <w:rPr>
          <w:rFonts w:hint="eastAsia"/>
        </w:rPr>
      </w:pPr>
      <w:r>
        <w:rPr>
          <w:rFonts w:hint="eastAsia"/>
        </w:rPr>
        <w:t>线上安全巡检、统计安全问题、排查安全事故隐患等，形成报告；</w:t>
      </w:r>
    </w:p>
    <w:p w14:paraId="71F12C99">
      <w:pPr>
        <w:pStyle w:val="248"/>
        <w:numPr>
          <w:ilvl w:val="0"/>
          <w:numId w:val="44"/>
        </w:numPr>
        <w:ind w:left="735" w:leftChars="150" w:hanging="420" w:hangingChars="200"/>
        <w:rPr>
          <w:rFonts w:hint="eastAsia"/>
        </w:rPr>
      </w:pPr>
      <w:r>
        <w:rPr>
          <w:rFonts w:hint="eastAsia"/>
        </w:rPr>
        <w:t>采用视频系统对现场安全施工进行监控，定期采用无人机空中安全巡检；</w:t>
      </w:r>
    </w:p>
    <w:p w14:paraId="4C48CC43">
      <w:pPr>
        <w:pStyle w:val="248"/>
        <w:numPr>
          <w:ilvl w:val="0"/>
          <w:numId w:val="44"/>
        </w:numPr>
        <w:ind w:left="735" w:leftChars="150" w:hanging="420" w:hangingChars="200"/>
        <w:rPr>
          <w:rFonts w:hint="eastAsia"/>
        </w:rPr>
      </w:pPr>
      <w:r>
        <w:rPr>
          <w:rFonts w:hint="eastAsia"/>
        </w:rPr>
        <w:t>安装辅助定位设备，对移动式起重设备进行定位管理；</w:t>
      </w:r>
    </w:p>
    <w:p w14:paraId="1FD108B9">
      <w:pPr>
        <w:pStyle w:val="248"/>
        <w:numPr>
          <w:ilvl w:val="0"/>
          <w:numId w:val="44"/>
        </w:numPr>
        <w:ind w:left="735" w:leftChars="150" w:hanging="420" w:hangingChars="200"/>
        <w:rPr>
          <w:rFonts w:hint="eastAsia"/>
        </w:rPr>
      </w:pPr>
      <w:r>
        <w:rPr>
          <w:rFonts w:hint="eastAsia"/>
        </w:rPr>
        <w:t>现场管理人员和作业人员实名制管理；</w:t>
      </w:r>
    </w:p>
    <w:p w14:paraId="314867A4">
      <w:pPr>
        <w:pStyle w:val="248"/>
        <w:numPr>
          <w:ilvl w:val="0"/>
          <w:numId w:val="44"/>
        </w:numPr>
        <w:ind w:left="735" w:leftChars="150" w:hanging="420" w:hangingChars="200"/>
        <w:rPr>
          <w:rFonts w:hint="eastAsia"/>
        </w:rPr>
      </w:pPr>
      <w:r>
        <w:rPr>
          <w:rFonts w:hint="eastAsia"/>
        </w:rPr>
        <w:t>起重机械安装安全监控系统，及时采集起重机械工作参数，发布预警信息。</w:t>
      </w:r>
    </w:p>
    <w:p w14:paraId="41BCCE87">
      <w:pPr>
        <w:numPr>
          <w:ilvl w:val="1"/>
          <w:numId w:val="32"/>
        </w:numPr>
        <w:adjustRightInd/>
        <w:spacing w:before="156" w:beforeLines="50" w:after="156" w:afterLines="50" w:line="240" w:lineRule="auto"/>
        <w:outlineLvl w:val="1"/>
        <w:rPr>
          <w:rFonts w:hint="eastAsia" w:ascii="黑体" w:hAnsi="黑体" w:eastAsia="黑体"/>
          <w:szCs w:val="22"/>
        </w:rPr>
      </w:pPr>
      <w:bookmarkStart w:id="85" w:name="_Toc740"/>
      <w:r>
        <w:rPr>
          <w:rFonts w:hint="eastAsia" w:ascii="黑体" w:hAnsi="黑体" w:eastAsia="黑体"/>
          <w:szCs w:val="22"/>
        </w:rPr>
        <w:t>机械设备</w:t>
      </w:r>
      <w:bookmarkEnd w:id="85"/>
    </w:p>
    <w:p w14:paraId="034BE39E">
      <w:pPr>
        <w:pStyle w:val="235"/>
        <w:spacing w:before="156" w:after="156"/>
        <w:ind w:left="0"/>
        <w:jc w:val="both"/>
        <w:rPr>
          <w:rFonts w:ascii="Times New Roman" w:eastAsia="宋体"/>
          <w:szCs w:val="20"/>
        </w:rPr>
      </w:pPr>
      <w:r>
        <w:rPr>
          <w:rFonts w:hint="eastAsia" w:ascii="Times New Roman" w:eastAsia="宋体"/>
          <w:szCs w:val="20"/>
        </w:rPr>
        <w:t>起重机械设备应按照要求办理产权备案登记、检验检测、安装告知、验收、使用登记和拆除告知等。</w:t>
      </w:r>
    </w:p>
    <w:p w14:paraId="1167DE52">
      <w:pPr>
        <w:pStyle w:val="235"/>
        <w:spacing w:before="156" w:after="156"/>
        <w:ind w:left="0"/>
        <w:jc w:val="both"/>
        <w:rPr>
          <w:rFonts w:ascii="Times New Roman" w:eastAsia="宋体"/>
          <w:szCs w:val="20"/>
        </w:rPr>
      </w:pPr>
      <w:r>
        <w:rPr>
          <w:rFonts w:hint="eastAsia" w:ascii="Times New Roman" w:eastAsia="宋体"/>
          <w:szCs w:val="20"/>
        </w:rPr>
        <w:t>运输机械、起重机械等的安拆与调试、检验、运行与维护应执行《塔式起重机安全规程》GB 5144和《建筑机械使用安全技术规程》JGJ 33的规定。</w:t>
      </w:r>
    </w:p>
    <w:p w14:paraId="58C8B2ED">
      <w:pPr>
        <w:pStyle w:val="235"/>
        <w:spacing w:before="156" w:after="156"/>
        <w:ind w:left="0"/>
        <w:jc w:val="both"/>
        <w:rPr>
          <w:rFonts w:ascii="Times New Roman" w:eastAsia="宋体"/>
          <w:szCs w:val="20"/>
        </w:rPr>
      </w:pPr>
      <w:r>
        <w:rPr>
          <w:rFonts w:hint="eastAsia" w:ascii="Times New Roman" w:eastAsia="宋体"/>
          <w:szCs w:val="20"/>
        </w:rPr>
        <w:t>现场的建筑起重机械，应按照“一机一档”要求建立设备进场、现场安拆、安装检测验收、日常检查和维修保养档案。</w:t>
      </w:r>
    </w:p>
    <w:p w14:paraId="2685155A">
      <w:pPr>
        <w:pStyle w:val="235"/>
        <w:spacing w:before="156" w:after="156"/>
        <w:ind w:left="0"/>
        <w:rPr>
          <w:rFonts w:ascii="Times New Roman" w:eastAsia="宋体"/>
          <w:szCs w:val="20"/>
        </w:rPr>
      </w:pPr>
      <w:r>
        <w:rPr>
          <w:rFonts w:hint="eastAsia" w:ascii="Times New Roman" w:eastAsia="宋体"/>
          <w:szCs w:val="20"/>
        </w:rPr>
        <w:t>应由专人对大型建筑起重机械的进场查验、安装、使用、维保、退场等进行统一管理，机械设备应定期做好维护保养，各项安全保险装置齐全有效。</w:t>
      </w:r>
    </w:p>
    <w:p w14:paraId="5A90DCB5">
      <w:pPr>
        <w:numPr>
          <w:ilvl w:val="1"/>
          <w:numId w:val="32"/>
        </w:numPr>
        <w:adjustRightInd/>
        <w:spacing w:before="156" w:beforeLines="50" w:after="156" w:afterLines="50" w:line="240" w:lineRule="auto"/>
        <w:outlineLvl w:val="1"/>
        <w:rPr>
          <w:rFonts w:hint="eastAsia" w:ascii="黑体" w:hAnsi="黑体" w:eastAsia="黑体"/>
          <w:szCs w:val="22"/>
        </w:rPr>
      </w:pPr>
      <w:bookmarkStart w:id="86" w:name="_Toc31498"/>
      <w:r>
        <w:rPr>
          <w:rFonts w:hint="eastAsia" w:ascii="黑体" w:hAnsi="黑体" w:eastAsia="黑体"/>
          <w:szCs w:val="22"/>
        </w:rPr>
        <w:t>临时用电</w:t>
      </w:r>
      <w:bookmarkEnd w:id="86"/>
    </w:p>
    <w:p w14:paraId="027002BE">
      <w:pPr>
        <w:pStyle w:val="235"/>
        <w:spacing w:before="156" w:after="156"/>
        <w:ind w:left="0"/>
        <w:rPr>
          <w:rFonts w:ascii="Times New Roman" w:eastAsia="宋体"/>
          <w:szCs w:val="20"/>
        </w:rPr>
      </w:pPr>
      <w:r>
        <w:rPr>
          <w:rFonts w:hint="eastAsia" w:ascii="Times New Roman" w:eastAsia="宋体"/>
          <w:szCs w:val="20"/>
        </w:rPr>
        <w:t>施工现场临时用电应符合《建设工程施工现场供用电安全规范》GB 50194和《施工现场临时用电安全技术规范》JGJ 46的规定。</w:t>
      </w:r>
    </w:p>
    <w:p w14:paraId="1E25F796">
      <w:pPr>
        <w:pStyle w:val="235"/>
        <w:spacing w:before="156" w:after="156"/>
        <w:ind w:left="0"/>
        <w:rPr>
          <w:rFonts w:ascii="Times New Roman" w:eastAsia="宋体"/>
          <w:szCs w:val="20"/>
        </w:rPr>
      </w:pPr>
      <w:r>
        <w:rPr>
          <w:rFonts w:hint="eastAsia" w:ascii="Times New Roman" w:eastAsia="宋体"/>
          <w:szCs w:val="20"/>
        </w:rPr>
        <w:t>临时用电组织设计应根据装配式混凝土建筑施工特点，由电气工程技术人员组织编制，并履行审核、批准手续。</w:t>
      </w:r>
    </w:p>
    <w:p w14:paraId="3197F0B0">
      <w:pPr>
        <w:pStyle w:val="235"/>
        <w:spacing w:before="156" w:after="156"/>
        <w:ind w:left="0"/>
        <w:rPr>
          <w:rFonts w:ascii="Times New Roman" w:eastAsia="宋体"/>
          <w:szCs w:val="20"/>
        </w:rPr>
      </w:pPr>
      <w:r>
        <w:rPr>
          <w:rFonts w:hint="eastAsia" w:ascii="Times New Roman" w:eastAsia="宋体"/>
          <w:szCs w:val="20"/>
        </w:rPr>
        <w:t>现场临时用电的电缆线路应采用架空或埋地敷设，不应随意放置地面。</w:t>
      </w:r>
    </w:p>
    <w:p w14:paraId="2CF96D73">
      <w:pPr>
        <w:pStyle w:val="235"/>
        <w:spacing w:before="156" w:after="156"/>
        <w:ind w:left="0"/>
        <w:rPr>
          <w:rFonts w:ascii="Times New Roman" w:eastAsia="宋体"/>
          <w:szCs w:val="20"/>
        </w:rPr>
      </w:pPr>
      <w:r>
        <w:rPr>
          <w:rFonts w:hint="eastAsia" w:ascii="Times New Roman" w:eastAsia="宋体"/>
          <w:szCs w:val="20"/>
        </w:rPr>
        <w:t>电、气焊作业前，应办理动火审批手续，作业时应采取有效的防火隔离和消防措施。</w:t>
      </w:r>
    </w:p>
    <w:p w14:paraId="77E8A2A0">
      <w:pPr>
        <w:pStyle w:val="235"/>
        <w:spacing w:before="156" w:after="156"/>
        <w:ind w:left="0"/>
        <w:rPr>
          <w:rFonts w:ascii="Times New Roman" w:eastAsia="宋体"/>
          <w:szCs w:val="20"/>
        </w:rPr>
      </w:pPr>
      <w:r>
        <w:rPr>
          <w:rFonts w:hint="eastAsia" w:ascii="Times New Roman" w:eastAsia="宋体"/>
          <w:szCs w:val="20"/>
        </w:rPr>
        <w:t>雨季施工期间，应加强临时用电安全检查，做好用电设施防潮防雨措施。</w:t>
      </w:r>
    </w:p>
    <w:p w14:paraId="32B3C9C3">
      <w:pPr>
        <w:pStyle w:val="235"/>
        <w:spacing w:before="156" w:after="156"/>
        <w:ind w:left="0"/>
        <w:rPr>
          <w:rFonts w:ascii="Times New Roman" w:eastAsia="宋体"/>
          <w:szCs w:val="20"/>
        </w:rPr>
      </w:pPr>
      <w:r>
        <w:rPr>
          <w:rFonts w:hint="eastAsia" w:ascii="Times New Roman" w:eastAsia="宋体"/>
          <w:szCs w:val="20"/>
        </w:rPr>
        <w:t>塔式起重机运行过程中意外断电时，应立即将控制器拔到零位，断开电源总开关，并将起吊预制构件降至地面。</w:t>
      </w:r>
    </w:p>
    <w:p w14:paraId="36501E93">
      <w:pPr>
        <w:numPr>
          <w:ilvl w:val="1"/>
          <w:numId w:val="32"/>
        </w:numPr>
        <w:adjustRightInd/>
        <w:spacing w:before="156" w:beforeLines="50" w:after="156" w:afterLines="50" w:line="240" w:lineRule="auto"/>
        <w:outlineLvl w:val="1"/>
        <w:rPr>
          <w:rFonts w:hint="eastAsia" w:ascii="黑体" w:hAnsi="黑体" w:eastAsia="黑体"/>
          <w:szCs w:val="22"/>
        </w:rPr>
      </w:pPr>
      <w:bookmarkStart w:id="87" w:name="_Toc3912"/>
      <w:r>
        <w:rPr>
          <w:rFonts w:hint="eastAsia" w:ascii="黑体" w:hAnsi="黑体" w:eastAsia="黑体"/>
          <w:szCs w:val="22"/>
        </w:rPr>
        <w:t>特殊天气施工</w:t>
      </w:r>
      <w:bookmarkEnd w:id="87"/>
    </w:p>
    <w:p w14:paraId="3AB1B3FC">
      <w:pPr>
        <w:pStyle w:val="235"/>
        <w:spacing w:before="156" w:after="156"/>
        <w:ind w:left="0"/>
        <w:rPr>
          <w:rFonts w:ascii="Times New Roman" w:eastAsia="宋体"/>
          <w:szCs w:val="20"/>
        </w:rPr>
      </w:pPr>
      <w:r>
        <w:rPr>
          <w:rFonts w:hint="eastAsia" w:ascii="Times New Roman" w:eastAsia="宋体"/>
          <w:szCs w:val="20"/>
        </w:rPr>
        <w:t>雨、雪、雾及5级以上大风等恶劣天气时，不应进行吊装作业。暴雨、雷暴及6级及以上强风和能见度较低等恶劣天气，不应进行露天攀登和悬空高处作业。</w:t>
      </w:r>
    </w:p>
    <w:p w14:paraId="4E52A86E">
      <w:pPr>
        <w:pStyle w:val="235"/>
        <w:spacing w:before="156" w:after="156"/>
        <w:ind w:left="0"/>
        <w:rPr>
          <w:rFonts w:ascii="Times New Roman" w:eastAsia="宋体"/>
          <w:szCs w:val="20"/>
        </w:rPr>
      </w:pPr>
      <w:r>
        <w:rPr>
          <w:rFonts w:hint="eastAsia" w:ascii="Times New Roman" w:eastAsia="宋体"/>
          <w:szCs w:val="20"/>
        </w:rPr>
        <w:t>冬期施工应有针对性措施。雨雪后进行吊装作业，应及时清理冰雪并采取防滑措施，先试吊确认制动器灵敏后作业。</w:t>
      </w:r>
    </w:p>
    <w:p w14:paraId="541474A7">
      <w:pPr>
        <w:pStyle w:val="235"/>
        <w:spacing w:before="156" w:after="156"/>
        <w:ind w:left="0"/>
        <w:rPr>
          <w:rFonts w:ascii="Times New Roman" w:eastAsia="宋体"/>
          <w:szCs w:val="20"/>
        </w:rPr>
      </w:pPr>
      <w:r>
        <w:rPr>
          <w:rFonts w:hint="eastAsia" w:ascii="Times New Roman" w:eastAsia="宋体"/>
          <w:szCs w:val="20"/>
        </w:rPr>
        <w:t>台风黄色预警及以上时，应对当前作业层上的预制构件进行加固，消除安全隐患。起重机械应采取相应的防台风措施，并在停风后运行前进行检查与处置。</w:t>
      </w:r>
    </w:p>
    <w:p w14:paraId="2FCC0BB4">
      <w:pPr>
        <w:pStyle w:val="235"/>
        <w:spacing w:before="156" w:after="156"/>
        <w:ind w:left="0"/>
        <w:rPr>
          <w:rFonts w:ascii="Times New Roman" w:eastAsia="宋体"/>
          <w:szCs w:val="20"/>
        </w:rPr>
      </w:pPr>
      <w:r>
        <w:rPr>
          <w:rFonts w:hint="eastAsia" w:ascii="Times New Roman" w:eastAsia="宋体"/>
          <w:szCs w:val="20"/>
        </w:rPr>
        <w:t>高温期间作业时应做好防暑降温工作。</w:t>
      </w:r>
    </w:p>
    <w:sectPr>
      <w:footerReference r:id="rId12"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A2DF">
    <w:pPr>
      <w:pStyle w:val="17"/>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7FA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A159">
    <w:pPr>
      <w:pStyle w:val="53"/>
    </w:pPr>
    <w:r>
      <w:fldChar w:fldCharType="begin"/>
    </w:r>
    <w:r>
      <w:instrText xml:space="preserve">PAGE   \* MERGEFORMAT</w:instrText>
    </w:r>
    <w:r>
      <w:fldChar w:fldCharType="separate"/>
    </w:r>
    <w:r>
      <w:rPr>
        <w:lang w:val="zh-CN"/>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8700">
    <w:pPr>
      <w:spacing w:line="173" w:lineRule="auto"/>
      <w:ind w:left="9069"/>
      <w:rPr>
        <w:rFonts w:ascii="Times New Roman" w:hAnsi="Times New Roman" w:eastAsia="Times New Roman"/>
        <w:sz w:val="14"/>
        <w:szCs w:val="14"/>
      </w:rPr>
    </w:pPr>
    <w:r>
      <w:rPr>
        <w:rFonts w:ascii="Times New Roman" w:hAnsi="Times New Roman" w:eastAsia="Times New Roman"/>
        <w:sz w:val="14"/>
        <w:szCs w:val="1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99A">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1B8E">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98FF">
    <w:pPr>
      <w:pStyle w:val="62"/>
      <w:rPr>
        <w:rFonts w:hint="eastAsia"/>
      </w:rPr>
    </w:pPr>
    <w:r>
      <w:fldChar w:fldCharType="begin"/>
    </w:r>
    <w:r>
      <w:instrText xml:space="preserve"> STYLEREF  标准文件_文件编号  \* MERGEFORMAT </w:instrText>
    </w:r>
    <w:r>
      <w:fldChar w:fldCharType="separate"/>
    </w:r>
    <w:r>
      <w:t>T/CASMES 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B88D">
    <w:pPr>
      <w:pStyle w:val="18"/>
      <w:jc w:val="right"/>
      <w:rPr>
        <w:rFonts w:hint="eastAsia"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T/CASMES XXX—2024</w:t>
    </w:r>
    <w:r>
      <w:rPr>
        <w:rFonts w:ascii="黑体" w:hAnsi="黑体" w:eastAsia="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A3399"/>
    <w:multiLevelType w:val="singleLevel"/>
    <w:tmpl w:val="85FA3399"/>
    <w:lvl w:ilvl="0" w:tentative="0">
      <w:start w:val="1"/>
      <w:numFmt w:val="lowerLetter"/>
      <w:suff w:val="nothing"/>
      <w:lvlText w:val="%1)　"/>
      <w:lvlJc w:val="left"/>
    </w:lvl>
  </w:abstractNum>
  <w:abstractNum w:abstractNumId="1">
    <w:nsid w:val="8CD14E27"/>
    <w:multiLevelType w:val="singleLevel"/>
    <w:tmpl w:val="8CD14E27"/>
    <w:lvl w:ilvl="0" w:tentative="0">
      <w:start w:val="1"/>
      <w:numFmt w:val="lowerLetter"/>
      <w:suff w:val="nothing"/>
      <w:lvlText w:val="%1)　"/>
      <w:lvlJc w:val="left"/>
    </w:lvl>
  </w:abstractNum>
  <w:abstractNum w:abstractNumId="2">
    <w:nsid w:val="A0EE606D"/>
    <w:multiLevelType w:val="singleLevel"/>
    <w:tmpl w:val="A0EE606D"/>
    <w:lvl w:ilvl="0" w:tentative="0">
      <w:start w:val="1"/>
      <w:numFmt w:val="lowerLetter"/>
      <w:suff w:val="nothing"/>
      <w:lvlText w:val="%1)　"/>
      <w:lvlJc w:val="left"/>
    </w:lvl>
  </w:abstractNum>
  <w:abstractNum w:abstractNumId="3">
    <w:nsid w:val="BA7A7B1A"/>
    <w:multiLevelType w:val="singleLevel"/>
    <w:tmpl w:val="BA7A7B1A"/>
    <w:lvl w:ilvl="0" w:tentative="0">
      <w:start w:val="1"/>
      <w:numFmt w:val="lowerLetter"/>
      <w:suff w:val="nothing"/>
      <w:lvlText w:val="%1)　"/>
      <w:lvlJc w:val="left"/>
    </w:lvl>
  </w:abstractNum>
  <w:abstractNum w:abstractNumId="4">
    <w:nsid w:val="C0E680B1"/>
    <w:multiLevelType w:val="singleLevel"/>
    <w:tmpl w:val="C0E680B1"/>
    <w:lvl w:ilvl="0" w:tentative="0">
      <w:start w:val="1"/>
      <w:numFmt w:val="lowerLetter"/>
      <w:suff w:val="nothing"/>
      <w:lvlText w:val="%1)　"/>
      <w:lvlJc w:val="left"/>
    </w:lvl>
  </w:abstractNum>
  <w:abstractNum w:abstractNumId="5">
    <w:nsid w:val="D49D48C3"/>
    <w:multiLevelType w:val="singleLevel"/>
    <w:tmpl w:val="D49D48C3"/>
    <w:lvl w:ilvl="0" w:tentative="0">
      <w:start w:val="1"/>
      <w:numFmt w:val="lowerLetter"/>
      <w:suff w:val="nothing"/>
      <w:lvlText w:val="%1)　"/>
      <w:lvlJc w:val="left"/>
    </w:lvl>
  </w:abstractNum>
  <w:abstractNum w:abstractNumId="6">
    <w:nsid w:val="DE779186"/>
    <w:multiLevelType w:val="singleLevel"/>
    <w:tmpl w:val="DE779186"/>
    <w:lvl w:ilvl="0" w:tentative="0">
      <w:start w:val="1"/>
      <w:numFmt w:val="lowerLetter"/>
      <w:suff w:val="nothing"/>
      <w:lvlText w:val="%1)　"/>
      <w:lvlJc w:val="left"/>
    </w:lvl>
  </w:abstractNum>
  <w:abstractNum w:abstractNumId="7">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4">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1FC91163"/>
    <w:multiLevelType w:val="multilevel"/>
    <w:tmpl w:val="1FC91163"/>
    <w:lvl w:ilvl="0" w:tentative="0">
      <w:start w:val="1"/>
      <w:numFmt w:val="decimal"/>
      <w:pStyle w:val="234"/>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5"/>
      <w:suff w:val="nothing"/>
      <w:lvlText w:val="%1.%2.%3　"/>
      <w:lvlJc w:val="left"/>
      <w:pPr>
        <w:ind w:left="2553" w:firstLine="0"/>
      </w:pPr>
      <w:rPr>
        <w:rFonts w:hint="eastAsia" w:ascii="黑体" w:hAnsi="Times New Roman" w:eastAsia="黑体"/>
        <w:b w:val="0"/>
        <w:i w:val="0"/>
        <w:sz w:val="21"/>
      </w:rPr>
    </w:lvl>
    <w:lvl w:ilvl="3" w:tentative="0">
      <w:start w:val="1"/>
      <w:numFmt w:val="decimal"/>
      <w:pStyle w:val="236"/>
      <w:suff w:val="nothing"/>
      <w:lvlText w:val="%1.%2.%3.%4　"/>
      <w:lvlJc w:val="left"/>
      <w:pPr>
        <w:ind w:left="426" w:firstLine="0"/>
      </w:pPr>
      <w:rPr>
        <w:rFonts w:hint="eastAsia" w:ascii="黑体" w:hAnsi="Times New Roman" w:eastAsia="黑体"/>
        <w:b w:val="0"/>
        <w:i w:val="0"/>
        <w:sz w:val="21"/>
      </w:rPr>
    </w:lvl>
    <w:lvl w:ilvl="4" w:tentative="0">
      <w:start w:val="1"/>
      <w:numFmt w:val="decimal"/>
      <w:pStyle w:val="237"/>
      <w:suff w:val="nothing"/>
      <w:lvlText w:val="%1.%2.%3.%4.%5　"/>
      <w:lvlJc w:val="left"/>
      <w:pPr>
        <w:ind w:left="142" w:firstLine="0"/>
      </w:pPr>
      <w:rPr>
        <w:rFonts w:hint="eastAsia" w:ascii="黑体" w:hAnsi="Times New Roman" w:eastAsia="黑体"/>
        <w:b w:val="0"/>
        <w:i w:val="0"/>
        <w:sz w:val="21"/>
      </w:rPr>
    </w:lvl>
    <w:lvl w:ilvl="5" w:tentative="0">
      <w:start w:val="1"/>
      <w:numFmt w:val="decimal"/>
      <w:pStyle w:val="238"/>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8">
    <w:nsid w:val="25606055"/>
    <w:multiLevelType w:val="singleLevel"/>
    <w:tmpl w:val="25606055"/>
    <w:lvl w:ilvl="0" w:tentative="0">
      <w:start w:val="1"/>
      <w:numFmt w:val="lowerLetter"/>
      <w:suff w:val="nothing"/>
      <w:lvlText w:val="%1)　"/>
      <w:lvlJc w:val="left"/>
    </w:lvl>
  </w:abstractNum>
  <w:abstractNum w:abstractNumId="19">
    <w:nsid w:val="28107CC2"/>
    <w:multiLevelType w:val="singleLevel"/>
    <w:tmpl w:val="28107CC2"/>
    <w:lvl w:ilvl="0" w:tentative="0">
      <w:start w:val="1"/>
      <w:numFmt w:val="lowerLetter"/>
      <w:suff w:val="nothing"/>
      <w:lvlText w:val="%1)　"/>
      <w:lvlJc w:val="left"/>
    </w:lvl>
  </w:abstractNum>
  <w:abstractNum w:abstractNumId="2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4AAB2354"/>
    <w:multiLevelType w:val="singleLevel"/>
    <w:tmpl w:val="4AAB2354"/>
    <w:lvl w:ilvl="0" w:tentative="0">
      <w:start w:val="1"/>
      <w:numFmt w:val="lowerLetter"/>
      <w:suff w:val="nothing"/>
      <w:lvlText w:val="%1)　"/>
      <w:lvlJc w:val="left"/>
    </w:lvl>
  </w:abstractNum>
  <w:abstractNum w:abstractNumId="2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7048F820"/>
    <w:multiLevelType w:val="singleLevel"/>
    <w:tmpl w:val="7048F820"/>
    <w:lvl w:ilvl="0" w:tentative="0">
      <w:start w:val="1"/>
      <w:numFmt w:val="lowerLetter"/>
      <w:suff w:val="nothing"/>
      <w:lvlText w:val="%1)　"/>
      <w:lvlJc w:val="left"/>
    </w:lvl>
  </w:abstractNum>
  <w:abstractNum w:abstractNumId="4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6ABB911"/>
    <w:multiLevelType w:val="singleLevel"/>
    <w:tmpl w:val="76ABB911"/>
    <w:lvl w:ilvl="0" w:tentative="0">
      <w:start w:val="1"/>
      <w:numFmt w:val="lowerLetter"/>
      <w:suff w:val="nothing"/>
      <w:lvlText w:val="%1)　"/>
      <w:lvlJc w:val="left"/>
    </w:lvl>
  </w:abstractNum>
  <w:num w:numId="1">
    <w:abstractNumId w:val="7"/>
  </w:num>
  <w:num w:numId="2">
    <w:abstractNumId w:val="38"/>
  </w:num>
  <w:num w:numId="3">
    <w:abstractNumId w:val="12"/>
  </w:num>
  <w:num w:numId="4">
    <w:abstractNumId w:val="34"/>
  </w:num>
  <w:num w:numId="5">
    <w:abstractNumId w:val="29"/>
  </w:num>
  <w:num w:numId="6">
    <w:abstractNumId w:val="23"/>
  </w:num>
  <w:num w:numId="7">
    <w:abstractNumId w:val="15"/>
  </w:num>
  <w:num w:numId="8">
    <w:abstractNumId w:val="10"/>
  </w:num>
  <w:num w:numId="9">
    <w:abstractNumId w:val="16"/>
  </w:num>
  <w:num w:numId="10">
    <w:abstractNumId w:val="27"/>
  </w:num>
  <w:num w:numId="11">
    <w:abstractNumId w:val="36"/>
  </w:num>
  <w:num w:numId="12">
    <w:abstractNumId w:val="21"/>
  </w:num>
  <w:num w:numId="13">
    <w:abstractNumId w:val="22"/>
  </w:num>
  <w:num w:numId="14">
    <w:abstractNumId w:val="14"/>
  </w:num>
  <w:num w:numId="15">
    <w:abstractNumId w:val="30"/>
  </w:num>
  <w:num w:numId="16">
    <w:abstractNumId w:val="32"/>
  </w:num>
  <w:num w:numId="17">
    <w:abstractNumId w:val="28"/>
  </w:num>
  <w:num w:numId="18">
    <w:abstractNumId w:val="40"/>
  </w:num>
  <w:num w:numId="19">
    <w:abstractNumId w:val="26"/>
  </w:num>
  <w:num w:numId="20">
    <w:abstractNumId w:val="8"/>
  </w:num>
  <w:num w:numId="21">
    <w:abstractNumId w:val="20"/>
  </w:num>
  <w:num w:numId="22">
    <w:abstractNumId w:val="42"/>
  </w:num>
  <w:num w:numId="23">
    <w:abstractNumId w:val="31"/>
  </w:num>
  <w:num w:numId="24">
    <w:abstractNumId w:val="13"/>
  </w:num>
  <w:num w:numId="25">
    <w:abstractNumId w:val="37"/>
  </w:num>
  <w:num w:numId="26">
    <w:abstractNumId w:val="39"/>
  </w:num>
  <w:num w:numId="27">
    <w:abstractNumId w:val="9"/>
  </w:num>
  <w:num w:numId="28">
    <w:abstractNumId w:val="11"/>
  </w:num>
  <w:num w:numId="29">
    <w:abstractNumId w:val="25"/>
  </w:num>
  <w:num w:numId="30">
    <w:abstractNumId w:val="35"/>
  </w:num>
  <w:num w:numId="31">
    <w:abstractNumId w:val="33"/>
  </w:num>
  <w:num w:numId="32">
    <w:abstractNumId w:val="17"/>
  </w:num>
  <w:num w:numId="33">
    <w:abstractNumId w:val="43"/>
  </w:num>
  <w:num w:numId="34">
    <w:abstractNumId w:val="41"/>
  </w:num>
  <w:num w:numId="35">
    <w:abstractNumId w:val="18"/>
  </w:num>
  <w:num w:numId="36">
    <w:abstractNumId w:val="1"/>
  </w:num>
  <w:num w:numId="37">
    <w:abstractNumId w:val="4"/>
  </w:num>
  <w:num w:numId="38">
    <w:abstractNumId w:val="0"/>
  </w:num>
  <w:num w:numId="39">
    <w:abstractNumId w:val="24"/>
  </w:num>
  <w:num w:numId="40">
    <w:abstractNumId w:val="2"/>
  </w:num>
  <w:num w:numId="41">
    <w:abstractNumId w:val="19"/>
  </w:num>
  <w:num w:numId="42">
    <w:abstractNumId w:val="6"/>
  </w:num>
  <w:num w:numId="43">
    <w:abstractNumId w:val="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135"/>
    <w:rsid w:val="00026F15"/>
    <w:rsid w:val="00027031"/>
    <w:rsid w:val="00027F3D"/>
    <w:rsid w:val="000303C3"/>
    <w:rsid w:val="000315E4"/>
    <w:rsid w:val="000331D3"/>
    <w:rsid w:val="000346A5"/>
    <w:rsid w:val="000359C3"/>
    <w:rsid w:val="00035A7D"/>
    <w:rsid w:val="000365ED"/>
    <w:rsid w:val="0004006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C57"/>
    <w:rsid w:val="00065EE0"/>
    <w:rsid w:val="00066B76"/>
    <w:rsid w:val="00067F1E"/>
    <w:rsid w:val="000704F9"/>
    <w:rsid w:val="00070B7D"/>
    <w:rsid w:val="00071CC0"/>
    <w:rsid w:val="00073C8C"/>
    <w:rsid w:val="00075601"/>
    <w:rsid w:val="0007619E"/>
    <w:rsid w:val="00076A24"/>
    <w:rsid w:val="00077B64"/>
    <w:rsid w:val="00080186"/>
    <w:rsid w:val="00080A1C"/>
    <w:rsid w:val="00080E02"/>
    <w:rsid w:val="000810DB"/>
    <w:rsid w:val="00082297"/>
    <w:rsid w:val="00082317"/>
    <w:rsid w:val="00083D2C"/>
    <w:rsid w:val="000858F1"/>
    <w:rsid w:val="00085EA2"/>
    <w:rsid w:val="000865D8"/>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63B"/>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5711"/>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1FE5"/>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BAE"/>
    <w:rsid w:val="00176DFD"/>
    <w:rsid w:val="00181CB4"/>
    <w:rsid w:val="001820EE"/>
    <w:rsid w:val="00182882"/>
    <w:rsid w:val="00183BEE"/>
    <w:rsid w:val="00184A8C"/>
    <w:rsid w:val="00184D15"/>
    <w:rsid w:val="001852C9"/>
    <w:rsid w:val="001864F6"/>
    <w:rsid w:val="00190087"/>
    <w:rsid w:val="001913C4"/>
    <w:rsid w:val="00192BF6"/>
    <w:rsid w:val="00192C85"/>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6FAA"/>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3B7F"/>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69F2"/>
    <w:rsid w:val="001F77C7"/>
    <w:rsid w:val="00200183"/>
    <w:rsid w:val="00200333"/>
    <w:rsid w:val="0020107D"/>
    <w:rsid w:val="002016D2"/>
    <w:rsid w:val="002018A7"/>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09C"/>
    <w:rsid w:val="0022794E"/>
    <w:rsid w:val="00227D21"/>
    <w:rsid w:val="002309FE"/>
    <w:rsid w:val="002330B8"/>
    <w:rsid w:val="00233D64"/>
    <w:rsid w:val="0023482A"/>
    <w:rsid w:val="002359CB"/>
    <w:rsid w:val="00236A32"/>
    <w:rsid w:val="00237254"/>
    <w:rsid w:val="00243540"/>
    <w:rsid w:val="002435B5"/>
    <w:rsid w:val="0024395E"/>
    <w:rsid w:val="0024497B"/>
    <w:rsid w:val="002449BA"/>
    <w:rsid w:val="0024515B"/>
    <w:rsid w:val="00245A91"/>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54CA"/>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0FE6"/>
    <w:rsid w:val="002B1966"/>
    <w:rsid w:val="002B1F89"/>
    <w:rsid w:val="002B2B10"/>
    <w:rsid w:val="002B4508"/>
    <w:rsid w:val="002B51BD"/>
    <w:rsid w:val="002B5779"/>
    <w:rsid w:val="002B5CA6"/>
    <w:rsid w:val="002B7332"/>
    <w:rsid w:val="002B7F51"/>
    <w:rsid w:val="002C00FF"/>
    <w:rsid w:val="002C09E7"/>
    <w:rsid w:val="002C1261"/>
    <w:rsid w:val="002C1E06"/>
    <w:rsid w:val="002C3F07"/>
    <w:rsid w:val="002C5278"/>
    <w:rsid w:val="002C5770"/>
    <w:rsid w:val="002C5E35"/>
    <w:rsid w:val="002C7EBB"/>
    <w:rsid w:val="002D06C1"/>
    <w:rsid w:val="002D0C5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09AE"/>
    <w:rsid w:val="002E2A8C"/>
    <w:rsid w:val="002E2D8E"/>
    <w:rsid w:val="002E2F53"/>
    <w:rsid w:val="002E4D5A"/>
    <w:rsid w:val="002E5F0C"/>
    <w:rsid w:val="002E6078"/>
    <w:rsid w:val="002E60EC"/>
    <w:rsid w:val="002E6326"/>
    <w:rsid w:val="002E72C4"/>
    <w:rsid w:val="002E7A7D"/>
    <w:rsid w:val="002E7F10"/>
    <w:rsid w:val="002F30E0"/>
    <w:rsid w:val="002F3238"/>
    <w:rsid w:val="002F35E4"/>
    <w:rsid w:val="002F3730"/>
    <w:rsid w:val="002F38E1"/>
    <w:rsid w:val="002F3FF0"/>
    <w:rsid w:val="002F4802"/>
    <w:rsid w:val="002F4D82"/>
    <w:rsid w:val="002F77BD"/>
    <w:rsid w:val="002F7AF6"/>
    <w:rsid w:val="00300533"/>
    <w:rsid w:val="00300E63"/>
    <w:rsid w:val="003017E6"/>
    <w:rsid w:val="00302D48"/>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37283"/>
    <w:rsid w:val="0034194F"/>
    <w:rsid w:val="00344006"/>
    <w:rsid w:val="00344605"/>
    <w:rsid w:val="00347061"/>
    <w:rsid w:val="003474AA"/>
    <w:rsid w:val="00350D1D"/>
    <w:rsid w:val="003513CB"/>
    <w:rsid w:val="00351CF4"/>
    <w:rsid w:val="00352A50"/>
    <w:rsid w:val="00352C83"/>
    <w:rsid w:val="00352F28"/>
    <w:rsid w:val="00352FBA"/>
    <w:rsid w:val="00354048"/>
    <w:rsid w:val="00354E3D"/>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577"/>
    <w:rsid w:val="00371EB7"/>
    <w:rsid w:val="00372AA1"/>
    <w:rsid w:val="00372EF0"/>
    <w:rsid w:val="003732A5"/>
    <w:rsid w:val="00373DC3"/>
    <w:rsid w:val="00374AB4"/>
    <w:rsid w:val="00374FA0"/>
    <w:rsid w:val="003752A1"/>
    <w:rsid w:val="003757D1"/>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3F36"/>
    <w:rsid w:val="00394274"/>
    <w:rsid w:val="00394376"/>
    <w:rsid w:val="003943FF"/>
    <w:rsid w:val="003954B5"/>
    <w:rsid w:val="00395EAA"/>
    <w:rsid w:val="003974EB"/>
    <w:rsid w:val="00397C94"/>
    <w:rsid w:val="00397CC5"/>
    <w:rsid w:val="003A00CB"/>
    <w:rsid w:val="003A1582"/>
    <w:rsid w:val="003A2A50"/>
    <w:rsid w:val="003A376C"/>
    <w:rsid w:val="003A4077"/>
    <w:rsid w:val="003A417D"/>
    <w:rsid w:val="003A515E"/>
    <w:rsid w:val="003A5E1A"/>
    <w:rsid w:val="003A7695"/>
    <w:rsid w:val="003B09AD"/>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36A"/>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3A6"/>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5D6"/>
    <w:rsid w:val="00453904"/>
    <w:rsid w:val="00454484"/>
    <w:rsid w:val="0045517B"/>
    <w:rsid w:val="00455ED7"/>
    <w:rsid w:val="00456DE6"/>
    <w:rsid w:val="00457347"/>
    <w:rsid w:val="004609C1"/>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76A79"/>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A6F05"/>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2F40"/>
    <w:rsid w:val="004D3B68"/>
    <w:rsid w:val="004D41C7"/>
    <w:rsid w:val="004D4406"/>
    <w:rsid w:val="004D7C42"/>
    <w:rsid w:val="004E0465"/>
    <w:rsid w:val="004E07EB"/>
    <w:rsid w:val="004E08DE"/>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0643"/>
    <w:rsid w:val="005220EC"/>
    <w:rsid w:val="0052394D"/>
    <w:rsid w:val="00523F95"/>
    <w:rsid w:val="00524690"/>
    <w:rsid w:val="00524D65"/>
    <w:rsid w:val="00525B16"/>
    <w:rsid w:val="00525BC8"/>
    <w:rsid w:val="005264FE"/>
    <w:rsid w:val="005303ED"/>
    <w:rsid w:val="00530752"/>
    <w:rsid w:val="00530AEC"/>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6A02"/>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A42"/>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E7D9D"/>
    <w:rsid w:val="005F08E9"/>
    <w:rsid w:val="005F0D9C"/>
    <w:rsid w:val="005F284E"/>
    <w:rsid w:val="005F6EDD"/>
    <w:rsid w:val="00600453"/>
    <w:rsid w:val="006015CE"/>
    <w:rsid w:val="006026ED"/>
    <w:rsid w:val="00602E94"/>
    <w:rsid w:val="00603FF5"/>
    <w:rsid w:val="00604784"/>
    <w:rsid w:val="00606419"/>
    <w:rsid w:val="00607BD9"/>
    <w:rsid w:val="00607D29"/>
    <w:rsid w:val="00612952"/>
    <w:rsid w:val="00614002"/>
    <w:rsid w:val="00614CC1"/>
    <w:rsid w:val="00615A9D"/>
    <w:rsid w:val="00617387"/>
    <w:rsid w:val="00617911"/>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77FDD"/>
    <w:rsid w:val="0068026D"/>
    <w:rsid w:val="006805DE"/>
    <w:rsid w:val="00680A27"/>
    <w:rsid w:val="00681002"/>
    <w:rsid w:val="006816A4"/>
    <w:rsid w:val="006819B8"/>
    <w:rsid w:val="006821C8"/>
    <w:rsid w:val="006840A6"/>
    <w:rsid w:val="006850CD"/>
    <w:rsid w:val="006856D5"/>
    <w:rsid w:val="00685AAB"/>
    <w:rsid w:val="00687E14"/>
    <w:rsid w:val="0069071F"/>
    <w:rsid w:val="00691A4A"/>
    <w:rsid w:val="00692537"/>
    <w:rsid w:val="006A07AA"/>
    <w:rsid w:val="006A0CBF"/>
    <w:rsid w:val="006A25E5"/>
    <w:rsid w:val="006A2B46"/>
    <w:rsid w:val="006A336D"/>
    <w:rsid w:val="006A37B9"/>
    <w:rsid w:val="006A633B"/>
    <w:rsid w:val="006B002D"/>
    <w:rsid w:val="006B0D19"/>
    <w:rsid w:val="006B1326"/>
    <w:rsid w:val="006B14D3"/>
    <w:rsid w:val="006B2672"/>
    <w:rsid w:val="006B2842"/>
    <w:rsid w:val="006B2BEA"/>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22B"/>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485"/>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0C2"/>
    <w:rsid w:val="0077036F"/>
    <w:rsid w:val="0077109C"/>
    <w:rsid w:val="00773AEE"/>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B7E23"/>
    <w:rsid w:val="007C0CFF"/>
    <w:rsid w:val="007C1296"/>
    <w:rsid w:val="007C176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554"/>
    <w:rsid w:val="007E6A72"/>
    <w:rsid w:val="007F0ED8"/>
    <w:rsid w:val="007F0F63"/>
    <w:rsid w:val="007F16D5"/>
    <w:rsid w:val="007F1915"/>
    <w:rsid w:val="007F656E"/>
    <w:rsid w:val="007F6894"/>
    <w:rsid w:val="007F75CE"/>
    <w:rsid w:val="007F75EB"/>
    <w:rsid w:val="00800D55"/>
    <w:rsid w:val="008013A4"/>
    <w:rsid w:val="008027CE"/>
    <w:rsid w:val="008029BD"/>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2A47"/>
    <w:rsid w:val="00842A7F"/>
    <w:rsid w:val="0084369B"/>
    <w:rsid w:val="00843C13"/>
    <w:rsid w:val="00843F36"/>
    <w:rsid w:val="00844446"/>
    <w:rsid w:val="00844B61"/>
    <w:rsid w:val="008454F8"/>
    <w:rsid w:val="00845781"/>
    <w:rsid w:val="008464A4"/>
    <w:rsid w:val="00846E07"/>
    <w:rsid w:val="0085173A"/>
    <w:rsid w:val="008603CE"/>
    <w:rsid w:val="00860BB9"/>
    <w:rsid w:val="008620FC"/>
    <w:rsid w:val="008627A5"/>
    <w:rsid w:val="008632BB"/>
    <w:rsid w:val="00863565"/>
    <w:rsid w:val="00863E05"/>
    <w:rsid w:val="00865ACA"/>
    <w:rsid w:val="00865D28"/>
    <w:rsid w:val="00865F85"/>
    <w:rsid w:val="00867C10"/>
    <w:rsid w:val="00867EAD"/>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0D5B"/>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0B8"/>
    <w:rsid w:val="008B2C82"/>
    <w:rsid w:val="008B3615"/>
    <w:rsid w:val="008B4AC4"/>
    <w:rsid w:val="008B50C8"/>
    <w:rsid w:val="008B5281"/>
    <w:rsid w:val="008B5805"/>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3F4"/>
    <w:rsid w:val="00900E5E"/>
    <w:rsid w:val="00902722"/>
    <w:rsid w:val="009027BC"/>
    <w:rsid w:val="0090436B"/>
    <w:rsid w:val="009048A4"/>
    <w:rsid w:val="00904F37"/>
    <w:rsid w:val="0090566E"/>
    <w:rsid w:val="009062E6"/>
    <w:rsid w:val="009072CD"/>
    <w:rsid w:val="00910476"/>
    <w:rsid w:val="0091066E"/>
    <w:rsid w:val="00911242"/>
    <w:rsid w:val="00911BE5"/>
    <w:rsid w:val="009129EE"/>
    <w:rsid w:val="00913CA9"/>
    <w:rsid w:val="009145AE"/>
    <w:rsid w:val="009146CE"/>
    <w:rsid w:val="00914CA7"/>
    <w:rsid w:val="00915AB6"/>
    <w:rsid w:val="00915C3E"/>
    <w:rsid w:val="00915E4E"/>
    <w:rsid w:val="009161A8"/>
    <w:rsid w:val="00916554"/>
    <w:rsid w:val="00916EAD"/>
    <w:rsid w:val="00920113"/>
    <w:rsid w:val="00920E3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3D6C"/>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3DD2"/>
    <w:rsid w:val="00985476"/>
    <w:rsid w:val="00987317"/>
    <w:rsid w:val="009904FB"/>
    <w:rsid w:val="009910D5"/>
    <w:rsid w:val="009911AF"/>
    <w:rsid w:val="0099133F"/>
    <w:rsid w:val="00991875"/>
    <w:rsid w:val="00991F92"/>
    <w:rsid w:val="009922C9"/>
    <w:rsid w:val="00992985"/>
    <w:rsid w:val="009933A5"/>
    <w:rsid w:val="00993889"/>
    <w:rsid w:val="0099551B"/>
    <w:rsid w:val="0099604E"/>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5431"/>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D7D13"/>
    <w:rsid w:val="009E0F62"/>
    <w:rsid w:val="009E1688"/>
    <w:rsid w:val="009E3A73"/>
    <w:rsid w:val="009E4A58"/>
    <w:rsid w:val="009E5A2D"/>
    <w:rsid w:val="009E5AB2"/>
    <w:rsid w:val="009E5CBD"/>
    <w:rsid w:val="009E6219"/>
    <w:rsid w:val="009E7A9E"/>
    <w:rsid w:val="009E7CCD"/>
    <w:rsid w:val="009F008F"/>
    <w:rsid w:val="009F03B3"/>
    <w:rsid w:val="009F0FCC"/>
    <w:rsid w:val="009F272A"/>
    <w:rsid w:val="009F3503"/>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5C9"/>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4F6"/>
    <w:rsid w:val="00A4661E"/>
    <w:rsid w:val="00A51383"/>
    <w:rsid w:val="00A5240A"/>
    <w:rsid w:val="00A53D2C"/>
    <w:rsid w:val="00A541CA"/>
    <w:rsid w:val="00A55BD6"/>
    <w:rsid w:val="00A55D50"/>
    <w:rsid w:val="00A57142"/>
    <w:rsid w:val="00A6095F"/>
    <w:rsid w:val="00A6198A"/>
    <w:rsid w:val="00A633B6"/>
    <w:rsid w:val="00A637FA"/>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252C"/>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4E6C"/>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0556"/>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4E57"/>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47A5"/>
    <w:rsid w:val="00BC5DC7"/>
    <w:rsid w:val="00BC6B8B"/>
    <w:rsid w:val="00BC73D8"/>
    <w:rsid w:val="00BD0867"/>
    <w:rsid w:val="00BD415F"/>
    <w:rsid w:val="00BD516E"/>
    <w:rsid w:val="00BD52D7"/>
    <w:rsid w:val="00BD5AD2"/>
    <w:rsid w:val="00BD7786"/>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63E4"/>
    <w:rsid w:val="00C16707"/>
    <w:rsid w:val="00C17304"/>
    <w:rsid w:val="00C17DA8"/>
    <w:rsid w:val="00C17EE7"/>
    <w:rsid w:val="00C21540"/>
    <w:rsid w:val="00C21906"/>
    <w:rsid w:val="00C21BFA"/>
    <w:rsid w:val="00C22148"/>
    <w:rsid w:val="00C24C8D"/>
    <w:rsid w:val="00C25301"/>
    <w:rsid w:val="00C25FE2"/>
    <w:rsid w:val="00C269BF"/>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4613A"/>
    <w:rsid w:val="00C50950"/>
    <w:rsid w:val="00C51A08"/>
    <w:rsid w:val="00C51E1E"/>
    <w:rsid w:val="00C521D6"/>
    <w:rsid w:val="00C537DD"/>
    <w:rsid w:val="00C53DEF"/>
    <w:rsid w:val="00C5449E"/>
    <w:rsid w:val="00C55232"/>
    <w:rsid w:val="00C553A4"/>
    <w:rsid w:val="00C55A06"/>
    <w:rsid w:val="00C55A46"/>
    <w:rsid w:val="00C55D03"/>
    <w:rsid w:val="00C561B2"/>
    <w:rsid w:val="00C56FDC"/>
    <w:rsid w:val="00C601BC"/>
    <w:rsid w:val="00C607D1"/>
    <w:rsid w:val="00C6292B"/>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B0F"/>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1CF5"/>
    <w:rsid w:val="00CA1D35"/>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1021"/>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22C"/>
    <w:rsid w:val="00CE5F3D"/>
    <w:rsid w:val="00CE6C2C"/>
    <w:rsid w:val="00CF048A"/>
    <w:rsid w:val="00CF0756"/>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45F"/>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6C2F"/>
    <w:rsid w:val="00D675FB"/>
    <w:rsid w:val="00D679F5"/>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169C"/>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2EB"/>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033"/>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39"/>
    <w:rsid w:val="00E11A85"/>
    <w:rsid w:val="00E12495"/>
    <w:rsid w:val="00E131F4"/>
    <w:rsid w:val="00E1568A"/>
    <w:rsid w:val="00E1596C"/>
    <w:rsid w:val="00E15CCD"/>
    <w:rsid w:val="00E174A5"/>
    <w:rsid w:val="00E202EF"/>
    <w:rsid w:val="00E210B5"/>
    <w:rsid w:val="00E23D99"/>
    <w:rsid w:val="00E24068"/>
    <w:rsid w:val="00E2439F"/>
    <w:rsid w:val="00E2552F"/>
    <w:rsid w:val="00E279DB"/>
    <w:rsid w:val="00E3137A"/>
    <w:rsid w:val="00E32CCF"/>
    <w:rsid w:val="00E32FFE"/>
    <w:rsid w:val="00E344EE"/>
    <w:rsid w:val="00E34736"/>
    <w:rsid w:val="00E34A98"/>
    <w:rsid w:val="00E35D1E"/>
    <w:rsid w:val="00E364F9"/>
    <w:rsid w:val="00E365FA"/>
    <w:rsid w:val="00E36789"/>
    <w:rsid w:val="00E36BBE"/>
    <w:rsid w:val="00E44305"/>
    <w:rsid w:val="00E44449"/>
    <w:rsid w:val="00E44A83"/>
    <w:rsid w:val="00E45B76"/>
    <w:rsid w:val="00E46BC1"/>
    <w:rsid w:val="00E46C07"/>
    <w:rsid w:val="00E502C1"/>
    <w:rsid w:val="00E502DD"/>
    <w:rsid w:val="00E50D3A"/>
    <w:rsid w:val="00E51387"/>
    <w:rsid w:val="00E51E68"/>
    <w:rsid w:val="00E52EFD"/>
    <w:rsid w:val="00E5408A"/>
    <w:rsid w:val="00E54E7D"/>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67841"/>
    <w:rsid w:val="00E70388"/>
    <w:rsid w:val="00E70D0A"/>
    <w:rsid w:val="00E70F92"/>
    <w:rsid w:val="00E734AD"/>
    <w:rsid w:val="00E748D4"/>
    <w:rsid w:val="00E74C54"/>
    <w:rsid w:val="00E7518A"/>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1670"/>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05C6"/>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47BF8"/>
    <w:rsid w:val="00F50179"/>
    <w:rsid w:val="00F51136"/>
    <w:rsid w:val="00F515EE"/>
    <w:rsid w:val="00F521D9"/>
    <w:rsid w:val="00F53274"/>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17D05329"/>
    <w:rsid w:val="294C6E3F"/>
    <w:rsid w:val="2D536419"/>
    <w:rsid w:val="315500AA"/>
    <w:rsid w:val="329714CF"/>
    <w:rsid w:val="379B08CB"/>
    <w:rsid w:val="46CB3641"/>
    <w:rsid w:val="528079FC"/>
    <w:rsid w:val="60B151FE"/>
    <w:rsid w:val="64267309"/>
    <w:rsid w:val="707D672C"/>
    <w:rsid w:val="752D06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0"/>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40"/>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link w:val="24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ind w:left="0"/>
      <w:outlineLvl w:val="4"/>
    </w:pPr>
  </w:style>
  <w:style w:type="paragraph" w:customStyle="1" w:styleId="237">
    <w:name w:val="四级条标题"/>
    <w:basedOn w:val="236"/>
    <w:next w:val="231"/>
    <w:qFormat/>
    <w:uiPriority w:val="0"/>
    <w:pPr>
      <w:numPr>
        <w:ilvl w:val="4"/>
      </w:numPr>
      <w:ind w:left="0"/>
      <w:outlineLvl w:val="5"/>
    </w:pPr>
  </w:style>
  <w:style w:type="paragraph" w:customStyle="1" w:styleId="238">
    <w:name w:val="五级条标题"/>
    <w:basedOn w:val="237"/>
    <w:next w:val="231"/>
    <w:qFormat/>
    <w:uiPriority w:val="0"/>
    <w:pPr>
      <w:numPr>
        <w:ilvl w:val="5"/>
      </w:numPr>
      <w:ind w:left="0"/>
      <w:outlineLvl w:val="6"/>
    </w:pPr>
  </w:style>
  <w:style w:type="paragraph" w:customStyle="1" w:styleId="239">
    <w:name w:val="前言、引言标题"/>
    <w:next w:val="2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0">
    <w:name w:val="一级条标题 Char"/>
    <w:link w:val="233"/>
    <w:qFormat/>
    <w:uiPriority w:val="0"/>
    <w:rPr>
      <w:rFonts w:ascii="黑体" w:hAnsi="Times New Roman" w:eastAsia="黑体"/>
      <w:sz w:val="21"/>
      <w:szCs w:val="21"/>
    </w:rPr>
  </w:style>
  <w:style w:type="character" w:customStyle="1" w:styleId="241">
    <w:name w:val="二级条标题 Char"/>
    <w:basedOn w:val="240"/>
    <w:link w:val="235"/>
    <w:qFormat/>
    <w:uiPriority w:val="0"/>
    <w:rPr>
      <w:rFonts w:ascii="黑体" w:hAnsi="Times New Roman" w:eastAsia="黑体"/>
      <w:sz w:val="21"/>
      <w:szCs w:val="21"/>
    </w:rPr>
  </w:style>
  <w:style w:type="character" w:customStyle="1" w:styleId="242">
    <w:name w:val="二级无 Char"/>
    <w:link w:val="243"/>
    <w:qFormat/>
    <w:uiPriority w:val="0"/>
    <w:rPr>
      <w:rFonts w:ascii="宋体"/>
      <w:sz w:val="21"/>
      <w:szCs w:val="21"/>
    </w:rPr>
  </w:style>
  <w:style w:type="paragraph" w:customStyle="1" w:styleId="243">
    <w:name w:val="二级无"/>
    <w:basedOn w:val="1"/>
    <w:link w:val="242"/>
    <w:qFormat/>
    <w:uiPriority w:val="0"/>
    <w:pPr>
      <w:widowControl/>
      <w:adjustRightInd/>
      <w:spacing w:line="240" w:lineRule="auto"/>
      <w:jc w:val="left"/>
      <w:outlineLvl w:val="3"/>
    </w:pPr>
    <w:rPr>
      <w:rFonts w:ascii="宋体"/>
      <w:kern w:val="0"/>
    </w:rPr>
  </w:style>
  <w:style w:type="paragraph" w:customStyle="1" w:styleId="244">
    <w:name w:val="表格内文字"/>
    <w:basedOn w:val="1"/>
    <w:link w:val="245"/>
    <w:qFormat/>
    <w:uiPriority w:val="0"/>
    <w:pPr>
      <w:adjustRightInd/>
      <w:spacing w:line="240" w:lineRule="auto"/>
      <w:jc w:val="center"/>
    </w:pPr>
    <w:rPr>
      <w:rFonts w:ascii="宋体" w:hAnsi="宋体" w:eastAsia="Times New Roman" w:cs="宋体"/>
      <w:kern w:val="0"/>
      <w:szCs w:val="18"/>
      <w:shd w:val="clear" w:color="auto" w:fill="FFFFFF"/>
      <w:lang w:val="zh-TW" w:eastAsia="zh-TW"/>
    </w:rPr>
  </w:style>
  <w:style w:type="character" w:customStyle="1" w:styleId="245">
    <w:name w:val="表格内文字 Char"/>
    <w:link w:val="244"/>
    <w:qFormat/>
    <w:uiPriority w:val="0"/>
    <w:rPr>
      <w:rFonts w:ascii="宋体" w:hAnsi="宋体" w:eastAsia="Times New Roman" w:cs="宋体"/>
      <w:sz w:val="21"/>
      <w:szCs w:val="18"/>
      <w:lang w:val="zh-TW" w:eastAsia="zh-TW"/>
    </w:rPr>
  </w:style>
  <w:style w:type="paragraph" w:customStyle="1" w:styleId="246">
    <w:name w:val="图表明"/>
    <w:basedOn w:val="231"/>
    <w:link w:val="247"/>
    <w:qFormat/>
    <w:uiPriority w:val="0"/>
    <w:pPr>
      <w:ind w:firstLine="0" w:firstLineChars="0"/>
      <w:jc w:val="center"/>
    </w:pPr>
    <w:rPr>
      <w:rFonts w:hAnsi="宋体"/>
      <w:szCs w:val="21"/>
    </w:rPr>
  </w:style>
  <w:style w:type="character" w:customStyle="1" w:styleId="247">
    <w:name w:val="图表明 Char"/>
    <w:link w:val="246"/>
    <w:qFormat/>
    <w:uiPriority w:val="0"/>
    <w:rPr>
      <w:rFonts w:ascii="宋体" w:hAnsi="宋体"/>
      <w:sz w:val="21"/>
      <w:szCs w:val="21"/>
    </w:rPr>
  </w:style>
  <w:style w:type="paragraph" w:customStyle="1" w:styleId="248">
    <w:name w:val="a)"/>
    <w:basedOn w:val="1"/>
    <w:link w:val="249"/>
    <w:qFormat/>
    <w:uiPriority w:val="0"/>
    <w:pPr>
      <w:adjustRightInd/>
      <w:spacing w:line="240" w:lineRule="auto"/>
      <w:ind w:firstLine="150" w:firstLineChars="150"/>
    </w:pPr>
    <w:rPr>
      <w:rFonts w:ascii="宋体" w:hAnsi="宋体"/>
      <w:szCs w:val="24"/>
    </w:rPr>
  </w:style>
  <w:style w:type="character" w:customStyle="1" w:styleId="249">
    <w:name w:val="a) Char"/>
    <w:link w:val="248"/>
    <w:qFormat/>
    <w:uiPriority w:val="0"/>
    <w:rPr>
      <w:rFonts w:ascii="宋体" w:hAnsi="宋体"/>
      <w:kern w:val="2"/>
      <w:sz w:val="21"/>
      <w:szCs w:val="24"/>
    </w:rPr>
  </w:style>
  <w:style w:type="table" w:customStyle="1" w:styleId="250">
    <w:name w:val="Table Normal"/>
    <w:basedOn w:val="27"/>
    <w:qFormat/>
    <w:uiPriority w:val="0"/>
    <w:rPr>
      <w:rFonts w:ascii="Times New Roman" w:hAnsi="Times New Roman" w:eastAsia="Times New Roman"/>
    </w:rPr>
    <w:tblPr>
      <w:tblCellMar>
        <w:left w:w="0" w:type="dxa"/>
        <w:right w:w="0" w:type="dxa"/>
      </w:tblCellMar>
    </w:tblPr>
  </w:style>
  <w:style w:type="paragraph" w:customStyle="1" w:styleId="251">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17"/>
      <w:szCs w:val="17"/>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D0A9E6ED8E41A5BC258D89F7A9C41B"/>
        <w:style w:val=""/>
        <w:category>
          <w:name w:val="常规"/>
          <w:gallery w:val="placeholder"/>
        </w:category>
        <w:types>
          <w:type w:val="bbPlcHdr"/>
        </w:types>
        <w:behaviors>
          <w:behavior w:val="content"/>
        </w:behaviors>
        <w:description w:val=""/>
        <w:guid w:val="{2A2557B8-ADE2-496C-85A8-C079A31AE89E}"/>
      </w:docPartPr>
      <w:docPartBody>
        <w:p w14:paraId="443F4ACE">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AC"/>
    <w:rsid w:val="0001699B"/>
    <w:rsid w:val="00027AEA"/>
    <w:rsid w:val="00030617"/>
    <w:rsid w:val="00056889"/>
    <w:rsid w:val="0006145A"/>
    <w:rsid w:val="00072661"/>
    <w:rsid w:val="00073078"/>
    <w:rsid w:val="000D331D"/>
    <w:rsid w:val="000F5FC3"/>
    <w:rsid w:val="00103982"/>
    <w:rsid w:val="00153266"/>
    <w:rsid w:val="001A702B"/>
    <w:rsid w:val="001D32F4"/>
    <w:rsid w:val="001D52BD"/>
    <w:rsid w:val="001E62F8"/>
    <w:rsid w:val="00246495"/>
    <w:rsid w:val="0024789A"/>
    <w:rsid w:val="00297853"/>
    <w:rsid w:val="002C292C"/>
    <w:rsid w:val="002D7FDE"/>
    <w:rsid w:val="002F749F"/>
    <w:rsid w:val="00302D48"/>
    <w:rsid w:val="00311524"/>
    <w:rsid w:val="0031610D"/>
    <w:rsid w:val="003429B6"/>
    <w:rsid w:val="0037088D"/>
    <w:rsid w:val="00371C08"/>
    <w:rsid w:val="0038089F"/>
    <w:rsid w:val="00380FBC"/>
    <w:rsid w:val="00382FF5"/>
    <w:rsid w:val="00393F36"/>
    <w:rsid w:val="003B0021"/>
    <w:rsid w:val="003C7CCD"/>
    <w:rsid w:val="003D4CB6"/>
    <w:rsid w:val="003E0251"/>
    <w:rsid w:val="003E0BE7"/>
    <w:rsid w:val="003F092B"/>
    <w:rsid w:val="003F7F4F"/>
    <w:rsid w:val="00412F5B"/>
    <w:rsid w:val="0041382D"/>
    <w:rsid w:val="00435D85"/>
    <w:rsid w:val="004378FE"/>
    <w:rsid w:val="00487568"/>
    <w:rsid w:val="00495FC9"/>
    <w:rsid w:val="004B297C"/>
    <w:rsid w:val="004B5711"/>
    <w:rsid w:val="004B79C0"/>
    <w:rsid w:val="004C5FAE"/>
    <w:rsid w:val="004C6874"/>
    <w:rsid w:val="004D7267"/>
    <w:rsid w:val="004E49C4"/>
    <w:rsid w:val="004E67A3"/>
    <w:rsid w:val="00507F40"/>
    <w:rsid w:val="00523658"/>
    <w:rsid w:val="00535FCC"/>
    <w:rsid w:val="00553BE5"/>
    <w:rsid w:val="00573622"/>
    <w:rsid w:val="00573CA2"/>
    <w:rsid w:val="005743C3"/>
    <w:rsid w:val="00575CF8"/>
    <w:rsid w:val="00596C6F"/>
    <w:rsid w:val="005A4631"/>
    <w:rsid w:val="005D5B3E"/>
    <w:rsid w:val="0061005F"/>
    <w:rsid w:val="006437AC"/>
    <w:rsid w:val="00656C2E"/>
    <w:rsid w:val="006637D3"/>
    <w:rsid w:val="006A354E"/>
    <w:rsid w:val="006B0113"/>
    <w:rsid w:val="007029E0"/>
    <w:rsid w:val="0071423F"/>
    <w:rsid w:val="007651D9"/>
    <w:rsid w:val="007A043F"/>
    <w:rsid w:val="007A4FB5"/>
    <w:rsid w:val="007B7BB6"/>
    <w:rsid w:val="007C21F4"/>
    <w:rsid w:val="007E7E55"/>
    <w:rsid w:val="007F2B27"/>
    <w:rsid w:val="007F4410"/>
    <w:rsid w:val="00804026"/>
    <w:rsid w:val="00804442"/>
    <w:rsid w:val="00814D22"/>
    <w:rsid w:val="00844446"/>
    <w:rsid w:val="00871C9D"/>
    <w:rsid w:val="00882B65"/>
    <w:rsid w:val="008A60F9"/>
    <w:rsid w:val="008C5F98"/>
    <w:rsid w:val="008D0910"/>
    <w:rsid w:val="008D1554"/>
    <w:rsid w:val="008E7A01"/>
    <w:rsid w:val="008F76AB"/>
    <w:rsid w:val="009022C9"/>
    <w:rsid w:val="0090598B"/>
    <w:rsid w:val="009349D7"/>
    <w:rsid w:val="00935CEC"/>
    <w:rsid w:val="00974BDE"/>
    <w:rsid w:val="009C1BFC"/>
    <w:rsid w:val="009C3050"/>
    <w:rsid w:val="009E5CBD"/>
    <w:rsid w:val="00A3313D"/>
    <w:rsid w:val="00A47AC6"/>
    <w:rsid w:val="00A7473B"/>
    <w:rsid w:val="00A80897"/>
    <w:rsid w:val="00A941E2"/>
    <w:rsid w:val="00AA53A5"/>
    <w:rsid w:val="00AC621D"/>
    <w:rsid w:val="00AD7202"/>
    <w:rsid w:val="00AF4468"/>
    <w:rsid w:val="00B02A73"/>
    <w:rsid w:val="00B431FD"/>
    <w:rsid w:val="00B60BB7"/>
    <w:rsid w:val="00B623FB"/>
    <w:rsid w:val="00B7240F"/>
    <w:rsid w:val="00B8672A"/>
    <w:rsid w:val="00BD3A0C"/>
    <w:rsid w:val="00BE77D5"/>
    <w:rsid w:val="00BF4953"/>
    <w:rsid w:val="00C12B07"/>
    <w:rsid w:val="00C13D7D"/>
    <w:rsid w:val="00CA1D35"/>
    <w:rsid w:val="00CB2152"/>
    <w:rsid w:val="00CD5E64"/>
    <w:rsid w:val="00CE1427"/>
    <w:rsid w:val="00CF73EA"/>
    <w:rsid w:val="00D01B51"/>
    <w:rsid w:val="00D01D46"/>
    <w:rsid w:val="00D2514D"/>
    <w:rsid w:val="00D32A15"/>
    <w:rsid w:val="00D360AB"/>
    <w:rsid w:val="00D36491"/>
    <w:rsid w:val="00D63EA4"/>
    <w:rsid w:val="00D63F81"/>
    <w:rsid w:val="00D97287"/>
    <w:rsid w:val="00DB5662"/>
    <w:rsid w:val="00DB736A"/>
    <w:rsid w:val="00DD0A33"/>
    <w:rsid w:val="00DD3954"/>
    <w:rsid w:val="00DD3AD1"/>
    <w:rsid w:val="00DD61D1"/>
    <w:rsid w:val="00E05D3A"/>
    <w:rsid w:val="00E54D63"/>
    <w:rsid w:val="00E61DF6"/>
    <w:rsid w:val="00E73C53"/>
    <w:rsid w:val="00E92937"/>
    <w:rsid w:val="00E940B1"/>
    <w:rsid w:val="00E97425"/>
    <w:rsid w:val="00EA715E"/>
    <w:rsid w:val="00EB4CC1"/>
    <w:rsid w:val="00EC7482"/>
    <w:rsid w:val="00ED2DC9"/>
    <w:rsid w:val="00EE2892"/>
    <w:rsid w:val="00EE319A"/>
    <w:rsid w:val="00F226C3"/>
    <w:rsid w:val="00F26780"/>
    <w:rsid w:val="00F524A8"/>
    <w:rsid w:val="00F77BD4"/>
    <w:rsid w:val="00F978E3"/>
    <w:rsid w:val="00FD6261"/>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8D0A9E6ED8E41A5BC258D89F7A9C41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244BA-3B47-40DC-9CE0-CCE448AFD1C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8944</Words>
  <Characters>9383</Characters>
  <Lines>82</Lines>
  <Paragraphs>23</Paragraphs>
  <TotalTime>4</TotalTime>
  <ScaleCrop>false</ScaleCrop>
  <LinksUpToDate>false</LinksUpToDate>
  <CharactersWithSpaces>9574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2024-05-20T02:45:00Z</dcterms:created>
  <dc:creator>17323</dc:creator>
  <dc:description>&lt;config cover="true" show_menu="true" version="1.0.0" doctype="SDKXY"&gt;
&lt;/config&gt;</dc:description>
  <cp:lastModifiedBy>一起看星星吧</cp:lastModifiedBy>
  <cp:lastPrinted>2022-08-18T04:31:00Z</cp:lastPrinted>
  <dcterms:modified xsi:type="dcterms:W3CDTF">2024-11-08T07:50:21Z</dcterms:modified>
  <dc:title>地方标准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5B46ACC60D8741ACB823171C2461375C_12</vt:lpwstr>
  </property>
</Properties>
</file>