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0A21095B">
      <w:pPr>
        <w:jc w:val="center"/>
        <w:rPr>
          <w:rFonts w:hint="eastAsia"/>
        </w:rPr>
      </w:pPr>
      <w:r>
        <w:rPr>
          <w:rFonts w:hint="eastAsia" w:ascii="迷你简小标宋" w:hAnsi="宋体" w:eastAsia="迷你简小标宋"/>
          <w:sz w:val="44"/>
          <w:szCs w:val="44"/>
        </w:rPr>
        <w:t>中国中小企业协会团体标准</w:t>
      </w:r>
    </w:p>
    <w:p w14:paraId="30709085">
      <w:pPr>
        <w:jc w:val="center"/>
        <w:rPr>
          <w:rFonts w:hint="eastAsia"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sz w:val="44"/>
          <w:szCs w:val="44"/>
        </w:rPr>
        <w:t>工业铝材再生料加工工艺规范</w:t>
      </w:r>
      <w:r>
        <w:rPr>
          <w:rFonts w:hint="eastAsia" w:ascii="迷你简小标宋" w:hAnsi="宋体" w:eastAsia="迷你简小标宋"/>
          <w:w w:val="90"/>
          <w:sz w:val="44"/>
          <w:szCs w:val="44"/>
        </w:rPr>
        <w:t>》</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二零二四年十</w:t>
      </w:r>
      <w:r>
        <w:rPr>
          <w:rFonts w:hint="eastAsia" w:ascii="宋体" w:hAnsi="宋体" w:eastAsia="宋体"/>
          <w:sz w:val="28"/>
          <w:szCs w:val="28"/>
          <w:lang w:val="en-US" w:eastAsia="zh-CN"/>
        </w:rPr>
        <w:t>一</w:t>
      </w:r>
      <w:r>
        <w:rPr>
          <w:rFonts w:hint="eastAsia" w:ascii="宋体" w:hAnsi="宋体" w:eastAsia="宋体"/>
          <w:sz w:val="28"/>
          <w:szCs w:val="28"/>
        </w:rPr>
        <w:t>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70875990">
      <w:pPr>
        <w:jc w:val="center"/>
        <w:rPr>
          <w:rFonts w:hint="eastAsia" w:ascii="宋体" w:hAnsi="宋体" w:eastAsia="宋体"/>
          <w:sz w:val="28"/>
          <w:szCs w:val="28"/>
        </w:rPr>
      </w:pPr>
    </w:p>
    <w:p w14:paraId="1345B5ED">
      <w:pPr>
        <w:jc w:val="center"/>
        <w:rPr>
          <w:rFonts w:hint="eastAsia" w:ascii="宋体" w:hAnsi="宋体" w:eastAsia="宋体"/>
          <w:sz w:val="28"/>
          <w:szCs w:val="28"/>
        </w:rPr>
      </w:pPr>
    </w:p>
    <w:p w14:paraId="44B6B4BD">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63298406">
      <w:pPr>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江苏双隆铝业有限公司联合扬州弘思百佳科技有限公司、纵坐标（江苏）标准技术服务有限公司等相关单位共同制定《工业铝材再生料加工工艺规范》团体标准。</w:t>
      </w:r>
    </w:p>
    <w:p w14:paraId="42F5D486">
      <w:pPr>
        <w:numPr>
          <w:ilvl w:val="0"/>
          <w:numId w:val="2"/>
        </w:numPr>
        <w:spacing w:line="360" w:lineRule="auto"/>
        <w:jc w:val="left"/>
        <w:rPr>
          <w:rFonts w:hint="eastAsia" w:ascii="宋体" w:hAnsi="宋体" w:eastAsia="宋体"/>
          <w:sz w:val="28"/>
          <w:szCs w:val="28"/>
        </w:rPr>
      </w:pPr>
      <w:r>
        <w:rPr>
          <w:rFonts w:hint="eastAsia" w:ascii="宋体" w:hAnsi="宋体" w:eastAsia="宋体"/>
          <w:b/>
          <w:bCs/>
          <w:sz w:val="28"/>
          <w:szCs w:val="28"/>
        </w:rPr>
        <w:t>编制</w:t>
      </w:r>
      <w:r>
        <w:rPr>
          <w:rFonts w:ascii="宋体" w:hAnsi="宋体" w:eastAsia="宋体"/>
          <w:b/>
          <w:bCs/>
          <w:sz w:val="28"/>
          <w:szCs w:val="28"/>
        </w:rPr>
        <w:t>背景及目的</w:t>
      </w:r>
      <w:r>
        <w:rPr>
          <w:rFonts w:hint="eastAsia" w:ascii="宋体" w:hAnsi="宋体" w:eastAsia="宋体"/>
          <w:sz w:val="28"/>
          <w:szCs w:val="28"/>
        </w:rPr>
        <w:t xml:space="preserve"> </w:t>
      </w:r>
    </w:p>
    <w:p w14:paraId="11A024D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铝材再生料是由废旧铝和废铝合金材料或含铝的废料，经重新熔化提炼而得到的铝合金或铝金属，是金属铝的一个重要来源。在“双碳”政策的推动下，再生铝行业迎来了发展的东风。再生铝具有明显的环保优势，能源消耗和碳排放均低于原铝。因此，提高铝材再生料的使用率是大势所趋。但是由于企业加工工艺的落后和不规范，导致目前市场上的铝材再生料质量参差不齐。为规范工业铝材再生料行业加工工艺技术要求，确保工业铝材再生料品质的一致性，满足产业链企业对工业铝材再生料的需要，本起草单位提出《工业铝材再生料加工工艺规范》团体标准制定项目计划。</w:t>
      </w:r>
    </w:p>
    <w:p w14:paraId="3614026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工艺铝材再生料具有显著的资源节约和环境保护优势。通过回收和利用废旧铝材，可以减少对原铝生产所需的铝土矿资源的依赖，从而降低对环境的压力和节约原材料成本，提高产业的经济效益。铝材再生料产业的健康发展对于我国建设生态文明、推动绿色发展具有重大的战略意义。</w:t>
      </w:r>
    </w:p>
    <w:p w14:paraId="30BA528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综上所述，通过制定《工业铝材再生料加工工艺规范》团体标准能够提高工业铝材再生料的技术含量、附加值和加工工艺水平，保证工业铝材再生料质量，发展循环经济，推动和规范铝材再生料产业结构调整及转型升级，做到技术先进、工艺合理、节约资源、保护环境。</w:t>
      </w:r>
    </w:p>
    <w:p w14:paraId="6E34CEBA">
      <w:pPr>
        <w:numPr>
          <w:ilvl w:val="0"/>
          <w:numId w:val="2"/>
        </w:numPr>
        <w:spacing w:line="360" w:lineRule="auto"/>
        <w:jc w:val="left"/>
        <w:rPr>
          <w:rFonts w:hint="eastAsia"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126EA74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1、项目立项阶段</w:t>
      </w:r>
    </w:p>
    <w:p w14:paraId="3A139A5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由江苏双隆铝业有限公司、扬州弘思百佳科技有限公司、纵坐标（江苏）标准技术服务有限公司等相关单位的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研究分析相关领域标准制修订情况和工业铝材再生料加工行业发展现状</w:t>
      </w:r>
      <w:r>
        <w:rPr>
          <w:rFonts w:ascii="宋体" w:hAnsi="宋体" w:eastAsia="宋体"/>
          <w:sz w:val="28"/>
          <w:szCs w:val="28"/>
        </w:rPr>
        <w:t>，在此基础上结合</w:t>
      </w:r>
      <w:r>
        <w:rPr>
          <w:rFonts w:hint="eastAsia" w:ascii="宋体" w:hAnsi="宋体" w:eastAsia="宋体"/>
          <w:sz w:val="28"/>
          <w:szCs w:val="28"/>
        </w:rPr>
        <w:t>起草单位的</w:t>
      </w:r>
      <w:r>
        <w:rPr>
          <w:rFonts w:ascii="宋体" w:hAnsi="宋体" w:eastAsia="宋体"/>
          <w:sz w:val="28"/>
          <w:szCs w:val="28"/>
        </w:rPr>
        <w:t>生产实际，多次召开内部研讨会议，确定了标准名称，并完成该项团体标准的立项工作。</w:t>
      </w:r>
    </w:p>
    <w:p w14:paraId="1D14F61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2、理论研究阶段</w:t>
      </w:r>
    </w:p>
    <w:p w14:paraId="48328FB3">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标准起草组广泛搜集相关标准和国外技术资料，进行了大量的研究分析、资料查证工作，确定了标准的制定原则，结合现有实际生产经验，为标准的起草奠定了基础。</w:t>
      </w:r>
    </w:p>
    <w:p w14:paraId="56BFA5B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标准起草组进一步研究工业铝材再生料加工的</w:t>
      </w:r>
      <w:r>
        <w:rPr>
          <w:rFonts w:hint="eastAsia" w:ascii="宋体" w:hAnsi="宋体" w:eastAsia="宋体"/>
          <w:sz w:val="28"/>
          <w:szCs w:val="28"/>
          <w:lang w:val="en-US" w:eastAsia="zh-CN"/>
        </w:rPr>
        <w:t>工艺流程和操作要点</w:t>
      </w:r>
      <w:r>
        <w:rPr>
          <w:rFonts w:hint="eastAsia" w:ascii="宋体" w:hAnsi="宋体" w:eastAsia="宋体"/>
          <w:sz w:val="28"/>
          <w:szCs w:val="28"/>
        </w:rPr>
        <w:t>，明确了要求，为标准的具体起草指明方向。</w:t>
      </w:r>
    </w:p>
    <w:p w14:paraId="11450F3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在理论研究基础上，标准起草组在标准编制过程中充分借鉴已有的理论研究和实践成果经过多次研讨和数次修改，形成了《工业铝材再生料加工工艺规范》（标准草案稿）。</w:t>
      </w:r>
    </w:p>
    <w:p w14:paraId="6A0B3AC0">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4、标准征求意见阶段</w:t>
      </w:r>
    </w:p>
    <w:p w14:paraId="4BD9C3B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工业铝材再生料加工工艺规范（征求意见稿）。</w:t>
      </w:r>
    </w:p>
    <w:p w14:paraId="38C16F82">
      <w:pPr>
        <w:numPr>
          <w:ilvl w:val="0"/>
          <w:numId w:val="3"/>
        </w:numPr>
        <w:topLinePunct/>
        <w:spacing w:line="360" w:lineRule="auto"/>
        <w:ind w:firstLine="560" w:firstLineChars="200"/>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本标准拟定于2024年1</w:t>
      </w:r>
      <w:r>
        <w:rPr>
          <w:rFonts w:hint="eastAsia" w:ascii="宋体" w:hAnsi="宋体" w:eastAsia="宋体"/>
          <w:sz w:val="28"/>
          <w:szCs w:val="28"/>
          <w:lang w:val="en-US" w:eastAsia="zh-CN"/>
        </w:rPr>
        <w:t>2</w:t>
      </w:r>
      <w:r>
        <w:rPr>
          <w:rFonts w:hint="eastAsia" w:ascii="宋体" w:hAnsi="宋体" w:eastAsia="宋体"/>
          <w:sz w:val="28"/>
          <w:szCs w:val="28"/>
        </w:rPr>
        <w:t>月进行专家审核。</w:t>
      </w:r>
    </w:p>
    <w:p w14:paraId="736498A7">
      <w:pPr>
        <w:topLinePunct/>
        <w:spacing w:line="36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2FFB9F60">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年12月发布并实施</w:t>
      </w:r>
      <w:r>
        <w:rPr>
          <w:rFonts w:hint="eastAsia" w:ascii="宋体" w:hAnsi="宋体" w:eastAsia="宋体"/>
          <w:sz w:val="28"/>
          <w:szCs w:val="28"/>
        </w:rPr>
        <w:t>。</w:t>
      </w:r>
      <w:bookmarkEnd w:id="0"/>
    </w:p>
    <w:p w14:paraId="3854FE17">
      <w:pPr>
        <w:numPr>
          <w:ilvl w:val="0"/>
          <w:numId w:val="2"/>
        </w:numPr>
        <w:spacing w:line="360" w:lineRule="auto"/>
        <w:jc w:val="left"/>
        <w:rPr>
          <w:rFonts w:hint="eastAsia" w:ascii="宋体" w:hAnsi="宋体" w:eastAsia="宋体"/>
          <w:sz w:val="28"/>
          <w:szCs w:val="28"/>
        </w:rPr>
      </w:pPr>
      <w:r>
        <w:rPr>
          <w:rFonts w:hint="eastAsia" w:ascii="宋体" w:hAnsi="宋体" w:eastAsia="宋体"/>
          <w:b/>
          <w:bCs/>
          <w:sz w:val="28"/>
          <w:szCs w:val="28"/>
        </w:rPr>
        <w:t>主要起草单位及起草人所做的工作</w:t>
      </w:r>
      <w:r>
        <w:rPr>
          <w:rFonts w:ascii="宋体" w:hAnsi="宋体" w:eastAsia="宋体"/>
          <w:sz w:val="28"/>
          <w:szCs w:val="28"/>
        </w:rPr>
        <w:t xml:space="preserve"> </w:t>
      </w:r>
    </w:p>
    <w:p w14:paraId="68C2C55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1、主要起草单位</w:t>
      </w:r>
    </w:p>
    <w:p w14:paraId="13187A5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江苏双隆铝业有限公司</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sz w:val="28"/>
          <w:szCs w:val="28"/>
        </w:rPr>
        <w:t>扬州弘思百佳科技有限公司、纵坐标（江苏）标准技术服务有限公司。</w:t>
      </w:r>
    </w:p>
    <w:p w14:paraId="2D19FAC7">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、工作内容</w:t>
      </w:r>
    </w:p>
    <w:p w14:paraId="58B66D5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（1）江苏双隆铝业有限公司主要负责标准制定过程的协调工作；负责标准制定工作，资料查询、标准正文及编制说明草案起草、方法验证等工作。</w:t>
      </w:r>
    </w:p>
    <w:p w14:paraId="2FEF959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（2）扬州弘思百佳科技有限公司、纵坐标（江苏）标准技术服务有限公司主要参与资料查询、标准正文草案修改、方法验证等。</w:t>
      </w:r>
    </w:p>
    <w:p w14:paraId="469ED75D">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hint="eastAsia"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224F9EF5">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4963B5F3">
      <w:pPr>
        <w:numPr>
          <w:ilvl w:val="0"/>
          <w:numId w:val="4"/>
        </w:numPr>
        <w:spacing w:line="360" w:lineRule="auto"/>
        <w:jc w:val="left"/>
        <w:rPr>
          <w:rFonts w:hint="eastAsia" w:ascii="宋体" w:hAnsi="宋体" w:eastAsia="宋体"/>
          <w:b/>
          <w:bCs/>
          <w:sz w:val="28"/>
          <w:szCs w:val="28"/>
        </w:rPr>
      </w:pPr>
      <w:r>
        <w:rPr>
          <w:rFonts w:ascii="宋体" w:hAnsi="宋体" w:eastAsia="宋体"/>
          <w:b/>
          <w:bCs/>
          <w:sz w:val="28"/>
          <w:szCs w:val="28"/>
        </w:rPr>
        <w:t xml:space="preserve">标准主要技术内容 </w:t>
      </w:r>
    </w:p>
    <w:p w14:paraId="09A2D6F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1、适用范围</w:t>
      </w:r>
    </w:p>
    <w:p w14:paraId="471DB56B">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本标准适用于工业铝材再生料的加工。</w:t>
      </w:r>
    </w:p>
    <w:p w14:paraId="59C5B518">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 标题</w:t>
      </w:r>
    </w:p>
    <w:p w14:paraId="5E796B6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标准中文名称：工业铝材再生料加工工艺规范；</w:t>
      </w:r>
    </w:p>
    <w:p w14:paraId="731A4D32">
      <w:pPr>
        <w:pStyle w:val="14"/>
        <w:keepNext w:val="0"/>
        <w:keepLines w:val="0"/>
        <w:pageBreakBefore w:val="0"/>
        <w:widowControl w:val="0"/>
        <w:kinsoku/>
        <w:wordWrap w:val="0"/>
        <w:overflowPunct/>
        <w:topLinePunct w:val="0"/>
        <w:autoSpaceDE/>
        <w:autoSpaceDN/>
        <w:bidi w:val="0"/>
        <w:adjustRightInd/>
        <w:snapToGrid/>
        <w:ind w:firstLine="560" w:firstLineChars="200"/>
        <w:jc w:val="left"/>
        <w:textAlignment w:val="bottom"/>
        <w:rPr>
          <w:rFonts w:hint="eastAsia" w:ascii="宋体" w:hAnsi="宋体"/>
          <w:color w:val="000000" w:themeColor="text1"/>
          <w:szCs w:val="28"/>
          <w14:textFill>
            <w14:solidFill>
              <w14:schemeClr w14:val="tx1"/>
            </w14:solidFill>
          </w14:textFill>
        </w:rPr>
      </w:pPr>
      <w:r>
        <w:rPr>
          <w:rFonts w:hint="eastAsia" w:ascii="宋体" w:hAnsi="宋体"/>
          <w:szCs w:val="28"/>
        </w:rPr>
        <w:t>英文翻译：</w:t>
      </w:r>
      <w:r>
        <w:rPr>
          <w:rFonts w:hint="eastAsia" w:ascii="宋体" w:hAnsi="宋体" w:cstheme="minorBidi"/>
          <w:kern w:val="2"/>
          <w:szCs w:val="28"/>
        </w:rPr>
        <w:t>Process technological specification for industrial aluminum recycled materials。</w:t>
      </w:r>
    </w:p>
    <w:p w14:paraId="53105DE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（2）术语和定义</w:t>
      </w:r>
    </w:p>
    <w:p w14:paraId="35EECED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8005.1界定的术语和定义</w:t>
      </w:r>
      <w:r>
        <w:rPr>
          <w:rFonts w:hint="eastAsia" w:ascii="宋体" w:hAnsi="宋体" w:eastAsia="宋体"/>
          <w:sz w:val="28"/>
          <w:szCs w:val="28"/>
          <w:lang w:val="en-US" w:eastAsia="zh-CN"/>
        </w:rPr>
        <w:t>适用于本标准</w:t>
      </w:r>
      <w:r>
        <w:rPr>
          <w:rFonts w:ascii="宋体" w:hAnsi="宋体" w:eastAsia="宋体"/>
          <w:sz w:val="28"/>
          <w:szCs w:val="28"/>
        </w:rPr>
        <w:t>。</w:t>
      </w:r>
    </w:p>
    <w:p w14:paraId="242372AD">
      <w:pPr>
        <w:numPr>
          <w:ilvl w:val="0"/>
          <w:numId w:val="5"/>
        </w:num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主要内容</w:t>
      </w:r>
    </w:p>
    <w:p w14:paraId="7AE136E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第四章 </w:t>
      </w:r>
      <w:r>
        <w:rPr>
          <w:rFonts w:hint="eastAsia" w:ascii="宋体" w:hAnsi="宋体" w:eastAsia="宋体"/>
          <w:sz w:val="28"/>
          <w:szCs w:val="28"/>
          <w:lang w:val="en-US" w:eastAsia="zh-CN"/>
        </w:rPr>
        <w:t>原料</w:t>
      </w:r>
      <w:r>
        <w:rPr>
          <w:rFonts w:hint="eastAsia" w:ascii="宋体" w:hAnsi="宋体" w:eastAsia="宋体"/>
          <w:sz w:val="28"/>
          <w:szCs w:val="28"/>
        </w:rPr>
        <w:t>：本章节主要对工业铝材再生料加工</w:t>
      </w:r>
      <w:r>
        <w:rPr>
          <w:rFonts w:hint="eastAsia" w:ascii="宋体" w:hAnsi="宋体" w:eastAsia="宋体"/>
          <w:sz w:val="28"/>
          <w:szCs w:val="28"/>
          <w:lang w:val="en-US" w:eastAsia="zh-CN"/>
        </w:rPr>
        <w:t>的原料要求进行了规定</w:t>
      </w:r>
      <w:r>
        <w:rPr>
          <w:rFonts w:hint="eastAsia" w:ascii="宋体" w:hAnsi="宋体" w:eastAsia="宋体" w:cs="Times New Roman"/>
          <w:sz w:val="28"/>
          <w:szCs w:val="28"/>
        </w:rPr>
        <w:t>。</w:t>
      </w:r>
    </w:p>
    <w:p w14:paraId="7C0ACF7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w:t>
      </w:r>
      <w:bookmarkStart w:id="1" w:name="_Hlk80881849"/>
      <w:r>
        <w:rPr>
          <w:rFonts w:hint="eastAsia" w:ascii="宋体" w:hAnsi="宋体" w:eastAsia="宋体"/>
          <w:sz w:val="28"/>
          <w:szCs w:val="28"/>
        </w:rPr>
        <w:t xml:space="preserve">五章 </w:t>
      </w:r>
      <w:r>
        <w:rPr>
          <w:rFonts w:hint="eastAsia" w:ascii="宋体" w:hAnsi="宋体" w:eastAsia="宋体"/>
          <w:sz w:val="28"/>
          <w:szCs w:val="28"/>
          <w:lang w:val="en-US" w:eastAsia="zh-CN"/>
        </w:rPr>
        <w:t>工艺流程</w:t>
      </w:r>
      <w:r>
        <w:rPr>
          <w:rFonts w:hint="eastAsia" w:ascii="宋体" w:hAnsi="宋体" w:eastAsia="宋体"/>
          <w:sz w:val="28"/>
          <w:szCs w:val="28"/>
        </w:rPr>
        <w:t>：本章节主要对工业铝材再生料加工</w:t>
      </w:r>
      <w:r>
        <w:rPr>
          <w:rFonts w:hint="eastAsia" w:ascii="宋体" w:hAnsi="宋体" w:eastAsia="宋体"/>
          <w:sz w:val="28"/>
          <w:szCs w:val="28"/>
          <w:lang w:val="en-US" w:eastAsia="zh-CN"/>
        </w:rPr>
        <w:t>的工艺流程进行了规定，主要包括：原料入厂、预处理、配料、装炉、熔化、扒渣、精炼、取样分析、静置成型、晶粒细化、浇铸成型、成品检验、包装入库</w:t>
      </w:r>
      <w:r>
        <w:rPr>
          <w:rFonts w:hint="eastAsia" w:ascii="宋体" w:hAnsi="宋体" w:eastAsia="宋体"/>
          <w:sz w:val="28"/>
          <w:szCs w:val="28"/>
        </w:rPr>
        <w:t>。</w:t>
      </w:r>
    </w:p>
    <w:p w14:paraId="19D9E691">
      <w:pPr>
        <w:topLinePunct/>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第六章 操作要点：</w:t>
      </w:r>
      <w:r>
        <w:rPr>
          <w:rFonts w:hint="eastAsia" w:ascii="宋体" w:hAnsi="宋体" w:eastAsia="宋体"/>
          <w:sz w:val="28"/>
          <w:szCs w:val="28"/>
        </w:rPr>
        <w:t>本章节主要对工业铝材再生料加工</w:t>
      </w:r>
      <w:r>
        <w:rPr>
          <w:rFonts w:hint="eastAsia" w:ascii="宋体" w:hAnsi="宋体" w:eastAsia="宋体"/>
          <w:sz w:val="28"/>
          <w:szCs w:val="28"/>
          <w:lang w:val="en-US" w:eastAsia="zh-CN"/>
        </w:rPr>
        <w:t>工艺的操作要点进行了规定</w:t>
      </w:r>
      <w:r>
        <w:rPr>
          <w:rFonts w:hint="eastAsia" w:ascii="宋体" w:hAnsi="宋体" w:eastAsia="宋体"/>
          <w:sz w:val="28"/>
          <w:szCs w:val="28"/>
        </w:rPr>
        <w:t>。</w:t>
      </w:r>
    </w:p>
    <w:p w14:paraId="0D16B913">
      <w:pPr>
        <w:topLinePunct/>
        <w:spacing w:line="360" w:lineRule="auto"/>
        <w:ind w:firstLine="560" w:firstLineChars="200"/>
        <w:rPr>
          <w:rFonts w:hint="default" w:ascii="宋体" w:hAnsi="宋体" w:eastAsia="宋体"/>
          <w:sz w:val="28"/>
          <w:szCs w:val="28"/>
          <w:lang w:val="en-US" w:eastAsia="zh-CN"/>
        </w:rPr>
      </w:pPr>
      <w:r>
        <w:rPr>
          <w:rFonts w:hint="eastAsia" w:ascii="宋体" w:hAnsi="宋体" w:eastAsia="宋体"/>
          <w:sz w:val="28"/>
          <w:szCs w:val="28"/>
        </w:rPr>
        <w:t>第</w:t>
      </w:r>
      <w:r>
        <w:rPr>
          <w:rFonts w:hint="eastAsia" w:ascii="宋体" w:hAnsi="宋体" w:eastAsia="宋体"/>
          <w:sz w:val="28"/>
          <w:szCs w:val="28"/>
          <w:lang w:val="en-US" w:eastAsia="zh-CN"/>
        </w:rPr>
        <w:t>七</w:t>
      </w:r>
      <w:r>
        <w:rPr>
          <w:rFonts w:hint="eastAsia" w:ascii="宋体" w:hAnsi="宋体" w:eastAsia="宋体"/>
          <w:sz w:val="28"/>
          <w:szCs w:val="28"/>
        </w:rPr>
        <w:t xml:space="preserve">章 </w:t>
      </w:r>
      <w:r>
        <w:rPr>
          <w:rFonts w:hint="eastAsia" w:ascii="宋体" w:hAnsi="宋体" w:eastAsia="宋体"/>
          <w:sz w:val="28"/>
          <w:szCs w:val="28"/>
          <w:lang w:val="en-US" w:eastAsia="zh-CN"/>
        </w:rPr>
        <w:t>环保与安全</w:t>
      </w:r>
      <w:r>
        <w:rPr>
          <w:rFonts w:hint="eastAsia" w:ascii="宋体" w:hAnsi="宋体" w:eastAsia="宋体"/>
          <w:sz w:val="28"/>
          <w:szCs w:val="28"/>
        </w:rPr>
        <w:t>：本章节主要对工业铝材再生料加工</w:t>
      </w:r>
      <w:r>
        <w:rPr>
          <w:rFonts w:hint="eastAsia" w:ascii="宋体" w:hAnsi="宋体" w:eastAsia="宋体"/>
          <w:sz w:val="28"/>
          <w:szCs w:val="28"/>
          <w:lang w:val="en-US" w:eastAsia="zh-CN"/>
        </w:rPr>
        <w:t>工艺的环保与安全要求</w:t>
      </w:r>
      <w:r>
        <w:rPr>
          <w:rFonts w:hint="eastAsia" w:ascii="宋体" w:hAnsi="宋体" w:eastAsia="宋体"/>
          <w:sz w:val="28"/>
          <w:szCs w:val="28"/>
        </w:rPr>
        <w:t>进行了规定。</w:t>
      </w:r>
      <w:bookmarkEnd w:id="1"/>
    </w:p>
    <w:p w14:paraId="28DD3A46">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7230259">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rPr>
        <w:t>工业铝材再生料加工</w:t>
      </w:r>
      <w:r>
        <w:rPr>
          <w:rFonts w:hint="eastAsia" w:ascii="宋体" w:hAnsi="宋体" w:eastAsia="宋体"/>
          <w:sz w:val="28"/>
          <w:szCs w:val="28"/>
          <w:lang w:val="en-US" w:eastAsia="zh-CN"/>
        </w:rPr>
        <w:t>工艺工艺评定，以及再生铝锭和铝型材出厂检验、型式检验等各项</w:t>
      </w:r>
      <w:r>
        <w:rPr>
          <w:rFonts w:hint="eastAsia" w:ascii="宋体" w:hAnsi="宋体" w:eastAsia="宋体"/>
          <w:color w:val="000000" w:themeColor="text1"/>
          <w:sz w:val="28"/>
          <w:szCs w:val="28"/>
          <w14:textFill>
            <w14:solidFill>
              <w14:schemeClr w14:val="tx1"/>
            </w14:solidFill>
          </w14:textFill>
        </w:rPr>
        <w:t>试验和检验所积累的大量数据，对标准内容进行了充分的验证。</w:t>
      </w:r>
    </w:p>
    <w:p w14:paraId="0C794921">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1914358A">
      <w:pPr>
        <w:spacing w:line="360" w:lineRule="auto"/>
        <w:ind w:firstLine="560" w:firstLineChars="200"/>
        <w:jc w:val="left"/>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本标准不涉及专利。</w:t>
      </w:r>
    </w:p>
    <w:p w14:paraId="2559754D">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p>
    <w:p w14:paraId="5F160704">
      <w:pPr>
        <w:spacing w:line="360" w:lineRule="auto"/>
        <w:ind w:firstLine="560" w:firstLineChars="200"/>
        <w:rPr>
          <w:rFonts w:hint="eastAsia" w:ascii="宋体" w:hAnsi="宋体" w:eastAsia="宋体"/>
          <w:b/>
          <w:bCs/>
          <w:sz w:val="28"/>
          <w:szCs w:val="28"/>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w:t>
      </w:r>
      <w:r>
        <w:rPr>
          <w:rFonts w:hint="eastAsia" w:ascii="宋体" w:hAnsi="宋体" w:eastAsia="宋体"/>
          <w:color w:val="000000" w:themeColor="text1"/>
          <w:sz w:val="28"/>
          <w:szCs w:val="28"/>
          <w:lang w:val="en-US" w:eastAsia="zh-CN"/>
          <w14:textFill>
            <w14:solidFill>
              <w14:schemeClr w14:val="tx1"/>
            </w14:solidFill>
          </w14:textFill>
        </w:rPr>
        <w:t>将规范工业铝材再生料加工工艺，</w:t>
      </w:r>
      <w:r>
        <w:rPr>
          <w:rFonts w:hint="eastAsia" w:ascii="宋体" w:hAnsi="宋体" w:eastAsia="宋体"/>
          <w:color w:val="000000" w:themeColor="text1"/>
          <w:sz w:val="28"/>
          <w:szCs w:val="28"/>
          <w14:textFill>
            <w14:solidFill>
              <w14:schemeClr w14:val="tx1"/>
            </w14:solidFill>
          </w14:textFill>
        </w:rPr>
        <w:t>积极</w:t>
      </w:r>
      <w:r>
        <w:rPr>
          <w:rFonts w:hint="eastAsia" w:ascii="宋体" w:hAnsi="宋体" w:eastAsia="宋体"/>
          <w:sz w:val="28"/>
          <w:szCs w:val="28"/>
          <w:lang w:val="en-US" w:eastAsia="zh-CN"/>
        </w:rPr>
        <w:t>再生铝锭和铝型材性能，</w:t>
      </w:r>
      <w:r>
        <w:rPr>
          <w:rFonts w:hint="eastAsia" w:ascii="宋体" w:hAnsi="宋体" w:eastAsia="宋体"/>
          <w:color w:val="000000" w:themeColor="text1"/>
          <w:sz w:val="28"/>
          <w:szCs w:val="28"/>
          <w14:textFill>
            <w14:solidFill>
              <w14:schemeClr w14:val="tx1"/>
            </w14:solidFill>
          </w14:textFill>
        </w:rPr>
        <w:t>保障</w:t>
      </w:r>
      <w:r>
        <w:rPr>
          <w:rFonts w:hint="eastAsia" w:ascii="宋体" w:hAnsi="宋体" w:eastAsia="宋体"/>
          <w:sz w:val="28"/>
          <w:szCs w:val="28"/>
          <w:lang w:val="en-US" w:eastAsia="zh-CN"/>
        </w:rPr>
        <w:t>产品</w:t>
      </w:r>
      <w:r>
        <w:rPr>
          <w:rFonts w:hint="eastAsia" w:ascii="宋体" w:hAnsi="宋体" w:eastAsia="宋体"/>
          <w:color w:val="000000" w:themeColor="text1"/>
          <w:sz w:val="28"/>
          <w:szCs w:val="28"/>
          <w14:textFill>
            <w14:solidFill>
              <w14:schemeClr w14:val="tx1"/>
            </w14:solidFill>
          </w14:textFill>
        </w:rPr>
        <w:t>质量，并进一步促进生产技术发展，这将促进行业规模扩大，创造更多就业机会，同时将有助于推动整个行业的健康发展，提升行业整体水平。</w:t>
      </w:r>
    </w:p>
    <w:p w14:paraId="58EDE26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在标准体系中的位置，与现行相关</w:t>
      </w:r>
      <w:r>
        <w:rPr>
          <w:rFonts w:hint="eastAsia" w:ascii="宋体" w:hAnsi="宋体" w:eastAsia="宋体"/>
          <w:b/>
          <w:bCs/>
          <w:sz w:val="28"/>
          <w:szCs w:val="28"/>
          <w:lang w:eastAsia="zh-CN"/>
        </w:rPr>
        <w:t>法律法规</w:t>
      </w:r>
      <w:r>
        <w:rPr>
          <w:rFonts w:hint="eastAsia" w:ascii="宋体" w:hAnsi="宋体" w:eastAsia="宋体"/>
          <w:b/>
          <w:bCs/>
          <w:sz w:val="28"/>
          <w:szCs w:val="28"/>
        </w:rPr>
        <w:t>、规章及相关标准，特别是强制性标准的协调性</w:t>
      </w:r>
    </w:p>
    <w:p w14:paraId="560534DB">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本标准符合国家相关法律法规、规章及相关标准，与强制性标准的协调一致。</w:t>
      </w:r>
    </w:p>
    <w:p w14:paraId="29536E99">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925FAD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本标准在起草过程中无重大意见分歧。</w:t>
      </w:r>
    </w:p>
    <w:p w14:paraId="5FF6B117">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4AD573C3">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建议将本标准作为推荐性团体标准，供社会各界自愿使用。</w:t>
      </w:r>
    </w:p>
    <w:p w14:paraId="79C2BF1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7B9A5E13">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D3F6B70">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F451718">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1B868991">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《工业铝材再生料加工工艺规范》起草组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w:t>
      </w:r>
      <w:r>
        <w:rPr>
          <w:rFonts w:hint="eastAsia" w:ascii="宋体" w:hAnsi="宋体" w:eastAsia="宋体"/>
          <w:sz w:val="28"/>
          <w:szCs w:val="28"/>
          <w:lang w:val="en-US" w:eastAsia="zh-CN"/>
        </w:rPr>
        <w:t>一</w:t>
      </w:r>
      <w:r>
        <w:rPr>
          <w:rFonts w:ascii="宋体" w:hAnsi="宋体" w:eastAsia="宋体"/>
          <w:sz w:val="28"/>
          <w:szCs w:val="28"/>
        </w:rPr>
        <w:t>月</w:t>
      </w:r>
    </w:p>
    <w:p w14:paraId="23DEE833">
      <w:pPr>
        <w:topLinePunct/>
        <w:spacing w:line="360" w:lineRule="auto"/>
        <w:ind w:firstLine="560" w:firstLineChars="200"/>
        <w:jc w:val="right"/>
        <w:rPr>
          <w:rFonts w:hint="eastAsia" w:ascii="宋体" w:hAnsi="宋体" w:eastAsia="宋体"/>
          <w:sz w:val="28"/>
          <w:szCs w:val="28"/>
        </w:rPr>
      </w:pPr>
      <w:bookmarkStart w:id="2" w:name="_GoBack"/>
      <w:bookmarkEnd w:id="2"/>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859B"/>
    <w:multiLevelType w:val="singleLevel"/>
    <w:tmpl w:val="06C5859B"/>
    <w:lvl w:ilvl="0" w:tentative="0">
      <w:start w:val="2"/>
      <w:numFmt w:val="chineseCounting"/>
      <w:suff w:val="space"/>
      <w:lvlText w:val="（%1）"/>
      <w:lvlJc w:val="left"/>
      <w:rPr>
        <w:rFonts w:hint="eastAsia"/>
      </w:rPr>
    </w:lvl>
  </w:abstractNum>
  <w:abstractNum w:abstractNumId="1">
    <w:nsid w:val="3D7EE88E"/>
    <w:multiLevelType w:val="singleLevel"/>
    <w:tmpl w:val="3D7EE88E"/>
    <w:lvl w:ilvl="0" w:tentative="0">
      <w:start w:val="3"/>
      <w:numFmt w:val="decimal"/>
      <w:suff w:val="nothing"/>
      <w:lvlText w:val="（%1）"/>
      <w:lvlJc w:val="left"/>
    </w:lvl>
  </w:abstractNum>
  <w:abstractNum w:abstractNumId="2">
    <w:nsid w:val="585B7623"/>
    <w:multiLevelType w:val="singleLevel"/>
    <w:tmpl w:val="585B7623"/>
    <w:lvl w:ilvl="0" w:tentative="0">
      <w:start w:val="5"/>
      <w:numFmt w:val="decimal"/>
      <w:suff w:val="nothing"/>
      <w:lvlText w:val="%1、"/>
      <w:lvlJc w:val="left"/>
    </w:lvl>
  </w:abstractNum>
  <w:abstractNum w:abstractNumId="3">
    <w:nsid w:val="606D5677"/>
    <w:multiLevelType w:val="singleLevel"/>
    <w:tmpl w:val="606D5677"/>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279B"/>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6B46F7"/>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20CC"/>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67651EA"/>
    <w:rsid w:val="15AC3C0A"/>
    <w:rsid w:val="165F780A"/>
    <w:rsid w:val="1A1847DD"/>
    <w:rsid w:val="340477DB"/>
    <w:rsid w:val="47F1602C"/>
    <w:rsid w:val="48317E36"/>
    <w:rsid w:val="4FF23A92"/>
    <w:rsid w:val="54A43723"/>
    <w:rsid w:val="5E7128C8"/>
    <w:rsid w:val="60FD6929"/>
    <w:rsid w:val="63974902"/>
    <w:rsid w:val="664F7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
    <w:name w:val="标准文件_一级条标题"/>
    <w:basedOn w:val="16"/>
    <w:next w:val="17"/>
    <w:qFormat/>
    <w:uiPriority w:val="0"/>
    <w:pPr>
      <w:numPr>
        <w:ilvl w:val="2"/>
      </w:numPr>
      <w:spacing w:before="50" w:beforeLines="50" w:after="50" w:afterLines="50"/>
      <w:outlineLvl w:val="1"/>
    </w:pPr>
  </w:style>
  <w:style w:type="paragraph" w:customStyle="1" w:styleId="16">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2599</Words>
  <Characters>2641</Characters>
  <Lines>17</Lines>
  <Paragraphs>5</Paragraphs>
  <TotalTime>8</TotalTime>
  <ScaleCrop>false</ScaleCrop>
  <LinksUpToDate>false</LinksUpToDate>
  <CharactersWithSpaces>2669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阿北</cp:lastModifiedBy>
  <cp:lastPrinted>2022-05-11T05:51:00Z</cp:lastPrinted>
  <dcterms:modified xsi:type="dcterms:W3CDTF">2024-11-07T08:54:59Z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