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1B2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E592439">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B6D9EFB">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27.180</w:t>
            </w:r>
            <w:r>
              <w:rPr>
                <w:rFonts w:ascii="黑体" w:hAnsi="黑体" w:eastAsia="黑体"/>
                <w:sz w:val="21"/>
                <w:szCs w:val="21"/>
              </w:rPr>
              <w:fldChar w:fldCharType="end"/>
            </w:r>
            <w:bookmarkEnd w:id="0"/>
          </w:p>
        </w:tc>
      </w:tr>
      <w:tr w14:paraId="3C8C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C4BB9E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F4052D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680B038">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4FA1E5F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F 19</w:t>
            </w:r>
            <w:r>
              <w:rPr>
                <w:rFonts w:ascii="黑体" w:hAnsi="黑体" w:eastAsia="黑体"/>
                <w:sz w:val="21"/>
                <w:szCs w:val="21"/>
              </w:rPr>
              <w:fldChar w:fldCharType="end"/>
            </w:r>
            <w:bookmarkEnd w:id="2"/>
          </w:p>
        </w:tc>
      </w:tr>
    </w:tbl>
    <w:p w14:paraId="4A9DB53C">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xml:space="preserve">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1AE3090">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CASME</w:t>
      </w:r>
      <w:r>
        <w:rPr>
          <w:rFonts w:hint="eastAsia"/>
        </w:rPr>
        <w:t>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2024</w:t>
      </w:r>
      <w:r>
        <w:fldChar w:fldCharType="end"/>
      </w:r>
      <w:bookmarkEnd w:id="7"/>
    </w:p>
    <w:p w14:paraId="45AECDF3">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EF59165">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A5C857E">
      <w:pPr>
        <w:pStyle w:val="50"/>
        <w:framePr w:w="9639" w:h="6976" w:hRule="exact" w:hSpace="0" w:vSpace="0" w:wrap="around" w:hAnchor="page" w:y="6408"/>
        <w:jc w:val="center"/>
        <w:rPr>
          <w:rFonts w:ascii="黑体" w:hAnsi="黑体" w:eastAsia="黑体"/>
          <w:b w:val="0"/>
          <w:bCs w:val="0"/>
          <w:w w:val="100"/>
        </w:rPr>
      </w:pPr>
    </w:p>
    <w:p w14:paraId="1C4E4EA3">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碱性水电解制氢设备气密性测试方法</w:t>
      </w:r>
      <w:r>
        <w:fldChar w:fldCharType="end"/>
      </w:r>
      <w:bookmarkEnd w:id="9"/>
    </w:p>
    <w:p w14:paraId="2C7AFBDD">
      <w:pPr>
        <w:framePr w:w="9639" w:h="6974" w:hRule="exact" w:wrap="around" w:vAnchor="page" w:hAnchor="page" w:x="1419" w:y="6408" w:anchorLock="1"/>
        <w:ind w:left="-1418"/>
      </w:pPr>
    </w:p>
    <w:p w14:paraId="2F06AB4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Test method for air tightness of alkaline water electrolysis equipment for hydrogen production</w:t>
      </w:r>
      <w:r>
        <w:rPr>
          <w:rFonts w:eastAsia="黑体"/>
          <w:szCs w:val="28"/>
        </w:rPr>
        <w:fldChar w:fldCharType="end"/>
      </w:r>
      <w:bookmarkEnd w:id="10"/>
    </w:p>
    <w:p w14:paraId="2D6B960B">
      <w:pPr>
        <w:framePr w:w="9639" w:h="6974" w:hRule="exact" w:wrap="around" w:vAnchor="page" w:hAnchor="page" w:x="1419" w:y="6408" w:anchorLock="1"/>
        <w:spacing w:line="760" w:lineRule="exact"/>
        <w:ind w:left="-1418"/>
      </w:pPr>
    </w:p>
    <w:p w14:paraId="7959506C">
      <w:pPr>
        <w:pStyle w:val="125"/>
        <w:framePr w:w="9639" w:h="6974" w:hRule="exact" w:wrap="around" w:vAnchor="page" w:hAnchor="page" w:x="1419" w:y="6408" w:anchorLock="1"/>
        <w:textAlignment w:val="bottom"/>
        <w:rPr>
          <w:rFonts w:eastAsia="黑体"/>
          <w:szCs w:val="28"/>
        </w:rPr>
      </w:pPr>
    </w:p>
    <w:p w14:paraId="299025B6">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066AA1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190550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B35C501">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F13434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50993C6">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w:t>
      </w:r>
      <w:r>
        <w:rPr>
          <w:rFonts w:hAnsi="黑体"/>
          <w:w w:val="100"/>
          <w:sz w:val="28"/>
        </w:rPr>
        <w:t>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F5A61F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3FACE7B">
      <w:pPr>
        <w:pStyle w:val="91"/>
        <w:spacing w:after="360"/>
        <w:rPr>
          <w:rFonts w:hint="eastAsia"/>
        </w:rPr>
      </w:pPr>
      <w:bookmarkStart w:id="21" w:name="BookMark1"/>
      <w:bookmarkStart w:id="22" w:name="_Toc181104706"/>
      <w:bookmarkStart w:id="23" w:name="_Toc181177355"/>
      <w:r>
        <w:rPr>
          <w:rFonts w:hint="eastAsia"/>
          <w:spacing w:val="320"/>
        </w:rPr>
        <w:t>目</w:t>
      </w:r>
      <w:r>
        <w:rPr>
          <w:rFonts w:hint="eastAsia"/>
        </w:rPr>
        <w:t>次</w:t>
      </w:r>
    </w:p>
    <w:p w14:paraId="172F8990">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"_Toc181177913" </w:instrText>
      </w:r>
      <w:r>
        <w:fldChar w:fldCharType="separate"/>
      </w:r>
      <w:r>
        <w:rPr>
          <w:rStyle w:val="32"/>
          <w:rFonts w:hint="eastAsia"/>
        </w:rPr>
        <w:t>前言</w:t>
      </w:r>
      <w:r>
        <w:tab/>
      </w:r>
      <w:r>
        <w:fldChar w:fldCharType="begin"/>
      </w:r>
      <w:r>
        <w:instrText xml:space="preserve"> PAGEREF _Toc181177913 \h </w:instrText>
      </w:r>
      <w:r>
        <w:fldChar w:fldCharType="separate"/>
      </w:r>
      <w:r>
        <w:t>II</w:t>
      </w:r>
      <w:r>
        <w:fldChar w:fldCharType="end"/>
      </w:r>
      <w:r>
        <w:fldChar w:fldCharType="end"/>
      </w:r>
    </w:p>
    <w:p w14:paraId="6D8B47D6">
      <w:pPr>
        <w:pStyle w:val="19"/>
        <w:tabs>
          <w:tab w:val="right" w:leader="dot" w:pos="9344"/>
        </w:tabs>
        <w:rPr>
          <w:rFonts w:asciiTheme="minorHAnsi" w:hAnsiTheme="minorHAnsi" w:eastAsiaTheme="minorEastAsia" w:cstheme="minorBidi"/>
          <w:szCs w:val="22"/>
        </w:rPr>
      </w:pPr>
      <w:r>
        <w:fldChar w:fldCharType="begin"/>
      </w:r>
      <w:r>
        <w:instrText xml:space="preserve"> HYPERLINK \l "_Toc181177914" </w:instrText>
      </w:r>
      <w:r>
        <w:fldChar w:fldCharType="separate"/>
      </w:r>
      <w:r>
        <w:rPr>
          <w:rStyle w:val="32"/>
        </w:rPr>
        <w:t xml:space="preserve">1 </w:t>
      </w:r>
      <w:r>
        <w:rPr>
          <w:rStyle w:val="32"/>
          <w:rFonts w:hint="eastAsia"/>
        </w:rPr>
        <w:t xml:space="preserve"> 范围</w:t>
      </w:r>
      <w:r>
        <w:tab/>
      </w:r>
      <w:r>
        <w:fldChar w:fldCharType="begin"/>
      </w:r>
      <w:r>
        <w:instrText xml:space="preserve"> PAGEREF _Toc181177914 \h </w:instrText>
      </w:r>
      <w:r>
        <w:fldChar w:fldCharType="separate"/>
      </w:r>
      <w:r>
        <w:t>1</w:t>
      </w:r>
      <w:r>
        <w:fldChar w:fldCharType="end"/>
      </w:r>
      <w:r>
        <w:fldChar w:fldCharType="end"/>
      </w:r>
    </w:p>
    <w:p w14:paraId="67E90C91">
      <w:pPr>
        <w:pStyle w:val="19"/>
        <w:tabs>
          <w:tab w:val="right" w:leader="dot" w:pos="9344"/>
        </w:tabs>
        <w:rPr>
          <w:rFonts w:asciiTheme="minorHAnsi" w:hAnsiTheme="minorHAnsi" w:eastAsiaTheme="minorEastAsia" w:cstheme="minorBidi"/>
          <w:szCs w:val="22"/>
        </w:rPr>
      </w:pPr>
      <w:r>
        <w:fldChar w:fldCharType="begin"/>
      </w:r>
      <w:r>
        <w:instrText xml:space="preserve"> HYPERLINK \l "_Toc181177915"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_Toc181177915 \h </w:instrText>
      </w:r>
      <w:r>
        <w:fldChar w:fldCharType="separate"/>
      </w:r>
      <w:r>
        <w:t>1</w:t>
      </w:r>
      <w:r>
        <w:fldChar w:fldCharType="end"/>
      </w:r>
      <w:r>
        <w:fldChar w:fldCharType="end"/>
      </w:r>
    </w:p>
    <w:p w14:paraId="570D3ECD">
      <w:pPr>
        <w:pStyle w:val="19"/>
        <w:tabs>
          <w:tab w:val="right" w:leader="dot" w:pos="9344"/>
        </w:tabs>
        <w:rPr>
          <w:rFonts w:asciiTheme="minorHAnsi" w:hAnsiTheme="minorHAnsi" w:eastAsiaTheme="minorEastAsia" w:cstheme="minorBidi"/>
          <w:szCs w:val="22"/>
        </w:rPr>
      </w:pPr>
      <w:r>
        <w:fldChar w:fldCharType="begin"/>
      </w:r>
      <w:r>
        <w:instrText xml:space="preserve"> HYPERLINK \l "_Toc181177916"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_Toc181177916 \h </w:instrText>
      </w:r>
      <w:r>
        <w:fldChar w:fldCharType="separate"/>
      </w:r>
      <w:r>
        <w:t>1</w:t>
      </w:r>
      <w:r>
        <w:fldChar w:fldCharType="end"/>
      </w:r>
      <w:r>
        <w:fldChar w:fldCharType="end"/>
      </w:r>
    </w:p>
    <w:p w14:paraId="721AC9CB">
      <w:pPr>
        <w:pStyle w:val="19"/>
        <w:tabs>
          <w:tab w:val="right" w:leader="dot" w:pos="9344"/>
        </w:tabs>
        <w:rPr>
          <w:rFonts w:asciiTheme="minorHAnsi" w:hAnsiTheme="minorHAnsi" w:eastAsiaTheme="minorEastAsia" w:cstheme="minorBidi"/>
          <w:szCs w:val="22"/>
        </w:rPr>
      </w:pPr>
      <w:r>
        <w:fldChar w:fldCharType="begin"/>
      </w:r>
      <w:r>
        <w:instrText xml:space="preserve"> HYPERLINK \l "_Toc181177917" </w:instrText>
      </w:r>
      <w:r>
        <w:fldChar w:fldCharType="separate"/>
      </w:r>
      <w:r>
        <w:rPr>
          <w:rStyle w:val="32"/>
        </w:rPr>
        <w:t xml:space="preserve">4 </w:t>
      </w:r>
      <w:r>
        <w:rPr>
          <w:rStyle w:val="32"/>
          <w:rFonts w:hint="eastAsia"/>
        </w:rPr>
        <w:t xml:space="preserve"> 实验装置</w:t>
      </w:r>
      <w:r>
        <w:tab/>
      </w:r>
      <w:r>
        <w:fldChar w:fldCharType="begin"/>
      </w:r>
      <w:r>
        <w:instrText xml:space="preserve"> PAGEREF _Toc181177917 \h </w:instrText>
      </w:r>
      <w:r>
        <w:fldChar w:fldCharType="separate"/>
      </w:r>
      <w:r>
        <w:t>1</w:t>
      </w:r>
      <w:r>
        <w:fldChar w:fldCharType="end"/>
      </w:r>
      <w:r>
        <w:fldChar w:fldCharType="end"/>
      </w:r>
    </w:p>
    <w:p w14:paraId="5499BE0E">
      <w:pPr>
        <w:pStyle w:val="19"/>
        <w:tabs>
          <w:tab w:val="right" w:leader="dot" w:pos="9344"/>
        </w:tabs>
        <w:rPr>
          <w:rFonts w:asciiTheme="minorHAnsi" w:hAnsiTheme="minorHAnsi" w:eastAsiaTheme="minorEastAsia" w:cstheme="minorBidi"/>
          <w:szCs w:val="22"/>
        </w:rPr>
      </w:pPr>
      <w:r>
        <w:fldChar w:fldCharType="begin"/>
      </w:r>
      <w:r>
        <w:instrText xml:space="preserve"> HYPERLINK \l "_Toc181177918" </w:instrText>
      </w:r>
      <w:r>
        <w:fldChar w:fldCharType="separate"/>
      </w:r>
      <w:r>
        <w:rPr>
          <w:rStyle w:val="32"/>
        </w:rPr>
        <w:t xml:space="preserve">5 </w:t>
      </w:r>
      <w:r>
        <w:rPr>
          <w:rStyle w:val="32"/>
          <w:rFonts w:hint="eastAsia"/>
        </w:rPr>
        <w:t xml:space="preserve"> 试剂、材料</w:t>
      </w:r>
      <w:r>
        <w:tab/>
      </w:r>
      <w:r>
        <w:fldChar w:fldCharType="begin"/>
      </w:r>
      <w:r>
        <w:instrText xml:space="preserve"> PAGEREF _Toc181177918 \h </w:instrText>
      </w:r>
      <w:r>
        <w:fldChar w:fldCharType="separate"/>
      </w:r>
      <w:r>
        <w:t>1</w:t>
      </w:r>
      <w:r>
        <w:fldChar w:fldCharType="end"/>
      </w:r>
      <w:r>
        <w:fldChar w:fldCharType="end"/>
      </w:r>
    </w:p>
    <w:p w14:paraId="6AD028C7">
      <w:pPr>
        <w:pStyle w:val="19"/>
        <w:tabs>
          <w:tab w:val="right" w:leader="dot" w:pos="9344"/>
        </w:tabs>
        <w:rPr>
          <w:rFonts w:asciiTheme="minorHAnsi" w:hAnsiTheme="minorHAnsi" w:eastAsiaTheme="minorEastAsia" w:cstheme="minorBidi"/>
          <w:szCs w:val="22"/>
        </w:rPr>
      </w:pPr>
      <w:r>
        <w:fldChar w:fldCharType="begin"/>
      </w:r>
      <w:r>
        <w:instrText xml:space="preserve"> HYPERLINK \l "_Toc181177919" </w:instrText>
      </w:r>
      <w:r>
        <w:fldChar w:fldCharType="separate"/>
      </w:r>
      <w:r>
        <w:rPr>
          <w:rStyle w:val="32"/>
        </w:rPr>
        <w:t xml:space="preserve">6 </w:t>
      </w:r>
      <w:r>
        <w:rPr>
          <w:rStyle w:val="32"/>
          <w:rFonts w:hint="eastAsia"/>
        </w:rPr>
        <w:t xml:space="preserve"> 试验条件</w:t>
      </w:r>
      <w:r>
        <w:tab/>
      </w:r>
      <w:r>
        <w:fldChar w:fldCharType="begin"/>
      </w:r>
      <w:r>
        <w:instrText xml:space="preserve"> PAGEREF _Toc181177919 \h </w:instrText>
      </w:r>
      <w:r>
        <w:fldChar w:fldCharType="separate"/>
      </w:r>
      <w:r>
        <w:t>2</w:t>
      </w:r>
      <w:r>
        <w:fldChar w:fldCharType="end"/>
      </w:r>
      <w:r>
        <w:fldChar w:fldCharType="end"/>
      </w:r>
    </w:p>
    <w:p w14:paraId="28080915">
      <w:pPr>
        <w:pStyle w:val="19"/>
        <w:tabs>
          <w:tab w:val="right" w:leader="dot" w:pos="9344"/>
        </w:tabs>
        <w:rPr>
          <w:rFonts w:asciiTheme="minorHAnsi" w:hAnsiTheme="minorHAnsi" w:eastAsiaTheme="minorEastAsia" w:cstheme="minorBidi"/>
          <w:szCs w:val="22"/>
        </w:rPr>
      </w:pPr>
      <w:r>
        <w:fldChar w:fldCharType="begin"/>
      </w:r>
      <w:r>
        <w:instrText xml:space="preserve"> HYPERLINK \l "_Toc181177920" </w:instrText>
      </w:r>
      <w:r>
        <w:fldChar w:fldCharType="separate"/>
      </w:r>
      <w:r>
        <w:rPr>
          <w:rStyle w:val="32"/>
        </w:rPr>
        <w:t xml:space="preserve">7 </w:t>
      </w:r>
      <w:r>
        <w:rPr>
          <w:rStyle w:val="32"/>
          <w:rFonts w:hint="eastAsia"/>
        </w:rPr>
        <w:t xml:space="preserve"> 样品</w:t>
      </w:r>
      <w:r>
        <w:tab/>
      </w:r>
      <w:r>
        <w:fldChar w:fldCharType="begin"/>
      </w:r>
      <w:r>
        <w:instrText xml:space="preserve"> PAGEREF _Toc181177920 \h </w:instrText>
      </w:r>
      <w:r>
        <w:fldChar w:fldCharType="separate"/>
      </w:r>
      <w:r>
        <w:t>2</w:t>
      </w:r>
      <w:r>
        <w:fldChar w:fldCharType="end"/>
      </w:r>
      <w:r>
        <w:fldChar w:fldCharType="end"/>
      </w:r>
    </w:p>
    <w:p w14:paraId="33300750">
      <w:pPr>
        <w:pStyle w:val="19"/>
        <w:tabs>
          <w:tab w:val="right" w:leader="dot" w:pos="9344"/>
        </w:tabs>
        <w:rPr>
          <w:rFonts w:asciiTheme="minorHAnsi" w:hAnsiTheme="minorHAnsi" w:eastAsiaTheme="minorEastAsia" w:cstheme="minorBidi"/>
          <w:szCs w:val="22"/>
        </w:rPr>
      </w:pPr>
      <w:r>
        <w:fldChar w:fldCharType="begin"/>
      </w:r>
      <w:r>
        <w:instrText xml:space="preserve"> HYPERLINK \l "_Toc181177921" </w:instrText>
      </w:r>
      <w:r>
        <w:fldChar w:fldCharType="separate"/>
      </w:r>
      <w:r>
        <w:rPr>
          <w:rStyle w:val="32"/>
        </w:rPr>
        <w:t xml:space="preserve">8 </w:t>
      </w:r>
      <w:r>
        <w:rPr>
          <w:rStyle w:val="32"/>
          <w:rFonts w:hint="eastAsia"/>
        </w:rPr>
        <w:t xml:space="preserve"> 试验步骤</w:t>
      </w:r>
      <w:r>
        <w:tab/>
      </w:r>
      <w:r>
        <w:fldChar w:fldCharType="begin"/>
      </w:r>
      <w:r>
        <w:instrText xml:space="preserve"> PAGEREF _Toc181177921 \h </w:instrText>
      </w:r>
      <w:r>
        <w:fldChar w:fldCharType="separate"/>
      </w:r>
      <w:r>
        <w:t>2</w:t>
      </w:r>
      <w:r>
        <w:fldChar w:fldCharType="end"/>
      </w:r>
      <w:r>
        <w:fldChar w:fldCharType="end"/>
      </w:r>
    </w:p>
    <w:p w14:paraId="39C3328D">
      <w:pPr>
        <w:pStyle w:val="19"/>
        <w:tabs>
          <w:tab w:val="right" w:leader="dot" w:pos="9344"/>
        </w:tabs>
        <w:rPr>
          <w:rFonts w:asciiTheme="minorHAnsi" w:hAnsiTheme="minorHAnsi" w:eastAsiaTheme="minorEastAsia" w:cstheme="minorBidi"/>
          <w:szCs w:val="22"/>
        </w:rPr>
      </w:pPr>
      <w:r>
        <w:fldChar w:fldCharType="begin"/>
      </w:r>
      <w:r>
        <w:instrText xml:space="preserve"> HYPERLINK \l "_Toc181177922" </w:instrText>
      </w:r>
      <w:r>
        <w:fldChar w:fldCharType="separate"/>
      </w:r>
      <w:r>
        <w:rPr>
          <w:rStyle w:val="32"/>
        </w:rPr>
        <w:t xml:space="preserve">9 </w:t>
      </w:r>
      <w:r>
        <w:rPr>
          <w:rStyle w:val="32"/>
          <w:rFonts w:hint="eastAsia"/>
        </w:rPr>
        <w:t xml:space="preserve"> 计算公式</w:t>
      </w:r>
      <w:r>
        <w:tab/>
      </w:r>
      <w:r>
        <w:fldChar w:fldCharType="begin"/>
      </w:r>
      <w:r>
        <w:instrText xml:space="preserve"> PAGEREF _Toc181177922 \h </w:instrText>
      </w:r>
      <w:r>
        <w:fldChar w:fldCharType="separate"/>
      </w:r>
      <w:r>
        <w:t>2</w:t>
      </w:r>
      <w:r>
        <w:fldChar w:fldCharType="end"/>
      </w:r>
      <w:r>
        <w:fldChar w:fldCharType="end"/>
      </w:r>
    </w:p>
    <w:p w14:paraId="791E7D36">
      <w:pPr>
        <w:pStyle w:val="19"/>
        <w:tabs>
          <w:tab w:val="right" w:leader="dot" w:pos="9344"/>
        </w:tabs>
        <w:rPr>
          <w:rFonts w:asciiTheme="minorHAnsi" w:hAnsiTheme="minorHAnsi" w:eastAsiaTheme="minorEastAsia" w:cstheme="minorBidi"/>
          <w:szCs w:val="22"/>
        </w:rPr>
      </w:pPr>
      <w:r>
        <w:fldChar w:fldCharType="begin"/>
      </w:r>
      <w:r>
        <w:instrText xml:space="preserve"> HYPERLINK \l "_Toc181177923" </w:instrText>
      </w:r>
      <w:r>
        <w:fldChar w:fldCharType="separate"/>
      </w:r>
      <w:r>
        <w:rPr>
          <w:rStyle w:val="32"/>
        </w:rPr>
        <w:t xml:space="preserve">10 </w:t>
      </w:r>
      <w:r>
        <w:rPr>
          <w:rStyle w:val="32"/>
          <w:rFonts w:hint="eastAsia"/>
        </w:rPr>
        <w:t xml:space="preserve"> 试验报告</w:t>
      </w:r>
      <w:r>
        <w:tab/>
      </w:r>
      <w:r>
        <w:fldChar w:fldCharType="begin"/>
      </w:r>
      <w:r>
        <w:instrText xml:space="preserve"> PAGEREF _Toc181177923 \h </w:instrText>
      </w:r>
      <w:r>
        <w:fldChar w:fldCharType="separate"/>
      </w:r>
      <w:r>
        <w:t>3</w:t>
      </w:r>
      <w:r>
        <w:fldChar w:fldCharType="end"/>
      </w:r>
      <w:r>
        <w:fldChar w:fldCharType="end"/>
      </w:r>
    </w:p>
    <w:p w14:paraId="661A8CDE">
      <w:pPr>
        <w:pStyle w:val="91"/>
        <w:spacing w:after="360"/>
        <w:sectPr>
          <w:headerReference r:id="rId11" w:type="default"/>
          <w:footerReference r:id="rId12" w:type="default"/>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2B387280">
      <w:pPr>
        <w:pStyle w:val="89"/>
        <w:spacing w:before="900" w:after="360"/>
      </w:pPr>
      <w:bookmarkStart w:id="24" w:name="_Toc181177913"/>
      <w:bookmarkStart w:id="25" w:name="BookMark2"/>
      <w:r>
        <w:rPr>
          <w:spacing w:val="320"/>
        </w:rPr>
        <w:t>前</w:t>
      </w:r>
      <w:r>
        <w:t>言</w:t>
      </w:r>
      <w:bookmarkEnd w:id="22"/>
      <w:bookmarkEnd w:id="23"/>
      <w:bookmarkEnd w:id="24"/>
    </w:p>
    <w:p w14:paraId="2E06F36D">
      <w:pPr>
        <w:pStyle w:val="56"/>
        <w:ind w:firstLine="420"/>
      </w:pPr>
      <w:r>
        <w:rPr>
          <w:rFonts w:hint="eastAsia"/>
        </w:rPr>
        <w:t>本文件按照GB/T 1.1—2020《标准化工作导则  第1部分：标准化文件的结构和起草规则》的规定起草。</w:t>
      </w:r>
    </w:p>
    <w:p w14:paraId="46919D76">
      <w:pPr>
        <w:pStyle w:val="56"/>
        <w:ind w:firstLine="420"/>
      </w:pPr>
      <w:r>
        <w:rPr>
          <w:rFonts w:hint="eastAsia"/>
        </w:rPr>
        <w:t>请注意本文件的某些内容可能涉及专利。本文件的发布机构不承担识别专利的责任。</w:t>
      </w:r>
    </w:p>
    <w:p w14:paraId="68351381">
      <w:pPr>
        <w:pStyle w:val="56"/>
        <w:ind w:firstLine="420"/>
      </w:pPr>
      <w:r>
        <w:rPr>
          <w:rFonts w:hint="eastAsia"/>
        </w:rPr>
        <w:t>本文件由</w:t>
      </w:r>
      <w:r>
        <w:rPr>
          <w:rFonts w:hint="eastAsia"/>
          <w:lang w:eastAsia="zh-CN"/>
        </w:rPr>
        <w:t>中国中小企业协会</w:t>
      </w:r>
      <w:r>
        <w:rPr>
          <w:rFonts w:hint="eastAsia"/>
        </w:rPr>
        <w:t>提出</w:t>
      </w:r>
      <w:r>
        <w:rPr>
          <w:rFonts w:hint="eastAsia"/>
          <w:lang w:eastAsia="zh-CN"/>
        </w:rPr>
        <w:t>并归口</w:t>
      </w:r>
      <w:r>
        <w:rPr>
          <w:rFonts w:hint="eastAsia"/>
        </w:rPr>
        <w:t>。</w:t>
      </w:r>
    </w:p>
    <w:p w14:paraId="49001888">
      <w:pPr>
        <w:pStyle w:val="56"/>
        <w:ind w:firstLine="420"/>
      </w:pPr>
      <w:r>
        <w:rPr>
          <w:rFonts w:hint="eastAsia"/>
        </w:rPr>
        <w:t>本文件起草单位：</w:t>
      </w:r>
    </w:p>
    <w:p w14:paraId="70B32398">
      <w:pPr>
        <w:pStyle w:val="56"/>
        <w:ind w:firstLine="420"/>
      </w:pPr>
      <w:r>
        <w:rPr>
          <w:rFonts w:hint="eastAsia"/>
        </w:rPr>
        <w:t>本文件主要起草人：</w:t>
      </w:r>
    </w:p>
    <w:p w14:paraId="42FF479B">
      <w:pPr>
        <w:pStyle w:val="56"/>
        <w:ind w:firstLine="420"/>
      </w:pPr>
    </w:p>
    <w:p w14:paraId="0EC6F10B">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5"/>
    <w:p w14:paraId="3E8E2F4B">
      <w:pPr>
        <w:spacing w:line="20" w:lineRule="exact"/>
        <w:jc w:val="center"/>
        <w:rPr>
          <w:rFonts w:ascii="黑体" w:hAnsi="黑体" w:eastAsia="黑体"/>
          <w:sz w:val="32"/>
          <w:szCs w:val="32"/>
        </w:rPr>
      </w:pPr>
      <w:bookmarkStart w:id="26" w:name="BookMark4"/>
    </w:p>
    <w:p w14:paraId="3D33A56A">
      <w:pPr>
        <w:spacing w:line="20" w:lineRule="exact"/>
        <w:jc w:val="center"/>
        <w:rPr>
          <w:rFonts w:ascii="黑体" w:hAnsi="黑体" w:eastAsia="黑体"/>
          <w:sz w:val="32"/>
          <w:szCs w:val="32"/>
        </w:rPr>
      </w:pPr>
    </w:p>
    <w:sdt>
      <w:sdtPr>
        <w:tag w:val="NEW_STAND_NAME"/>
        <w:id w:val="595910757"/>
        <w:lock w:val="sdtLocked"/>
        <w:placeholder>
          <w:docPart w:val="CEA05AEE6A07451A9017691B6EB79726"/>
        </w:placeholder>
      </w:sdtPr>
      <w:sdtContent>
        <w:p w14:paraId="772DBCA0">
          <w:pPr>
            <w:pStyle w:val="177"/>
            <w:spacing w:before="2" w:beforeLines="1" w:after="528" w:afterLines="220"/>
          </w:pPr>
          <w:bookmarkStart w:id="27" w:name="NEW_STAND_NAME"/>
          <w:r>
            <w:rPr>
              <w:rFonts w:hint="eastAsia"/>
            </w:rPr>
            <w:t>碱性水电解制氢设备气密性测试方法</w:t>
          </w:r>
        </w:p>
      </w:sdtContent>
    </w:sdt>
    <w:bookmarkEnd w:id="27"/>
    <w:p w14:paraId="47B17CA5">
      <w:pPr>
        <w:pStyle w:val="104"/>
        <w:spacing w:before="240" w:after="240"/>
      </w:pPr>
      <w:bookmarkStart w:id="28" w:name="_Toc26648465"/>
      <w:bookmarkStart w:id="29" w:name="_Toc181177914"/>
      <w:bookmarkStart w:id="30" w:name="_Toc24884218"/>
      <w:bookmarkStart w:id="31" w:name="_Toc24884211"/>
      <w:bookmarkStart w:id="32" w:name="_Toc26986771"/>
      <w:bookmarkStart w:id="33" w:name="_Toc181177356"/>
      <w:bookmarkStart w:id="34" w:name="_Toc17233333"/>
      <w:bookmarkStart w:id="35" w:name="_Toc97192964"/>
      <w:bookmarkStart w:id="36" w:name="_Toc26986530"/>
      <w:bookmarkStart w:id="37" w:name="_Toc17233325"/>
      <w:bookmarkStart w:id="38" w:name="_Toc26718930"/>
      <w:bookmarkStart w:id="39" w:name="_Toc18110470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25F3E4AD">
      <w:pPr>
        <w:pStyle w:val="56"/>
        <w:ind w:firstLine="420"/>
      </w:pPr>
      <w:bookmarkStart w:id="40" w:name="_Toc24884219"/>
      <w:bookmarkStart w:id="41" w:name="_Toc24884212"/>
      <w:bookmarkStart w:id="42" w:name="_Toc17233334"/>
      <w:bookmarkStart w:id="43" w:name="_Toc26648466"/>
      <w:bookmarkStart w:id="44" w:name="_Toc17233326"/>
      <w:r>
        <w:rPr>
          <w:rFonts w:hint="eastAsia"/>
        </w:rPr>
        <w:t>本文件规定了碱性</w:t>
      </w:r>
      <w:r>
        <w:t>水电解制氢设备</w:t>
      </w:r>
      <w:r>
        <w:rPr>
          <w:rFonts w:hint="eastAsia"/>
        </w:rPr>
        <w:t>气</w:t>
      </w:r>
      <w:r>
        <w:t>密性</w:t>
      </w:r>
      <w:r>
        <w:rPr>
          <w:rFonts w:hint="eastAsia"/>
        </w:rPr>
        <w:t>测试的实验装置、试验条件、试剂或材料、仪器设备、样品、试验步骤、计算公式、试验报告。</w:t>
      </w:r>
    </w:p>
    <w:p w14:paraId="479BFAE4">
      <w:pPr>
        <w:pStyle w:val="56"/>
        <w:ind w:firstLine="420"/>
      </w:pPr>
      <w:r>
        <w:rPr>
          <w:rFonts w:hint="eastAsia"/>
        </w:rPr>
        <w:t>本文件适用于碱性水电解制</w:t>
      </w:r>
      <w:r>
        <w:t>氢设备</w:t>
      </w:r>
      <w:r>
        <w:rPr>
          <w:rFonts w:hint="eastAsia"/>
        </w:rPr>
        <w:t>的</w:t>
      </w:r>
      <w:r>
        <w:t>气密性测试</w:t>
      </w:r>
      <w:r>
        <w:rPr>
          <w:rFonts w:hint="eastAsia"/>
        </w:rPr>
        <w:t>，其他水电解</w:t>
      </w:r>
      <w:r>
        <w:t>制氢设备</w:t>
      </w:r>
      <w:r>
        <w:rPr>
          <w:rFonts w:hint="eastAsia"/>
        </w:rPr>
        <w:t>可参考使用。</w:t>
      </w:r>
    </w:p>
    <w:p w14:paraId="1C1B493E">
      <w:pPr>
        <w:pStyle w:val="104"/>
        <w:spacing w:before="240" w:after="240"/>
      </w:pPr>
      <w:bookmarkStart w:id="45" w:name="_Toc181177915"/>
      <w:bookmarkStart w:id="46" w:name="_Toc181177357"/>
      <w:bookmarkStart w:id="47" w:name="_Toc97192965"/>
      <w:bookmarkStart w:id="48" w:name="_Toc26718931"/>
      <w:bookmarkStart w:id="49" w:name="_Toc26986772"/>
      <w:bookmarkStart w:id="50" w:name="_Toc26986531"/>
      <w:bookmarkStart w:id="51" w:name="_Toc181104708"/>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A2B39DF9B1B94E60B1A041C55816E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519C0D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EC8EEEC">
      <w:pPr>
        <w:pStyle w:val="56"/>
        <w:ind w:firstLine="420"/>
      </w:pPr>
      <w:r>
        <w:rPr>
          <w:rFonts w:hint="eastAsia"/>
        </w:rPr>
        <w:t>GB/T 19774  水电解制氢系统技术要求</w:t>
      </w:r>
    </w:p>
    <w:p w14:paraId="5ABD8E25">
      <w:pPr>
        <w:pStyle w:val="56"/>
        <w:ind w:firstLine="420"/>
      </w:pPr>
      <w:r>
        <w:rPr>
          <w:rFonts w:hint="eastAsia"/>
        </w:rPr>
        <w:t>GB/T 24499  氢气、氢能与氢能系统术语</w:t>
      </w:r>
    </w:p>
    <w:p w14:paraId="11ED9BBF">
      <w:pPr>
        <w:pStyle w:val="104"/>
        <w:spacing w:before="240" w:after="240"/>
      </w:pPr>
      <w:bookmarkStart w:id="52" w:name="_Toc181177358"/>
      <w:bookmarkStart w:id="53" w:name="_Toc97192966"/>
      <w:bookmarkStart w:id="54" w:name="_Toc181177916"/>
      <w:bookmarkStart w:id="55" w:name="_Toc181104709"/>
      <w:r>
        <w:rPr>
          <w:rFonts w:hint="eastAsia"/>
          <w:szCs w:val="21"/>
        </w:rPr>
        <w:t>术语和定义</w:t>
      </w:r>
      <w:bookmarkEnd w:id="52"/>
      <w:bookmarkEnd w:id="53"/>
      <w:bookmarkEnd w:id="54"/>
      <w:bookmarkEnd w:id="55"/>
    </w:p>
    <w:sdt>
      <w:sdtPr>
        <w:id w:val="-1909835108"/>
        <w:placeholder>
          <w:docPart w:val="0222B6195F84415D98C68A2A925E1EA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BE0377E">
          <w:pPr>
            <w:pStyle w:val="56"/>
            <w:ind w:firstLine="420"/>
          </w:pPr>
          <w:bookmarkStart w:id="56" w:name="_Toc26986532"/>
          <w:bookmarkEnd w:id="56"/>
          <w:r>
            <w:t>GB/T 19774</w:t>
          </w:r>
          <w:r>
            <w:rPr>
              <w:rFonts w:hint="eastAsia"/>
            </w:rPr>
            <w:t>、</w:t>
          </w:r>
          <w:r>
            <w:t>GB/T 24499界定的术语和定义适用于本文件。</w:t>
          </w:r>
        </w:p>
      </w:sdtContent>
    </w:sdt>
    <w:p w14:paraId="4551C42A">
      <w:pPr>
        <w:pStyle w:val="104"/>
        <w:spacing w:before="240" w:after="240"/>
      </w:pPr>
      <w:bookmarkStart w:id="57" w:name="_Toc181177917"/>
      <w:bookmarkStart w:id="58" w:name="_Toc181104710"/>
      <w:bookmarkStart w:id="59" w:name="_Toc181177359"/>
      <w:r>
        <w:rPr>
          <w:rFonts w:hint="eastAsia"/>
        </w:rPr>
        <w:t>实验</w:t>
      </w:r>
      <w:r>
        <w:t>装置</w:t>
      </w:r>
      <w:bookmarkEnd w:id="57"/>
      <w:bookmarkEnd w:id="58"/>
      <w:bookmarkEnd w:id="59"/>
    </w:p>
    <w:p w14:paraId="24099784">
      <w:pPr>
        <w:pStyle w:val="56"/>
        <w:ind w:firstLine="420"/>
      </w:pPr>
      <w:r>
        <w:rPr>
          <w:rFonts w:hint="eastAsia"/>
        </w:rPr>
        <w:t>碱性水电解制氢设备制造企业、检测机构须具备检测密封性能所需的设备、仪表，装置由各类逆止阀、压力表、储气罐、气压表、气泵等构成，如图1所示：</w:t>
      </w:r>
    </w:p>
    <w:p w14:paraId="14FC3B27">
      <w:pPr>
        <w:pStyle w:val="56"/>
        <w:ind w:firstLine="420"/>
      </w:pPr>
      <w:r>
        <w:drawing>
          <wp:inline distT="0" distB="0" distL="0" distR="0">
            <wp:extent cx="5267325" cy="176403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305232" cy="1776735"/>
                    </a:xfrm>
                    <a:prstGeom prst="rect">
                      <a:avLst/>
                    </a:prstGeom>
                    <a:noFill/>
                  </pic:spPr>
                </pic:pic>
              </a:graphicData>
            </a:graphic>
          </wp:inline>
        </w:drawing>
      </w:r>
    </w:p>
    <w:p w14:paraId="77108E38">
      <w:pPr>
        <w:pStyle w:val="56"/>
        <w:ind w:firstLine="420"/>
        <w:rPr>
          <w:szCs w:val="21"/>
        </w:rPr>
      </w:pPr>
      <w:r>
        <w:rPr>
          <w:rFonts w:hint="eastAsia"/>
          <w:szCs w:val="21"/>
        </w:rPr>
        <w:t>1碱性</w:t>
      </w:r>
      <w:r>
        <w:rPr>
          <w:szCs w:val="21"/>
        </w:rPr>
        <w:t>水电解制氢设备</w:t>
      </w:r>
      <w:r>
        <w:rPr>
          <w:rFonts w:hint="eastAsia"/>
          <w:szCs w:val="21"/>
        </w:rPr>
        <w:t>，2阳极逆止阀，3阴极逆止阀，4碱液逆止阀，5碱液槽，6压力表，7</w:t>
      </w:r>
      <w:bookmarkStart w:id="60" w:name="_Hlk172294861"/>
      <w:r>
        <w:rPr>
          <w:rFonts w:hint="eastAsia"/>
          <w:szCs w:val="21"/>
        </w:rPr>
        <w:t>稳压罐出气逆止阀</w:t>
      </w:r>
      <w:bookmarkEnd w:id="60"/>
      <w:r>
        <w:rPr>
          <w:rFonts w:hint="eastAsia"/>
          <w:szCs w:val="21"/>
        </w:rPr>
        <w:t>，8稳压罐，9气泵出气逆止阀，10气泵，11.12.13超声波检测器，14阳极泄压阀，15阴极泄压阀，16碱液进出口阀，17阳极气压表，18阴极气压表，19碱性</w:t>
      </w:r>
      <w:r>
        <w:rPr>
          <w:szCs w:val="21"/>
        </w:rPr>
        <w:t>水电解制氢设备</w:t>
      </w:r>
      <w:r>
        <w:rPr>
          <w:rFonts w:hint="eastAsia"/>
          <w:szCs w:val="21"/>
        </w:rPr>
        <w:t>放气阀</w:t>
      </w:r>
    </w:p>
    <w:p w14:paraId="7E75A298">
      <w:pPr>
        <w:pStyle w:val="114"/>
        <w:spacing w:before="120" w:after="120"/>
      </w:pPr>
      <w:r>
        <w:rPr>
          <w:rFonts w:hint="eastAsia"/>
        </w:rPr>
        <w:t>适用于碱性</w:t>
      </w:r>
      <w:r>
        <w:t>水电解制氢设备</w:t>
      </w:r>
      <w:r>
        <w:rPr>
          <w:rFonts w:hint="eastAsia"/>
        </w:rPr>
        <w:t>密封性能测试的装置</w:t>
      </w:r>
    </w:p>
    <w:p w14:paraId="665618C7">
      <w:pPr>
        <w:pStyle w:val="162"/>
      </w:pPr>
      <w:r>
        <w:rPr>
          <w:rFonts w:hint="eastAsia"/>
        </w:rPr>
        <w:t>碱性</w:t>
      </w:r>
      <w:r>
        <w:t>水电解制氢设备</w:t>
      </w:r>
      <w:r>
        <w:rPr>
          <w:rFonts w:hint="eastAsia"/>
        </w:rPr>
        <w:t>装配应确保垫片按规定受压，极框、端压板同轴度达到装配要求。</w:t>
      </w:r>
    </w:p>
    <w:p w14:paraId="2DF7B86D">
      <w:pPr>
        <w:pStyle w:val="162"/>
      </w:pPr>
      <w:r>
        <w:rPr>
          <w:rFonts w:hint="eastAsia"/>
        </w:rPr>
        <w:t>碟簧载荷安装、设计满足碱性</w:t>
      </w:r>
      <w:r>
        <w:t>水电解制氢设备的图纸</w:t>
      </w:r>
      <w:r>
        <w:rPr>
          <w:rFonts w:hint="eastAsia"/>
        </w:rPr>
        <w:t>要求。</w:t>
      </w:r>
    </w:p>
    <w:p w14:paraId="3298116D">
      <w:pPr>
        <w:pStyle w:val="162"/>
      </w:pPr>
      <w:r>
        <w:rPr>
          <w:rFonts w:hint="eastAsia"/>
        </w:rPr>
        <w:t>压力传感器（电磁阀）：量程应不大于5 kPa，误差不大于量程的0.5%，分辨率不低于0.5 Pa。</w:t>
      </w:r>
    </w:p>
    <w:p w14:paraId="588406D2">
      <w:pPr>
        <w:pStyle w:val="162"/>
      </w:pPr>
      <w:r>
        <w:rPr>
          <w:rFonts w:hint="eastAsia"/>
        </w:rPr>
        <w:t>介质供给系统：应能提供规定介质压力，试验过程中介质压力的波动应在规定值的2%范围之内。</w:t>
      </w:r>
    </w:p>
    <w:p w14:paraId="476402A4">
      <w:pPr>
        <w:pStyle w:val="162"/>
      </w:pPr>
      <w:r>
        <w:rPr>
          <w:rFonts w:hint="eastAsia"/>
        </w:rPr>
        <w:t>泄漏率测试基于理想气体定律。</w:t>
      </w:r>
    </w:p>
    <w:p w14:paraId="71A1CCA5">
      <w:pPr>
        <w:pStyle w:val="162"/>
      </w:pPr>
      <w:r>
        <w:rPr>
          <w:rFonts w:hint="eastAsia"/>
        </w:rPr>
        <w:t>用于测试的温度传感器量程不大于110</w:t>
      </w:r>
      <w:r>
        <w:t xml:space="preserve"> </w:t>
      </w:r>
      <w:r>
        <w:rPr>
          <w:rFonts w:hint="eastAsia"/>
        </w:rPr>
        <w:t>℃，误差不大于全量程的0.05%，分辨率不低于0.01</w:t>
      </w:r>
      <w:r>
        <w:t xml:space="preserve"> </w:t>
      </w:r>
      <w:r>
        <w:rPr>
          <w:rFonts w:hint="eastAsia"/>
        </w:rPr>
        <w:t>℃。</w:t>
      </w:r>
    </w:p>
    <w:p w14:paraId="22EB9C12">
      <w:pPr>
        <w:pStyle w:val="104"/>
        <w:spacing w:before="240" w:after="240"/>
      </w:pPr>
      <w:bookmarkStart w:id="61" w:name="_Toc181177918"/>
      <w:bookmarkStart w:id="62" w:name="_Toc181177360"/>
      <w:bookmarkStart w:id="63" w:name="_Toc181104711"/>
      <w:r>
        <w:rPr>
          <w:rFonts w:hint="eastAsia"/>
        </w:rPr>
        <w:t>试剂、材料</w:t>
      </w:r>
      <w:bookmarkEnd w:id="61"/>
      <w:bookmarkEnd w:id="62"/>
      <w:bookmarkEnd w:id="63"/>
    </w:p>
    <w:p w14:paraId="08612482">
      <w:pPr>
        <w:pStyle w:val="162"/>
      </w:pPr>
      <w:r>
        <w:rPr>
          <w:rFonts w:hint="eastAsia"/>
        </w:rPr>
        <w:t>氮气、氦气或其他介质气体：纯度≥99.999%。</w:t>
      </w:r>
    </w:p>
    <w:p w14:paraId="5B2B2803">
      <w:pPr>
        <w:pStyle w:val="162"/>
      </w:pPr>
      <w:r>
        <w:rPr>
          <w:rFonts w:hint="eastAsia"/>
        </w:rPr>
        <w:t>纯水：纯度＞99.9%。</w:t>
      </w:r>
    </w:p>
    <w:p w14:paraId="4DC54CB6">
      <w:pPr>
        <w:pStyle w:val="104"/>
        <w:spacing w:before="240" w:after="240"/>
      </w:pPr>
      <w:bookmarkStart w:id="64" w:name="_Toc181177919"/>
      <w:bookmarkStart w:id="65" w:name="_Toc181104712"/>
      <w:bookmarkStart w:id="66" w:name="_Toc181177361"/>
      <w:r>
        <w:rPr>
          <w:rFonts w:hint="eastAsia"/>
        </w:rPr>
        <w:t>试验条件</w:t>
      </w:r>
      <w:bookmarkEnd w:id="64"/>
      <w:bookmarkEnd w:id="65"/>
      <w:bookmarkEnd w:id="66"/>
    </w:p>
    <w:p w14:paraId="7B49E3DE">
      <w:pPr>
        <w:pStyle w:val="56"/>
        <w:ind w:firstLine="420"/>
      </w:pPr>
      <w:r>
        <w:rPr>
          <w:rFonts w:hint="eastAsia"/>
        </w:rPr>
        <w:t>除特殊要求外，试验应在下述环境条件下进行：</w:t>
      </w:r>
    </w:p>
    <w:p w14:paraId="2D7E40AA">
      <w:pPr>
        <w:pStyle w:val="132"/>
      </w:pPr>
      <w:r>
        <w:rPr>
          <w:rFonts w:hint="eastAsia"/>
        </w:rPr>
        <w:t>环境温度：25</w:t>
      </w:r>
      <w:r>
        <w:t xml:space="preserve"> </w:t>
      </w:r>
      <w:r>
        <w:rPr>
          <w:rFonts w:hint="eastAsia"/>
        </w:rPr>
        <w:t>℃±5</w:t>
      </w:r>
      <w:r>
        <w:t xml:space="preserve"> </w:t>
      </w:r>
      <w:r>
        <w:rPr>
          <w:rFonts w:hint="eastAsia"/>
        </w:rPr>
        <w:t>℃；</w:t>
      </w:r>
    </w:p>
    <w:p w14:paraId="5B22FCD8">
      <w:pPr>
        <w:pStyle w:val="132"/>
      </w:pPr>
      <w:r>
        <w:rPr>
          <w:rFonts w:hint="eastAsia"/>
        </w:rPr>
        <w:t>相对湿度：40</w:t>
      </w:r>
      <w:r>
        <w:t xml:space="preserve"> </w:t>
      </w:r>
      <w:r>
        <w:rPr>
          <w:rFonts w:hint="eastAsia"/>
        </w:rPr>
        <w:t>%</w:t>
      </w:r>
      <w:r>
        <w:t>RH</w:t>
      </w:r>
      <w:r>
        <w:rPr>
          <w:rFonts w:hint="eastAsia"/>
        </w:rPr>
        <w:t>～80</w:t>
      </w:r>
      <w:r>
        <w:t xml:space="preserve"> </w:t>
      </w:r>
      <w:r>
        <w:rPr>
          <w:rFonts w:hint="eastAsia"/>
        </w:rPr>
        <w:t>%</w:t>
      </w:r>
      <w:r>
        <w:t>RH</w:t>
      </w:r>
      <w:r>
        <w:rPr>
          <w:rFonts w:hint="eastAsia"/>
        </w:rPr>
        <w:t>；</w:t>
      </w:r>
    </w:p>
    <w:p w14:paraId="16E293D6">
      <w:pPr>
        <w:pStyle w:val="132"/>
      </w:pPr>
      <w:r>
        <w:rPr>
          <w:rFonts w:hint="eastAsia"/>
        </w:rPr>
        <w:t>大气压力：8.4×10</w:t>
      </w:r>
      <w:r>
        <w:rPr>
          <w:rFonts w:hint="eastAsia"/>
          <w:vertAlign w:val="superscript"/>
        </w:rPr>
        <w:t>4</w:t>
      </w:r>
      <w:r>
        <w:t xml:space="preserve"> </w:t>
      </w:r>
      <w:r>
        <w:rPr>
          <w:rFonts w:hint="eastAsia"/>
        </w:rPr>
        <w:t>kPa～1.06×10</w:t>
      </w:r>
      <w:r>
        <w:rPr>
          <w:rFonts w:hint="eastAsia"/>
          <w:vertAlign w:val="superscript"/>
        </w:rPr>
        <w:t>5</w:t>
      </w:r>
      <w:r>
        <w:rPr>
          <w:rFonts w:hint="eastAsia"/>
        </w:rPr>
        <w:t xml:space="preserve"> kPa。</w:t>
      </w:r>
    </w:p>
    <w:p w14:paraId="5E948EFD">
      <w:pPr>
        <w:pStyle w:val="104"/>
        <w:spacing w:before="240" w:after="240"/>
      </w:pPr>
      <w:bookmarkStart w:id="67" w:name="_Toc181104713"/>
      <w:bookmarkStart w:id="68" w:name="_Toc181177920"/>
      <w:bookmarkStart w:id="69" w:name="_Toc181177362"/>
      <w:r>
        <w:rPr>
          <w:rFonts w:hint="eastAsia"/>
        </w:rPr>
        <w:t>样品</w:t>
      </w:r>
      <w:bookmarkEnd w:id="67"/>
      <w:bookmarkEnd w:id="68"/>
      <w:bookmarkEnd w:id="69"/>
    </w:p>
    <w:p w14:paraId="14ABE67F">
      <w:pPr>
        <w:pStyle w:val="56"/>
        <w:ind w:firstLine="420"/>
      </w:pPr>
      <w:r>
        <w:rPr>
          <w:rFonts w:hint="eastAsia"/>
        </w:rPr>
        <w:t>样品为碱性</w:t>
      </w:r>
      <w:r>
        <w:t>水电解制氢设备</w:t>
      </w:r>
      <w:r>
        <w:rPr>
          <w:rFonts w:hint="eastAsia"/>
        </w:rPr>
        <w:t>成品。</w:t>
      </w:r>
    </w:p>
    <w:p w14:paraId="67ACAD43">
      <w:pPr>
        <w:pStyle w:val="104"/>
        <w:spacing w:before="240" w:after="240"/>
      </w:pPr>
      <w:bookmarkStart w:id="70" w:name="_Toc181104714"/>
      <w:bookmarkStart w:id="71" w:name="_Toc181177363"/>
      <w:bookmarkStart w:id="72" w:name="_Toc181177921"/>
      <w:r>
        <w:rPr>
          <w:rFonts w:hint="eastAsia"/>
        </w:rPr>
        <w:t>试验步骤</w:t>
      </w:r>
      <w:bookmarkEnd w:id="70"/>
      <w:bookmarkEnd w:id="71"/>
      <w:bookmarkEnd w:id="72"/>
    </w:p>
    <w:p w14:paraId="1AC60A07">
      <w:pPr>
        <w:pStyle w:val="105"/>
        <w:spacing w:before="120" w:after="120"/>
      </w:pPr>
      <w:r>
        <w:rPr>
          <w:rFonts w:hint="eastAsia"/>
        </w:rPr>
        <w:t>碱性</w:t>
      </w:r>
      <w:r>
        <w:t>水电解制氢设备</w:t>
      </w:r>
      <w:r>
        <w:rPr>
          <w:rFonts w:hint="eastAsia"/>
        </w:rPr>
        <w:t>外密封检验</w:t>
      </w:r>
    </w:p>
    <w:p w14:paraId="247AEFB9">
      <w:pPr>
        <w:pStyle w:val="165"/>
      </w:pPr>
      <w:r>
        <w:rPr>
          <w:rFonts w:hint="eastAsia"/>
        </w:rPr>
        <w:t>打开碱液逆止阀4、碱液进出口阀16，关闭阀2、阀3、阀14、阀15、阀19，向碱性</w:t>
      </w:r>
      <w:r>
        <w:t>水电解制氢设备</w:t>
      </w:r>
      <w:r>
        <w:rPr>
          <w:rFonts w:hint="eastAsia"/>
        </w:rPr>
        <w:t>内加注纯水或碱液直至液位器显示注满，关闭逆止阀4、阀16，静置2</w:t>
      </w:r>
      <w:r>
        <w:t xml:space="preserve"> </w:t>
      </w:r>
      <w:r>
        <w:rPr>
          <w:rFonts w:hint="eastAsia"/>
        </w:rPr>
        <w:t>h。</w:t>
      </w:r>
    </w:p>
    <w:p w14:paraId="1A36D093">
      <w:pPr>
        <w:pStyle w:val="165"/>
      </w:pPr>
      <w:r>
        <w:rPr>
          <w:rFonts w:hint="eastAsia"/>
        </w:rPr>
        <w:t>碱性</w:t>
      </w:r>
      <w:r>
        <w:t>水电解制氢设备</w:t>
      </w:r>
      <w:r>
        <w:rPr>
          <w:rFonts w:hint="eastAsia"/>
        </w:rPr>
        <w:t>注满纯水或碱液并静置后，巡回检查所有阀门、法兰或螺纹连接处，焊缝、垫片等密封点，以无水渍、滴液为合格；（碱性</w:t>
      </w:r>
      <w:r>
        <w:t>水电解制氢设备</w:t>
      </w:r>
      <w:r>
        <w:rPr>
          <w:rFonts w:hint="eastAsia"/>
        </w:rPr>
        <w:t>内注满纯水或碱液有浸润隔膜的作用，防止后续充气测试时隔膜漏气）。</w:t>
      </w:r>
    </w:p>
    <w:p w14:paraId="65C0B4CB">
      <w:pPr>
        <w:pStyle w:val="165"/>
      </w:pPr>
      <w:r>
        <w:rPr>
          <w:rFonts w:hint="eastAsia"/>
        </w:rPr>
        <w:t xml:space="preserve">排液：排出部分液体到指定位置（在碱液分配孔以上）。 </w:t>
      </w:r>
    </w:p>
    <w:p w14:paraId="651C0E82">
      <w:pPr>
        <w:pStyle w:val="165"/>
      </w:pPr>
      <w:r>
        <w:rPr>
          <w:rFonts w:hint="eastAsia"/>
        </w:rPr>
        <w:t>打开气泵，将介质气体通过逆止阀9流入稳压罐，待稳压罐内充满足量气体后，关闭逆止阀9，打开稳压罐出气逆止阀7、阳极逆止阀2、阴极逆止阀3，关闭泄压阀14、15、16、19，超声波检测设备有无气体泄漏检出。</w:t>
      </w:r>
    </w:p>
    <w:p w14:paraId="4EE7D2E5">
      <w:pPr>
        <w:pStyle w:val="105"/>
        <w:spacing w:before="120" w:after="120"/>
      </w:pPr>
      <w:r>
        <w:rPr>
          <w:rFonts w:hint="eastAsia"/>
        </w:rPr>
        <w:t>碱性</w:t>
      </w:r>
      <w:r>
        <w:t>水电解制氢设备</w:t>
      </w:r>
      <w:r>
        <w:rPr>
          <w:rFonts w:hint="eastAsia"/>
        </w:rPr>
        <w:t>外密封泄漏率计算</w:t>
      </w:r>
    </w:p>
    <w:p w14:paraId="18932B0E">
      <w:pPr>
        <w:pStyle w:val="165"/>
      </w:pPr>
      <w:r>
        <w:rPr>
          <w:rFonts w:hint="eastAsia"/>
        </w:rPr>
        <w:t>打开逆止阀2、3，关闭泄压阀14、15、16、19，气体从稳压罐经阀门流入碱性</w:t>
      </w:r>
      <w:r>
        <w:t>水电解制氢设备</w:t>
      </w:r>
      <w:r>
        <w:rPr>
          <w:rFonts w:hint="eastAsia"/>
        </w:rPr>
        <w:t>内直至气压稳定至设定压力，关闭逆止阀2、3，记录此时的气压、热力学温度。</w:t>
      </w:r>
    </w:p>
    <w:p w14:paraId="75018F8C">
      <w:pPr>
        <w:pStyle w:val="165"/>
      </w:pPr>
      <w:r>
        <w:rPr>
          <w:rFonts w:hint="eastAsia"/>
        </w:rPr>
        <w:t>保持一定时间，记录此时阴极绝对气压、热力学温度，泄漏率按照公式1计算。</w:t>
      </w:r>
    </w:p>
    <w:p w14:paraId="0578BF5F">
      <w:pPr>
        <w:pStyle w:val="105"/>
        <w:spacing w:before="120" w:after="120"/>
      </w:pPr>
      <w:r>
        <w:rPr>
          <w:rFonts w:hint="eastAsia"/>
        </w:rPr>
        <w:t>检测碱性</w:t>
      </w:r>
      <w:r>
        <w:t>水电解制氢设备</w:t>
      </w:r>
      <w:r>
        <w:rPr>
          <w:rFonts w:hint="eastAsia"/>
        </w:rPr>
        <w:t>内密封泄漏率</w:t>
      </w:r>
    </w:p>
    <w:p w14:paraId="2BE3BCF7">
      <w:pPr>
        <w:pStyle w:val="165"/>
      </w:pPr>
      <w:r>
        <w:rPr>
          <w:rFonts w:hint="eastAsia"/>
        </w:rPr>
        <w:t>向碱性</w:t>
      </w:r>
      <w:r>
        <w:t>水电解制氢设备</w:t>
      </w:r>
      <w:r>
        <w:rPr>
          <w:rFonts w:hint="eastAsia"/>
        </w:rPr>
        <w:t xml:space="preserve">内加注纯水直至液位器显示注满，静置2 h。 </w:t>
      </w:r>
    </w:p>
    <w:p w14:paraId="7AC14367">
      <w:pPr>
        <w:pStyle w:val="165"/>
      </w:pPr>
      <w:r>
        <w:rPr>
          <w:rFonts w:hint="eastAsia"/>
        </w:rPr>
        <w:t>用专用挡板或橡胶塞堵住所有阳极气液出口，阴极所有气液出口安装泄压阀，仅留一侧阴极用于进气。</w:t>
      </w:r>
    </w:p>
    <w:p w14:paraId="0A3E82C5">
      <w:pPr>
        <w:pStyle w:val="165"/>
      </w:pPr>
      <w:r>
        <w:rPr>
          <w:rFonts w:hint="eastAsia"/>
        </w:rPr>
        <w:t>关闭泄压阀，打开压缩机，将介质气体通过电磁阀流入稳压罐。</w:t>
      </w:r>
    </w:p>
    <w:p w14:paraId="05E8B4B6">
      <w:pPr>
        <w:pStyle w:val="165"/>
      </w:pPr>
      <w:r>
        <w:rPr>
          <w:rFonts w:hint="eastAsia"/>
        </w:rPr>
        <w:t>打开充气电磁阀7、阀2，关闭阀3、14、15、16、19，气体从稳压罐经阀门流入碱性</w:t>
      </w:r>
      <w:r>
        <w:t>水电解制氢设备</w:t>
      </w:r>
      <w:r>
        <w:rPr>
          <w:rFonts w:hint="eastAsia"/>
        </w:rPr>
        <w:t>内直至气压稳定至2.5±0.1 kPa，打开阀3，关闭充气泵出气阀9，记录此时阴极绝对气压、热力学温度。</w:t>
      </w:r>
    </w:p>
    <w:p w14:paraId="5769B10E">
      <w:pPr>
        <w:pStyle w:val="165"/>
      </w:pPr>
      <w:r>
        <w:rPr>
          <w:rFonts w:hint="eastAsia"/>
        </w:rPr>
        <w:t>保持2 h，记录此时阴极绝对气压、热力学温度，打开泄压阀，排清碱性</w:t>
      </w:r>
      <w:r>
        <w:t>水电解制氢设备</w:t>
      </w:r>
      <w:r>
        <w:rPr>
          <w:rFonts w:hint="eastAsia"/>
        </w:rPr>
        <w:t>内气体。</w:t>
      </w:r>
    </w:p>
    <w:p w14:paraId="1F8B6C31">
      <w:pPr>
        <w:pStyle w:val="165"/>
      </w:pPr>
      <w:r>
        <w:rPr>
          <w:rFonts w:hint="eastAsia"/>
        </w:rPr>
        <w:t>按式（1）计算阴极的泄漏率，以阴极平均每小时泄漏率均不超过0.5%为合格。</w:t>
      </w:r>
    </w:p>
    <w:p w14:paraId="0C338EEB">
      <w:pPr>
        <w:pStyle w:val="165"/>
      </w:pPr>
      <w:r>
        <w:rPr>
          <w:rFonts w:hint="eastAsia"/>
        </w:rPr>
        <w:t>检测碱性</w:t>
      </w:r>
      <w:r>
        <w:t>水电解制氢设备</w:t>
      </w:r>
      <w:r>
        <w:rPr>
          <w:rFonts w:hint="eastAsia"/>
        </w:rPr>
        <w:t>内密封泄漏率适用于阴极、阳极内密封泄漏率测试，本标准</w:t>
      </w:r>
      <w:r>
        <w:t>8</w:t>
      </w:r>
      <w:r>
        <w:rPr>
          <w:rFonts w:hint="eastAsia"/>
        </w:rPr>
        <w:t>.3.1</w:t>
      </w:r>
      <w:r>
        <w:rPr>
          <w:rFonts w:hint="eastAsia" w:hAnsi="宋体"/>
        </w:rPr>
        <w:t>～</w:t>
      </w:r>
      <w:r>
        <w:t>8</w:t>
      </w:r>
      <w:r>
        <w:rPr>
          <w:rFonts w:hint="eastAsia"/>
        </w:rPr>
        <w:t>.3.6为阴极泄漏率测试方法，调换气阀开启、关闭位置也可用于测试阳极泄漏率，实际过程中测试一个（阴极、阳极）即可。</w:t>
      </w:r>
    </w:p>
    <w:p w14:paraId="374936EF">
      <w:pPr>
        <w:pStyle w:val="104"/>
        <w:spacing w:before="240" w:after="240"/>
      </w:pPr>
      <w:bookmarkStart w:id="73" w:name="_Toc181177922"/>
      <w:r>
        <w:rPr>
          <w:rFonts w:hint="eastAsia"/>
        </w:rPr>
        <w:t>计算</w:t>
      </w:r>
      <w:r>
        <w:t>公式</w:t>
      </w:r>
      <w:bookmarkEnd w:id="73"/>
    </w:p>
    <w:p w14:paraId="6772EE4C">
      <w:pPr>
        <w:pStyle w:val="56"/>
        <w:ind w:firstLine="420"/>
      </w:pPr>
      <w:r>
        <w:rPr>
          <w:rFonts w:hint="eastAsia"/>
        </w:rPr>
        <w:t>平均每小时泄漏率按式(1)计算：</w:t>
      </w:r>
    </w:p>
    <w:p w14:paraId="619CF380">
      <w:pPr>
        <w:pStyle w:val="113"/>
      </w:pPr>
      <w:r>
        <w:tab/>
      </w:r>
      <m:oMath>
        <m:r>
          <m:rPr>
            <m:sty m:val="p"/>
          </m:rPr>
          <w:rPr>
            <w:rFonts w:hint="eastAsia" w:ascii="Cambria Math" w:hAnsi="Cambria Math"/>
          </w:rPr>
          <m:t>A=</m:t>
        </m:r>
        <m:f>
          <m:fPr>
            <m:ctrlPr>
              <w:rPr>
                <w:rFonts w:ascii="Cambria Math" w:hAnsi="Cambria Math"/>
              </w:rPr>
            </m:ctrlPr>
          </m:fPr>
          <m:num>
            <m:r>
              <m:rPr>
                <m:sty m:val="p"/>
              </m:rPr>
              <w:rPr>
                <w:rFonts w:hint="eastAsia" w:ascii="Cambria Math" w:hAnsi="Cambria Math"/>
              </w:rPr>
              <m:t>100</m:t>
            </m:r>
            <m:ctrlPr>
              <w:rPr>
                <w:rFonts w:ascii="Cambria Math" w:hAnsi="Cambria Math"/>
              </w:rPr>
            </m:ctrlPr>
          </m:num>
          <m:den>
            <m:r>
              <m:rPr>
                <m:sty m:val="p"/>
              </m:rPr>
              <w:rPr>
                <w:rFonts w:hint="eastAsia" w:ascii="Cambria Math" w:hAnsi="Cambria Math"/>
              </w:rPr>
              <m:t>t</m:t>
            </m:r>
            <m:ctrlPr>
              <w:rPr>
                <w:rFonts w:ascii="Cambria Math" w:hAnsi="Cambria Math"/>
              </w:rPr>
            </m:ctrlPr>
          </m:den>
        </m:f>
        <m:d>
          <m:dPr>
            <m:begChr m:val="（"/>
            <m:endChr m:val="）"/>
            <m:ctrlPr>
              <w:rPr>
                <w:rFonts w:ascii="Cambria Math" w:hAnsi="Cambria Math"/>
              </w:rPr>
            </m:ctrlPr>
          </m:dPr>
          <m:e>
            <m:r>
              <m:rPr>
                <m:sty m:val="p"/>
              </m:rPr>
              <w:rPr>
                <w:rFonts w:hint="eastAsia" w:ascii="Cambria Math" w:hAnsi="Cambria Math"/>
              </w:rPr>
              <m:t>1</m:t>
            </m:r>
            <m:r>
              <m:rPr>
                <m:sty m:val="p"/>
              </m:rPr>
              <w:rPr>
                <w:rFonts w:hint="eastAsia" w:ascii="MS Mincho" w:hAnsi="MS Mincho" w:eastAsia="MS Mincho" w:cs="MS Mincho"/>
              </w:rPr>
              <m:t>−</m:t>
            </m:r>
            <m:f>
              <m:fPr>
                <m:ctrlPr>
                  <w:rPr>
                    <w:rFonts w:ascii="Cambria Math" w:hAnsi="Cambria Math"/>
                  </w:rPr>
                </m:ctrlPr>
              </m:fPr>
              <m:num>
                <m:sSub>
                  <m:sSubPr>
                    <m:ctrlPr>
                      <w:rPr>
                        <w:rFonts w:ascii="Cambria Math" w:hAnsi="Cambria Math"/>
                      </w:rPr>
                    </m:ctrlPr>
                  </m:sSubPr>
                  <m:e>
                    <m:r>
                      <m:rPr>
                        <m:sty m:val="p"/>
                      </m:rPr>
                      <w:rPr>
                        <w:rFonts w:hint="eastAsia" w:ascii="Cambria Math" w:hAnsi="Cambria Math"/>
                      </w:rPr>
                      <m:t>p</m:t>
                    </m:r>
                    <m:ctrlPr>
                      <w:rPr>
                        <w:rFonts w:ascii="Cambria Math" w:hAnsi="Cambria Math"/>
                      </w:rPr>
                    </m:ctrlPr>
                  </m:e>
                  <m:sub>
                    <m:r>
                      <m:rPr>
                        <m:sty m:val="p"/>
                      </m:rPr>
                      <w:rPr>
                        <w:rFonts w:hint="eastAsia" w:ascii="Cambria Math" w:hAnsi="Cambria Math"/>
                      </w:rPr>
                      <m:t>2</m:t>
                    </m:r>
                    <m:ctrlPr>
                      <w:rPr>
                        <w:rFonts w:ascii="Cambria Math" w:hAnsi="Cambria Math"/>
                      </w:rPr>
                    </m:ctrlPr>
                  </m:sub>
                </m:sSub>
                <m:sSub>
                  <m:sSubPr>
                    <m:ctrlPr>
                      <w:rPr>
                        <w:rFonts w:ascii="Cambria Math" w:hAnsi="Cambria Math"/>
                      </w:rPr>
                    </m:ctrlPr>
                  </m:sSubPr>
                  <m:e>
                    <m:r>
                      <m:rPr>
                        <m:sty m:val="p"/>
                      </m:rPr>
                      <w:rPr>
                        <w:rFonts w:hint="eastAsia" w:ascii="Cambria Math" w:hAnsi="Cambria Math"/>
                      </w:rPr>
                      <m:t>T</m:t>
                    </m:r>
                    <m:ctrlPr>
                      <w:rPr>
                        <w:rFonts w:ascii="Cambria Math" w:hAnsi="Cambria Math"/>
                      </w:rPr>
                    </m:ctrlPr>
                  </m:e>
                  <m:sub>
                    <m:r>
                      <m:rPr>
                        <m:sty m:val="p"/>
                      </m:rPr>
                      <w:rPr>
                        <w:rFonts w:hint="eastAsia" w:ascii="Cambria Math" w:hAnsi="Cambria Math"/>
                      </w:rPr>
                      <m:t>1</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hint="eastAsia" w:ascii="Cambria Math" w:hAnsi="Cambria Math"/>
                      </w:rPr>
                      <m:t>p</m:t>
                    </m:r>
                    <m:ctrlPr>
                      <w:rPr>
                        <w:rFonts w:ascii="Cambria Math" w:hAnsi="Cambria Math"/>
                      </w:rPr>
                    </m:ctrlPr>
                  </m:e>
                  <m:sub>
                    <m:r>
                      <m:rPr>
                        <m:sty m:val="p"/>
                      </m:rPr>
                      <w:rPr>
                        <w:rFonts w:hint="eastAsia" w:ascii="Cambria Math" w:hAnsi="Cambria Math"/>
                      </w:rPr>
                      <m:t>1</m:t>
                    </m:r>
                    <m:ctrlPr>
                      <w:rPr>
                        <w:rFonts w:ascii="Cambria Math" w:hAnsi="Cambria Math"/>
                      </w:rPr>
                    </m:ctrlPr>
                  </m:sub>
                </m:sSub>
                <m:sSub>
                  <m:sSubPr>
                    <m:ctrlPr>
                      <w:rPr>
                        <w:rFonts w:ascii="Cambria Math" w:hAnsi="Cambria Math"/>
                      </w:rPr>
                    </m:ctrlPr>
                  </m:sSubPr>
                  <m:e>
                    <m:r>
                      <m:rPr>
                        <m:sty m:val="p"/>
                      </m:rPr>
                      <w:rPr>
                        <w:rFonts w:hint="eastAsia" w:ascii="Cambria Math" w:hAnsi="Cambria Math"/>
                      </w:rPr>
                      <m:t>T</m:t>
                    </m:r>
                    <m:ctrlPr>
                      <w:rPr>
                        <w:rFonts w:ascii="Cambria Math" w:hAnsi="Cambria Math"/>
                      </w:rPr>
                    </m:ctrlPr>
                  </m:e>
                  <m:sub>
                    <m:r>
                      <m:rPr>
                        <m:sty m:val="p"/>
                      </m:rPr>
                      <w:rPr>
                        <w:rFonts w:hint="eastAsia" w:ascii="Cambria Math" w:hAnsi="Cambria Math"/>
                      </w:rPr>
                      <m:t>2</m:t>
                    </m:r>
                    <m:ctrlPr>
                      <w:rPr>
                        <w:rFonts w:ascii="Cambria Math" w:hAnsi="Cambria Math"/>
                      </w:rPr>
                    </m:ctrlPr>
                  </m:sub>
                </m:sSub>
                <m:ctrlPr>
                  <w:rPr>
                    <w:rFonts w:ascii="Cambria Math" w:hAnsi="Cambria Math"/>
                  </w:rPr>
                </m:ctrlPr>
              </m:den>
            </m:f>
            <m:ctrlPr>
              <w:rPr>
                <w:rFonts w:ascii="Cambria Math" w:hAnsi="Cambria Math"/>
              </w:rPr>
            </m:ctrlPr>
          </m:e>
        </m:d>
      </m:oMath>
      <w:bookmarkStart w:id="78" w:name="_GoBack"/>
      <w:bookmarkEnd w:id="78"/>
      <w:r>
        <w:rPr>
          <w:rFonts w:ascii="微软雅黑" w:eastAsia="微软雅黑"/>
        </w:rPr>
        <w:tab/>
      </w:r>
      <w:r>
        <w:t>(</w:t>
      </w:r>
      <w:r>
        <w:fldChar w:fldCharType="begin"/>
      </w:r>
      <w:r>
        <w:instrText xml:space="preserve"> AUTONUM </w:instrText>
      </w:r>
      <w:r>
        <w:fldChar w:fldCharType="end"/>
      </w:r>
      <w:r>
        <w:t>)</w:t>
      </w:r>
    </w:p>
    <w:p w14:paraId="4DF8A8B0">
      <w:pPr>
        <w:pStyle w:val="55"/>
        <w:ind w:firstLine="420"/>
      </w:pPr>
      <w:r>
        <w:rPr>
          <w:rFonts w:hint="eastAsia"/>
        </w:rPr>
        <w:t>式中：</w:t>
      </w:r>
    </w:p>
    <w:p w14:paraId="2BA234B4">
      <w:pPr>
        <w:pStyle w:val="56"/>
        <w:ind w:firstLine="420"/>
      </w:pPr>
      <w:r>
        <w:rPr>
          <w:rFonts w:hint="eastAsia"/>
          <w:i/>
        </w:rPr>
        <w:t>A</w:t>
      </w:r>
      <w:r>
        <w:rPr>
          <w:rFonts w:hint="eastAsia"/>
        </w:rPr>
        <w:t xml:space="preserve"> ——平均每小时泄漏率，单位为百分比（%）；</w:t>
      </w:r>
    </w:p>
    <w:p w14:paraId="061C4837">
      <w:pPr>
        <w:pStyle w:val="56"/>
        <w:ind w:firstLine="420"/>
      </w:pPr>
      <w:r>
        <w:rPr>
          <w:rFonts w:hint="eastAsia"/>
          <w:i/>
        </w:rPr>
        <w:t>t</w:t>
      </w:r>
      <w:r>
        <w:rPr>
          <w:rFonts w:hint="eastAsia"/>
        </w:rPr>
        <w:t xml:space="preserve"> ——试验时间，单位为小时（h）；</w:t>
      </w:r>
    </w:p>
    <w:p w14:paraId="35EBA65A">
      <w:pPr>
        <w:pStyle w:val="56"/>
        <w:ind w:firstLine="420"/>
      </w:pPr>
      <w:r>
        <w:rPr>
          <w:rFonts w:hint="eastAsia"/>
          <w:i/>
        </w:rPr>
        <w:t>p1</w:t>
      </w:r>
      <w:r>
        <w:rPr>
          <w:rFonts w:hint="eastAsia"/>
        </w:rPr>
        <w:t>——试验开始时的绝对压力，单位为兆帕（MPa）；</w:t>
      </w:r>
    </w:p>
    <w:p w14:paraId="27CA571A">
      <w:pPr>
        <w:pStyle w:val="56"/>
        <w:ind w:firstLine="420"/>
      </w:pPr>
      <w:r>
        <w:rPr>
          <w:rFonts w:hint="eastAsia"/>
          <w:i/>
        </w:rPr>
        <w:t>p2</w:t>
      </w:r>
      <w:r>
        <w:rPr>
          <w:rFonts w:hint="eastAsia"/>
        </w:rPr>
        <w:t>——试验结束时的绝对压力，单位为兆帕（MPa）；</w:t>
      </w:r>
    </w:p>
    <w:p w14:paraId="2A50E7BF">
      <w:pPr>
        <w:pStyle w:val="56"/>
        <w:ind w:firstLine="420"/>
      </w:pPr>
      <w:r>
        <w:rPr>
          <w:rFonts w:hint="eastAsia"/>
          <w:i/>
        </w:rPr>
        <w:t>T1</w:t>
      </w:r>
      <w:r>
        <w:rPr>
          <w:rFonts w:hint="eastAsia"/>
        </w:rPr>
        <w:t>——试验开始时的气体热力学温度，单位为开尔文（K）；</w:t>
      </w:r>
    </w:p>
    <w:p w14:paraId="590A37B7">
      <w:pPr>
        <w:pStyle w:val="56"/>
        <w:ind w:firstLine="420"/>
      </w:pPr>
      <w:r>
        <w:rPr>
          <w:rFonts w:hint="eastAsia"/>
          <w:i/>
        </w:rPr>
        <w:t>T2</w:t>
      </w:r>
      <w:r>
        <w:rPr>
          <w:rFonts w:hint="eastAsia"/>
        </w:rPr>
        <w:t>——试验结束时的气体热力学温度，单位为开尔文（K）。</w:t>
      </w:r>
    </w:p>
    <w:p w14:paraId="5385918C">
      <w:pPr>
        <w:pStyle w:val="104"/>
        <w:spacing w:before="240" w:after="240"/>
      </w:pPr>
      <w:bookmarkStart w:id="74" w:name="_Toc181104716"/>
      <w:bookmarkStart w:id="75" w:name="_Toc181177923"/>
      <w:bookmarkStart w:id="76" w:name="_Toc181177364"/>
      <w:r>
        <w:rPr>
          <w:rFonts w:hint="eastAsia"/>
        </w:rPr>
        <w:t>试验报告</w:t>
      </w:r>
      <w:bookmarkEnd w:id="74"/>
      <w:bookmarkEnd w:id="75"/>
      <w:bookmarkEnd w:id="76"/>
    </w:p>
    <w:p w14:paraId="3AE7B91F">
      <w:pPr>
        <w:pStyle w:val="56"/>
        <w:ind w:firstLine="420"/>
      </w:pPr>
      <w:r>
        <w:rPr>
          <w:rFonts w:hint="eastAsia"/>
        </w:rPr>
        <w:t>试验报告应至少包含以下信息：</w:t>
      </w:r>
    </w:p>
    <w:p w14:paraId="263ACF34">
      <w:pPr>
        <w:pStyle w:val="132"/>
      </w:pPr>
      <w:r>
        <w:rPr>
          <w:rFonts w:hint="eastAsia"/>
        </w:rPr>
        <w:t>试验设备及仪器；</w:t>
      </w:r>
    </w:p>
    <w:p w14:paraId="005F4FD5">
      <w:pPr>
        <w:pStyle w:val="132"/>
      </w:pPr>
      <w:r>
        <w:rPr>
          <w:rFonts w:hint="eastAsia"/>
        </w:rPr>
        <w:t>试验样品：碱性</w:t>
      </w:r>
      <w:r>
        <w:t>水电解制氢设备</w:t>
      </w:r>
      <w:r>
        <w:rPr>
          <w:rFonts w:hint="eastAsia"/>
        </w:rPr>
        <w:t>名称、编号、结构、规格尺寸等；</w:t>
      </w:r>
    </w:p>
    <w:p w14:paraId="2BC15B2B">
      <w:pPr>
        <w:pStyle w:val="132"/>
      </w:pPr>
      <w:r>
        <w:rPr>
          <w:rFonts w:hint="eastAsia"/>
        </w:rPr>
        <w:t>试验条件：环境温度、相对湿度、压力等；</w:t>
      </w:r>
    </w:p>
    <w:p w14:paraId="2B418413">
      <w:pPr>
        <w:pStyle w:val="132"/>
      </w:pPr>
      <w:r>
        <w:rPr>
          <w:rFonts w:hint="eastAsia"/>
        </w:rPr>
        <w:t>实验结果：泄漏率值；</w:t>
      </w:r>
    </w:p>
    <w:p w14:paraId="67B928D5">
      <w:pPr>
        <w:pStyle w:val="132"/>
        <w:rPr>
          <w:rFonts w:hint="eastAsia"/>
        </w:rPr>
      </w:pPr>
      <w:r>
        <w:rPr>
          <w:rFonts w:hint="eastAsia"/>
        </w:rPr>
        <w:t>试验人员、日期。</w:t>
      </w:r>
    </w:p>
    <w:bookmarkEnd w:id="26"/>
    <w:p w14:paraId="489AAB23">
      <w:pPr>
        <w:pStyle w:val="56"/>
        <w:ind w:firstLine="0" w:firstLineChars="0"/>
        <w:jc w:val="center"/>
      </w:pPr>
      <w:bookmarkStart w:id="77"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7"/>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C427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4A39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DCF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9312">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8B6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A72B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85F2">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ABA2">
    <w:pPr>
      <w:pStyle w:val="61"/>
    </w:pPr>
    <w:r>
      <w:fldChar w:fldCharType="begin"/>
    </w:r>
    <w:r>
      <w:instrText xml:space="preserve"> STYLEREF  标准文件_文件编号  \* MERGEFORMAT </w:instrText>
    </w:r>
    <w:r>
      <w:fldChar w:fldCharType="separate"/>
    </w:r>
    <w:r>
      <w:t>T/CASMES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13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wRC6O5OTrWwdmEYRoofRYNuI371MfLKViJNpQsfihYLtg5Q/2G5BdSuMAACOzHbpxjRs9OLCPeduL5pfNQPy1Q==" w:salt="PEjpxoBfYpSMI0wpfzsVp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yMjFmODQ3MjE4MTQwYmU4MzA4YTU3N2MzZmFjYzUifQ=="/>
  </w:docVars>
  <w:rsids>
    <w:rsidRoot w:val="00504B33"/>
    <w:rsid w:val="0000040A"/>
    <w:rsid w:val="00000A94"/>
    <w:rsid w:val="00001972"/>
    <w:rsid w:val="00001D9A"/>
    <w:rsid w:val="00002C6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5D7A"/>
    <w:rsid w:val="00196EF5"/>
    <w:rsid w:val="001A1A53"/>
    <w:rsid w:val="001A234A"/>
    <w:rsid w:val="001A4CF3"/>
    <w:rsid w:val="001A6696"/>
    <w:rsid w:val="001B06E8"/>
    <w:rsid w:val="001B4B4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AC9"/>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07B"/>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3BA"/>
    <w:rsid w:val="00431B3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125C"/>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3EA"/>
    <w:rsid w:val="00504A3D"/>
    <w:rsid w:val="00504B33"/>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57C4"/>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657E"/>
    <w:rsid w:val="005C7156"/>
    <w:rsid w:val="005D0C75"/>
    <w:rsid w:val="005D4171"/>
    <w:rsid w:val="005D6A95"/>
    <w:rsid w:val="005D6B2C"/>
    <w:rsid w:val="005D6D9C"/>
    <w:rsid w:val="005E15E4"/>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5E9"/>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42C"/>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3A9F"/>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4D1C"/>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B4A"/>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C92"/>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166"/>
    <w:rsid w:val="00B4654C"/>
    <w:rsid w:val="00B47293"/>
    <w:rsid w:val="00B50E50"/>
    <w:rsid w:val="00B51B64"/>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1041"/>
    <w:rsid w:val="00BA263B"/>
    <w:rsid w:val="00BA42B2"/>
    <w:rsid w:val="00BA58D4"/>
    <w:rsid w:val="00BA5B9E"/>
    <w:rsid w:val="00BA7C9A"/>
    <w:rsid w:val="00BB5F8F"/>
    <w:rsid w:val="00BB657A"/>
    <w:rsid w:val="00BC1A4E"/>
    <w:rsid w:val="00BC5DC7"/>
    <w:rsid w:val="00BC6B8B"/>
    <w:rsid w:val="00BC73D8"/>
    <w:rsid w:val="00BD24D1"/>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8C8"/>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596C"/>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41E"/>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9C0"/>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C9D"/>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6AFE"/>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4D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13462D"/>
    <w:rsid w:val="26E31367"/>
    <w:rsid w:val="54513EBE"/>
    <w:rsid w:val="6229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EA05AEE6A07451A9017691B6EB79726"/>
        <w:style w:val=""/>
        <w:category>
          <w:name w:val="常规"/>
          <w:gallery w:val="placeholder"/>
        </w:category>
        <w:types>
          <w:type w:val="bbPlcHdr"/>
        </w:types>
        <w:behaviors>
          <w:behavior w:val="content"/>
        </w:behaviors>
        <w:description w:val=""/>
        <w:guid w:val="{7624C556-0598-403F-A1AC-C48D424C9B6A}"/>
      </w:docPartPr>
      <w:docPartBody>
        <w:p w14:paraId="75EAA443">
          <w:pPr>
            <w:pStyle w:val="5"/>
          </w:pPr>
          <w:r>
            <w:rPr>
              <w:rStyle w:val="4"/>
              <w:rFonts w:hint="eastAsia"/>
            </w:rPr>
            <w:t>单击或点击此处输入文字。</w:t>
          </w:r>
        </w:p>
      </w:docPartBody>
    </w:docPart>
    <w:docPart>
      <w:docPartPr>
        <w:name w:val="A2B39DF9B1B94E60B1A041C55816E527"/>
        <w:style w:val=""/>
        <w:category>
          <w:name w:val="常规"/>
          <w:gallery w:val="placeholder"/>
        </w:category>
        <w:types>
          <w:type w:val="bbPlcHdr"/>
        </w:types>
        <w:behaviors>
          <w:behavior w:val="content"/>
        </w:behaviors>
        <w:description w:val=""/>
        <w:guid w:val="{8456E458-5F55-4313-A30A-FF535113A98B}"/>
      </w:docPartPr>
      <w:docPartBody>
        <w:p w14:paraId="4CADF3BC">
          <w:pPr>
            <w:pStyle w:val="6"/>
          </w:pPr>
          <w:r>
            <w:rPr>
              <w:rStyle w:val="4"/>
              <w:rFonts w:hint="eastAsia"/>
            </w:rPr>
            <w:t>选择一项。</w:t>
          </w:r>
        </w:p>
      </w:docPartBody>
    </w:docPart>
    <w:docPart>
      <w:docPartPr>
        <w:name w:val="0222B6195F84415D98C68A2A925E1EA5"/>
        <w:style w:val=""/>
        <w:category>
          <w:name w:val="常规"/>
          <w:gallery w:val="placeholder"/>
        </w:category>
        <w:types>
          <w:type w:val="bbPlcHdr"/>
        </w:types>
        <w:behaviors>
          <w:behavior w:val="content"/>
        </w:behaviors>
        <w:description w:val=""/>
        <w:guid w:val="{0CA669F9-0F8E-44DD-BC3E-9EE3BDD7E9DE}"/>
      </w:docPartPr>
      <w:docPartBody>
        <w:p w14:paraId="3095926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5E"/>
    <w:rsid w:val="00071943"/>
    <w:rsid w:val="00290C38"/>
    <w:rsid w:val="00A102EA"/>
    <w:rsid w:val="00B67CE3"/>
    <w:rsid w:val="00E472E9"/>
    <w:rsid w:val="00F3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EA05AEE6A07451A9017691B6EB797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2B39DF9B1B94E60B1A041C55816E5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222B6195F84415D98C68A2A925E1EA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52330-BD11-4A9D-B3B2-0810E1056C57}">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191</Words>
  <Characters>317</Characters>
  <Lines>25</Lines>
  <Paragraphs>7</Paragraphs>
  <TotalTime>503</TotalTime>
  <ScaleCrop>false</ScaleCrop>
  <LinksUpToDate>false</LinksUpToDate>
  <CharactersWithSpaces>379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2024-10-29T03:26:00Z</dcterms:created>
  <dc:creator>Administrator</dc:creator>
  <dc:description>&lt;config cover="true" show_menu="true" version="1.0.0" doctype="SDKXY"&gt;_x000d_
&lt;/config&gt;</dc:description>
  <cp:lastModifiedBy>悸动</cp:lastModifiedBy>
  <cp:lastPrinted>2021-02-02T08:22:00Z</cp:lastPrinted>
  <dcterms:modified xsi:type="dcterms:W3CDTF">2024-11-05T07:05:17Z</dcterms:modified>
  <dc:title>团体标准</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1401ECE747F04ABF8D6D22CAD9F98CBF_12</vt:lpwstr>
  </property>
</Properties>
</file>