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5F11">
      <w:pPr>
        <w:jc w:val="center"/>
      </w:pPr>
    </w:p>
    <w:p w14:paraId="06C9200A">
      <w:pPr>
        <w:jc w:val="center"/>
      </w:pPr>
    </w:p>
    <w:p w14:paraId="566E509E">
      <w:pPr>
        <w:jc w:val="center"/>
      </w:pPr>
    </w:p>
    <w:p w14:paraId="1D194A41">
      <w:pPr>
        <w:jc w:val="center"/>
      </w:pPr>
    </w:p>
    <w:p w14:paraId="02B4059C">
      <w:pPr>
        <w:jc w:val="center"/>
      </w:pPr>
    </w:p>
    <w:p w14:paraId="4375CB67">
      <w:pPr>
        <w:jc w:val="center"/>
      </w:pPr>
    </w:p>
    <w:p w14:paraId="0FC228F5">
      <w:pPr>
        <w:jc w:val="center"/>
      </w:pPr>
    </w:p>
    <w:p w14:paraId="2EFACBC8">
      <w:pPr>
        <w:jc w:val="center"/>
      </w:pPr>
    </w:p>
    <w:p w14:paraId="7B452C33">
      <w:pPr>
        <w:jc w:val="center"/>
      </w:pPr>
    </w:p>
    <w:p w14:paraId="11407CA9">
      <w:pPr>
        <w:jc w:val="center"/>
      </w:pPr>
    </w:p>
    <w:p w14:paraId="1690531C">
      <w:pPr>
        <w:jc w:val="center"/>
      </w:pPr>
    </w:p>
    <w:p w14:paraId="1F434EC1">
      <w:pPr>
        <w:jc w:val="center"/>
      </w:pPr>
    </w:p>
    <w:p w14:paraId="276BC2F2">
      <w:pPr>
        <w:jc w:val="center"/>
      </w:pPr>
    </w:p>
    <w:p w14:paraId="3A52CBA1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房屋建筑工程二次结构施工技术规范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58679B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639CA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92D641B">
      <w:pPr>
        <w:jc w:val="center"/>
      </w:pPr>
    </w:p>
    <w:p w14:paraId="4B383196">
      <w:pPr>
        <w:jc w:val="center"/>
      </w:pPr>
    </w:p>
    <w:p w14:paraId="38CBB0E8">
      <w:pPr>
        <w:jc w:val="center"/>
      </w:pPr>
    </w:p>
    <w:p w14:paraId="1E53D994">
      <w:pPr>
        <w:jc w:val="center"/>
      </w:pPr>
    </w:p>
    <w:p w14:paraId="26904B76">
      <w:pPr>
        <w:jc w:val="center"/>
      </w:pPr>
    </w:p>
    <w:p w14:paraId="21662D3E">
      <w:pPr>
        <w:jc w:val="center"/>
      </w:pPr>
    </w:p>
    <w:p w14:paraId="6798E553">
      <w:pPr>
        <w:jc w:val="center"/>
      </w:pPr>
    </w:p>
    <w:p w14:paraId="400B09C5">
      <w:pPr>
        <w:jc w:val="center"/>
      </w:pPr>
    </w:p>
    <w:p w14:paraId="4404A031">
      <w:pPr>
        <w:jc w:val="center"/>
      </w:pPr>
    </w:p>
    <w:p w14:paraId="3FCB46D6">
      <w:pPr>
        <w:jc w:val="center"/>
      </w:pPr>
    </w:p>
    <w:p w14:paraId="7B737B30">
      <w:pPr>
        <w:jc w:val="center"/>
      </w:pPr>
    </w:p>
    <w:p w14:paraId="2B8A5E85">
      <w:pPr>
        <w:jc w:val="center"/>
      </w:pPr>
    </w:p>
    <w:p w14:paraId="26F20445">
      <w:pPr>
        <w:jc w:val="center"/>
      </w:pPr>
    </w:p>
    <w:p w14:paraId="18351A9B">
      <w:pPr>
        <w:jc w:val="center"/>
      </w:pPr>
    </w:p>
    <w:p w14:paraId="18D9B992">
      <w:pPr>
        <w:jc w:val="center"/>
      </w:pPr>
    </w:p>
    <w:p w14:paraId="020068D8">
      <w:pPr>
        <w:jc w:val="center"/>
      </w:pPr>
    </w:p>
    <w:p w14:paraId="01553021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A610DF3">
      <w:pPr>
        <w:jc w:val="center"/>
        <w:rPr>
          <w:rFonts w:ascii="宋体" w:hAnsi="宋体" w:eastAsia="宋体"/>
          <w:sz w:val="28"/>
          <w:szCs w:val="28"/>
        </w:rPr>
      </w:pPr>
    </w:p>
    <w:p w14:paraId="73E3392A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10CDA143">
      <w:pPr>
        <w:jc w:val="center"/>
        <w:rPr>
          <w:rFonts w:ascii="宋体" w:hAnsi="宋体" w:eastAsia="宋体"/>
          <w:sz w:val="28"/>
          <w:szCs w:val="28"/>
        </w:rPr>
      </w:pPr>
    </w:p>
    <w:p w14:paraId="7DFC9215">
      <w:pPr>
        <w:jc w:val="center"/>
        <w:rPr>
          <w:rFonts w:ascii="宋体" w:hAnsi="宋体" w:eastAsia="宋体"/>
          <w:sz w:val="28"/>
          <w:szCs w:val="28"/>
        </w:rPr>
      </w:pPr>
    </w:p>
    <w:p w14:paraId="0C2CF79F">
      <w:pPr>
        <w:jc w:val="center"/>
        <w:rPr>
          <w:rFonts w:ascii="宋体" w:hAnsi="宋体" w:eastAsia="宋体"/>
          <w:sz w:val="28"/>
          <w:szCs w:val="28"/>
        </w:rPr>
      </w:pPr>
    </w:p>
    <w:p w14:paraId="2A01CBCF">
      <w:pPr>
        <w:jc w:val="center"/>
        <w:rPr>
          <w:rFonts w:ascii="宋体" w:hAnsi="宋体" w:eastAsia="宋体"/>
          <w:sz w:val="28"/>
          <w:szCs w:val="28"/>
        </w:rPr>
      </w:pPr>
    </w:p>
    <w:p w14:paraId="087DD46C">
      <w:pPr>
        <w:jc w:val="center"/>
        <w:rPr>
          <w:rFonts w:ascii="宋体" w:hAnsi="宋体" w:eastAsia="宋体"/>
          <w:sz w:val="28"/>
          <w:szCs w:val="28"/>
        </w:rPr>
      </w:pPr>
    </w:p>
    <w:p w14:paraId="11E9D134">
      <w:pPr>
        <w:jc w:val="center"/>
        <w:rPr>
          <w:rFonts w:ascii="宋体" w:hAnsi="宋体" w:eastAsia="宋体"/>
          <w:sz w:val="28"/>
          <w:szCs w:val="28"/>
        </w:rPr>
      </w:pPr>
    </w:p>
    <w:p w14:paraId="50A3302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30ABED8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0925EF4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中国中小企业协会下达的</w:t>
      </w:r>
      <w:r>
        <w:rPr>
          <w:rFonts w:ascii="宋体" w:hAnsi="宋体" w:eastAsia="宋体"/>
          <w:sz w:val="28"/>
          <w:szCs w:val="28"/>
        </w:rPr>
        <w:t>2024年团体标准修订编制计划，将《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房屋建筑工程二次结构施工技术规范</w:t>
      </w:r>
      <w:r>
        <w:rPr>
          <w:rFonts w:ascii="宋体" w:hAnsi="宋体" w:eastAsia="宋体"/>
          <w:sz w:val="28"/>
          <w:szCs w:val="28"/>
        </w:rPr>
        <w:t>》列为标准编制项目，并于2024年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在全国团体标准信息平台上进行了立项公告。</w:t>
      </w:r>
    </w:p>
    <w:p w14:paraId="5090FDB1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4FB80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建筑行业的蓬勃发展，房屋建筑工程的复杂性与多样性日益增强，特别是在二次结构施工阶段，其技术要求和施工难点更为凸显。为确保房屋建筑工程的质量、安全、经济性及环保性，编制一套科学、全面、具有指导意义的《房屋建筑工程二次结构施工技术规范》标准显得尤为重要。以下是该规范编制的目的与意义:</w:t>
      </w:r>
    </w:p>
    <w:p w14:paraId="666ED0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施工标准：通过编制该技术规范，能够明确房屋建筑工程次结构施工的各项技术标准、工艺流程和操作方法，实现施工过程的标准化和规范化。这有助于消除不同地区、不同企业间因施工习惯差异而导致的施工质量参差不齐现象，提升整个行业的技术水平。</w:t>
      </w:r>
    </w:p>
    <w:p w14:paraId="70B743B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全规范操作：安全是建筑工程的首要前提。。该规范将详细规定施工过程中的安全操作规程、防护措施及应急预案，确保施工人员在高空作业、模板支撑、钢筋绑扎等高风险作业中严格遵守安全规范，减少安全事故的发生，保障人员生命安全。</w:t>
      </w:r>
    </w:p>
    <w:p w14:paraId="77A80F1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优化指导：技术优化是提高施工效率、降低成本的重要途径。规范中将纳入先进的施工工艺、新材料应用及技术创新成果，为施工单位提供技术优化指导，鼓励采用更加高效、环保的施工方法，推动行业技术进步。</w:t>
      </w:r>
    </w:p>
    <w:p w14:paraId="1D2EB71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质量控制依据：质量控制是建筑工程的核心环节。该技术规范明确了二次结构施工各环节的质量验收标准，为监理单位、建设单位及质量监督部门提供了明确的质量控制依据，确保施工质量符合设计要求及国家相关标准。</w:t>
      </w:r>
    </w:p>
    <w:p w14:paraId="42B654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节能环保导向：在当前绿色建筑理念的推动下，该规范强调在施工过程中采取节能、环保措施，如推广使用可再生材料、减少废弃物排放、优化资源利用等，引导行业向更加绿色、可持续的方向发展。</w:t>
      </w:r>
    </w:p>
    <w:p w14:paraId="4B5FDDE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本有效控制：合理的成本控制是提升企业竞争力的关键。通过规范施工流程、优化施工方案、减少浪费，该技术规范有助于施工单位有效控制施工成本，提高经济效益，同时也为建设单位提供了成本预算和管理的参考依据。</w:t>
      </w:r>
    </w:p>
    <w:p w14:paraId="3DDDD9B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促进技术交流：规范的编制过程本身就是技术交流与合作的过程。通过广泛征集行业专家、学者及一线施工人员的意见，汇聚各方智慧，形成具有广泛共识的技术规范。此外，规范的发布也将促进不同地区、不同企业间的技术交流与合作，推动行业共同发展。</w:t>
      </w:r>
    </w:p>
    <w:p w14:paraId="4283943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6F94D3A3">
      <w:pPr>
        <w:spacing w:line="360" w:lineRule="auto"/>
        <w:ind w:firstLine="562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</w:t>
      </w: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68975E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2024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月，完成《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房屋建筑工程二次结构施工技术规范</w:t>
      </w:r>
      <w:r>
        <w:rPr>
          <w:rFonts w:hint="eastAsia" w:ascii="宋体" w:hAnsi="宋体" w:eastAsia="宋体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209A73E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月至2024年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月，标准编制组对国内外的相关行业、标准、科研成果、专著等开展广泛、深入的调研，在此基础上完成《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房屋建筑工程二次结构施工技术规范</w:t>
      </w:r>
      <w:r>
        <w:rPr>
          <w:rFonts w:hint="eastAsia" w:ascii="宋体" w:hAnsi="宋体" w:eastAsia="宋体"/>
          <w:sz w:val="28"/>
          <w:szCs w:val="28"/>
        </w:rPr>
        <w:t>》的草案。随后标准制定小组与相关专家经多次研究、讨论对草案进行数次修改，于2024年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月上旬提交《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房屋建筑工程二次结构施工技术规范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》标准征求意见稿及征求意见稿编制说明，拟定于2024年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月中旬在网上公示征求意见稿，广泛征求各方意见和建议。</w:t>
      </w:r>
    </w:p>
    <w:p w14:paraId="706306D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制定小组将根据各方意见和建议对标准进行修改后形成送审稿。</w:t>
      </w:r>
    </w:p>
    <w:p w14:paraId="7693D99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207996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381DA5FD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宋体" w:hAnsi="宋体" w:eastAsia="宋体"/>
          <w:sz w:val="28"/>
          <w:szCs w:val="28"/>
          <w:lang w:eastAsia="zh-CN"/>
        </w:rPr>
        <w:t>新疆天恒基建筑工程有限公司</w:t>
      </w:r>
      <w:r>
        <w:rPr>
          <w:rFonts w:hint="eastAsia" w:ascii="宋体" w:hAnsi="宋体" w:eastAsia="宋体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116E8AFE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2631E61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2A7E4F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071484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F02D163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4A0B835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</w:t>
      </w:r>
      <w:r>
        <w:rPr>
          <w:rFonts w:ascii="宋体" w:hAnsi="宋体" w:eastAsia="宋体"/>
          <w:b/>
          <w:bCs/>
          <w:sz w:val="28"/>
          <w:szCs w:val="28"/>
        </w:rPr>
        <w:t xml:space="preserve"> 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022C43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范围：包括本文件的内容及适用范围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98AB2F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2、规范性引用文件：列出了本文件引用的其他规范性文件。</w:t>
      </w:r>
    </w:p>
    <w:p w14:paraId="4AABBFA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3、术语和定义：对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正文中出现的</w:t>
      </w:r>
      <w:r>
        <w:rPr>
          <w:rFonts w:hint="eastAsia" w:ascii="宋体" w:hAnsi="宋体" w:eastAsia="宋体"/>
          <w:sz w:val="28"/>
          <w:szCs w:val="28"/>
        </w:rPr>
        <w:t>术语进行了定义。</w:t>
      </w:r>
    </w:p>
    <w:p w14:paraId="30A0C3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4、基本规定：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包括施工管理、施工技术和施工质量与安全等要求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86F6D9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施工准备：包括施工图纸与方案、材料与工具准备、现场勘察与安全、资料与检测、安全生产准备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79986E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墙体施工：包括墙体施工的流程概述、定位放线、砌筑墙体、墙体连接、墙体养护等要求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09ADE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7、构造柱施工：包括流程概述、基础施工、钢筋绑扎、模板安装、混凝土浇筑、养护与拆模等要求。</w:t>
      </w:r>
    </w:p>
    <w:p w14:paraId="6EC06BF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8、圈梁施工：包括圈梁施工准备、施工步骤、模板制作等要求。</w:t>
      </w:r>
    </w:p>
    <w:p w14:paraId="252E52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9、过梁施工：包括过梁施工准备、施工过程、施工后期、施工安全措施等要求。</w:t>
      </w:r>
    </w:p>
    <w:p w14:paraId="7CAD75C5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10、环境保护：包括环境保护的一般规定和环境因素控制。</w:t>
      </w:r>
    </w:p>
    <w:p w14:paraId="05C2AEC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4FD3F72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4B0B67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结合国内外行业情况及公司的实践进行验证。</w:t>
      </w:r>
    </w:p>
    <w:p w14:paraId="36E4EBF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 w14:paraId="7C54BF3C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FC10B86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0055D124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</w:p>
    <w:p w14:paraId="0244CBA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40A2240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随着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二次结构</w:t>
      </w:r>
      <w:r>
        <w:rPr>
          <w:rFonts w:hint="eastAsia" w:ascii="宋体" w:hAnsi="宋体" w:eastAsia="宋体"/>
          <w:sz w:val="28"/>
          <w:szCs w:val="28"/>
        </w:rPr>
        <w:t>施工技术的日益成熟与广泛应用，其在建筑工程施工及管理领域的变革性影响愈发显著。将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/>
          <w:sz w:val="28"/>
          <w:szCs w:val="28"/>
        </w:rPr>
        <w:t>技术应用到建筑工程施工中，系统整合技术优势，规范施工流程，提升</w:t>
      </w:r>
      <w:r>
        <w:rPr>
          <w:rFonts w:hint="eastAsia" w:ascii="宋体" w:hAnsi="宋体" w:eastAsia="宋体"/>
          <w:sz w:val="28"/>
          <w:szCs w:val="28"/>
          <w:lang w:eastAsia="zh-CN"/>
        </w:rPr>
        <w:t>项目管理</w:t>
      </w:r>
      <w:r>
        <w:rPr>
          <w:rFonts w:hint="eastAsia" w:ascii="宋体" w:hAnsi="宋体" w:eastAsia="宋体"/>
          <w:sz w:val="28"/>
          <w:szCs w:val="28"/>
        </w:rPr>
        <w:t>效率。</w:t>
      </w:r>
    </w:p>
    <w:p w14:paraId="0799DE3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预期</w:t>
      </w:r>
      <w:r>
        <w:rPr>
          <w:rFonts w:ascii="宋体" w:hAnsi="宋体" w:eastAsia="宋体"/>
          <w:sz w:val="28"/>
          <w:szCs w:val="28"/>
        </w:rPr>
        <w:t>达到的效益包括但不限于：</w:t>
      </w:r>
    </w:p>
    <w:p w14:paraId="15E8FC3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提升</w:t>
      </w:r>
      <w:r>
        <w:rPr>
          <w:rFonts w:ascii="宋体" w:hAnsi="宋体" w:eastAsia="宋体"/>
          <w:sz w:val="28"/>
          <w:szCs w:val="28"/>
        </w:rPr>
        <w:t>施工效率；</w:t>
      </w:r>
    </w:p>
    <w:p w14:paraId="72BA634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减少</w:t>
      </w:r>
      <w:r>
        <w:rPr>
          <w:rFonts w:ascii="宋体" w:hAnsi="宋体" w:eastAsia="宋体"/>
          <w:sz w:val="28"/>
          <w:szCs w:val="28"/>
        </w:rPr>
        <w:t>设计变更；</w:t>
      </w:r>
    </w:p>
    <w:p w14:paraId="6EA47C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</w:t>
      </w:r>
      <w:r>
        <w:rPr>
          <w:rFonts w:hint="eastAsia" w:ascii="宋体" w:hAnsi="宋体" w:eastAsia="宋体"/>
          <w:sz w:val="28"/>
          <w:szCs w:val="28"/>
        </w:rPr>
        <w:t>优化</w:t>
      </w:r>
      <w:r>
        <w:rPr>
          <w:rFonts w:ascii="宋体" w:hAnsi="宋体" w:eastAsia="宋体"/>
          <w:sz w:val="28"/>
          <w:szCs w:val="28"/>
        </w:rPr>
        <w:t>成本控制；</w:t>
      </w:r>
    </w:p>
    <w:p w14:paraId="407A0A0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4、增强质量监管；</w:t>
      </w:r>
    </w:p>
    <w:p w14:paraId="1A8E8D6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5、提高安全管理。</w:t>
      </w:r>
    </w:p>
    <w:p w14:paraId="1D93953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并且</w:t>
      </w:r>
      <w:r>
        <w:rPr>
          <w:rFonts w:hint="eastAsia" w:ascii="宋体" w:hAnsi="宋体" w:eastAsia="宋体"/>
          <w:sz w:val="28"/>
          <w:szCs w:val="28"/>
        </w:rPr>
        <w:t>由于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二次结构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施工</w:t>
      </w:r>
      <w:r>
        <w:rPr>
          <w:rFonts w:ascii="宋体" w:hAnsi="宋体" w:eastAsia="宋体"/>
          <w:sz w:val="28"/>
          <w:szCs w:val="28"/>
        </w:rPr>
        <w:t>技术在设计优化、施工准备、施工管理等多方面的</w:t>
      </w:r>
      <w:r>
        <w:rPr>
          <w:rFonts w:hint="eastAsia" w:ascii="宋体" w:hAnsi="宋体" w:eastAsia="宋体"/>
          <w:sz w:val="28"/>
          <w:szCs w:val="28"/>
          <w:lang w:eastAsia="zh-CN"/>
        </w:rPr>
        <w:t>综合</w:t>
      </w:r>
      <w:r>
        <w:rPr>
          <w:rFonts w:ascii="宋体" w:hAnsi="宋体" w:eastAsia="宋体"/>
          <w:sz w:val="28"/>
          <w:szCs w:val="28"/>
        </w:rPr>
        <w:t>应用，使得项目各阶段衔接更加紧密，施工效率与质量得到双重提升。这些证明效应叠加，最终实现了项目周期的显著缩短，加速了项目交付与资金回笼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B84C1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 w14:paraId="3984DFC8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14:paraId="0C2C0F32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54C3C38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0744D9F6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（七）重大分歧意见的处理经过和依据</w:t>
      </w:r>
    </w:p>
    <w:p w14:paraId="5FCF1899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2B535F67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45B0400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（八）标准性质的建议说明</w:t>
      </w:r>
    </w:p>
    <w:p w14:paraId="7C598C45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本标准为团体标准，供社会各界自愿使用。</w:t>
      </w:r>
    </w:p>
    <w:p w14:paraId="48F0289A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4C01DA1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（九）贯彻标准的要求和措施建议</w:t>
      </w:r>
    </w:p>
    <w:p w14:paraId="7CCF1B7A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1、组织线下宣传活动、线上渠道推广，进行标准的内容宣传。</w:t>
      </w:r>
    </w:p>
    <w:p w14:paraId="5DA81196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2、组织相关专家进行培训和讲座，介绍本标准并进行答疑。</w:t>
      </w:r>
    </w:p>
    <w:p w14:paraId="3976A0C7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3、与相关协会、机构、企业等合作伙伴共通普及和推广。</w:t>
      </w:r>
    </w:p>
    <w:p w14:paraId="6B105FD4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2592B1B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（十）废止现行相关标准的建议</w:t>
      </w:r>
    </w:p>
    <w:p w14:paraId="671B7EBD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41C35F08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0D974E2C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（十一）其他应予说明的事项</w:t>
      </w:r>
    </w:p>
    <w:p w14:paraId="7E66D91B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71B78CF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75D98710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50905710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房屋建筑工程二次结构施工技术规范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5AB8F6E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492B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C17B8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824F8"/>
    <w:rsid w:val="003C4C2B"/>
    <w:rsid w:val="003F6507"/>
    <w:rsid w:val="00400730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0656F"/>
    <w:rsid w:val="00514855"/>
    <w:rsid w:val="0052542A"/>
    <w:rsid w:val="005333C6"/>
    <w:rsid w:val="00543CA9"/>
    <w:rsid w:val="00555D75"/>
    <w:rsid w:val="00560FA5"/>
    <w:rsid w:val="00566FEC"/>
    <w:rsid w:val="00576B39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12175"/>
    <w:rsid w:val="0071458F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0CF3"/>
    <w:rsid w:val="00855EF3"/>
    <w:rsid w:val="008639DD"/>
    <w:rsid w:val="00873DB6"/>
    <w:rsid w:val="00895E54"/>
    <w:rsid w:val="008F2746"/>
    <w:rsid w:val="00901136"/>
    <w:rsid w:val="00902454"/>
    <w:rsid w:val="00905D53"/>
    <w:rsid w:val="00921AEC"/>
    <w:rsid w:val="00925E06"/>
    <w:rsid w:val="009349E7"/>
    <w:rsid w:val="009411A8"/>
    <w:rsid w:val="009468CF"/>
    <w:rsid w:val="00954D9A"/>
    <w:rsid w:val="009603D3"/>
    <w:rsid w:val="00975BD6"/>
    <w:rsid w:val="009D3675"/>
    <w:rsid w:val="009D498C"/>
    <w:rsid w:val="009D532B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9CD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3573B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3608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77633E2"/>
    <w:rsid w:val="0D9633F1"/>
    <w:rsid w:val="0F913D0D"/>
    <w:rsid w:val="1BF34DB3"/>
    <w:rsid w:val="1D9236E6"/>
    <w:rsid w:val="1E8E65A3"/>
    <w:rsid w:val="208337BA"/>
    <w:rsid w:val="20A57BD4"/>
    <w:rsid w:val="233E073A"/>
    <w:rsid w:val="24101808"/>
    <w:rsid w:val="29177872"/>
    <w:rsid w:val="292F6A67"/>
    <w:rsid w:val="35E6686D"/>
    <w:rsid w:val="39096AFA"/>
    <w:rsid w:val="3C3761AC"/>
    <w:rsid w:val="459A64D3"/>
    <w:rsid w:val="46EA14CF"/>
    <w:rsid w:val="4C070C02"/>
    <w:rsid w:val="4C324162"/>
    <w:rsid w:val="5200731B"/>
    <w:rsid w:val="525E7A5F"/>
    <w:rsid w:val="52833022"/>
    <w:rsid w:val="53334A48"/>
    <w:rsid w:val="533D060E"/>
    <w:rsid w:val="53AF7E46"/>
    <w:rsid w:val="5AE40D1D"/>
    <w:rsid w:val="5CA72002"/>
    <w:rsid w:val="5F994A9B"/>
    <w:rsid w:val="68AE1786"/>
    <w:rsid w:val="68EA193E"/>
    <w:rsid w:val="6A6D6639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7</Pages>
  <Words>2146</Words>
  <Characters>2189</Characters>
  <Lines>16</Lines>
  <Paragraphs>4</Paragraphs>
  <TotalTime>0</TotalTime>
  <ScaleCrop>false</ScaleCrop>
  <LinksUpToDate>false</LinksUpToDate>
  <CharactersWithSpaces>2226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鱼</cp:lastModifiedBy>
  <cp:lastPrinted>2022-05-11T05:51:00Z</cp:lastPrinted>
  <dcterms:modified xsi:type="dcterms:W3CDTF">2024-11-05T07:19:51Z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363D128E8E8C4C2EBD8506CCEEF208AF_12</vt:lpwstr>
  </property>
</Properties>
</file>