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45348">
      <w:pPr>
        <w:pStyle w:val="34"/>
        <w:bidi w:val="0"/>
        <w:rPr>
          <w:rFonts w:hint="eastAsia"/>
          <w:lang w:val="en-US" w:eastAsia="zh-CN"/>
        </w:rPr>
      </w:pPr>
      <w:r>
        <w:rPr>
          <w:rFonts w:hint="eastAsia"/>
          <w:lang w:val="en-US" w:eastAsia="zh-CN"/>
        </w:rPr>
        <w:t>团体标准</w:t>
      </w:r>
    </w:p>
    <w:p w14:paraId="39FF2715">
      <w:pPr>
        <w:pStyle w:val="45"/>
        <w:bidi w:val="0"/>
        <w:rPr>
          <w:rFonts w:hint="eastAsia"/>
          <w:lang w:val="en-US" w:eastAsia="zh-CN"/>
        </w:rPr>
      </w:pPr>
      <w:r>
        <w:rPr>
          <w:rFonts w:hint="eastAsia"/>
          <w:lang w:val="en-US" w:eastAsia="zh-CN"/>
        </w:rPr>
        <w:fldChar w:fldCharType="begin">
          <w:ffData>
            <w:name w:val="StandNo"/>
            <w:enabled/>
            <w:calcOnExit w:val="0"/>
            <w:textInput>
              <w:default w:val="IOS/TS XXX—2024"/>
            </w:textInput>
          </w:ffData>
        </w:fldChar>
      </w:r>
      <w:bookmarkStart w:id="0" w:name="StandNo"/>
      <w:r>
        <w:rPr>
          <w:rFonts w:hint="eastAsia"/>
          <w:lang w:val="en-US" w:eastAsia="zh-CN"/>
        </w:rPr>
        <w:instrText xml:space="preserve">FORMTEXT</w:instrText>
      </w:r>
      <w:r>
        <w:rPr>
          <w:rFonts w:hint="eastAsia"/>
          <w:lang w:val="en-US" w:eastAsia="zh-CN"/>
        </w:rPr>
        <w:fldChar w:fldCharType="separate"/>
      </w:r>
      <w:r>
        <w:rPr>
          <w:rFonts w:hint="eastAsia"/>
          <w:lang w:val="en-US" w:eastAsia="zh-CN"/>
        </w:rPr>
        <w:t>T/CCPITCSC XXX—2024</w:t>
      </w:r>
      <w:r>
        <w:rPr>
          <w:rFonts w:hint="eastAsia"/>
          <w:lang w:val="en-US" w:eastAsia="zh-CN"/>
        </w:rPr>
        <w:fldChar w:fldCharType="end"/>
      </w:r>
      <w:bookmarkEnd w:id="0"/>
    </w:p>
    <w:p w14:paraId="04A33570">
      <w:pPr>
        <w:pStyle w:val="44"/>
        <w:bidi w:val="0"/>
        <w:rPr>
          <w:rFonts w:hint="eastAsia"/>
          <w:lang w:val="en-US" w:eastAsia="zh-CN"/>
        </w:rPr>
      </w:pPr>
    </w:p>
    <w:tbl>
      <w:tblPr>
        <w:tblStyle w:val="25"/>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5B5F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889" w:type="dxa"/>
            <w:tcBorders>
              <w:top w:val="single" w:color="auto" w:sz="8" w:space="0"/>
            </w:tcBorders>
          </w:tcPr>
          <w:p w14:paraId="48975430">
            <w:pPr>
              <w:pStyle w:val="39"/>
              <w:widowControl w:val="0"/>
              <w:bidi w:val="0"/>
              <w:jc w:val="both"/>
              <w:rPr>
                <w:rFonts w:hint="eastAsia"/>
                <w:sz w:val="10"/>
                <w:vertAlign w:val="baseline"/>
                <w:lang w:val="en-US" w:eastAsia="zh-CN"/>
              </w:rPr>
            </w:pPr>
          </w:p>
        </w:tc>
      </w:tr>
    </w:tbl>
    <w:p w14:paraId="44719759">
      <w:pPr>
        <w:pStyle w:val="46"/>
        <w:bidi w:val="0"/>
        <w:rPr>
          <w:rFonts w:hint="eastAsia"/>
          <w:lang w:val="en-US" w:eastAsia="zh-CN"/>
        </w:rPr>
      </w:pPr>
      <w:r>
        <w:rPr>
          <w:rFonts w:hint="eastAsia"/>
          <w:lang w:val="en-US" w:eastAsia="zh-CN"/>
        </w:rPr>
        <w:fldChar w:fldCharType="begin">
          <w:ffData>
            <w:name w:val="StdName"/>
            <w:enabled/>
            <w:calcOnExit w:val="0"/>
            <w:textInput>
              <w:default w:val="合作业务关系管理 — 知识产权 (IP) 许可 — 指南"/>
            </w:textInput>
          </w:ffData>
        </w:fldChar>
      </w:r>
      <w:bookmarkStart w:id="1" w:name="StdName"/>
      <w:r>
        <w:rPr>
          <w:rFonts w:hint="eastAsia"/>
          <w:lang w:val="en-US" w:eastAsia="zh-CN"/>
        </w:rPr>
        <w:instrText xml:space="preserve">FORMTEXT</w:instrText>
      </w:r>
      <w:r>
        <w:rPr>
          <w:rFonts w:hint="eastAsia"/>
          <w:lang w:val="en-US" w:eastAsia="zh-CN"/>
        </w:rPr>
        <w:fldChar w:fldCharType="separate"/>
      </w:r>
      <w:r>
        <w:rPr>
          <w:rFonts w:hint="eastAsia"/>
          <w:lang w:val="en-US" w:eastAsia="zh-CN"/>
        </w:rPr>
        <w:t xml:space="preserve">合作业务关系管理—知识产权 (IP) </w:t>
      </w:r>
    </w:p>
    <w:p w14:paraId="34FCE2EE">
      <w:pPr>
        <w:pStyle w:val="46"/>
        <w:bidi w:val="0"/>
        <w:rPr>
          <w:rFonts w:hint="eastAsia"/>
          <w:lang w:val="en-US" w:eastAsia="zh-CN"/>
        </w:rPr>
      </w:pPr>
      <w:r>
        <w:rPr>
          <w:rFonts w:hint="eastAsia"/>
          <w:lang w:val="en-US" w:eastAsia="zh-CN"/>
        </w:rPr>
        <w:t>许可指南</w:t>
      </w:r>
      <w:r>
        <w:rPr>
          <w:rFonts w:hint="eastAsia"/>
          <w:lang w:val="en-US" w:eastAsia="zh-CN"/>
        </w:rPr>
        <w:fldChar w:fldCharType="end"/>
      </w:r>
      <w:bookmarkEnd w:id="1"/>
    </w:p>
    <w:p w14:paraId="779F5F0A">
      <w:pPr>
        <w:pStyle w:val="47"/>
        <w:bidi w:val="0"/>
        <w:rPr>
          <w:rFonts w:hint="eastAsia"/>
          <w:lang w:val="en-US" w:eastAsia="zh-CN"/>
        </w:rPr>
      </w:pPr>
      <w:r>
        <w:rPr>
          <w:rFonts w:hint="eastAsia"/>
          <w:lang w:val="en-US" w:eastAsia="zh-CN"/>
        </w:rPr>
        <w:t>Management of Collaborative Business Relationships - Intellectual Property (IP) Licensing Guide</w:t>
      </w:r>
    </w:p>
    <w:p w14:paraId="2A9B3C4A">
      <w:pPr>
        <w:pStyle w:val="48"/>
        <w:bidi w:val="0"/>
        <w:rPr>
          <w:rFonts w:hint="eastAsia"/>
          <w:lang w:val="en-US" w:eastAsia="zh-CN"/>
        </w:rPr>
      </w:pPr>
    </w:p>
    <w:p w14:paraId="4C4805D2">
      <w:pPr>
        <w:pStyle w:val="49"/>
        <w:bidi w:val="0"/>
        <w:spacing w:after="0"/>
        <w:rPr>
          <w:rFonts w:hint="eastAsia"/>
          <w:lang w:val="en-US" w:eastAsia="zh-CN"/>
        </w:rPr>
      </w:pPr>
    </w:p>
    <w:p w14:paraId="3186C025">
      <w:pPr>
        <w:pStyle w:val="50"/>
        <w:bidi w:val="0"/>
        <w:spacing w:before="100"/>
        <w:rPr>
          <w:rFonts w:hint="eastAsia"/>
          <w:lang w:val="en-US" w:eastAsia="zh-CN"/>
        </w:rPr>
      </w:pPr>
      <w:r>
        <w:rPr>
          <w:rFonts w:hint="eastAsia"/>
          <w:lang w:val="en-US" w:eastAsia="zh-CN"/>
        </w:rPr>
        <w:fldChar w:fldCharType="begin">
          <w:ffData>
            <w:name w:val="WCRQ"/>
            <w:enabled/>
            <w:calcOnExit w:val="0"/>
            <w:textInput/>
          </w:ffData>
        </w:fldChar>
      </w:r>
      <w:bookmarkStart w:id="2" w:name="WCRQ"/>
      <w:r>
        <w:rPr>
          <w:rFonts w:hint="eastAsia"/>
          <w:lang w:val="en-US" w:eastAsia="zh-CN"/>
        </w:rPr>
        <w:instrText xml:space="preserve">FORMTEXT</w:instrText>
      </w:r>
      <w:r>
        <w:rPr>
          <w:rFonts w:hint="eastAsia"/>
          <w:lang w:val="en-US" w:eastAsia="zh-CN"/>
        </w:rPr>
        <w:fldChar w:fldCharType="separate"/>
      </w:r>
      <w:r>
        <w:rPr>
          <w:rFonts w:hint="default"/>
          <w:lang w:val="en-US" w:eastAsia="zh-CN"/>
        </w:rPr>
        <w:t>（</w:t>
      </w:r>
      <w:r>
        <w:rPr>
          <w:rFonts w:hint="eastAsia"/>
          <w:lang w:val="en-US" w:eastAsia="zh-CN"/>
        </w:rPr>
        <w:t>征求意见稿</w:t>
      </w:r>
      <w:r>
        <w:rPr>
          <w:rFonts w:hint="default"/>
          <w:lang w:val="en-US" w:eastAsia="zh-CN"/>
        </w:rPr>
        <w:t>）</w:t>
      </w:r>
      <w:r>
        <w:rPr>
          <w:rFonts w:hint="eastAsia"/>
          <w:lang w:val="en-US" w:eastAsia="zh-CN"/>
        </w:rPr>
        <w:fldChar w:fldCharType="end"/>
      </w:r>
      <w:bookmarkEnd w:id="2"/>
    </w:p>
    <w:p w14:paraId="27F03190">
      <w:pPr>
        <w:pStyle w:val="51"/>
        <w:bidi w:val="0"/>
        <w:spacing w:before="687" w:beforeLines="220"/>
        <w:rPr>
          <w:rFonts w:hint="eastAsia"/>
          <w:lang w:val="en-US" w:eastAsia="zh-CN"/>
        </w:rPr>
      </w:pPr>
    </w:p>
    <w:tbl>
      <w:tblPr>
        <w:tblStyle w:val="25"/>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14:paraId="28C47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tcBorders>
              <w:bottom w:val="single" w:color="auto" w:sz="8" w:space="0"/>
            </w:tcBorders>
            <w:tcMar>
              <w:left w:w="57" w:type="dxa"/>
              <w:bottom w:w="28" w:type="dxa"/>
            </w:tcMar>
          </w:tcPr>
          <w:p w14:paraId="79700257">
            <w:pPr>
              <w:pStyle w:val="43"/>
              <w:widowControl w:val="0"/>
              <w:bidi w:val="0"/>
              <w:jc w:val="both"/>
              <w:rPr>
                <w:rFonts w:hint="eastAsia"/>
                <w:vertAlign w:val="baseline"/>
                <w:lang w:val="en-US" w:eastAsia="zh-CN"/>
              </w:rPr>
            </w:pPr>
            <w:r>
              <w:rPr>
                <w:rFonts w:hint="eastAsia"/>
                <w:vertAlign w:val="baseline"/>
                <w:lang w:val="en-US" w:eastAsia="zh-CN"/>
              </w:rPr>
              <w:fldChar w:fldCharType="begin">
                <w:ffData>
                  <w:name w:val="FY"/>
                  <w:enabled/>
                  <w:calcOnExit w:val="0"/>
                  <w:textInput>
                    <w:default w:val="XXXX"/>
                    <w:maxLength w:val="4"/>
                  </w:textInput>
                </w:ffData>
              </w:fldChar>
            </w:r>
            <w:bookmarkStart w:id="3" w:name="FY"/>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XXXX</w:t>
            </w:r>
            <w:r>
              <w:rPr>
                <w:rFonts w:hint="eastAsia"/>
                <w:vertAlign w:val="baseline"/>
                <w:lang w:val="en-US" w:eastAsia="zh-CN"/>
              </w:rPr>
              <w:fldChar w:fldCharType="end"/>
            </w:r>
            <w:bookmarkEnd w:id="3"/>
            <w:r>
              <w:rPr>
                <w:rFonts w:hint="eastAsia"/>
                <w:vertAlign w:val="baseline"/>
                <w:lang w:val="en-US" w:eastAsia="zh-CN"/>
              </w:rPr>
              <w:t xml:space="preserve"> - </w:t>
            </w:r>
            <w:r>
              <w:rPr>
                <w:rFonts w:hint="eastAsia"/>
                <w:vertAlign w:val="baseline"/>
                <w:lang w:val="en-US" w:eastAsia="zh-CN"/>
              </w:rPr>
              <w:fldChar w:fldCharType="begin">
                <w:ffData>
                  <w:name w:val="FM"/>
                  <w:enabled/>
                  <w:calcOnExit w:val="0"/>
                  <w:textInput>
                    <w:default w:val="XX"/>
                    <w:maxLength w:val="2"/>
                  </w:textInput>
                </w:ffData>
              </w:fldChar>
            </w:r>
            <w:bookmarkStart w:id="4" w:name="FM"/>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4"/>
            <w:r>
              <w:rPr>
                <w:rFonts w:hint="eastAsia"/>
                <w:vertAlign w:val="baseline"/>
                <w:lang w:val="en-US" w:eastAsia="zh-CN"/>
              </w:rPr>
              <w:t xml:space="preserve"> - </w:t>
            </w:r>
            <w:r>
              <w:rPr>
                <w:rFonts w:hint="eastAsia"/>
                <w:vertAlign w:val="baseline"/>
                <w:lang w:val="en-US" w:eastAsia="zh-CN"/>
              </w:rPr>
              <w:fldChar w:fldCharType="begin">
                <w:ffData>
                  <w:name w:val="FD"/>
                  <w:enabled/>
                  <w:calcOnExit w:val="0"/>
                  <w:textInput>
                    <w:default w:val="XX"/>
                    <w:maxLength w:val="2"/>
                  </w:textInput>
                </w:ffData>
              </w:fldChar>
            </w:r>
            <w:bookmarkStart w:id="5" w:name="FD"/>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5"/>
            <w:r>
              <w:rPr>
                <w:rFonts w:hint="eastAsia"/>
                <w:vertAlign w:val="baseline"/>
                <w:lang w:val="en-US" w:eastAsia="zh-CN"/>
              </w:rPr>
              <w:t xml:space="preserve"> 发布</w:t>
            </w:r>
          </w:p>
        </w:tc>
        <w:tc>
          <w:tcPr>
            <w:tcW w:w="4945" w:type="dxa"/>
            <w:tcBorders>
              <w:bottom w:val="single" w:color="auto" w:sz="8" w:space="0"/>
            </w:tcBorders>
            <w:tcMar>
              <w:right w:w="57" w:type="dxa"/>
            </w:tcMar>
          </w:tcPr>
          <w:p w14:paraId="4CD25AFE">
            <w:pPr>
              <w:pStyle w:val="43"/>
              <w:widowControl w:val="0"/>
              <w:bidi w:val="0"/>
              <w:jc w:val="right"/>
              <w:rPr>
                <w:rFonts w:hint="eastAsia"/>
                <w:vertAlign w:val="baseline"/>
                <w:lang w:val="en-US" w:eastAsia="zh-CN"/>
              </w:rPr>
            </w:pPr>
            <w:r>
              <w:rPr>
                <w:rFonts w:hint="eastAsia"/>
                <w:vertAlign w:val="baseline"/>
                <w:lang w:val="en-US" w:eastAsia="zh-CN"/>
              </w:rPr>
              <w:fldChar w:fldCharType="begin">
                <w:ffData>
                  <w:name w:val="SY"/>
                  <w:enabled/>
                  <w:calcOnExit w:val="0"/>
                  <w:textInput>
                    <w:default w:val="XXXX"/>
                    <w:maxLength w:val="4"/>
                  </w:textInput>
                </w:ffData>
              </w:fldChar>
            </w:r>
            <w:bookmarkStart w:id="6" w:name="SY"/>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XXXX</w:t>
            </w:r>
            <w:r>
              <w:rPr>
                <w:rFonts w:hint="eastAsia"/>
                <w:vertAlign w:val="baseline"/>
                <w:lang w:val="en-US" w:eastAsia="zh-CN"/>
              </w:rPr>
              <w:fldChar w:fldCharType="end"/>
            </w:r>
            <w:bookmarkEnd w:id="6"/>
            <w:r>
              <w:rPr>
                <w:rFonts w:hint="eastAsia"/>
                <w:vertAlign w:val="baseline"/>
                <w:lang w:val="en-US" w:eastAsia="zh-CN"/>
              </w:rPr>
              <w:t xml:space="preserve"> - </w:t>
            </w:r>
            <w:r>
              <w:rPr>
                <w:rFonts w:hint="eastAsia"/>
                <w:vertAlign w:val="baseline"/>
                <w:lang w:val="en-US" w:eastAsia="zh-CN"/>
              </w:rPr>
              <w:fldChar w:fldCharType="begin">
                <w:ffData>
                  <w:name w:val="SM"/>
                  <w:enabled/>
                  <w:calcOnExit w:val="0"/>
                  <w:textInput>
                    <w:default w:val="XX"/>
                    <w:maxLength w:val="2"/>
                  </w:textInput>
                </w:ffData>
              </w:fldChar>
            </w:r>
            <w:bookmarkStart w:id="7" w:name="SM"/>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7"/>
            <w:r>
              <w:rPr>
                <w:rFonts w:hint="eastAsia"/>
                <w:vertAlign w:val="baseline"/>
                <w:lang w:val="en-US" w:eastAsia="zh-CN"/>
              </w:rPr>
              <w:t xml:space="preserve"> - </w:t>
            </w:r>
            <w:r>
              <w:rPr>
                <w:rFonts w:hint="eastAsia"/>
                <w:vertAlign w:val="baseline"/>
                <w:lang w:val="en-US" w:eastAsia="zh-CN"/>
              </w:rPr>
              <w:fldChar w:fldCharType="begin">
                <w:ffData>
                  <w:name w:val="SD"/>
                  <w:enabled/>
                  <w:calcOnExit w:val="0"/>
                  <w:textInput>
                    <w:default w:val="XX"/>
                    <w:maxLength w:val="2"/>
                  </w:textInput>
                </w:ffData>
              </w:fldChar>
            </w:r>
            <w:bookmarkStart w:id="8" w:name="SD"/>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8"/>
            <w:r>
              <w:rPr>
                <w:rFonts w:hint="eastAsia"/>
                <w:vertAlign w:val="baseline"/>
                <w:lang w:val="en-US" w:eastAsia="zh-CN"/>
              </w:rPr>
              <w:t xml:space="preserve"> 实施</w:t>
            </w:r>
          </w:p>
        </w:tc>
      </w:tr>
    </w:tbl>
    <w:p w14:paraId="34C28141">
      <w:pPr>
        <w:pStyle w:val="53"/>
        <w:framePr w:w="8742" w:wrap="around" w:vAnchor="margin" w:hAnchor="page" w:x="1486"/>
        <w:bidi w:val="0"/>
        <w:spacing w:before="0"/>
        <w:rPr>
          <w:rFonts w:hint="eastAsia"/>
          <w:spacing w:val="0"/>
          <w:w w:val="100"/>
          <w:sz w:val="28"/>
          <w:lang w:val="en-US" w:eastAsia="zh-CN"/>
        </w:rPr>
      </w:pPr>
      <w:bookmarkStart w:id="9" w:name="FM2"/>
      <w:r>
        <w:rPr>
          <w:rFonts w:hint="eastAsia" w:ascii="黑体" w:hAnsi="黑体" w:eastAsia="黑体" w:cs="黑体"/>
          <w:spacing w:val="0"/>
          <w:w w:val="100"/>
          <w:sz w:val="36"/>
          <w:szCs w:val="22"/>
          <w:lang w:val="en-US" w:eastAsia="zh-CN"/>
        </w:rPr>
        <w:fldChar w:fldCharType="begin">
          <w:ffData>
            <w:name w:val="FM2"/>
            <w:enabled/>
            <w:calcOnExit w:val="0"/>
            <w:textInput>
              <w:default w:val="中国国际贸易促进委员会商业行业委员会"/>
            </w:textInput>
          </w:ffData>
        </w:fldChar>
      </w:r>
      <w:r>
        <w:rPr>
          <w:rFonts w:hint="eastAsia" w:ascii="黑体" w:hAnsi="黑体" w:eastAsia="黑体" w:cs="黑体"/>
          <w:spacing w:val="0"/>
          <w:w w:val="100"/>
          <w:sz w:val="36"/>
          <w:szCs w:val="22"/>
          <w:lang w:val="en-US" w:eastAsia="zh-CN"/>
        </w:rPr>
        <w:instrText xml:space="preserve">FORMTEXT</w:instrText>
      </w:r>
      <w:r>
        <w:rPr>
          <w:rFonts w:hint="eastAsia" w:ascii="黑体" w:hAnsi="黑体" w:eastAsia="黑体" w:cs="黑体"/>
          <w:spacing w:val="0"/>
          <w:w w:val="100"/>
          <w:sz w:val="36"/>
          <w:szCs w:val="22"/>
          <w:lang w:val="en-US" w:eastAsia="zh-CN"/>
        </w:rPr>
        <w:fldChar w:fldCharType="separate"/>
      </w:r>
      <w:r>
        <w:rPr>
          <w:rFonts w:hint="eastAsia" w:ascii="黑体" w:hAnsi="黑体" w:eastAsia="黑体" w:cs="黑体"/>
          <w:spacing w:val="0"/>
          <w:w w:val="100"/>
          <w:sz w:val="36"/>
          <w:szCs w:val="22"/>
          <w:lang w:val="en-US" w:eastAsia="zh-CN"/>
        </w:rPr>
        <w:t>中国国际贸易促进委员会商业行业委员会</w:t>
      </w:r>
      <w:r>
        <w:rPr>
          <w:rFonts w:hint="eastAsia" w:ascii="黑体" w:hAnsi="黑体" w:eastAsia="黑体" w:cs="黑体"/>
          <w:spacing w:val="0"/>
          <w:w w:val="100"/>
          <w:sz w:val="36"/>
          <w:szCs w:val="22"/>
          <w:lang w:val="en-US" w:eastAsia="zh-CN"/>
        </w:rPr>
        <w:fldChar w:fldCharType="end"/>
      </w:r>
      <w:bookmarkEnd w:id="9"/>
      <w:r>
        <w:rPr>
          <w:rFonts w:hint="eastAsia"/>
          <w:sz w:val="28"/>
          <w:lang w:val="en-US" w:eastAsia="zh-CN"/>
        </w:rPr>
        <w:t>  </w:t>
      </w:r>
      <w:r>
        <w:rPr>
          <w:rFonts w:hint="eastAsia"/>
          <w:spacing w:val="85"/>
          <w:w w:val="100"/>
          <w:sz w:val="28"/>
          <w:lang w:val="en-US" w:eastAsia="zh-CN"/>
        </w:rPr>
        <w:t>发</w:t>
      </w:r>
      <w:r>
        <w:rPr>
          <w:rFonts w:hint="eastAsia"/>
          <w:spacing w:val="0"/>
          <w:w w:val="100"/>
          <w:sz w:val="28"/>
          <w:lang w:val="en-US" w:eastAsia="zh-CN"/>
        </w:rPr>
        <w:t>布</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4C26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031EEB44">
            <w:pPr>
              <w:pStyle w:val="57"/>
              <w:framePr w:w="9639" w:wrap="around"/>
              <w:bidi w:val="0"/>
              <w:jc w:val="both"/>
              <w:rPr>
                <w:rFonts w:hint="eastAsia"/>
                <w:vertAlign w:val="baseline"/>
                <w:lang w:val="en-US" w:eastAsia="zh-CN"/>
              </w:rPr>
            </w:pPr>
            <w:r>
              <w:rPr>
                <w:rFonts w:hint="eastAsia"/>
                <w:vertAlign w:val="baseline"/>
                <w:lang w:val="en-US" w:eastAsia="zh-CN"/>
              </w:rPr>
              <w:t>ICS</w:t>
            </w:r>
          </w:p>
        </w:tc>
        <w:tc>
          <w:tcPr>
            <w:tcW w:w="9107" w:type="dxa"/>
          </w:tcPr>
          <w:p w14:paraId="43908ABD">
            <w:pPr>
              <w:pStyle w:val="57"/>
              <w:framePr w:w="9639" w:wrap="around"/>
              <w:bidi w:val="0"/>
              <w:jc w:val="both"/>
              <w:rPr>
                <w:rFonts w:hint="default"/>
                <w:vertAlign w:val="baseline"/>
                <w:lang w:val="en-US" w:eastAsia="zh-CN"/>
              </w:rPr>
            </w:pPr>
            <w:r>
              <w:rPr>
                <w:rFonts w:hint="eastAsia"/>
                <w:vertAlign w:val="baseline"/>
                <w:lang w:val="en-US" w:eastAsia="zh-CN"/>
              </w:rPr>
              <w:t>03.080.20</w:t>
            </w:r>
          </w:p>
        </w:tc>
      </w:tr>
      <w:tr w14:paraId="552F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726127C2">
            <w:pPr>
              <w:pStyle w:val="57"/>
              <w:framePr w:w="9639" w:wrap="around"/>
              <w:bidi w:val="0"/>
              <w:jc w:val="both"/>
              <w:rPr>
                <w:rFonts w:hint="eastAsia"/>
                <w:vertAlign w:val="baseline"/>
                <w:lang w:val="en-US" w:eastAsia="zh-CN"/>
              </w:rPr>
            </w:pPr>
            <w:r>
              <w:rPr>
                <w:rFonts w:hint="eastAsia"/>
                <w:vertAlign w:val="baseline"/>
                <w:lang w:val="en-US" w:eastAsia="zh-CN"/>
              </w:rPr>
              <w:t>CCS</w:t>
            </w:r>
          </w:p>
        </w:tc>
        <w:tc>
          <w:tcPr>
            <w:tcW w:w="9107" w:type="dxa"/>
          </w:tcPr>
          <w:p w14:paraId="216CEDDF">
            <w:pPr>
              <w:pStyle w:val="57"/>
              <w:framePr w:w="9639" w:wrap="around"/>
              <w:bidi w:val="0"/>
              <w:jc w:val="both"/>
              <w:rPr>
                <w:rFonts w:hint="default"/>
                <w:vertAlign w:val="baseline"/>
                <w:lang w:val="en-US" w:eastAsia="zh-CN"/>
              </w:rPr>
            </w:pPr>
            <w:r>
              <w:rPr>
                <w:rFonts w:hint="eastAsia"/>
                <w:vertAlign w:val="baseline"/>
                <w:lang w:val="en-US" w:eastAsia="zh-CN"/>
              </w:rPr>
              <w:t>A 10</w:t>
            </w:r>
          </w:p>
          <w:tbl>
            <w:tblPr>
              <w:tblStyle w:val="25"/>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44886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1869CDF3">
                  <w:pPr>
                    <w:pStyle w:val="57"/>
                    <w:framePr w:w="9639" w:wrap="around"/>
                    <w:bidi w:val="0"/>
                    <w:jc w:val="right"/>
                    <w:rPr>
                      <w:rFonts w:hint="eastAsia" w:ascii="Times New Roman" w:hAnsi="Times New Roman" w:eastAsia="宋体" w:cs="Times New Roman"/>
                      <w:b/>
                      <w:w w:val="130"/>
                      <w:kern w:val="0"/>
                      <w:sz w:val="21"/>
                      <w:vertAlign w:val="baseline"/>
                      <w:lang w:val="en-US" w:eastAsia="zh-CN"/>
                    </w:rPr>
                  </w:pPr>
                  <w:r>
                    <w:rPr>
                      <w:rFonts w:hint="eastAsia" w:ascii="Times New Roman" w:eastAsia="宋体" w:cs="Times New Roman"/>
                      <w:b/>
                      <w:w w:val="130"/>
                      <w:kern w:val="0"/>
                      <w:sz w:val="21"/>
                      <w:vertAlign w:val="baseline"/>
                      <w:lang w:val="en-US" w:eastAsia="zh-CN"/>
                    </w:rPr>
                    <w:t xml:space="preserve"> </w:t>
                  </w:r>
                  <w:r>
                    <w:rPr>
                      <w:rFonts w:ascii="Times New Roman" w:eastAsia="宋体"/>
                      <w:b/>
                      <w:w w:val="130"/>
                      <w:kern w:val="0"/>
                    </w:rPr>
                    <w:drawing>
                      <wp:anchor distT="0" distB="0" distL="114300" distR="114300" simplePos="0" relativeHeight="251659264" behindDoc="0" locked="0" layoutInCell="1" allowOverlap="1">
                        <wp:simplePos x="0" y="0"/>
                        <wp:positionH relativeFrom="column">
                          <wp:posOffset>2999105</wp:posOffset>
                        </wp:positionH>
                        <wp:positionV relativeFrom="paragraph">
                          <wp:posOffset>-340360</wp:posOffset>
                        </wp:positionV>
                        <wp:extent cx="1228725" cy="1148080"/>
                        <wp:effectExtent l="0" t="0" r="0" b="0"/>
                        <wp:wrapNone/>
                        <wp:docPr id="3"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图片1"/>
                                <pic:cNvPicPr>
                                  <a:picLocks noChangeAspect="1"/>
                                </pic:cNvPicPr>
                              </pic:nvPicPr>
                              <pic:blipFill>
                                <a:blip r:embed="rId10"/>
                                <a:stretch>
                                  <a:fillRect/>
                                </a:stretch>
                              </pic:blipFill>
                              <pic:spPr>
                                <a:xfrm>
                                  <a:off x="0" y="0"/>
                                  <a:ext cx="1228725" cy="1148080"/>
                                </a:xfrm>
                                <a:prstGeom prst="rect">
                                  <a:avLst/>
                                </a:prstGeom>
                                <a:noFill/>
                                <a:ln>
                                  <a:noFill/>
                                </a:ln>
                              </pic:spPr>
                            </pic:pic>
                          </a:graphicData>
                        </a:graphic>
                      </wp:anchor>
                    </w:drawing>
                  </w:r>
                  <w:r>
                    <w:rPr>
                      <w:rFonts w:hint="eastAsia" w:ascii="Times New Roman" w:eastAsia="宋体" w:cs="Times New Roman"/>
                      <w:b/>
                      <w:w w:val="130"/>
                      <w:kern w:val="0"/>
                      <w:sz w:val="96"/>
                      <w:vertAlign w:val="baseline"/>
                      <w:lang w:val="en-US" w:eastAsia="zh-CN"/>
                    </w:rPr>
                    <w:fldChar w:fldCharType="begin">
                      <w:ffData>
                        <w:name w:val="TMark"/>
                        <w:enabled/>
                        <w:calcOnExit w:val="0"/>
                        <w:textInput>
                          <w:maxLength w:val="8"/>
                        </w:textInput>
                      </w:ffData>
                    </w:fldChar>
                  </w:r>
                  <w:bookmarkStart w:id="10" w:name="TMark"/>
                  <w:r>
                    <w:rPr>
                      <w:rFonts w:hint="eastAsia" w:ascii="Times New Roman" w:eastAsia="宋体" w:cs="Times New Roman"/>
                      <w:b/>
                      <w:w w:val="130"/>
                      <w:kern w:val="0"/>
                      <w:sz w:val="96"/>
                      <w:vertAlign w:val="baseline"/>
                      <w:lang w:val="en-US" w:eastAsia="zh-CN"/>
                    </w:rPr>
                    <w:instrText xml:space="preserve">FORMTEXT</w:instrText>
                  </w:r>
                  <w:r>
                    <w:rPr>
                      <w:rFonts w:hint="eastAsia" w:ascii="Times New Roman" w:eastAsia="宋体" w:cs="Times New Roman"/>
                      <w:b/>
                      <w:w w:val="130"/>
                      <w:kern w:val="0"/>
                      <w:sz w:val="96"/>
                      <w:vertAlign w:val="baseline"/>
                      <w:lang w:val="en-US" w:eastAsia="zh-CN"/>
                    </w:rPr>
                    <w:fldChar w:fldCharType="separate"/>
                  </w:r>
                  <w:r>
                    <w:rPr>
                      <w:rFonts w:hint="default" w:ascii="Times New Roman" w:eastAsia="宋体" w:cs="Times New Roman"/>
                      <w:b/>
                      <w:w w:val="130"/>
                      <w:kern w:val="0"/>
                      <w:sz w:val="96"/>
                      <w:vertAlign w:val="baseline"/>
                      <w:lang w:val="en-US" w:eastAsia="zh-CN"/>
                    </w:rPr>
                    <w:t>     </w:t>
                  </w:r>
                  <w:r>
                    <w:rPr>
                      <w:rFonts w:hint="eastAsia" w:ascii="Times New Roman" w:eastAsia="宋体" w:cs="Times New Roman"/>
                      <w:b/>
                      <w:w w:val="130"/>
                      <w:kern w:val="0"/>
                      <w:sz w:val="96"/>
                      <w:vertAlign w:val="baseline"/>
                      <w:lang w:val="en-US" w:eastAsia="zh-CN"/>
                    </w:rPr>
                    <w:fldChar w:fldCharType="end"/>
                  </w:r>
                  <w:bookmarkEnd w:id="10"/>
                </w:p>
              </w:tc>
            </w:tr>
          </w:tbl>
          <w:p w14:paraId="73499F9D">
            <w:pPr>
              <w:pStyle w:val="57"/>
              <w:framePr w:w="9639" w:wrap="around"/>
              <w:bidi w:val="0"/>
              <w:jc w:val="both"/>
              <w:rPr>
                <w:rFonts w:hint="eastAsia"/>
                <w:vertAlign w:val="baseline"/>
                <w:lang w:val="en-US" w:eastAsia="zh-CN"/>
              </w:rPr>
            </w:pPr>
          </w:p>
        </w:tc>
      </w:tr>
    </w:tbl>
    <w:p w14:paraId="1A0CD070">
      <w:pPr>
        <w:pStyle w:val="57"/>
        <w:framePr w:w="9639" w:wrap="around"/>
        <w:bidi w:val="0"/>
        <w:rPr>
          <w:rFonts w:hint="eastAsia"/>
          <w:lang w:val="en-US" w:eastAsia="zh-CN"/>
        </w:rPr>
        <w:sectPr>
          <w:headerReference r:id="rId4" w:type="first"/>
          <w:footerReference r:id="rId6" w:type="first"/>
          <w:headerReference r:id="rId3" w:type="default"/>
          <w:footerReference r:id="rId5" w:type="default"/>
          <w:pgSz w:w="11906" w:h="16838"/>
          <w:pgMar w:top="-340" w:right="1134" w:bottom="1021" w:left="1134" w:header="0" w:footer="0" w:gutter="284"/>
          <w:lnNumType w:countBy="0" w:restart="continuous"/>
          <w:pgNumType w:fmt="decimal" w:start="1"/>
          <w:cols w:space="425" w:num="1"/>
          <w:titlePg/>
          <w:docGrid w:type="lines" w:linePitch="312" w:charSpace="0"/>
        </w:sectPr>
      </w:pPr>
    </w:p>
    <w:p w14:paraId="312DE946">
      <w:pPr>
        <w:pStyle w:val="58"/>
        <w:bidi w:val="0"/>
        <w:rPr>
          <w:rFonts w:hint="eastAsia"/>
          <w:lang w:val="en-US" w:eastAsia="zh-CN"/>
        </w:rPr>
      </w:pPr>
      <w:r>
        <w:rPr>
          <w:rFonts w:hint="eastAsia"/>
          <w:spacing w:val="317"/>
          <w:lang w:val="en-US" w:eastAsia="zh-CN"/>
        </w:rPr>
        <w:t>目</w:t>
      </w:r>
      <w:bookmarkStart w:id="11" w:name="BKML"/>
      <w:r>
        <w:rPr>
          <w:rFonts w:hint="eastAsia"/>
          <w:lang w:val="en-US" w:eastAsia="zh-CN"/>
        </w:rPr>
        <w:t>次</w:t>
      </w:r>
      <w:bookmarkEnd w:id="11"/>
    </w:p>
    <w:p w14:paraId="61E2D7FB">
      <w:pPr>
        <w:pStyle w:val="18"/>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TOC \t "标准文件_前言、引言标题,1,标准文件_章标题,1,标准文件_附录标识,1,标准文件_参考文献标题,1,标准文件_索引标题,1" \h</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_Toc2277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前言</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_Toc2277 \h </w:instrText>
      </w:r>
      <w:r>
        <w:rPr>
          <w:rFonts w:hint="eastAsia" w:ascii="宋体" w:hAnsi="宋体" w:eastAsia="宋体" w:cs="宋体"/>
          <w:spacing w:val="0"/>
        </w:rPr>
        <w:fldChar w:fldCharType="separate"/>
      </w:r>
      <w:r>
        <w:rPr>
          <w:rFonts w:hint="eastAsia" w:ascii="宋体" w:hAnsi="宋体" w:eastAsia="宋体" w:cs="宋体"/>
          <w:spacing w:val="0"/>
        </w:rPr>
        <w:t>II</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5BE249C6">
      <w:pPr>
        <w:pStyle w:val="18"/>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_Toc12536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1</w:t>
      </w:r>
      <w:r>
        <w:rPr>
          <w:rFonts w:hint="eastAsia" w:cs="宋体"/>
          <w:spacing w:val="0"/>
          <w:lang w:val="en-US" w:eastAsia="zh-CN"/>
        </w:rPr>
        <w:t xml:space="preserve"> </w:t>
      </w:r>
      <w:r>
        <w:rPr>
          <w:rFonts w:hint="eastAsia" w:ascii="宋体" w:hAnsi="宋体" w:eastAsia="宋体" w:cs="宋体"/>
          <w:spacing w:val="0"/>
          <w:lang w:val="en-US" w:eastAsia="zh-CN"/>
        </w:rPr>
        <w:t xml:space="preserve"> 范围</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_Toc12536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5BA092B4">
      <w:pPr>
        <w:pStyle w:val="18"/>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_Toc23291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2</w:t>
      </w:r>
      <w:r>
        <w:rPr>
          <w:rFonts w:hint="eastAsia" w:cs="宋体"/>
          <w:spacing w:val="0"/>
          <w:lang w:val="en-US" w:eastAsia="zh-CN"/>
        </w:rPr>
        <w:t xml:space="preserve"> </w:t>
      </w:r>
      <w:r>
        <w:rPr>
          <w:rFonts w:hint="eastAsia" w:ascii="宋体" w:hAnsi="宋体" w:eastAsia="宋体" w:cs="宋体"/>
          <w:spacing w:val="0"/>
          <w:lang w:val="en-US" w:eastAsia="zh-CN"/>
        </w:rPr>
        <w:t xml:space="preserve"> 规范性引用文件</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_Toc23291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68C62AFA">
      <w:pPr>
        <w:pStyle w:val="18"/>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_Toc22830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3</w:t>
      </w:r>
      <w:r>
        <w:rPr>
          <w:rFonts w:hint="eastAsia" w:cs="宋体"/>
          <w:spacing w:val="0"/>
          <w:lang w:val="en-US" w:eastAsia="zh-CN"/>
        </w:rPr>
        <w:t xml:space="preserve"> </w:t>
      </w:r>
      <w:r>
        <w:rPr>
          <w:rFonts w:hint="eastAsia" w:ascii="宋体" w:hAnsi="宋体" w:eastAsia="宋体" w:cs="宋体"/>
          <w:spacing w:val="0"/>
          <w:lang w:val="en-US" w:eastAsia="zh-CN"/>
        </w:rPr>
        <w:t xml:space="preserve"> 术语和定义</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_Toc22830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3EE7C921">
      <w:pPr>
        <w:pStyle w:val="18"/>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_Toc272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4</w:t>
      </w:r>
      <w:r>
        <w:rPr>
          <w:rFonts w:hint="eastAsia" w:cs="宋体"/>
          <w:spacing w:val="0"/>
          <w:lang w:val="en-US" w:eastAsia="zh-CN"/>
        </w:rPr>
        <w:t xml:space="preserve"> </w:t>
      </w:r>
      <w:r>
        <w:rPr>
          <w:rFonts w:hint="eastAsia" w:ascii="宋体" w:hAnsi="宋体" w:eastAsia="宋体" w:cs="宋体"/>
          <w:spacing w:val="0"/>
          <w:lang w:val="en-US" w:eastAsia="zh-CN"/>
        </w:rPr>
        <w:t xml:space="preserve"> IP授权介绍及模式</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_Toc272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4E3E4D92">
      <w:pPr>
        <w:pStyle w:val="18"/>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_Toc7271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5</w:t>
      </w:r>
      <w:r>
        <w:rPr>
          <w:rFonts w:hint="eastAsia" w:cs="宋体"/>
          <w:spacing w:val="0"/>
          <w:lang w:val="en-US" w:eastAsia="zh-CN"/>
        </w:rPr>
        <w:t xml:space="preserve"> </w:t>
      </w:r>
      <w:r>
        <w:rPr>
          <w:rFonts w:hint="eastAsia" w:ascii="宋体" w:hAnsi="宋体" w:eastAsia="宋体" w:cs="宋体"/>
          <w:spacing w:val="0"/>
          <w:lang w:val="en-US" w:eastAsia="zh-CN"/>
        </w:rPr>
        <w:t xml:space="preserve"> 将合作业务关系原则整合到知识产权许可中</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_Toc7271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798D29C2">
      <w:pPr>
        <w:pStyle w:val="18"/>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_Toc25117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6</w:t>
      </w:r>
      <w:r>
        <w:rPr>
          <w:rFonts w:hint="eastAsia" w:cs="宋体"/>
          <w:spacing w:val="0"/>
          <w:lang w:val="en-US" w:eastAsia="zh-CN"/>
        </w:rPr>
        <w:t xml:space="preserve"> </w:t>
      </w:r>
      <w:r>
        <w:rPr>
          <w:rFonts w:hint="eastAsia" w:ascii="宋体" w:hAnsi="宋体" w:eastAsia="宋体" w:cs="宋体"/>
          <w:spacing w:val="0"/>
          <w:lang w:val="en-US" w:eastAsia="zh-CN"/>
        </w:rPr>
        <w:t xml:space="preserve"> 知识产权许可的阶段</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_Toc25117 \h </w:instrText>
      </w:r>
      <w:r>
        <w:rPr>
          <w:rFonts w:hint="eastAsia" w:ascii="宋体" w:hAnsi="宋体" w:eastAsia="宋体" w:cs="宋体"/>
          <w:spacing w:val="0"/>
        </w:rPr>
        <w:fldChar w:fldCharType="separate"/>
      </w:r>
      <w:r>
        <w:rPr>
          <w:rFonts w:hint="eastAsia" w:ascii="宋体" w:hAnsi="宋体" w:eastAsia="宋体" w:cs="宋体"/>
          <w:spacing w:val="0"/>
        </w:rPr>
        <w:t>9</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36974C3D">
      <w:pPr>
        <w:pStyle w:val="18"/>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_Toc6074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7</w:t>
      </w:r>
      <w:r>
        <w:rPr>
          <w:rFonts w:hint="eastAsia" w:cs="宋体"/>
          <w:spacing w:val="0"/>
          <w:lang w:val="en-US" w:eastAsia="zh-CN"/>
        </w:rPr>
        <w:t xml:space="preserve"> </w:t>
      </w:r>
      <w:r>
        <w:rPr>
          <w:rFonts w:hint="eastAsia" w:ascii="宋体" w:hAnsi="宋体" w:eastAsia="宋体" w:cs="宋体"/>
          <w:spacing w:val="0"/>
          <w:lang w:val="en-US" w:eastAsia="zh-CN"/>
        </w:rPr>
        <w:t xml:space="preserve"> 第一阶段：识别知识产权资产</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_Toc6074 \h </w:instrText>
      </w:r>
      <w:r>
        <w:rPr>
          <w:rFonts w:hint="eastAsia" w:ascii="宋体" w:hAnsi="宋体" w:eastAsia="宋体" w:cs="宋体"/>
          <w:spacing w:val="0"/>
        </w:rPr>
        <w:fldChar w:fldCharType="separate"/>
      </w:r>
      <w:r>
        <w:rPr>
          <w:rFonts w:hint="eastAsia" w:ascii="宋体" w:hAnsi="宋体" w:eastAsia="宋体" w:cs="宋体"/>
          <w:spacing w:val="0"/>
        </w:rPr>
        <w:t>9</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5739FA5C">
      <w:pPr>
        <w:pStyle w:val="18"/>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_Toc14547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8</w:t>
      </w:r>
      <w:r>
        <w:rPr>
          <w:rFonts w:hint="eastAsia" w:cs="宋体"/>
          <w:spacing w:val="0"/>
          <w:lang w:val="en-US" w:eastAsia="zh-CN"/>
        </w:rPr>
        <w:t xml:space="preserve"> </w:t>
      </w:r>
      <w:r>
        <w:rPr>
          <w:rFonts w:hint="eastAsia" w:ascii="宋体" w:hAnsi="宋体" w:eastAsia="宋体" w:cs="宋体"/>
          <w:spacing w:val="0"/>
          <w:lang w:val="en-US" w:eastAsia="zh-CN"/>
        </w:rPr>
        <w:t xml:space="preserve"> 第二阶段：估值和市场研究</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_Toc14547 \h </w:instrText>
      </w:r>
      <w:r>
        <w:rPr>
          <w:rFonts w:hint="eastAsia" w:ascii="宋体" w:hAnsi="宋体" w:eastAsia="宋体" w:cs="宋体"/>
          <w:spacing w:val="0"/>
        </w:rPr>
        <w:fldChar w:fldCharType="separate"/>
      </w:r>
      <w:r>
        <w:rPr>
          <w:rFonts w:hint="eastAsia" w:ascii="宋体" w:hAnsi="宋体" w:eastAsia="宋体" w:cs="宋体"/>
          <w:spacing w:val="0"/>
        </w:rPr>
        <w:t>10</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1FB8D68F">
      <w:pPr>
        <w:pStyle w:val="18"/>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_Toc19750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9</w:t>
      </w:r>
      <w:r>
        <w:rPr>
          <w:rFonts w:hint="eastAsia" w:cs="宋体"/>
          <w:spacing w:val="0"/>
          <w:lang w:val="en-US" w:eastAsia="zh-CN"/>
        </w:rPr>
        <w:t xml:space="preserve"> </w:t>
      </w:r>
      <w:r>
        <w:rPr>
          <w:rFonts w:hint="eastAsia" w:ascii="宋体" w:hAnsi="宋体" w:eastAsia="宋体" w:cs="宋体"/>
          <w:spacing w:val="0"/>
          <w:lang w:val="en-US" w:eastAsia="zh-CN"/>
        </w:rPr>
        <w:t xml:space="preserve"> 第三阶段：谈判</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_Toc19750 \h </w:instrText>
      </w:r>
      <w:r>
        <w:rPr>
          <w:rFonts w:hint="eastAsia" w:ascii="宋体" w:hAnsi="宋体" w:eastAsia="宋体" w:cs="宋体"/>
          <w:spacing w:val="0"/>
        </w:rPr>
        <w:fldChar w:fldCharType="separate"/>
      </w:r>
      <w:r>
        <w:rPr>
          <w:rFonts w:hint="eastAsia" w:ascii="宋体" w:hAnsi="宋体" w:eastAsia="宋体" w:cs="宋体"/>
          <w:spacing w:val="0"/>
        </w:rPr>
        <w:t>11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118117F7">
      <w:pPr>
        <w:pStyle w:val="18"/>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_Toc12547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10</w:t>
      </w:r>
      <w:r>
        <w:rPr>
          <w:rFonts w:hint="eastAsia" w:cs="宋体"/>
          <w:spacing w:val="0"/>
          <w:lang w:val="en-US" w:eastAsia="zh-CN"/>
        </w:rPr>
        <w:t xml:space="preserve"> </w:t>
      </w:r>
      <w:r>
        <w:rPr>
          <w:rFonts w:hint="eastAsia" w:ascii="宋体" w:hAnsi="宋体" w:eastAsia="宋体" w:cs="宋体"/>
          <w:spacing w:val="0"/>
          <w:lang w:val="en-US" w:eastAsia="zh-CN"/>
        </w:rPr>
        <w:t xml:space="preserve"> 第四阶段：起草许可协议</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_Toc12547 \h </w:instrText>
      </w:r>
      <w:r>
        <w:rPr>
          <w:rFonts w:hint="eastAsia" w:ascii="宋体" w:hAnsi="宋体" w:eastAsia="宋体" w:cs="宋体"/>
          <w:spacing w:val="0"/>
        </w:rPr>
        <w:fldChar w:fldCharType="separate"/>
      </w:r>
      <w:r>
        <w:rPr>
          <w:rFonts w:hint="eastAsia" w:ascii="宋体" w:hAnsi="宋体" w:eastAsia="宋体" w:cs="宋体"/>
          <w:spacing w:val="0"/>
        </w:rPr>
        <w:t>12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77A3578F">
      <w:pPr>
        <w:pStyle w:val="18"/>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_Toc19420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11</w:t>
      </w:r>
      <w:r>
        <w:rPr>
          <w:rFonts w:hint="eastAsia" w:cs="宋体"/>
          <w:spacing w:val="0"/>
          <w:lang w:val="en-US" w:eastAsia="zh-CN"/>
        </w:rPr>
        <w:t xml:space="preserve"> </w:t>
      </w:r>
      <w:r>
        <w:rPr>
          <w:rFonts w:hint="eastAsia" w:ascii="宋体" w:hAnsi="宋体" w:eastAsia="宋体" w:cs="宋体"/>
          <w:spacing w:val="0"/>
          <w:lang w:val="en-US" w:eastAsia="zh-CN"/>
        </w:rPr>
        <w:t xml:space="preserve"> 第五阶段：执行和付款</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_Toc19420 \h </w:instrText>
      </w:r>
      <w:r>
        <w:rPr>
          <w:rFonts w:hint="eastAsia" w:ascii="宋体" w:hAnsi="宋体" w:eastAsia="宋体" w:cs="宋体"/>
          <w:spacing w:val="0"/>
        </w:rPr>
        <w:fldChar w:fldCharType="separate"/>
      </w:r>
      <w:r>
        <w:rPr>
          <w:rFonts w:hint="eastAsia" w:ascii="宋体" w:hAnsi="宋体" w:eastAsia="宋体" w:cs="宋体"/>
          <w:spacing w:val="0"/>
        </w:rPr>
        <w:t>12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0B790ABF">
      <w:pPr>
        <w:pStyle w:val="18"/>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_Toc27955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12</w:t>
      </w:r>
      <w:r>
        <w:rPr>
          <w:rFonts w:hint="eastAsia" w:cs="宋体"/>
          <w:spacing w:val="0"/>
          <w:lang w:val="en-US" w:eastAsia="zh-CN"/>
        </w:rPr>
        <w:t xml:space="preserve"> </w:t>
      </w:r>
      <w:r>
        <w:rPr>
          <w:rFonts w:hint="eastAsia" w:ascii="宋体" w:hAnsi="宋体" w:eastAsia="宋体" w:cs="宋体"/>
          <w:spacing w:val="0"/>
          <w:lang w:val="en-US" w:eastAsia="zh-CN"/>
        </w:rPr>
        <w:t xml:space="preserve"> 第六阶段：维护和合规性</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_Toc27955 \h </w:instrText>
      </w:r>
      <w:r>
        <w:rPr>
          <w:rFonts w:hint="eastAsia" w:ascii="宋体" w:hAnsi="宋体" w:eastAsia="宋体" w:cs="宋体"/>
          <w:spacing w:val="0"/>
        </w:rPr>
        <w:fldChar w:fldCharType="separate"/>
      </w:r>
      <w:r>
        <w:rPr>
          <w:rFonts w:hint="eastAsia" w:ascii="宋体" w:hAnsi="宋体" w:eastAsia="宋体" w:cs="宋体"/>
          <w:spacing w:val="0"/>
        </w:rPr>
        <w:t>13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071C24F0">
      <w:pPr>
        <w:pStyle w:val="18"/>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_Toc9211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13</w:t>
      </w:r>
      <w:r>
        <w:rPr>
          <w:rFonts w:hint="eastAsia" w:cs="宋体"/>
          <w:spacing w:val="0"/>
          <w:lang w:val="en-US" w:eastAsia="zh-CN"/>
        </w:rPr>
        <w:t xml:space="preserve"> </w:t>
      </w:r>
      <w:r>
        <w:rPr>
          <w:rFonts w:hint="eastAsia" w:ascii="宋体" w:hAnsi="宋体" w:eastAsia="宋体" w:cs="宋体"/>
          <w:spacing w:val="0"/>
          <w:lang w:val="en-US" w:eastAsia="zh-CN"/>
        </w:rPr>
        <w:t xml:space="preserve"> 第七阶段：续约或终止</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_Toc9211 \h </w:instrText>
      </w:r>
      <w:r>
        <w:rPr>
          <w:rFonts w:hint="eastAsia" w:ascii="宋体" w:hAnsi="宋体" w:eastAsia="宋体" w:cs="宋体"/>
          <w:spacing w:val="0"/>
        </w:rPr>
        <w:fldChar w:fldCharType="separate"/>
      </w:r>
      <w:r>
        <w:rPr>
          <w:rFonts w:hint="eastAsia" w:ascii="宋体" w:hAnsi="宋体" w:eastAsia="宋体" w:cs="宋体"/>
          <w:spacing w:val="0"/>
        </w:rPr>
        <w:t>14</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132951A3">
      <w:pPr>
        <w:pStyle w:val="18"/>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_Toc7662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附录A（资料性）</w:t>
      </w:r>
      <w:r>
        <w:rPr>
          <w:rFonts w:hint="eastAsia" w:cs="宋体"/>
          <w:spacing w:val="0"/>
          <w:lang w:val="en-US" w:eastAsia="zh-CN"/>
        </w:rPr>
        <w:t xml:space="preserve"> </w:t>
      </w:r>
      <w:r>
        <w:rPr>
          <w:rFonts w:hint="eastAsia" w:ascii="宋体" w:hAnsi="宋体" w:eastAsia="宋体" w:cs="宋体"/>
          <w:spacing w:val="0"/>
          <w:lang w:val="en-US" w:eastAsia="zh-CN"/>
        </w:rPr>
        <w:t xml:space="preserve"> 知识产权许可的分类</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_Toc7662 \h </w:instrText>
      </w:r>
      <w:r>
        <w:rPr>
          <w:rFonts w:hint="eastAsia" w:ascii="宋体" w:hAnsi="宋体" w:eastAsia="宋体" w:cs="宋体"/>
          <w:spacing w:val="0"/>
        </w:rPr>
        <w:fldChar w:fldCharType="separate"/>
      </w:r>
      <w:r>
        <w:rPr>
          <w:rFonts w:hint="eastAsia" w:ascii="宋体" w:hAnsi="宋体" w:eastAsia="宋体" w:cs="宋体"/>
          <w:spacing w:val="0"/>
        </w:rPr>
        <w:t>16</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613F6176">
      <w:pPr>
        <w:pStyle w:val="18"/>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_Toc18720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参考文献</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_Toc18720 \h </w:instrText>
      </w:r>
      <w:r>
        <w:rPr>
          <w:rFonts w:hint="eastAsia" w:ascii="宋体" w:hAnsi="宋体" w:eastAsia="宋体" w:cs="宋体"/>
          <w:spacing w:val="0"/>
        </w:rPr>
        <w:fldChar w:fldCharType="separate"/>
      </w:r>
      <w:r>
        <w:rPr>
          <w:rFonts w:hint="eastAsia" w:ascii="宋体" w:hAnsi="宋体" w:eastAsia="宋体" w:cs="宋体"/>
          <w:spacing w:val="0"/>
        </w:rPr>
        <w:t>17</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77EBBADA">
      <w:pPr>
        <w:bidi w:val="0"/>
        <w:ind w:left="0" w:leftChars="0" w:firstLine="0" w:firstLineChars="0"/>
        <w:rPr>
          <w:rFonts w:hint="eastAsia"/>
          <w:lang w:val="en-US" w:eastAsia="zh-CN"/>
        </w:rPr>
      </w:pPr>
      <w:r>
        <w:rPr>
          <w:rFonts w:hint="eastAsia" w:ascii="宋体" w:hAnsi="宋体" w:eastAsia="宋体" w:cs="宋体"/>
          <w:spacing w:val="0"/>
          <w:lang w:val="en-US" w:eastAsia="zh-CN"/>
        </w:rPr>
        <w:fldChar w:fldCharType="end"/>
      </w:r>
    </w:p>
    <w:p w14:paraId="51E2B0D7">
      <w:pPr>
        <w:pStyle w:val="58"/>
        <w:bidi w:val="0"/>
        <w:rPr>
          <w:rFonts w:hint="eastAsia"/>
          <w:lang w:val="en-US" w:eastAsia="zh-CN"/>
        </w:rPr>
      </w:pPr>
      <w:r>
        <w:rPr>
          <w:rFonts w:hint="eastAsia"/>
          <w:lang w:val="en-US" w:eastAsia="zh-CN"/>
        </w:rPr>
        <w:br w:type="page"/>
      </w:r>
    </w:p>
    <w:p w14:paraId="1C0007BE">
      <w:pPr>
        <w:pStyle w:val="59"/>
        <w:bidi w:val="0"/>
        <w:rPr>
          <w:rFonts w:hint="eastAsia"/>
          <w:lang w:val="en-US" w:eastAsia="zh-CN"/>
        </w:rPr>
      </w:pPr>
      <w:bookmarkStart w:id="12" w:name="_Toc2277"/>
      <w:r>
        <w:rPr>
          <w:rFonts w:hint="eastAsia"/>
          <w:spacing w:val="317"/>
          <w:lang w:val="en-US" w:eastAsia="zh-CN"/>
        </w:rPr>
        <w:t>前</w:t>
      </w:r>
      <w:bookmarkStart w:id="13" w:name="BKQY"/>
      <w:r>
        <w:rPr>
          <w:rFonts w:hint="eastAsia"/>
          <w:lang w:val="en-US" w:eastAsia="zh-CN"/>
        </w:rPr>
        <w:t>言</w:t>
      </w:r>
      <w:bookmarkEnd w:id="12"/>
    </w:p>
    <w:p w14:paraId="4155D05D">
      <w:pPr>
        <w:pStyle w:val="29"/>
        <w:bidi w:val="0"/>
        <w:rPr>
          <w:rFonts w:hint="eastAsia"/>
          <w:lang w:val="en-US" w:eastAsia="zh-CN"/>
        </w:rPr>
      </w:pPr>
      <w:r>
        <w:rPr>
          <w:rFonts w:hint="eastAsia"/>
          <w:lang w:val="en-US" w:eastAsia="zh-CN"/>
        </w:rPr>
        <w:t>本文件按照GB/T 1.1—2020《标准化工作导则  第1部分：标准化文件的结构和起草规则》的规定起草。</w:t>
      </w:r>
    </w:p>
    <w:p w14:paraId="4864118A">
      <w:pPr>
        <w:pStyle w:val="29"/>
        <w:bidi w:val="0"/>
        <w:rPr>
          <w:rFonts w:hint="eastAsia"/>
          <w:lang w:val="en-US" w:eastAsia="zh-CN"/>
        </w:rPr>
      </w:pPr>
      <w:r>
        <w:rPr>
          <w:rFonts w:hint="eastAsia"/>
          <w:lang w:val="en-US" w:eastAsia="zh-CN"/>
        </w:rPr>
        <w:t>请注意本文件的某些内容可能涉及专利。本文件的发布机构不承担识别专利的责任。</w:t>
      </w:r>
    </w:p>
    <w:p w14:paraId="70F34A67">
      <w:pPr>
        <w:pStyle w:val="29"/>
        <w:bidi w:val="0"/>
        <w:rPr>
          <w:rFonts w:hint="eastAsia"/>
          <w:lang w:val="en-US" w:eastAsia="zh-CN"/>
        </w:rPr>
      </w:pPr>
      <w:r>
        <w:rPr>
          <w:rFonts w:hint="eastAsia"/>
          <w:lang w:val="en-US" w:eastAsia="zh-CN"/>
        </w:rPr>
        <w:t>本文件由××××提出。</w:t>
      </w:r>
    </w:p>
    <w:p w14:paraId="0364B065">
      <w:pPr>
        <w:pStyle w:val="29"/>
        <w:bidi w:val="0"/>
        <w:rPr>
          <w:rFonts w:hint="eastAsia"/>
          <w:lang w:val="en-US" w:eastAsia="zh-CN"/>
        </w:rPr>
      </w:pPr>
      <w:r>
        <w:rPr>
          <w:rFonts w:hint="eastAsia"/>
          <w:lang w:val="en-US" w:eastAsia="zh-CN"/>
        </w:rPr>
        <w:t>本文件由××××归口。</w:t>
      </w:r>
    </w:p>
    <w:p w14:paraId="2ADCD19F">
      <w:pPr>
        <w:pStyle w:val="29"/>
        <w:bidi w:val="0"/>
        <w:rPr>
          <w:rFonts w:hint="eastAsia"/>
          <w:lang w:val="en-US" w:eastAsia="zh-CN"/>
        </w:rPr>
      </w:pPr>
      <w:r>
        <w:rPr>
          <w:rFonts w:hint="eastAsia"/>
          <w:lang w:val="en-US" w:eastAsia="zh-CN"/>
        </w:rPr>
        <w:t>本文件起草单位：</w:t>
      </w:r>
    </w:p>
    <w:p w14:paraId="2E16460E">
      <w:pPr>
        <w:pStyle w:val="29"/>
        <w:bidi w:val="0"/>
        <w:rPr>
          <w:rFonts w:hint="eastAsia"/>
          <w:lang w:val="en-US" w:eastAsia="zh-CN"/>
        </w:rPr>
      </w:pPr>
      <w:r>
        <w:rPr>
          <w:rFonts w:hint="eastAsia"/>
          <w:lang w:val="en-US" w:eastAsia="zh-CN"/>
        </w:rPr>
        <w:t>本文件主要起草人：</w:t>
      </w:r>
    </w:p>
    <w:p w14:paraId="33E21C24">
      <w:pPr>
        <w:pStyle w:val="29"/>
        <w:bidi w:val="0"/>
        <w:rPr>
          <w:rFonts w:hint="eastAsia"/>
          <w:lang w:val="en-US" w:eastAsia="zh-CN"/>
        </w:rPr>
      </w:pPr>
    </w:p>
    <w:bookmarkEnd w:id="13"/>
    <w:p w14:paraId="2EACB6C5">
      <w:pPr>
        <w:rPr>
          <w:rFonts w:hint="eastAsia"/>
          <w:lang w:val="en-US" w:eastAsia="zh-CN"/>
        </w:rPr>
      </w:pPr>
    </w:p>
    <w:p w14:paraId="709D4D4B">
      <w:pPr>
        <w:rPr>
          <w:rFonts w:hint="eastAsia"/>
          <w:lang w:val="en-US" w:eastAsia="zh-CN"/>
        </w:rPr>
      </w:pPr>
    </w:p>
    <w:p w14:paraId="40D5979A">
      <w:pPr>
        <w:rPr>
          <w:rFonts w:hint="eastAsia"/>
          <w:lang w:val="en-US" w:eastAsia="zh-CN"/>
        </w:rPr>
        <w:sectPr>
          <w:headerReference r:id="rId7" w:type="default"/>
          <w:footerReference r:id="rId8" w:type="default"/>
          <w:pgSz w:w="11906" w:h="16838"/>
          <w:pgMar w:top="2410" w:right="1134" w:bottom="1134" w:left="1134" w:header="1418" w:footer="1134" w:gutter="284"/>
          <w:lnNumType w:countBy="0" w:restart="continuous"/>
          <w:pgNumType w:fmt="upperRoman" w:start="1"/>
          <w:cols w:space="425" w:num="1"/>
          <w:docGrid w:type="lines" w:linePitch="312" w:charSpace="0"/>
        </w:sectPr>
      </w:pPr>
    </w:p>
    <w:sdt>
      <w:sdtPr>
        <w:rPr>
          <w:rStyle w:val="124"/>
          <w:rFonts w:hint="eastAsia"/>
          <w:lang w:val="en-US" w:eastAsia="zh-CN"/>
        </w:rPr>
        <w:tag w:val="StandardName"/>
        <w:id w:val="147480562"/>
        <w:lock w:val="sdtLocked"/>
        <w:placeholder>
          <w:docPart w:val="{3d408378-0043-4eae-be5b-8e0752c965f0}"/>
        </w:placeholder>
      </w:sdtPr>
      <w:sdtEndPr>
        <w:rPr>
          <w:rStyle w:val="124"/>
          <w:rFonts w:hint="eastAsia"/>
          <w:lang w:val="en-US" w:eastAsia="zh-CN"/>
        </w:rPr>
      </w:sdtEndPr>
      <w:sdtContent>
        <w:p w14:paraId="2CF11988">
          <w:pPr>
            <w:pStyle w:val="65"/>
            <w:bidi w:val="0"/>
            <w:rPr>
              <w:rStyle w:val="124"/>
              <w:rFonts w:hint="eastAsia"/>
              <w:lang w:val="en-US" w:eastAsia="zh-CN"/>
            </w:rPr>
          </w:pPr>
          <w:bookmarkStart w:id="14" w:name="StandardName"/>
          <w:r>
            <w:rPr>
              <w:rStyle w:val="124"/>
              <w:rFonts w:hint="eastAsia"/>
              <w:lang w:val="en-US" w:eastAsia="zh-CN"/>
            </w:rPr>
            <w:t>合作业务关系管理 — 知识产权 (IP) 许可指南</w:t>
          </w:r>
          <w:bookmarkEnd w:id="14"/>
        </w:p>
      </w:sdtContent>
    </w:sdt>
    <w:p w14:paraId="6E2CAACA">
      <w:pPr>
        <w:pStyle w:val="76"/>
        <w:bidi w:val="0"/>
        <w:rPr>
          <w:rStyle w:val="124"/>
          <w:rFonts w:hint="eastAsia"/>
          <w:lang w:val="en-US" w:eastAsia="zh-CN"/>
        </w:rPr>
      </w:pPr>
      <w:bookmarkStart w:id="15" w:name="_Toc12536"/>
      <w:r>
        <w:rPr>
          <w:rFonts w:hint="eastAsia"/>
          <w:lang w:val="en-US" w:eastAsia="zh-CN"/>
        </w:rPr>
        <w:t>范围</w:t>
      </w:r>
      <w:bookmarkEnd w:id="15"/>
    </w:p>
    <w:p w14:paraId="6444BF4F">
      <w:pPr>
        <w:pStyle w:val="29"/>
        <w:bidi w:val="0"/>
        <w:rPr>
          <w:lang w:eastAsia="zh-CN"/>
        </w:rPr>
      </w:pPr>
      <w:r>
        <w:rPr>
          <w:rFonts w:hint="eastAsia"/>
          <w:lang w:eastAsia="zh-CN"/>
        </w:rPr>
        <w:t>本文件</w:t>
      </w:r>
      <w:r>
        <w:rPr>
          <w:rFonts w:hint="eastAsia"/>
          <w:lang w:val="en-US" w:eastAsia="zh-CN"/>
        </w:rPr>
        <w:t>给出</w:t>
      </w:r>
      <w:r>
        <w:rPr>
          <w:rFonts w:hint="eastAsia"/>
          <w:lang w:eastAsia="zh-CN"/>
        </w:rPr>
        <w:t>了知识产权 (IP) 许可的主要阶段、流程以及 ISO/TR 44000 中规定的 IP 许可中合作业务关系 12 条原则的整合。</w:t>
      </w:r>
    </w:p>
    <w:p w14:paraId="6F232E64">
      <w:pPr>
        <w:pStyle w:val="29"/>
        <w:bidi w:val="0"/>
        <w:rPr>
          <w:rFonts w:hint="eastAsia"/>
          <w:lang w:val="en-US" w:eastAsia="zh-CN"/>
        </w:rPr>
      </w:pPr>
      <w:r>
        <w:rPr>
          <w:rFonts w:hint="eastAsia"/>
          <w:lang w:eastAsia="zh-CN"/>
        </w:rPr>
        <w:t>本文件提供了良好的基础，使组织能够在整个合同期内达成并继续维持成功的知识产权许可安排，以实现成功的合作业务关系。</w:t>
      </w:r>
    </w:p>
    <w:p w14:paraId="2E240B57">
      <w:pPr>
        <w:pStyle w:val="76"/>
        <w:bidi w:val="0"/>
        <w:rPr>
          <w:rFonts w:hint="eastAsia"/>
          <w:lang w:val="en-US" w:eastAsia="zh-CN"/>
        </w:rPr>
      </w:pPr>
      <w:bookmarkStart w:id="16" w:name="_Toc23291"/>
      <w:r>
        <w:rPr>
          <w:rFonts w:hint="eastAsia"/>
          <w:lang w:val="en-US" w:eastAsia="zh-CN"/>
        </w:rPr>
        <w:t>规范性引用文件</w:t>
      </w:r>
      <w:bookmarkEnd w:id="16"/>
    </w:p>
    <w:sdt>
      <w:sdtPr>
        <w:rPr>
          <w:rFonts w:hint="eastAsia" w:ascii="宋体" w:hAnsi="Times New Roman" w:eastAsia="宋体" w:cs="宋体"/>
          <w:sz w:val="21"/>
          <w:lang w:val="en-US" w:eastAsia="zh-CN"/>
        </w:rPr>
        <w:tag w:val="StandNameFile"/>
        <w:id w:val="147481185"/>
        <w:placeholder>
          <w:docPart w:val="{a471050c-cc0d-4e00-9d29-104317b947f0}"/>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Times New Roman" w:eastAsia="宋体" w:cs="宋体"/>
          <w:sz w:val="21"/>
          <w:lang w:val="en-US" w:eastAsia="zh-CN"/>
        </w:rPr>
      </w:sdtEndPr>
      <w:sdtContent>
        <w:p w14:paraId="1402FD07">
          <w:pPr>
            <w:pStyle w:val="29"/>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0D248C7">
      <w:pPr>
        <w:pStyle w:val="29"/>
        <w:bidi w:val="0"/>
        <w:rPr>
          <w:rFonts w:hint="default"/>
          <w:lang w:val="en-US" w:eastAsia="zh-CN"/>
        </w:rPr>
      </w:pPr>
      <w:bookmarkStart w:id="17" w:name="_Toc22830"/>
      <w:r>
        <w:rPr>
          <w:rFonts w:hint="eastAsia"/>
          <w:lang w:val="en-US" w:eastAsia="zh-CN"/>
        </w:rPr>
        <w:t>GB/T 23703.2-2010  知识管理  第2部分：术语</w:t>
      </w:r>
    </w:p>
    <w:p w14:paraId="28DC9520">
      <w:pPr>
        <w:pStyle w:val="76"/>
        <w:bidi w:val="0"/>
        <w:rPr>
          <w:rFonts w:hint="eastAsia" w:ascii="宋体" w:hAnsi="Times New Roman" w:eastAsia="宋体" w:cs="宋体"/>
          <w:lang w:val="en-US" w:eastAsia="zh-CN"/>
        </w:rPr>
      </w:pPr>
      <w:r>
        <w:rPr>
          <w:rFonts w:hint="eastAsia"/>
          <w:lang w:val="en-US" w:eastAsia="zh-CN"/>
        </w:rPr>
        <w:t>术语和定义</w:t>
      </w:r>
      <w:bookmarkEnd w:id="17"/>
    </w:p>
    <w:sdt>
      <w:sdtPr>
        <w:rPr>
          <w:rFonts w:hint="eastAsia" w:ascii="宋体" w:hAnsi="Times New Roman" w:eastAsia="宋体" w:cs="宋体"/>
          <w:sz w:val="21"/>
          <w:lang w:val="en-US" w:eastAsia="zh-CN"/>
        </w:rPr>
        <w:tag w:val="TermContent"/>
        <w:id w:val="147477065"/>
        <w:placeholder>
          <w:docPart w:val="{00611d0a-0db4-4b4e-a0ee-754ef9815f3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宋体" w:hAnsi="Times New Roman" w:eastAsia="宋体" w:cs="宋体"/>
          <w:sz w:val="21"/>
          <w:lang w:val="en-US" w:eastAsia="zh-CN"/>
        </w:rPr>
      </w:sdtEndPr>
      <w:sdtContent>
        <w:p w14:paraId="33E13E6B">
          <w:pPr>
            <w:pStyle w:val="29"/>
            <w:rPr>
              <w:rFonts w:hint="eastAsia"/>
              <w:lang w:val="en-US" w:eastAsia="zh-CN"/>
            </w:rPr>
          </w:pPr>
          <w:r>
            <w:rPr>
              <w:rFonts w:hint="eastAsia" w:ascii="宋体" w:hAnsi="Times New Roman" w:eastAsia="宋体" w:cs="宋体"/>
              <w:sz w:val="21"/>
              <w:lang w:val="en-US" w:eastAsia="zh-CN"/>
            </w:rPr>
            <w:t>下列术语和定义适用于本文件。</w:t>
          </w:r>
        </w:p>
      </w:sdtContent>
    </w:sdt>
    <w:p w14:paraId="04294BAF">
      <w:pPr>
        <w:pStyle w:val="87"/>
        <w:bidi w:val="0"/>
        <w:spacing w:after="0" w:afterLines="0"/>
        <w:ind w:left="420" w:hanging="420" w:hangingChars="200"/>
        <w:rPr>
          <w:rFonts w:hint="eastAsia" w:ascii="黑体" w:hAnsi="黑体" w:eastAsia="黑体" w:cs="黑体"/>
          <w:lang w:val="en-US" w:eastAsia="zh-CN"/>
        </w:rPr>
      </w:pPr>
    </w:p>
    <w:p w14:paraId="3A8905E7">
      <w:pPr>
        <w:pStyle w:val="87"/>
        <w:bidi w:val="0"/>
        <w:spacing w:after="0" w:afterLines="0"/>
        <w:ind w:left="420" w:hanging="420" w:hangingChars="200"/>
        <w:rPr>
          <w:rFonts w:hint="eastAsia" w:ascii="黑体" w:hAnsi="黑体" w:eastAsia="黑体" w:cs="黑体"/>
          <w:lang w:val="en-US" w:eastAsia="zh-CN"/>
        </w:rPr>
      </w:pPr>
      <w:r>
        <w:rPr>
          <w:rFonts w:hint="eastAsia" w:cs="黑体"/>
          <w:lang w:val="en-US" w:eastAsia="zh-CN"/>
        </w:rPr>
        <w:t>知识产权（IP）intellectual property</w:t>
      </w:r>
    </w:p>
    <w:p w14:paraId="6FFFD5E1">
      <w:pPr>
        <w:pStyle w:val="29"/>
        <w:bidi w:val="0"/>
        <w:rPr>
          <w:rFonts w:hint="eastAsia"/>
          <w:lang w:eastAsia="zh-CN"/>
        </w:rPr>
      </w:pPr>
      <w:r>
        <w:rPr>
          <w:rFonts w:hint="eastAsia"/>
          <w:lang w:eastAsia="zh-CN"/>
        </w:rPr>
        <w:t>在具有意义的背景环境与分析处理后的信息，</w:t>
      </w:r>
      <w:r>
        <w:rPr>
          <w:rFonts w:hint="eastAsia"/>
          <w:lang w:val="en-US" w:eastAsia="zh-CN"/>
        </w:rPr>
        <w:t>受</w:t>
      </w:r>
      <w:bookmarkStart w:id="18" w:name="OLE_LINK2"/>
      <w:r>
        <w:rPr>
          <w:rFonts w:hint="eastAsia"/>
          <w:lang w:val="en-US" w:eastAsia="zh-CN"/>
        </w:rPr>
        <w:t>专利、著作权(版权\美术作品）、商标和商业秘密</w:t>
      </w:r>
      <w:bookmarkEnd w:id="18"/>
      <w:r>
        <w:rPr>
          <w:rFonts w:hint="eastAsia"/>
          <w:lang w:val="en-US" w:eastAsia="zh-CN"/>
        </w:rPr>
        <w:t>等保护，</w:t>
      </w:r>
      <w:r>
        <w:rPr>
          <w:rFonts w:hint="eastAsia"/>
          <w:lang w:eastAsia="zh-CN"/>
        </w:rPr>
        <w:t>能为组织带来真正的价值。</w:t>
      </w:r>
    </w:p>
    <w:p w14:paraId="3E97EDA5">
      <w:pPr>
        <w:pStyle w:val="111"/>
        <w:bidi w:val="0"/>
        <w:ind w:left="811" w:leftChars="0" w:hanging="448" w:firstLineChars="0"/>
        <w:rPr>
          <w:rFonts w:hint="eastAsia"/>
          <w:lang w:eastAsia="zh-CN"/>
        </w:rPr>
      </w:pPr>
      <w:r>
        <w:rPr>
          <w:rFonts w:hint="eastAsia"/>
          <w:lang w:eastAsia="zh-CN"/>
        </w:rPr>
        <w:t>它是隐含在专利技术、成功产品与有效策略之后的知识力量。</w:t>
      </w:r>
    </w:p>
    <w:p w14:paraId="7DEFA0CA">
      <w:pPr>
        <w:pStyle w:val="111"/>
        <w:bidi w:val="0"/>
        <w:ind w:left="811" w:leftChars="0" w:hanging="448" w:firstLineChars="0"/>
        <w:rPr>
          <w:rFonts w:hint="eastAsia"/>
          <w:lang w:eastAsia="zh-CN"/>
        </w:rPr>
      </w:pPr>
      <w:r>
        <w:rPr>
          <w:rFonts w:hint="eastAsia"/>
          <w:lang w:val="en-US" w:eastAsia="zh-CN"/>
        </w:rPr>
        <w:t>它是</w:t>
      </w:r>
      <w:r>
        <w:rPr>
          <w:rFonts w:hint="eastAsia"/>
          <w:lang w:eastAsia="zh-CN"/>
        </w:rPr>
        <w:t>组织</w:t>
      </w:r>
      <w:r>
        <w:rPr>
          <w:rFonts w:hint="eastAsia"/>
          <w:lang w:val="en-US" w:eastAsia="zh-CN"/>
        </w:rPr>
        <w:t>的</w:t>
      </w:r>
      <w:r>
        <w:rPr>
          <w:rFonts w:hint="eastAsia"/>
          <w:lang w:eastAsia="zh-CN"/>
        </w:rPr>
        <w:t>知识</w:t>
      </w:r>
      <w:r>
        <w:rPr>
          <w:rFonts w:hint="eastAsia"/>
          <w:lang w:val="en-US" w:eastAsia="zh-CN"/>
        </w:rPr>
        <w:t>资产，是组织中知识的价值体现，包括</w:t>
      </w:r>
      <w:bookmarkStart w:id="19" w:name="OLE_LINK1"/>
      <w:r>
        <w:rPr>
          <w:rFonts w:hint="eastAsia"/>
          <w:lang w:val="en-US" w:eastAsia="zh-CN"/>
        </w:rPr>
        <w:t>专利、著作权</w:t>
      </w:r>
      <w:bookmarkEnd w:id="19"/>
      <w:r>
        <w:rPr>
          <w:rFonts w:hint="eastAsia"/>
          <w:lang w:val="en-US" w:eastAsia="zh-CN"/>
        </w:rPr>
        <w:t>、商标、技术工艺信息、业务流程、商业模式、客户关系、员工及员工技能等。</w:t>
      </w:r>
    </w:p>
    <w:p w14:paraId="468D96B5">
      <w:pPr>
        <w:pStyle w:val="87"/>
        <w:bidi w:val="0"/>
        <w:spacing w:after="0" w:afterLines="0"/>
        <w:ind w:left="420" w:hanging="420" w:hangingChars="200"/>
        <w:rPr>
          <w:rFonts w:hint="eastAsia" w:ascii="黑体" w:hAnsi="黑体" w:eastAsia="黑体" w:cs="黑体"/>
          <w:lang w:val="en-US" w:eastAsia="zh-CN"/>
        </w:rPr>
      </w:pPr>
    </w:p>
    <w:p w14:paraId="1B792B00">
      <w:pPr>
        <w:pStyle w:val="87"/>
        <w:bidi w:val="0"/>
        <w:spacing w:after="0" w:afterLines="0"/>
        <w:ind w:left="420" w:hanging="420" w:hangingChars="200"/>
        <w:rPr>
          <w:rFonts w:hint="eastAsia" w:ascii="黑体" w:hAnsi="黑体" w:eastAsia="黑体" w:cs="黑体"/>
          <w:lang w:val="en-US" w:eastAsia="zh-CN"/>
        </w:rPr>
      </w:pPr>
      <w:r>
        <w:rPr>
          <w:rFonts w:hint="eastAsia" w:cs="黑体"/>
          <w:lang w:val="en-US" w:eastAsia="zh-CN"/>
        </w:rPr>
        <w:t>许可人licensor</w:t>
      </w:r>
    </w:p>
    <w:p w14:paraId="56BA8456">
      <w:pPr>
        <w:pStyle w:val="29"/>
        <w:rPr>
          <w:rFonts w:hint="eastAsia" w:ascii="幼圆" w:eastAsia="幼圆"/>
          <w:lang w:eastAsia="zh-CN"/>
        </w:rPr>
      </w:pPr>
      <w:r>
        <w:rPr>
          <w:rFonts w:hint="eastAsia" w:asciiTheme="minorEastAsia" w:hAnsiTheme="minorEastAsia" w:eastAsiaTheme="minorEastAsia" w:cstheme="minorEastAsia"/>
          <w:lang w:eastAsia="zh-CN"/>
        </w:rPr>
        <w:t>拥有知识产权并允许另一方根据许可协议中指定的条款使用这些权利的个人或组织。</w:t>
      </w:r>
    </w:p>
    <w:p w14:paraId="2111CC3F">
      <w:pPr>
        <w:pStyle w:val="87"/>
        <w:bidi w:val="0"/>
        <w:spacing w:after="0" w:afterLines="0"/>
        <w:ind w:left="420" w:hanging="420" w:hangingChars="200"/>
        <w:rPr>
          <w:rFonts w:hint="eastAsia" w:ascii="黑体" w:hAnsi="黑体" w:eastAsia="黑体" w:cs="黑体"/>
          <w:lang w:eastAsia="zh-CN"/>
        </w:rPr>
      </w:pPr>
    </w:p>
    <w:p w14:paraId="47F5AEF4">
      <w:pPr>
        <w:pStyle w:val="87"/>
        <w:bidi w:val="0"/>
        <w:spacing w:after="0" w:afterLines="0"/>
        <w:ind w:left="420" w:hanging="420" w:hangingChars="200"/>
        <w:rPr>
          <w:rFonts w:hint="eastAsia" w:ascii="黑体" w:hAnsi="黑体" w:eastAsia="黑体" w:cs="黑体"/>
          <w:lang w:eastAsia="zh-CN"/>
        </w:rPr>
      </w:pPr>
      <w:r>
        <w:rPr>
          <w:rFonts w:hint="eastAsia" w:cs="黑体"/>
          <w:lang w:val="en-US" w:eastAsia="zh-CN"/>
        </w:rPr>
        <w:t>被许可人licensee</w:t>
      </w:r>
    </w:p>
    <w:p w14:paraId="76AB6673">
      <w:pPr>
        <w:pStyle w:val="29"/>
        <w:rPr>
          <w:rFonts w:hint="eastAsia" w:ascii="宋体" w:hAnsi="宋体" w:eastAsia="宋体" w:cs="宋体"/>
          <w:lang w:eastAsia="zh-CN"/>
        </w:rPr>
      </w:pPr>
      <w:r>
        <w:rPr>
          <w:rFonts w:hint="eastAsia" w:ascii="宋体" w:hAnsi="宋体" w:eastAsia="宋体" w:cs="宋体"/>
          <w:lang w:eastAsia="zh-CN"/>
        </w:rPr>
        <w:t>获得许可人许可，可以根据许可协议中概述的条款和条件使用知识产权的个人或组织。</w:t>
      </w:r>
    </w:p>
    <w:p w14:paraId="10650767">
      <w:pPr>
        <w:pStyle w:val="87"/>
        <w:bidi w:val="0"/>
        <w:spacing w:after="0" w:afterLines="0"/>
        <w:ind w:left="420" w:hanging="420" w:hangingChars="200"/>
        <w:rPr>
          <w:rFonts w:hint="eastAsia" w:ascii="黑体" w:hAnsi="黑体" w:eastAsia="黑体" w:cs="黑体"/>
          <w:lang w:val="en-US" w:eastAsia="zh-CN"/>
        </w:rPr>
      </w:pPr>
    </w:p>
    <w:p w14:paraId="6FA7B75E">
      <w:pPr>
        <w:pStyle w:val="87"/>
        <w:bidi w:val="0"/>
        <w:spacing w:after="0" w:afterLines="0"/>
        <w:ind w:left="420" w:hanging="420" w:hangingChars="200"/>
        <w:rPr>
          <w:rFonts w:hint="eastAsia" w:ascii="黑体" w:hAnsi="黑体" w:eastAsia="黑体" w:cs="黑体"/>
          <w:lang w:val="en-US" w:eastAsia="zh-CN"/>
        </w:rPr>
      </w:pPr>
      <w:r>
        <w:rPr>
          <w:rFonts w:hint="eastAsia" w:cs="黑体"/>
          <w:lang w:val="en-US" w:eastAsia="zh-CN"/>
        </w:rPr>
        <w:t>许可协议license agreement</w:t>
      </w:r>
    </w:p>
    <w:p w14:paraId="2948192C">
      <w:pPr>
        <w:pStyle w:val="29"/>
        <w:rPr>
          <w:rFonts w:hint="eastAsia" w:ascii="宋体" w:hAnsi="宋体" w:eastAsia="宋体" w:cs="宋体"/>
          <w:lang w:eastAsia="zh-CN"/>
        </w:rPr>
      </w:pPr>
      <w:r>
        <w:rPr>
          <w:rFonts w:hint="eastAsia" w:ascii="宋体" w:hAnsi="宋体" w:eastAsia="宋体" w:cs="宋体"/>
          <w:lang w:eastAsia="zh-CN"/>
        </w:rPr>
        <w:t>许可方和被许可方之间具有法律约束力的合同，</w:t>
      </w:r>
      <w:r>
        <w:rPr>
          <w:rFonts w:hint="eastAsia" w:hAnsi="宋体" w:cs="宋体"/>
          <w:lang w:val="en-US" w:eastAsia="zh-CN"/>
        </w:rPr>
        <w:t>明确适用范围内、期限和费用，包括</w:t>
      </w:r>
      <w:r>
        <w:rPr>
          <w:rFonts w:hint="eastAsia" w:ascii="宋体" w:hAnsi="宋体" w:eastAsia="宋体" w:cs="宋体"/>
          <w:lang w:eastAsia="zh-CN"/>
        </w:rPr>
        <w:t>使用相关的条款、条件和许可。</w:t>
      </w:r>
    </w:p>
    <w:p w14:paraId="0A5AD24F">
      <w:pPr>
        <w:pStyle w:val="87"/>
        <w:bidi w:val="0"/>
        <w:spacing w:after="0" w:afterLines="0"/>
        <w:ind w:left="420" w:hanging="420" w:hangingChars="200"/>
        <w:rPr>
          <w:rFonts w:hint="eastAsia" w:ascii="黑体" w:hAnsi="黑体" w:eastAsia="黑体" w:cs="黑体"/>
          <w:lang w:val="en-US" w:eastAsia="zh-CN"/>
        </w:rPr>
      </w:pPr>
    </w:p>
    <w:p w14:paraId="1992410B">
      <w:pPr>
        <w:pStyle w:val="87"/>
        <w:bidi w:val="0"/>
        <w:spacing w:after="0" w:afterLines="0"/>
        <w:ind w:left="420" w:hanging="420" w:hangingChars="200"/>
        <w:rPr>
          <w:rFonts w:hint="eastAsia" w:ascii="黑体" w:hAnsi="黑体" w:eastAsia="黑体" w:cs="黑体"/>
          <w:lang w:val="en-US" w:eastAsia="zh-CN"/>
        </w:rPr>
      </w:pPr>
      <w:r>
        <w:rPr>
          <w:rFonts w:hint="eastAsia" w:cs="黑体"/>
          <w:lang w:val="en-US" w:eastAsia="zh-CN"/>
        </w:rPr>
        <w:t>版税royalty</w:t>
      </w:r>
    </w:p>
    <w:p w14:paraId="64349052">
      <w:pPr>
        <w:pStyle w:val="29"/>
        <w:rPr>
          <w:rFonts w:hint="eastAsia" w:ascii="幼圆" w:eastAsia="幼圆"/>
          <w:lang w:eastAsia="zh-CN"/>
        </w:rPr>
      </w:pPr>
      <w:r>
        <w:rPr>
          <w:rFonts w:hint="eastAsia" w:ascii="宋体" w:hAnsi="宋体" w:eastAsia="宋体" w:cs="宋体"/>
          <w:lang w:eastAsia="zh-CN"/>
        </w:rPr>
        <w:t>被许可人因使用被许可的知识产权而向许可人支付的费用。它们通常是根据销售额、使用情况或其他预定指标来计算的。</w:t>
      </w:r>
    </w:p>
    <w:p w14:paraId="3ADF2A2C">
      <w:pPr>
        <w:pStyle w:val="87"/>
        <w:bidi w:val="0"/>
        <w:spacing w:after="0" w:afterLines="0"/>
        <w:ind w:left="420" w:hanging="420" w:hangingChars="200"/>
        <w:rPr>
          <w:rFonts w:hint="eastAsia" w:ascii="黑体" w:hAnsi="黑体" w:eastAsia="黑体" w:cs="黑体"/>
          <w:lang w:val="en-US" w:eastAsia="zh-CN"/>
        </w:rPr>
      </w:pPr>
    </w:p>
    <w:p w14:paraId="17C8DECF">
      <w:pPr>
        <w:pStyle w:val="87"/>
        <w:bidi w:val="0"/>
        <w:spacing w:after="0" w:afterLines="0"/>
        <w:ind w:left="420" w:hanging="420" w:hangingChars="200"/>
        <w:rPr>
          <w:rFonts w:hint="eastAsia" w:ascii="黑体" w:hAnsi="黑体" w:eastAsia="黑体" w:cs="黑体"/>
          <w:lang w:val="en-US" w:eastAsia="zh-CN"/>
        </w:rPr>
      </w:pPr>
      <w:r>
        <w:rPr>
          <w:rFonts w:hint="eastAsia" w:cs="黑体"/>
          <w:lang w:val="en-US" w:eastAsia="zh-CN"/>
        </w:rPr>
        <w:t>排他性exclusivity</w:t>
      </w:r>
    </w:p>
    <w:p w14:paraId="7A8FAAD3">
      <w:pPr>
        <w:pStyle w:val="29"/>
        <w:rPr>
          <w:rFonts w:hint="eastAsia" w:ascii="宋体" w:hAnsi="宋体" w:eastAsia="宋体" w:cs="宋体"/>
          <w:lang w:eastAsia="zh-CN"/>
        </w:rPr>
      </w:pPr>
      <w:r>
        <w:rPr>
          <w:rFonts w:hint="eastAsia" w:ascii="宋体" w:hAnsi="宋体" w:eastAsia="宋体" w:cs="宋体"/>
          <w:lang w:eastAsia="zh-CN"/>
        </w:rPr>
        <w:t>许可方授予被许可方的权利，确保在许可期限内不会向其他方授予使用相同知识产权的类似权利。</w:t>
      </w:r>
    </w:p>
    <w:p w14:paraId="1CFD0D86">
      <w:pPr>
        <w:pStyle w:val="87"/>
        <w:bidi w:val="0"/>
        <w:spacing w:after="0" w:afterLines="0"/>
        <w:ind w:left="420" w:hanging="420" w:hangingChars="200"/>
        <w:rPr>
          <w:rFonts w:hint="eastAsia" w:ascii="黑体" w:hAnsi="黑体" w:eastAsia="黑体" w:cs="黑体"/>
          <w:lang w:val="en-US" w:eastAsia="zh-CN"/>
        </w:rPr>
      </w:pPr>
    </w:p>
    <w:p w14:paraId="5FA997E0">
      <w:pPr>
        <w:pStyle w:val="87"/>
        <w:bidi w:val="0"/>
        <w:spacing w:after="0" w:afterLines="0"/>
        <w:ind w:left="420" w:hanging="420" w:hangingChars="200"/>
        <w:rPr>
          <w:rFonts w:hint="eastAsia" w:ascii="黑体" w:hAnsi="黑体" w:eastAsia="黑体" w:cs="黑体"/>
          <w:lang w:val="en-US" w:eastAsia="zh-CN"/>
        </w:rPr>
      </w:pPr>
      <w:r>
        <w:rPr>
          <w:rFonts w:hint="eastAsia" w:cs="黑体"/>
          <w:lang w:val="en-US" w:eastAsia="zh-CN"/>
        </w:rPr>
        <w:t>知识产权（IP）商业化commercialization of intellectual property</w:t>
      </w:r>
    </w:p>
    <w:p w14:paraId="7364B24D">
      <w:pPr>
        <w:pStyle w:val="29"/>
        <w:bidi w:val="0"/>
        <w:rPr>
          <w:rFonts w:hint="eastAsia"/>
          <w:lang w:eastAsia="zh-CN"/>
        </w:rPr>
      </w:pPr>
      <w:r>
        <w:rPr>
          <w:rFonts w:hint="eastAsia"/>
          <w:lang w:eastAsia="zh-CN"/>
        </w:rPr>
        <w:t>将知识产权引入市场以产生收入的过程。这可能包括许可、合作伙伴关系或基于知识产权创建产品和服务等策略。</w:t>
      </w:r>
    </w:p>
    <w:p w14:paraId="0179045C">
      <w:pPr>
        <w:pStyle w:val="87"/>
        <w:bidi w:val="0"/>
        <w:spacing w:after="0" w:afterLines="0"/>
        <w:ind w:left="420" w:hanging="420" w:hangingChars="200"/>
        <w:rPr>
          <w:rFonts w:hint="eastAsia" w:ascii="黑体" w:hAnsi="黑体" w:eastAsia="黑体" w:cs="黑体"/>
          <w:lang w:val="en-US" w:eastAsia="zh-CN"/>
        </w:rPr>
      </w:pPr>
    </w:p>
    <w:p w14:paraId="100E535B">
      <w:pPr>
        <w:pStyle w:val="87"/>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t>知识共享</w:t>
      </w:r>
      <w:r>
        <w:rPr>
          <w:rFonts w:hint="eastAsia" w:cs="黑体"/>
          <w:lang w:val="en-US" w:eastAsia="zh-CN"/>
        </w:rPr>
        <w:t>k</w:t>
      </w:r>
      <w:r>
        <w:rPr>
          <w:rFonts w:hint="eastAsia" w:ascii="黑体" w:hAnsi="黑体" w:eastAsia="黑体" w:cs="黑体"/>
          <w:lang w:val="en-US" w:eastAsia="zh-CN"/>
        </w:rPr>
        <w:t>nowledge sharing</w:t>
      </w:r>
    </w:p>
    <w:p w14:paraId="6AE7F3E3">
      <w:pPr>
        <w:pStyle w:val="29"/>
        <w:bidi w:val="0"/>
        <w:rPr>
          <w:rFonts w:hint="eastAsia"/>
          <w:lang w:val="en-US" w:eastAsia="zh-CN"/>
        </w:rPr>
      </w:pPr>
      <w:r>
        <w:rPr>
          <w:rFonts w:hint="eastAsia"/>
          <w:lang w:val="en-US" w:eastAsia="zh-CN"/>
        </w:rPr>
        <w:t>组织通过各种渠道和方式来转移和分享已有知识,实现知识在人、(组织)部门、组织、区域、国家之间的有效流动。</w:t>
      </w:r>
    </w:p>
    <w:p w14:paraId="0A70942C">
      <w:pPr>
        <w:pStyle w:val="87"/>
        <w:bidi w:val="0"/>
        <w:spacing w:after="0" w:afterLines="0"/>
        <w:ind w:left="420" w:hanging="420" w:hangingChars="200"/>
        <w:rPr>
          <w:rFonts w:hint="eastAsia" w:ascii="黑体" w:hAnsi="黑体" w:eastAsia="黑体" w:cs="黑体"/>
          <w:lang w:val="en-US" w:eastAsia="zh-CN"/>
        </w:rPr>
      </w:pPr>
    </w:p>
    <w:p w14:paraId="36D81C2E">
      <w:pPr>
        <w:pStyle w:val="87"/>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t xml:space="preserve">创新 </w:t>
      </w:r>
      <w:r>
        <w:rPr>
          <w:rFonts w:hint="eastAsia" w:cs="黑体"/>
          <w:lang w:val="en-US" w:eastAsia="zh-CN"/>
        </w:rPr>
        <w:t>k</w:t>
      </w:r>
      <w:r>
        <w:rPr>
          <w:rFonts w:hint="eastAsia" w:ascii="黑体" w:hAnsi="黑体" w:eastAsia="黑体" w:cs="黑体"/>
          <w:lang w:val="en-US" w:eastAsia="zh-CN"/>
        </w:rPr>
        <w:t>nowledge sharing</w:t>
      </w:r>
    </w:p>
    <w:p w14:paraId="6815B03E">
      <w:pPr>
        <w:pStyle w:val="29"/>
        <w:bidi w:val="0"/>
        <w:rPr>
          <w:rFonts w:hint="eastAsia"/>
          <w:lang w:val="en-US" w:eastAsia="zh-CN"/>
        </w:rPr>
      </w:pPr>
      <w:r>
        <w:rPr>
          <w:rFonts w:hint="eastAsia"/>
          <w:lang w:val="en-US" w:eastAsia="zh-CN"/>
        </w:rPr>
        <w:t>把感悟和技术转化为能够创造新价值、驱动经济增长、促进社会进步和提高生活标准的过程及其结果,包括新理论、新模式、新方法、新产品、新服务、新流程等。</w:t>
      </w:r>
    </w:p>
    <w:p w14:paraId="0B29B62A">
      <w:pPr>
        <w:pStyle w:val="76"/>
        <w:bidi w:val="0"/>
        <w:rPr>
          <w:rFonts w:hint="eastAsia"/>
          <w:lang w:val="en-US" w:eastAsia="zh-CN"/>
        </w:rPr>
      </w:pPr>
      <w:bookmarkStart w:id="20" w:name="_Toc158732009"/>
      <w:bookmarkStart w:id="21" w:name="_Toc272"/>
      <w:r>
        <w:rPr>
          <w:rFonts w:hint="eastAsia"/>
          <w:lang w:val="en-US" w:eastAsia="zh-CN"/>
        </w:rPr>
        <w:t>IP授权介绍及模式</w:t>
      </w:r>
      <w:bookmarkEnd w:id="20"/>
      <w:bookmarkEnd w:id="21"/>
    </w:p>
    <w:p w14:paraId="72431942">
      <w:pPr>
        <w:pStyle w:val="77"/>
        <w:bidi w:val="0"/>
        <w:rPr>
          <w:rFonts w:hint="eastAsia"/>
          <w:lang w:val="en-US" w:eastAsia="zh-CN"/>
        </w:rPr>
      </w:pPr>
      <w:bookmarkStart w:id="22" w:name="_Toc158732010"/>
      <w:r>
        <w:rPr>
          <w:rFonts w:hint="eastAsia"/>
          <w:lang w:val="en-US" w:eastAsia="zh-CN"/>
        </w:rPr>
        <w:t>知识产权许可的情境模型</w:t>
      </w:r>
      <w:bookmarkEnd w:id="22"/>
    </w:p>
    <w:p w14:paraId="7A084A59">
      <w:pPr>
        <w:pStyle w:val="29"/>
        <w:rPr>
          <w:rFonts w:hint="eastAsia"/>
          <w:lang w:val="en-US" w:eastAsia="zh-CN"/>
        </w:rPr>
      </w:pPr>
      <w:r>
        <w:rPr>
          <w:rFonts w:hint="eastAsia"/>
          <w:lang w:val="en-US" w:eastAsia="zh-CN"/>
        </w:rPr>
        <w:t>在更广泛的商业战略、行业动态和法律考虑的背景下理解和构建知识产权 (IP) 许可协议的框架。该模型考虑了可能影响知识产权许可安排的谈判、结构和实施的各种背景因素。</w:t>
      </w:r>
    </w:p>
    <w:p w14:paraId="16707FB1">
      <w:pPr>
        <w:pStyle w:val="29"/>
        <w:rPr>
          <w:rFonts w:hint="eastAsia"/>
          <w:lang w:val="en-US" w:eastAsia="zh-CN"/>
        </w:rPr>
      </w:pPr>
      <w:r>
        <w:rPr>
          <w:rFonts w:hint="eastAsia"/>
          <w:lang w:val="en-US" w:eastAsia="zh-CN"/>
        </w:rPr>
        <w:t>知识产权许可情境模型的关键要素包括但不限于：</w:t>
      </w:r>
    </w:p>
    <w:p w14:paraId="0AB7482D">
      <w:pPr>
        <w:pStyle w:val="66"/>
        <w:bidi w:val="0"/>
        <w:rPr>
          <w:rFonts w:hint="eastAsia"/>
          <w:lang w:val="en-US" w:eastAsia="zh-CN"/>
        </w:rPr>
      </w:pPr>
      <w:r>
        <w:rPr>
          <w:rFonts w:hint="eastAsia"/>
          <w:lang w:val="en-US" w:eastAsia="zh-CN"/>
        </w:rPr>
        <w:t>业务目标和战略：了解许可方和被许可方的具体业务目标和战略对于制定许可协议条款至关重要。这可能涉及市场扩张、创收、技术获取或竞争定位等考虑因素；</w:t>
      </w:r>
    </w:p>
    <w:p w14:paraId="1B1130B3">
      <w:pPr>
        <w:pStyle w:val="66"/>
        <w:bidi w:val="0"/>
        <w:rPr>
          <w:rFonts w:hint="eastAsia"/>
          <w:lang w:val="en-US" w:eastAsia="zh-CN"/>
        </w:rPr>
      </w:pPr>
      <w:r>
        <w:rPr>
          <w:rFonts w:hint="eastAsia"/>
          <w:lang w:val="en-US" w:eastAsia="zh-CN"/>
        </w:rPr>
        <w:t>行业动态：认识到知识产权所在行业的独特动态非常重要。不同的行业可能有不同的标准、实践和竞争格局，影响许可协议的条款；</w:t>
      </w:r>
    </w:p>
    <w:p w14:paraId="6CF8AE19">
      <w:pPr>
        <w:pStyle w:val="66"/>
        <w:bidi w:val="0"/>
        <w:rPr>
          <w:rFonts w:hint="eastAsia"/>
          <w:lang w:val="en-US" w:eastAsia="zh-CN"/>
        </w:rPr>
      </w:pPr>
      <w:r>
        <w:rPr>
          <w:rFonts w:hint="eastAsia"/>
          <w:lang w:val="en-US" w:eastAsia="zh-CN"/>
        </w:rPr>
        <w:t>法律和监管环境：遵守知识产权法、反垄断法规和其他法律考虑因素对于制定许可协议至关重要。情境模型考虑法律和监管环境，以确保许可安排符合适用法律；</w:t>
      </w:r>
    </w:p>
    <w:p w14:paraId="326FBBB8">
      <w:pPr>
        <w:pStyle w:val="66"/>
        <w:bidi w:val="0"/>
        <w:rPr>
          <w:rFonts w:hint="eastAsia"/>
          <w:lang w:val="en-US" w:eastAsia="zh-CN"/>
        </w:rPr>
      </w:pPr>
      <w:r>
        <w:rPr>
          <w:rFonts w:hint="eastAsia"/>
          <w:lang w:val="en-US" w:eastAsia="zh-CN"/>
        </w:rPr>
        <w:t>技术和</w:t>
      </w:r>
      <w:r>
        <w:rPr>
          <w:rFonts w:hint="eastAsia"/>
          <w:highlight w:val="none"/>
          <w:lang w:val="en-US" w:eastAsia="zh-CN"/>
        </w:rPr>
        <w:t>创新格</w:t>
      </w:r>
      <w:r>
        <w:rPr>
          <w:rFonts w:hint="eastAsia"/>
          <w:lang w:val="en-US" w:eastAsia="zh-CN"/>
        </w:rPr>
        <w:t>局：对于基于技术的知识产权，了解创新的步伐、技术发展和未来潜在的进步至关重要。这有助于确定许可协议的范围和期限；</w:t>
      </w:r>
    </w:p>
    <w:p w14:paraId="3D73F499">
      <w:pPr>
        <w:pStyle w:val="66"/>
        <w:bidi w:val="0"/>
        <w:rPr>
          <w:rFonts w:hint="eastAsia"/>
          <w:lang w:val="en-US" w:eastAsia="zh-CN"/>
        </w:rPr>
      </w:pPr>
      <w:r>
        <w:rPr>
          <w:rFonts w:hint="eastAsia"/>
          <w:lang w:val="en-US" w:eastAsia="zh-CN"/>
        </w:rPr>
        <w:t>市场状况和竞争格局：分析市场状况、竞争格局和潜在的市场变化可能会影响许可协议的谈判和条款。这可能包括市场需求、定价趋势以及竞争性 IP 产品的存在等因素。</w:t>
      </w:r>
    </w:p>
    <w:p w14:paraId="7E90591B">
      <w:pPr>
        <w:pStyle w:val="29"/>
        <w:bidi w:val="0"/>
        <w:rPr>
          <w:rFonts w:hint="eastAsia"/>
          <w:lang w:val="en-US" w:eastAsia="zh-CN"/>
        </w:rPr>
      </w:pPr>
      <w:r>
        <w:rPr>
          <w:rFonts w:hint="eastAsia"/>
          <w:lang w:val="en-US" w:eastAsia="zh-CN"/>
        </w:rPr>
        <w:t>知识产权许可的背景模型强调需考虑许可协议运作的更广泛背景。通过考虑这些背景因素，参与知识产权许可的各方可以定制协议，以符合其战略目标、遵守法律要求并适应各自行业的动态性质。</w:t>
      </w:r>
    </w:p>
    <w:p w14:paraId="52FCEBBB">
      <w:pPr>
        <w:pStyle w:val="77"/>
        <w:bidi w:val="0"/>
        <w:rPr>
          <w:rFonts w:hint="eastAsia"/>
          <w:lang w:val="en-US" w:eastAsia="zh-CN"/>
        </w:rPr>
      </w:pPr>
      <w:bookmarkStart w:id="23" w:name="_Toc158732011"/>
      <w:r>
        <w:rPr>
          <w:rFonts w:hint="eastAsia"/>
          <w:lang w:val="en-US" w:eastAsia="zh-CN"/>
        </w:rPr>
        <w:t>IP许可的原因</w:t>
      </w:r>
      <w:bookmarkEnd w:id="23"/>
    </w:p>
    <w:p w14:paraId="2E1F3AFD">
      <w:pPr>
        <w:pStyle w:val="29"/>
        <w:rPr>
          <w:rFonts w:hint="eastAsia"/>
          <w:lang w:val="en-US" w:eastAsia="zh-CN"/>
        </w:rPr>
      </w:pPr>
      <w:r>
        <w:rPr>
          <w:rFonts w:hint="eastAsia"/>
          <w:lang w:val="en-US" w:eastAsia="zh-CN"/>
        </w:rPr>
        <w:t>组织参与知识产权许可有多种原因，包括：</w:t>
      </w:r>
    </w:p>
    <w:p w14:paraId="709B877E">
      <w:pPr>
        <w:pStyle w:val="67"/>
        <w:bidi w:val="0"/>
        <w:rPr>
          <w:rFonts w:hint="eastAsia" w:ascii="宋体" w:hAnsi="宋体" w:eastAsia="宋体" w:cs="宋体"/>
          <w:lang w:val="en-US" w:eastAsia="zh-CN"/>
        </w:rPr>
      </w:pPr>
      <w:r>
        <w:rPr>
          <w:rFonts w:hint="eastAsia" w:ascii="宋体" w:hAnsi="宋体" w:eastAsia="宋体" w:cs="宋体"/>
          <w:lang w:val="en-US" w:eastAsia="zh-CN"/>
        </w:rPr>
        <w:t>知识产权货币化：许可允许组织通过允许其他人使用其知识产权资产来换取特许权使用费或许可费，从而从其知识产权资产中产生收入。</w:t>
      </w:r>
    </w:p>
    <w:p w14:paraId="0FF0CE70">
      <w:pPr>
        <w:pStyle w:val="67"/>
        <w:bidi w:val="0"/>
        <w:rPr>
          <w:rFonts w:hint="eastAsia" w:ascii="宋体" w:hAnsi="宋体" w:eastAsia="宋体" w:cs="宋体"/>
          <w:lang w:val="en-US" w:eastAsia="zh-CN"/>
        </w:rPr>
      </w:pPr>
      <w:r>
        <w:rPr>
          <w:rFonts w:hint="eastAsia" w:ascii="宋体" w:hAnsi="宋体" w:eastAsia="宋体" w:cs="宋体"/>
          <w:lang w:val="en-US" w:eastAsia="zh-CN"/>
        </w:rPr>
        <w:t>市场扩张和获得新技术：许可可以成为组织进入新市场或获得其内部可能未开发的补充技术的一种战略方式。</w:t>
      </w:r>
    </w:p>
    <w:p w14:paraId="499B0985">
      <w:pPr>
        <w:pStyle w:val="67"/>
        <w:bidi w:val="0"/>
        <w:rPr>
          <w:rFonts w:hint="eastAsia" w:ascii="宋体" w:hAnsi="宋体" w:eastAsia="宋体" w:cs="宋体"/>
          <w:lang w:val="en-US" w:eastAsia="zh-CN"/>
        </w:rPr>
      </w:pPr>
      <w:r>
        <w:rPr>
          <w:rFonts w:hint="eastAsia" w:ascii="宋体" w:hAnsi="宋体" w:eastAsia="宋体" w:cs="宋体"/>
          <w:lang w:val="en-US" w:eastAsia="zh-CN"/>
        </w:rPr>
        <w:t>风险缓解和成本分担：通过向其他方许可知识产权，组织可以分担与开发、制造或营销产品或技术相关的成本和风险。</w:t>
      </w:r>
    </w:p>
    <w:p w14:paraId="348C1276">
      <w:pPr>
        <w:pStyle w:val="67"/>
        <w:bidi w:val="0"/>
        <w:rPr>
          <w:rFonts w:hint="eastAsia" w:ascii="宋体" w:hAnsi="宋体" w:eastAsia="宋体" w:cs="宋体"/>
          <w:lang w:val="en-US" w:eastAsia="zh-CN"/>
        </w:rPr>
      </w:pPr>
      <w:r>
        <w:rPr>
          <w:rFonts w:hint="eastAsia" w:ascii="宋体" w:hAnsi="宋体" w:eastAsia="宋体" w:cs="宋体"/>
          <w:lang w:val="en-US" w:eastAsia="zh-CN"/>
        </w:rPr>
        <w:t>增强竞争地位：知识产权许可可以让组织利用其知识产权组合的优势并获得其他人持有的有价值的知识产权，从而增强其竞争地位。</w:t>
      </w:r>
    </w:p>
    <w:p w14:paraId="01C33495">
      <w:pPr>
        <w:pStyle w:val="67"/>
        <w:bidi w:val="0"/>
        <w:rPr>
          <w:rFonts w:hint="eastAsia" w:ascii="宋体" w:hAnsi="宋体" w:eastAsia="宋体" w:cs="宋体"/>
          <w:lang w:val="en-US" w:eastAsia="zh-CN"/>
        </w:rPr>
      </w:pPr>
      <w:r>
        <w:rPr>
          <w:rFonts w:hint="eastAsia" w:ascii="宋体" w:hAnsi="宋体" w:eastAsia="宋体" w:cs="宋体"/>
          <w:lang w:val="en-US" w:eastAsia="zh-CN"/>
        </w:rPr>
        <w:t>专注于核心能力：组织可以选择许可某些非核心或未充分利用的知识产权资产，使他们能够将资源集中在核心能力和主要业务活动上。</w:t>
      </w:r>
    </w:p>
    <w:p w14:paraId="472786F5">
      <w:pPr>
        <w:pStyle w:val="67"/>
        <w:bidi w:val="0"/>
        <w:rPr>
          <w:rFonts w:hint="eastAsia" w:ascii="宋体" w:hAnsi="宋体" w:eastAsia="宋体" w:cs="宋体"/>
          <w:lang w:val="en-US" w:eastAsia="zh-CN"/>
        </w:rPr>
      </w:pPr>
      <w:r>
        <w:rPr>
          <w:rFonts w:hint="eastAsia" w:ascii="宋体" w:hAnsi="宋体" w:eastAsia="宋体" w:cs="宋体"/>
          <w:lang w:val="en-US" w:eastAsia="zh-CN"/>
        </w:rPr>
        <w:t>促进标准和互操作性：在标准和互操作性至关重要的行业中，许可知识产权可以促进通用标准的采用和不同技术的集成。</w:t>
      </w:r>
    </w:p>
    <w:p w14:paraId="562CD363">
      <w:pPr>
        <w:pStyle w:val="67"/>
        <w:bidi w:val="0"/>
        <w:rPr>
          <w:rFonts w:hint="eastAsia" w:ascii="宋体" w:hAnsi="宋体" w:eastAsia="宋体" w:cs="宋体"/>
          <w:lang w:val="en-US" w:eastAsia="zh-CN"/>
        </w:rPr>
      </w:pPr>
      <w:r>
        <w:rPr>
          <w:rFonts w:hint="eastAsia" w:ascii="宋体" w:hAnsi="宋体" w:eastAsia="宋体" w:cs="宋体"/>
          <w:lang w:val="en-US" w:eastAsia="zh-CN"/>
        </w:rPr>
        <w:t>法律和监管合规性：知识产权许可可以帮助组织确保遵守与知识产权的使用和商业化相关的法律和监管要求。</w:t>
      </w:r>
    </w:p>
    <w:p w14:paraId="27E09E5B">
      <w:pPr>
        <w:pStyle w:val="67"/>
        <w:bidi w:val="0"/>
        <w:rPr>
          <w:rFonts w:hint="eastAsia" w:ascii="宋体" w:hAnsi="宋体" w:eastAsia="宋体" w:cs="宋体"/>
          <w:lang w:val="en-US" w:eastAsia="zh-CN"/>
        </w:rPr>
      </w:pPr>
      <w:r>
        <w:rPr>
          <w:rFonts w:hint="eastAsia" w:ascii="宋体" w:hAnsi="宋体" w:eastAsia="宋体" w:cs="宋体"/>
          <w:lang w:val="en-US" w:eastAsia="zh-CN"/>
        </w:rPr>
        <w:t>国际扩张和本地化：考虑到文化、法律和特定市场的因素，向不同地区的当地合作伙伴授权知识产权可以促进国际扩张和本地化工作。</w:t>
      </w:r>
    </w:p>
    <w:p w14:paraId="7FD769E3">
      <w:pPr>
        <w:pStyle w:val="67"/>
        <w:bidi w:val="0"/>
        <w:rPr>
          <w:rFonts w:hint="eastAsia" w:ascii="宋体" w:hAnsi="宋体" w:eastAsia="宋体" w:cs="宋体"/>
          <w:lang w:val="en-US" w:eastAsia="zh-CN"/>
        </w:rPr>
      </w:pPr>
      <w:r>
        <w:rPr>
          <w:rFonts w:hint="eastAsia" w:ascii="宋体" w:hAnsi="宋体" w:eastAsia="宋体" w:cs="宋体"/>
          <w:lang w:val="en-US" w:eastAsia="zh-CN"/>
        </w:rPr>
        <w:t>创新与协作：知识产权许可可以通过在不同组织之间共享知识、技术和专业知识来促进协作和创新。</w:t>
      </w:r>
    </w:p>
    <w:p w14:paraId="745F3FE8">
      <w:pPr>
        <w:pStyle w:val="67"/>
        <w:bidi w:val="0"/>
        <w:rPr>
          <w:rFonts w:hint="eastAsia" w:ascii="宋体" w:hAnsi="宋体" w:eastAsia="宋体" w:cs="宋体"/>
          <w:lang w:val="en-US" w:eastAsia="zh-CN"/>
        </w:rPr>
      </w:pPr>
      <w:r>
        <w:rPr>
          <w:rFonts w:hint="eastAsia" w:ascii="宋体" w:hAnsi="宋体" w:eastAsia="宋体" w:cs="宋体"/>
          <w:lang w:val="en-US" w:eastAsia="zh-CN"/>
        </w:rPr>
        <w:t>战略联盟和合作伙伴：通过许可协议，组织可以与其他公司形成战略联盟和合作伙伴关系，建立超出许可安排范围的互利关系。</w:t>
      </w:r>
    </w:p>
    <w:p w14:paraId="3F4C58DC">
      <w:pPr>
        <w:pStyle w:val="29"/>
        <w:bidi w:val="0"/>
        <w:rPr>
          <w:rFonts w:hint="eastAsia"/>
          <w:lang w:val="en-US" w:eastAsia="zh-CN"/>
        </w:rPr>
      </w:pPr>
      <w:r>
        <w:rPr>
          <w:rFonts w:hint="eastAsia"/>
          <w:lang w:val="en-US" w:eastAsia="zh-CN"/>
        </w:rPr>
        <w:t>通过战略性地利用知识产权许可，组织可以释放其知识产权的价值，利用新的机会，并实现各种战略和财务目标。</w:t>
      </w:r>
    </w:p>
    <w:p w14:paraId="747001E1">
      <w:pPr>
        <w:pStyle w:val="77"/>
        <w:bidi w:val="0"/>
        <w:rPr>
          <w:rFonts w:hint="eastAsia"/>
          <w:lang w:val="en-US" w:eastAsia="zh-CN"/>
        </w:rPr>
      </w:pPr>
      <w:bookmarkStart w:id="24" w:name="_Toc158732012"/>
      <w:r>
        <w:rPr>
          <w:rFonts w:hint="eastAsia"/>
          <w:lang w:val="en-US" w:eastAsia="zh-CN"/>
        </w:rPr>
        <w:t>知识产权许可的风险</w:t>
      </w:r>
      <w:bookmarkEnd w:id="24"/>
    </w:p>
    <w:p w14:paraId="48637550">
      <w:pPr>
        <w:pStyle w:val="29"/>
        <w:rPr>
          <w:rFonts w:hint="eastAsia"/>
          <w:lang w:val="en-US" w:eastAsia="zh-CN"/>
        </w:rPr>
      </w:pPr>
      <w:r>
        <w:rPr>
          <w:rFonts w:hint="eastAsia"/>
          <w:lang w:val="en-US" w:eastAsia="zh-CN"/>
        </w:rPr>
        <w:t>组织的知识产权许可协议风险包括：</w:t>
      </w:r>
    </w:p>
    <w:p w14:paraId="383B679A">
      <w:pPr>
        <w:pStyle w:val="67"/>
        <w:bidi w:val="0"/>
        <w:rPr>
          <w:rFonts w:hint="eastAsia" w:ascii="宋体" w:hAnsi="宋体" w:eastAsia="宋体" w:cs="宋体"/>
          <w:lang w:val="en-US" w:eastAsia="zh-CN"/>
        </w:rPr>
      </w:pPr>
      <w:r>
        <w:rPr>
          <w:rFonts w:hint="eastAsia" w:ascii="宋体" w:hAnsi="宋体" w:eastAsia="宋体" w:cs="宋体"/>
          <w:lang w:val="en-US" w:eastAsia="zh-CN"/>
        </w:rPr>
        <w:t>失去控制：将知识产权许可给第三方可能会导致失去对知识产权使用方式的控制，从而可能导致不可预见的后果或滥用。</w:t>
      </w:r>
    </w:p>
    <w:p w14:paraId="5BE03A79">
      <w:pPr>
        <w:pStyle w:val="67"/>
        <w:bidi w:val="0"/>
        <w:rPr>
          <w:rFonts w:hint="eastAsia" w:ascii="宋体" w:hAnsi="宋体" w:eastAsia="宋体" w:cs="宋体"/>
          <w:lang w:val="en-US" w:eastAsia="zh-CN"/>
        </w:rPr>
      </w:pPr>
      <w:r>
        <w:rPr>
          <w:rFonts w:hint="eastAsia" w:ascii="宋体" w:hAnsi="宋体" w:eastAsia="宋体" w:cs="宋体"/>
          <w:lang w:val="en-US" w:eastAsia="zh-CN"/>
        </w:rPr>
        <w:t>竞争风险：存在许可知识产权可能被竞争对手直接或间接使用的风险，从而影响组织的竞争地位。</w:t>
      </w:r>
    </w:p>
    <w:p w14:paraId="3478AC28">
      <w:pPr>
        <w:pStyle w:val="67"/>
        <w:bidi w:val="0"/>
        <w:rPr>
          <w:rFonts w:hint="eastAsia" w:ascii="宋体" w:hAnsi="宋体" w:eastAsia="宋体" w:cs="宋体"/>
          <w:lang w:val="en-US" w:eastAsia="zh-CN"/>
        </w:rPr>
      </w:pPr>
      <w:r>
        <w:rPr>
          <w:rFonts w:hint="eastAsia" w:ascii="宋体" w:hAnsi="宋体" w:eastAsia="宋体" w:cs="宋体"/>
          <w:lang w:val="en-US" w:eastAsia="zh-CN"/>
        </w:rPr>
        <w:t>法律和合规风险：未能充分保护许可的知识产权或遵守许可协议可能会导致法律纠纷、侵权索赔或违反合同义务。</w:t>
      </w:r>
    </w:p>
    <w:p w14:paraId="64EE4EBF">
      <w:pPr>
        <w:pStyle w:val="67"/>
        <w:bidi w:val="0"/>
        <w:rPr>
          <w:rFonts w:hint="eastAsia" w:ascii="宋体" w:hAnsi="宋体" w:eastAsia="宋体" w:cs="宋体"/>
          <w:lang w:val="en-US" w:eastAsia="zh-CN"/>
        </w:rPr>
      </w:pPr>
      <w:r>
        <w:rPr>
          <w:rFonts w:hint="eastAsia" w:ascii="宋体" w:hAnsi="宋体" w:eastAsia="宋体" w:cs="宋体"/>
          <w:lang w:val="en-US" w:eastAsia="zh-CN"/>
        </w:rPr>
        <w:t>声誉风险：如果被许可人对知识产权的使用给组织带来不良影响，则可能会损害组织的声誉和品牌形象。</w:t>
      </w:r>
    </w:p>
    <w:p w14:paraId="43F421FF">
      <w:pPr>
        <w:pStyle w:val="67"/>
        <w:bidi w:val="0"/>
        <w:rPr>
          <w:rFonts w:hint="eastAsia" w:ascii="宋体" w:hAnsi="宋体" w:eastAsia="宋体" w:cs="宋体"/>
          <w:lang w:val="en-US" w:eastAsia="zh-CN"/>
        </w:rPr>
      </w:pPr>
      <w:r>
        <w:rPr>
          <w:rFonts w:hint="eastAsia" w:ascii="宋体" w:hAnsi="宋体" w:eastAsia="宋体" w:cs="宋体"/>
          <w:lang w:val="en-US" w:eastAsia="zh-CN"/>
        </w:rPr>
        <w:t>收入波动：对许可收入的依赖使组织面临潜在的收入波动，特别是在许可的知识产权过时或面临市场挑战的情况下。</w:t>
      </w:r>
    </w:p>
    <w:p w14:paraId="332686B0">
      <w:pPr>
        <w:pStyle w:val="67"/>
        <w:bidi w:val="0"/>
        <w:rPr>
          <w:rFonts w:hint="eastAsia" w:ascii="宋体" w:hAnsi="宋体" w:eastAsia="宋体" w:cs="宋体"/>
          <w:lang w:val="en-US" w:eastAsia="zh-CN"/>
        </w:rPr>
      </w:pPr>
      <w:r>
        <w:rPr>
          <w:rFonts w:hint="eastAsia" w:ascii="宋体" w:hAnsi="宋体" w:eastAsia="宋体" w:cs="宋体"/>
          <w:lang w:val="en-US" w:eastAsia="zh-CN"/>
        </w:rPr>
        <w:t>执行和保护挑战：执行许可协议的条款并保护许可的知识产权免遭未经授权的使用可能会带来挑战，特别是在法律框架不同的国际市场中。</w:t>
      </w:r>
    </w:p>
    <w:p w14:paraId="36B23786">
      <w:pPr>
        <w:pStyle w:val="67"/>
        <w:bidi w:val="0"/>
        <w:rPr>
          <w:rFonts w:hint="eastAsia" w:ascii="宋体" w:hAnsi="宋体" w:eastAsia="宋体" w:cs="宋体"/>
          <w:lang w:val="en-US" w:eastAsia="zh-CN"/>
        </w:rPr>
      </w:pPr>
      <w:r>
        <w:rPr>
          <w:rFonts w:hint="eastAsia" w:ascii="宋体" w:hAnsi="宋体" w:eastAsia="宋体" w:cs="宋体"/>
          <w:lang w:val="en-US" w:eastAsia="zh-CN"/>
        </w:rPr>
        <w:t>创新稀释：知识产权许可可能会导致组织创新能力的稀释，因为它依赖外部合作伙伴来开发和商业化知识产权相关的产品或服务。</w:t>
      </w:r>
    </w:p>
    <w:p w14:paraId="450D8D34">
      <w:pPr>
        <w:pStyle w:val="67"/>
        <w:bidi w:val="0"/>
        <w:rPr>
          <w:rFonts w:hint="eastAsia" w:ascii="宋体" w:hAnsi="宋体" w:eastAsia="宋体" w:cs="宋体"/>
          <w:lang w:val="en-US" w:eastAsia="zh-CN"/>
        </w:rPr>
      </w:pPr>
      <w:r>
        <w:rPr>
          <w:rFonts w:hint="eastAsia" w:ascii="宋体" w:hAnsi="宋体" w:eastAsia="宋体" w:cs="宋体"/>
          <w:lang w:val="en-US" w:eastAsia="zh-CN"/>
        </w:rPr>
        <w:t>利益冲突：如果许可人和被许可人在相关或重叠的业务领域经营，可能会出现利益冲突，影响许可安排的有效性。</w:t>
      </w:r>
    </w:p>
    <w:p w14:paraId="0E0DAF3D">
      <w:pPr>
        <w:pStyle w:val="67"/>
        <w:bidi w:val="0"/>
        <w:rPr>
          <w:rFonts w:hint="eastAsia" w:ascii="宋体" w:hAnsi="宋体" w:eastAsia="宋体" w:cs="宋体"/>
          <w:lang w:val="en-US" w:eastAsia="zh-CN"/>
        </w:rPr>
      </w:pPr>
      <w:r>
        <w:rPr>
          <w:rFonts w:hint="eastAsia" w:ascii="宋体" w:hAnsi="宋体" w:eastAsia="宋体" w:cs="宋体"/>
          <w:lang w:val="en-US" w:eastAsia="zh-CN"/>
        </w:rPr>
        <w:t>市场</w:t>
      </w:r>
      <w:r>
        <w:rPr>
          <w:rFonts w:hint="eastAsia" w:hAnsi="宋体" w:cs="宋体"/>
          <w:lang w:val="en-US" w:eastAsia="zh-CN"/>
        </w:rPr>
        <w:t>退化</w:t>
      </w:r>
      <w:r>
        <w:rPr>
          <w:rFonts w:hint="eastAsia" w:ascii="宋体" w:hAnsi="宋体" w:eastAsia="宋体" w:cs="宋体"/>
          <w:lang w:val="en-US" w:eastAsia="zh-CN"/>
        </w:rPr>
        <w:t>：某些产品或技术的知识产权许可可能会无意中</w:t>
      </w:r>
      <w:r>
        <w:rPr>
          <w:rFonts w:hint="eastAsia" w:hAnsi="宋体" w:cs="宋体"/>
          <w:lang w:val="en-US" w:eastAsia="zh-CN"/>
        </w:rPr>
        <w:t>市区或减少</w:t>
      </w:r>
      <w:r>
        <w:rPr>
          <w:rFonts w:hint="eastAsia" w:ascii="宋体" w:hAnsi="宋体" w:eastAsia="宋体" w:cs="宋体"/>
          <w:lang w:val="en-US" w:eastAsia="zh-CN"/>
        </w:rPr>
        <w:t>组织自身产品的市场，从而影响整体销售和增长前景。</w:t>
      </w:r>
    </w:p>
    <w:p w14:paraId="519163FE">
      <w:pPr>
        <w:pStyle w:val="67"/>
        <w:bidi w:val="0"/>
        <w:rPr>
          <w:rFonts w:hint="eastAsia" w:ascii="宋体" w:hAnsi="宋体" w:eastAsia="宋体" w:cs="宋体"/>
          <w:lang w:val="en-US" w:eastAsia="zh-CN"/>
        </w:rPr>
      </w:pPr>
      <w:r>
        <w:rPr>
          <w:rFonts w:hint="eastAsia" w:ascii="宋体" w:hAnsi="宋体" w:eastAsia="宋体" w:cs="宋体"/>
          <w:lang w:val="en-US" w:eastAsia="zh-CN"/>
        </w:rPr>
        <w:t>技术依赖性：依赖许可技术可能会产生对外部资源的依赖，从长远来看可能会限制组织的灵活性和适应性。</w:t>
      </w:r>
    </w:p>
    <w:p w14:paraId="520A45A1">
      <w:pPr>
        <w:pStyle w:val="29"/>
        <w:rPr>
          <w:rFonts w:hint="eastAsia"/>
          <w:lang w:val="en-US" w:eastAsia="zh-CN"/>
        </w:rPr>
      </w:pPr>
      <w:r>
        <w:rPr>
          <w:rFonts w:hint="eastAsia"/>
          <w:lang w:val="en-US" w:eastAsia="zh-CN"/>
        </w:rPr>
        <w:t>减轻这些风险需要仔细考虑许可协议的条款、对潜在被许可人进行彻底的尽职调查、有效的知识产权保护策略以及持续的监控和执法工作以维护组织的利益。</w:t>
      </w:r>
    </w:p>
    <w:p w14:paraId="0541A4AE">
      <w:pPr>
        <w:pStyle w:val="76"/>
        <w:bidi w:val="0"/>
        <w:rPr>
          <w:rFonts w:hint="eastAsia"/>
          <w:lang w:val="en-US" w:eastAsia="zh-CN"/>
        </w:rPr>
      </w:pPr>
      <w:bookmarkStart w:id="25" w:name="_Toc7271"/>
      <w:bookmarkStart w:id="26" w:name="_Toc158732013"/>
      <w:r>
        <w:rPr>
          <w:rFonts w:hint="eastAsia"/>
          <w:lang w:val="en-US" w:eastAsia="zh-CN"/>
        </w:rPr>
        <w:t>将合作业务关系原则整合到知识产权许可中</w:t>
      </w:r>
      <w:bookmarkEnd w:id="25"/>
      <w:bookmarkEnd w:id="26"/>
    </w:p>
    <w:p w14:paraId="7261F302">
      <w:pPr>
        <w:pStyle w:val="77"/>
        <w:bidi w:val="0"/>
        <w:rPr>
          <w:rFonts w:hint="eastAsia"/>
          <w:lang w:val="en-US" w:eastAsia="zh-CN"/>
        </w:rPr>
      </w:pPr>
      <w:bookmarkStart w:id="27" w:name="_Toc158732014"/>
      <w:r>
        <w:rPr>
          <w:rFonts w:hint="eastAsia"/>
          <w:lang w:val="en-US" w:eastAsia="zh-CN"/>
        </w:rPr>
        <w:t>章节结构</w:t>
      </w:r>
      <w:bookmarkEnd w:id="27"/>
    </w:p>
    <w:p w14:paraId="54CED9A6">
      <w:pPr>
        <w:pStyle w:val="29"/>
        <w:rPr>
          <w:rFonts w:hint="eastAsia"/>
          <w:lang w:val="en-US" w:eastAsia="zh-CN"/>
        </w:rPr>
      </w:pPr>
      <w:r>
        <w:rPr>
          <w:rFonts w:hint="eastAsia"/>
          <w:lang w:val="en-US" w:eastAsia="zh-CN"/>
        </w:rPr>
        <w:t>本部分基于ISO/TR 44000中给出的合作业务关系的12条原则。对于每条原则，从许可方和被许可方的角度来看，有以下三个主要子条款：</w:t>
      </w:r>
    </w:p>
    <w:p w14:paraId="7A43C6E5">
      <w:pPr>
        <w:pStyle w:val="67"/>
        <w:bidi w:val="0"/>
        <w:rPr>
          <w:rFonts w:hint="eastAsia"/>
          <w:lang w:val="en-US" w:eastAsia="zh-CN"/>
        </w:rPr>
      </w:pPr>
      <w:r>
        <w:rPr>
          <w:rFonts w:hint="eastAsia"/>
          <w:lang w:val="en-US" w:eastAsia="zh-CN"/>
        </w:rPr>
        <w:t>内容：原则意图的摘要；</w:t>
      </w:r>
    </w:p>
    <w:p w14:paraId="390892CC">
      <w:pPr>
        <w:pStyle w:val="67"/>
        <w:bidi w:val="0"/>
        <w:rPr>
          <w:rFonts w:hint="eastAsia"/>
          <w:lang w:val="en-US" w:eastAsia="zh-CN"/>
        </w:rPr>
      </w:pPr>
      <w:r>
        <w:rPr>
          <w:rFonts w:hint="eastAsia"/>
          <w:lang w:val="en-US" w:eastAsia="zh-CN"/>
        </w:rPr>
        <w:t>原因：解释其与知识产权许可的相关性；</w:t>
      </w:r>
    </w:p>
    <w:p w14:paraId="243D723B">
      <w:pPr>
        <w:pStyle w:val="67"/>
        <w:bidi w:val="0"/>
        <w:rPr>
          <w:rFonts w:hint="eastAsia"/>
          <w:lang w:val="en-US" w:eastAsia="zh-CN"/>
        </w:rPr>
      </w:pPr>
      <w:r>
        <w:rPr>
          <w:rFonts w:hint="eastAsia"/>
          <w:lang w:val="en-US" w:eastAsia="zh-CN"/>
        </w:rPr>
        <w:t>如何：实施指南。</w:t>
      </w:r>
    </w:p>
    <w:p w14:paraId="119DE78A">
      <w:pPr>
        <w:pStyle w:val="77"/>
        <w:bidi w:val="0"/>
        <w:rPr>
          <w:rFonts w:hint="eastAsia"/>
          <w:lang w:val="en-US" w:eastAsia="zh-CN"/>
        </w:rPr>
      </w:pPr>
      <w:bookmarkStart w:id="28" w:name="_Toc158732015"/>
      <w:r>
        <w:rPr>
          <w:rFonts w:hint="eastAsia"/>
          <w:lang w:val="en-US" w:eastAsia="zh-CN"/>
        </w:rPr>
        <w:t>原则 1：关系管理</w:t>
      </w:r>
      <w:bookmarkEnd w:id="28"/>
    </w:p>
    <w:p w14:paraId="44F4B6D1">
      <w:pPr>
        <w:pStyle w:val="78"/>
        <w:bidi w:val="0"/>
        <w:rPr>
          <w:rFonts w:hint="eastAsia"/>
          <w:lang w:val="en-US" w:eastAsia="zh-CN"/>
        </w:rPr>
      </w:pPr>
      <w:bookmarkStart w:id="29" w:name="_Toc158732016"/>
      <w:r>
        <w:rPr>
          <w:rFonts w:hint="eastAsia"/>
          <w:lang w:val="en-US" w:eastAsia="zh-CN"/>
        </w:rPr>
        <w:t>许可方观点</w:t>
      </w:r>
      <w:bookmarkEnd w:id="29"/>
    </w:p>
    <w:p w14:paraId="71B81F33">
      <w:pPr>
        <w:pStyle w:val="84"/>
        <w:bidi w:val="0"/>
        <w:spacing w:before="0" w:beforeLines="0" w:after="0" w:afterLines="0"/>
        <w:rPr>
          <w:rFonts w:hint="eastAsia"/>
          <w:lang w:val="en-US" w:eastAsia="zh-CN"/>
        </w:rPr>
      </w:pPr>
      <w:r>
        <w:rPr>
          <w:rFonts w:hint="eastAsia"/>
          <w:lang w:val="en-US" w:eastAsia="zh-CN"/>
        </w:rPr>
        <w:t>内容：许可方的目的是与被许可方建立积极的协作关系，以确保对许可知识产权的有效管理并使其价值最大化。</w:t>
      </w:r>
    </w:p>
    <w:p w14:paraId="16AA4917">
      <w:pPr>
        <w:pStyle w:val="84"/>
        <w:bidi w:val="0"/>
        <w:spacing w:before="0" w:beforeLines="0" w:after="0" w:afterLines="0"/>
        <w:rPr>
          <w:rFonts w:hint="eastAsia"/>
          <w:lang w:val="en-US" w:eastAsia="zh-CN"/>
        </w:rPr>
      </w:pPr>
      <w:r>
        <w:rPr>
          <w:rFonts w:hint="eastAsia"/>
          <w:lang w:val="en-US" w:eastAsia="zh-CN"/>
        </w:rPr>
        <w:t>原因：与被许可人保持牢固、透明的关系可以带来更好的合规性、反馈和许可知识产权的整体管理过程的成功。</w:t>
      </w:r>
    </w:p>
    <w:p w14:paraId="53D67E0C">
      <w:pPr>
        <w:pStyle w:val="84"/>
        <w:bidi w:val="0"/>
        <w:spacing w:before="0" w:beforeLines="0" w:after="0" w:afterLines="0"/>
        <w:rPr>
          <w:rFonts w:hint="eastAsia"/>
          <w:lang w:val="en-US" w:eastAsia="zh-CN"/>
        </w:rPr>
      </w:pPr>
      <w:r>
        <w:rPr>
          <w:rFonts w:hint="eastAsia"/>
          <w:lang w:val="en-US" w:eastAsia="zh-CN"/>
        </w:rPr>
        <w:t>如何实现：许可方可以通过提供清晰的沟通、对被许可方需求的支持、定期更新知识产权以及乐于接受反馈和疑虑来实现。</w:t>
      </w:r>
    </w:p>
    <w:p w14:paraId="69B72C7C">
      <w:pPr>
        <w:pStyle w:val="78"/>
        <w:bidi w:val="0"/>
        <w:rPr>
          <w:rFonts w:hint="eastAsia"/>
          <w:lang w:val="en-US" w:eastAsia="zh-CN"/>
        </w:rPr>
      </w:pPr>
      <w:bookmarkStart w:id="30" w:name="_Toc158732017"/>
      <w:r>
        <w:rPr>
          <w:rFonts w:hint="eastAsia"/>
          <w:lang w:val="en-US" w:eastAsia="zh-CN"/>
        </w:rPr>
        <w:t>被许可人视角</w:t>
      </w:r>
      <w:bookmarkEnd w:id="30"/>
    </w:p>
    <w:p w14:paraId="048FF892">
      <w:pPr>
        <w:pStyle w:val="84"/>
        <w:bidi w:val="0"/>
        <w:spacing w:before="0" w:beforeLines="0" w:after="0" w:afterLines="0"/>
        <w:rPr>
          <w:rFonts w:hint="eastAsia"/>
          <w:lang w:val="en-US" w:eastAsia="zh-CN"/>
        </w:rPr>
      </w:pPr>
      <w:r>
        <w:rPr>
          <w:rFonts w:hint="eastAsia"/>
          <w:lang w:val="en-US" w:eastAsia="zh-CN"/>
        </w:rPr>
        <w:t>内容：被许可人的目的是与许可人建立信任和沟通的关系，以确保被许可的知识产权的顺利运营和使用。</w:t>
      </w:r>
    </w:p>
    <w:p w14:paraId="4D25A2CE">
      <w:pPr>
        <w:pStyle w:val="84"/>
        <w:bidi w:val="0"/>
        <w:spacing w:before="0" w:beforeLines="0" w:after="0" w:afterLines="0"/>
        <w:rPr>
          <w:rFonts w:hint="eastAsia"/>
          <w:lang w:val="en-US" w:eastAsia="zh-CN"/>
        </w:rPr>
      </w:pPr>
      <w:r>
        <w:rPr>
          <w:rFonts w:hint="eastAsia"/>
          <w:lang w:val="en-US" w:eastAsia="zh-CN"/>
        </w:rPr>
        <w:t>使被许可人能够有效管理许可的知识产权，寻求必要的支持，并可能为未来使用知识产权协商有利的条款。</w:t>
      </w:r>
    </w:p>
    <w:p w14:paraId="264367CC">
      <w:pPr>
        <w:pStyle w:val="84"/>
        <w:bidi w:val="0"/>
        <w:spacing w:before="0" w:beforeLines="0" w:after="0" w:afterLines="0"/>
        <w:rPr>
          <w:rFonts w:hint="eastAsia"/>
          <w:lang w:val="en-US" w:eastAsia="zh-CN"/>
        </w:rPr>
      </w:pPr>
      <w:r>
        <w:rPr>
          <w:rFonts w:hint="eastAsia"/>
          <w:lang w:val="en-US" w:eastAsia="zh-CN"/>
        </w:rPr>
        <w:t>如何实施：被许可人可以通过积极参与透明沟通、履行义务、向许可人提供反馈以及就许可知识产权的任何不确定性寻求澄清来实现这一点。</w:t>
      </w:r>
    </w:p>
    <w:p w14:paraId="556E67DF">
      <w:pPr>
        <w:pStyle w:val="77"/>
        <w:bidi w:val="0"/>
        <w:rPr>
          <w:rFonts w:hint="eastAsia"/>
          <w:lang w:val="en-US" w:eastAsia="zh-CN"/>
        </w:rPr>
      </w:pPr>
      <w:bookmarkStart w:id="31" w:name="_Toc158732018"/>
      <w:r>
        <w:rPr>
          <w:rFonts w:hint="eastAsia"/>
          <w:lang w:val="en-US" w:eastAsia="zh-CN"/>
        </w:rPr>
        <w:t>原则 2：愿景和价值观</w:t>
      </w:r>
      <w:bookmarkEnd w:id="31"/>
    </w:p>
    <w:p w14:paraId="40779FCC">
      <w:pPr>
        <w:pStyle w:val="78"/>
        <w:bidi w:val="0"/>
        <w:rPr>
          <w:rFonts w:hint="eastAsia"/>
          <w:lang w:val="en-US" w:eastAsia="zh-CN"/>
        </w:rPr>
      </w:pPr>
      <w:bookmarkStart w:id="32" w:name="_Toc158732019"/>
      <w:r>
        <w:rPr>
          <w:rFonts w:hint="eastAsia"/>
          <w:lang w:val="en-US" w:eastAsia="zh-CN"/>
        </w:rPr>
        <w:t>许可方观点</w:t>
      </w:r>
      <w:bookmarkEnd w:id="32"/>
    </w:p>
    <w:p w14:paraId="317E55EA">
      <w:pPr>
        <w:pStyle w:val="84"/>
        <w:bidi w:val="0"/>
        <w:spacing w:before="0" w:beforeLines="0" w:after="0" w:afterLines="0"/>
        <w:rPr>
          <w:rFonts w:hint="eastAsia"/>
          <w:lang w:val="en-US" w:eastAsia="zh-CN"/>
        </w:rPr>
      </w:pPr>
      <w:r>
        <w:rPr>
          <w:rFonts w:hint="eastAsia"/>
          <w:lang w:val="en-US" w:eastAsia="zh-CN"/>
        </w:rPr>
        <w:t>内容：许可方的目的是确保被许可方理解并符合与所许可的知识产权相关的总体愿景和价值观。</w:t>
      </w:r>
    </w:p>
    <w:p w14:paraId="7CDB635A">
      <w:pPr>
        <w:pStyle w:val="84"/>
        <w:bidi w:val="0"/>
        <w:spacing w:before="0" w:beforeLines="0" w:after="0" w:afterLines="0"/>
        <w:rPr>
          <w:rFonts w:hint="eastAsia"/>
          <w:lang w:val="en-US" w:eastAsia="zh-CN"/>
        </w:rPr>
      </w:pPr>
      <w:r>
        <w:rPr>
          <w:rFonts w:hint="eastAsia"/>
          <w:lang w:val="en-US" w:eastAsia="zh-CN"/>
        </w:rPr>
        <w:t>原因：它确保许可知识产权的使用方式符合许可人的总体目标、品牌形象和道德考虑。</w:t>
      </w:r>
    </w:p>
    <w:p w14:paraId="6F4A1B44">
      <w:pPr>
        <w:pStyle w:val="84"/>
        <w:bidi w:val="0"/>
        <w:spacing w:before="0" w:beforeLines="0" w:after="0" w:afterLines="0"/>
        <w:rPr>
          <w:rFonts w:hint="eastAsia"/>
          <w:lang w:val="en-US" w:eastAsia="zh-CN"/>
        </w:rPr>
      </w:pPr>
      <w:r>
        <w:rPr>
          <w:rFonts w:hint="eastAsia"/>
          <w:lang w:val="en-US" w:eastAsia="zh-CN"/>
        </w:rPr>
        <w:t>如何实现：许可人可以通过在谈判期间清楚阐明与知识产权相关的愿景和价值观（包括许可协议中的这些要素）来实现这一目标，并向被许可人提供关于如何利用知识产权以保持与共同愿景和目标一致的指南。价值观。</w:t>
      </w:r>
    </w:p>
    <w:p w14:paraId="3D379F45">
      <w:pPr>
        <w:pStyle w:val="78"/>
        <w:bidi w:val="0"/>
        <w:rPr>
          <w:rFonts w:hint="eastAsia"/>
          <w:lang w:val="en-US" w:eastAsia="zh-CN"/>
        </w:rPr>
      </w:pPr>
      <w:bookmarkStart w:id="33" w:name="_Toc158732020"/>
      <w:r>
        <w:rPr>
          <w:rFonts w:hint="eastAsia"/>
          <w:lang w:val="en-US" w:eastAsia="zh-CN"/>
        </w:rPr>
        <w:t>被许可人视角</w:t>
      </w:r>
      <w:bookmarkEnd w:id="33"/>
    </w:p>
    <w:p w14:paraId="3FFF4E2F">
      <w:pPr>
        <w:pStyle w:val="84"/>
        <w:bidi w:val="0"/>
        <w:spacing w:before="0" w:beforeLines="0" w:after="0" w:afterLines="0"/>
        <w:rPr>
          <w:rFonts w:hint="eastAsia"/>
          <w:lang w:val="en-US" w:eastAsia="zh-CN"/>
        </w:rPr>
      </w:pPr>
      <w:r>
        <w:rPr>
          <w:rFonts w:hint="eastAsia"/>
          <w:lang w:val="en-US" w:eastAsia="zh-CN"/>
        </w:rPr>
        <w:t>内容：被许可人的目的是理解并接受与许可知识产权相关的愿景和价值观，以确保其使用符合许可人的期望。</w:t>
      </w:r>
    </w:p>
    <w:p w14:paraId="3881705C">
      <w:pPr>
        <w:pStyle w:val="84"/>
        <w:bidi w:val="0"/>
        <w:spacing w:before="0" w:beforeLines="0" w:after="0" w:afterLines="0"/>
        <w:rPr>
          <w:rFonts w:hint="eastAsia"/>
          <w:lang w:val="en-US" w:eastAsia="zh-CN"/>
        </w:rPr>
      </w:pPr>
      <w:r>
        <w:rPr>
          <w:rFonts w:hint="eastAsia"/>
          <w:lang w:val="en-US" w:eastAsia="zh-CN"/>
        </w:rPr>
        <w:t>可以促进与许可方的积极关系，确保遵守道德和品牌考虑，并可能导致许可协议的潜在延期或续签。</w:t>
      </w:r>
    </w:p>
    <w:p w14:paraId="07CBD51C">
      <w:pPr>
        <w:pStyle w:val="84"/>
        <w:bidi w:val="0"/>
        <w:spacing w:before="0" w:beforeLines="0" w:after="0" w:afterLines="0"/>
        <w:rPr>
          <w:rFonts w:hint="eastAsia"/>
          <w:lang w:val="en-US" w:eastAsia="zh-CN"/>
        </w:rPr>
      </w:pPr>
      <w:r>
        <w:rPr>
          <w:rFonts w:hint="eastAsia"/>
          <w:lang w:val="en-US" w:eastAsia="zh-CN"/>
        </w:rPr>
        <w:t>如何实现：被许可人可以通过熟悉许可人的愿景和价值观，将其纳入知识产权的使用和推广中，并在需要时寻求许可人的澄清以确保持续一致来实现这一点。</w:t>
      </w:r>
    </w:p>
    <w:p w14:paraId="352BC20C">
      <w:pPr>
        <w:pStyle w:val="77"/>
        <w:bidi w:val="0"/>
        <w:rPr>
          <w:rFonts w:hint="eastAsia"/>
          <w:lang w:val="en-US" w:eastAsia="zh-CN"/>
        </w:rPr>
      </w:pPr>
      <w:bookmarkStart w:id="34" w:name="_Toc158732021"/>
      <w:r>
        <w:rPr>
          <w:rFonts w:hint="eastAsia"/>
          <w:lang w:val="en-US" w:eastAsia="zh-CN"/>
        </w:rPr>
        <w:t>原则 3：业务目标</w:t>
      </w:r>
      <w:bookmarkEnd w:id="34"/>
    </w:p>
    <w:p w14:paraId="642ED7BA">
      <w:pPr>
        <w:pStyle w:val="77"/>
        <w:bidi w:val="0"/>
        <w:rPr>
          <w:rFonts w:hint="eastAsia"/>
          <w:lang w:val="en-US" w:eastAsia="zh-CN"/>
        </w:rPr>
      </w:pPr>
      <w:bookmarkStart w:id="35" w:name="_Toc158732022"/>
      <w:r>
        <w:rPr>
          <w:rFonts w:hint="eastAsia"/>
          <w:lang w:val="en-US" w:eastAsia="zh-CN"/>
        </w:rPr>
        <w:t>许可方观点</w:t>
      </w:r>
      <w:bookmarkEnd w:id="35"/>
    </w:p>
    <w:p w14:paraId="0E7DC975">
      <w:pPr>
        <w:pStyle w:val="84"/>
        <w:bidi w:val="0"/>
        <w:spacing w:before="0" w:beforeLines="0" w:after="0" w:afterLines="0"/>
        <w:rPr>
          <w:rFonts w:hint="eastAsia"/>
          <w:lang w:val="en-US" w:eastAsia="zh-CN"/>
        </w:rPr>
      </w:pPr>
      <w:r>
        <w:rPr>
          <w:rFonts w:hint="eastAsia"/>
          <w:lang w:val="en-US" w:eastAsia="zh-CN"/>
        </w:rPr>
        <w:t>内容：许可方的目的是确保许可的知识产权支持并符合整体业务目标，例如创收、品牌提升或市场扩张。</w:t>
      </w:r>
    </w:p>
    <w:p w14:paraId="7504F001">
      <w:pPr>
        <w:pStyle w:val="84"/>
        <w:bidi w:val="0"/>
        <w:spacing w:before="0" w:beforeLines="0" w:after="0" w:afterLines="0"/>
        <w:rPr>
          <w:rFonts w:hint="eastAsia"/>
          <w:lang w:val="en-US" w:eastAsia="zh-CN"/>
        </w:rPr>
      </w:pPr>
      <w:r>
        <w:rPr>
          <w:rFonts w:hint="eastAsia"/>
          <w:lang w:val="en-US" w:eastAsia="zh-CN"/>
        </w:rPr>
        <w:t>原因：知识产权许可应有助于许可人的战略目标和财务绩效。</w:t>
      </w:r>
    </w:p>
    <w:p w14:paraId="1577F093">
      <w:pPr>
        <w:pStyle w:val="84"/>
        <w:bidi w:val="0"/>
        <w:spacing w:before="0" w:beforeLines="0" w:after="0" w:afterLines="0"/>
        <w:rPr>
          <w:rFonts w:hint="eastAsia"/>
          <w:lang w:val="en-US" w:eastAsia="zh-CN"/>
        </w:rPr>
      </w:pPr>
      <w:r>
        <w:rPr>
          <w:rFonts w:hint="eastAsia"/>
          <w:lang w:val="en-US" w:eastAsia="zh-CN"/>
        </w:rPr>
        <w:t>如何实现：许可人可以通过明确定义与知识产权许可安排相关的具体业务目标、设置与这些目标一致的绩效指标以及定期评估被许可人的活动以确保其支持既定的业务目标来实现这一目标。</w:t>
      </w:r>
    </w:p>
    <w:p w14:paraId="342A3331">
      <w:pPr>
        <w:pStyle w:val="78"/>
        <w:bidi w:val="0"/>
        <w:rPr>
          <w:rFonts w:hint="eastAsia"/>
          <w:lang w:val="en-US" w:eastAsia="zh-CN"/>
        </w:rPr>
      </w:pPr>
      <w:bookmarkStart w:id="36" w:name="_Toc158732023"/>
      <w:r>
        <w:rPr>
          <w:rFonts w:hint="eastAsia"/>
          <w:lang w:val="en-US" w:eastAsia="zh-CN"/>
        </w:rPr>
        <w:t>被许可人视角</w:t>
      </w:r>
      <w:bookmarkEnd w:id="36"/>
    </w:p>
    <w:p w14:paraId="05A4EF47">
      <w:pPr>
        <w:pStyle w:val="84"/>
        <w:bidi w:val="0"/>
        <w:spacing w:before="0" w:beforeLines="0" w:after="0" w:afterLines="0"/>
        <w:rPr>
          <w:rFonts w:hint="eastAsia"/>
          <w:lang w:val="en-US" w:eastAsia="zh-CN"/>
        </w:rPr>
      </w:pPr>
      <w:r>
        <w:rPr>
          <w:rFonts w:hint="eastAsia"/>
          <w:lang w:val="en-US" w:eastAsia="zh-CN"/>
        </w:rPr>
        <w:t>内容：被许可人的目的是以支持其自身业务目标和战略优先事项的方式利用许可的知识产权。</w:t>
      </w:r>
    </w:p>
    <w:p w14:paraId="4B6C9371">
      <w:pPr>
        <w:pStyle w:val="84"/>
        <w:bidi w:val="0"/>
        <w:spacing w:before="0" w:beforeLines="0" w:after="0" w:afterLines="0"/>
        <w:rPr>
          <w:rFonts w:hint="eastAsia"/>
          <w:lang w:val="en-US" w:eastAsia="zh-CN"/>
        </w:rPr>
      </w:pPr>
      <w:r>
        <w:rPr>
          <w:rFonts w:hint="eastAsia"/>
          <w:lang w:val="en-US" w:eastAsia="zh-CN"/>
        </w:rPr>
        <w:t>原因：它确保被许可人能够从许可的知识产权中获取价值并实现其期望的结果，例如产品差异化、市场渗透或收入增长。</w:t>
      </w:r>
    </w:p>
    <w:p w14:paraId="3ABC1C6D">
      <w:pPr>
        <w:pStyle w:val="84"/>
        <w:bidi w:val="0"/>
        <w:spacing w:before="0" w:beforeLines="0" w:after="0" w:afterLines="0"/>
        <w:rPr>
          <w:rFonts w:hint="eastAsia"/>
          <w:lang w:val="en-US" w:eastAsia="zh-CN"/>
        </w:rPr>
      </w:pPr>
      <w:r>
        <w:rPr>
          <w:rFonts w:hint="eastAsia"/>
          <w:lang w:val="en-US" w:eastAsia="zh-CN"/>
        </w:rPr>
        <w:t>如何实现：被许可人可以通过将许可知识产权的使用与其战略计划相结合、积极寻找利用知识产权实现业务目标的方法以及与许可人沟通以确保其活动符合商定的方式来实现这一点业务目标。</w:t>
      </w:r>
    </w:p>
    <w:p w14:paraId="31D015B7">
      <w:pPr>
        <w:pStyle w:val="77"/>
        <w:bidi w:val="0"/>
        <w:rPr>
          <w:rFonts w:hint="eastAsia"/>
          <w:lang w:val="en-US" w:eastAsia="zh-CN"/>
        </w:rPr>
      </w:pPr>
      <w:bookmarkStart w:id="37" w:name="_Toc158732024"/>
      <w:r>
        <w:rPr>
          <w:rFonts w:hint="eastAsia"/>
          <w:lang w:val="en-US" w:eastAsia="zh-CN"/>
        </w:rPr>
        <w:t>原则 4：协作领导</w:t>
      </w:r>
      <w:bookmarkEnd w:id="37"/>
    </w:p>
    <w:p w14:paraId="47F2345C">
      <w:pPr>
        <w:pStyle w:val="78"/>
        <w:bidi w:val="0"/>
        <w:rPr>
          <w:rFonts w:hint="eastAsia"/>
          <w:lang w:val="en-US" w:eastAsia="zh-CN"/>
        </w:rPr>
      </w:pPr>
      <w:bookmarkStart w:id="38" w:name="_Toc158732025"/>
      <w:r>
        <w:rPr>
          <w:rFonts w:hint="eastAsia"/>
          <w:lang w:val="en-US" w:eastAsia="zh-CN"/>
        </w:rPr>
        <w:t>许可方观点</w:t>
      </w:r>
      <w:bookmarkEnd w:id="38"/>
    </w:p>
    <w:p w14:paraId="7E54A199">
      <w:pPr>
        <w:pStyle w:val="84"/>
        <w:bidi w:val="0"/>
        <w:spacing w:before="0" w:beforeLines="0" w:after="0" w:afterLines="0"/>
        <w:rPr>
          <w:rFonts w:hint="eastAsia"/>
          <w:lang w:val="en-US" w:eastAsia="zh-CN"/>
        </w:rPr>
      </w:pPr>
      <w:r>
        <w:rPr>
          <w:rFonts w:hint="eastAsia"/>
          <w:lang w:val="en-US" w:eastAsia="zh-CN"/>
        </w:rPr>
        <w:t>内容：许可方的目的是通过指导和支持被许可方有效利用许可的知识产权并实现共同成功来提供协作领导。</w:t>
      </w:r>
    </w:p>
    <w:p w14:paraId="31C50EA2">
      <w:pPr>
        <w:pStyle w:val="84"/>
        <w:bidi w:val="0"/>
        <w:spacing w:before="0" w:beforeLines="0" w:after="0" w:afterLines="0"/>
        <w:rPr>
          <w:rFonts w:hint="eastAsia"/>
          <w:lang w:val="en-US" w:eastAsia="zh-CN"/>
        </w:rPr>
      </w:pPr>
      <w:r>
        <w:rPr>
          <w:rFonts w:hint="eastAsia"/>
          <w:lang w:val="en-US" w:eastAsia="zh-CN"/>
        </w:rPr>
        <w:t>原因：它可以营造合作环境，鼓励创新，并有助于最大限度地提高双方许可知识产权的价值。</w:t>
      </w:r>
    </w:p>
    <w:p w14:paraId="0E103A28">
      <w:pPr>
        <w:pStyle w:val="84"/>
        <w:bidi w:val="0"/>
        <w:spacing w:before="0" w:beforeLines="0" w:after="0" w:afterLines="0"/>
        <w:rPr>
          <w:rFonts w:hint="eastAsia"/>
          <w:lang w:val="en-US" w:eastAsia="zh-CN"/>
        </w:rPr>
      </w:pPr>
      <w:r>
        <w:rPr>
          <w:rFonts w:hint="eastAsia"/>
          <w:lang w:val="en-US" w:eastAsia="zh-CN"/>
        </w:rPr>
        <w:t>如何实现：许可人可以通过提供战略指导、分享行业见解、在需要时提供技术支持以及与被许可人合作开展可提高许可知识产权价值的联合计划来实现这一目标。</w:t>
      </w:r>
    </w:p>
    <w:p w14:paraId="2F6AA396">
      <w:pPr>
        <w:pStyle w:val="78"/>
        <w:bidi w:val="0"/>
        <w:rPr>
          <w:rFonts w:hint="eastAsia"/>
          <w:lang w:val="en-US" w:eastAsia="zh-CN"/>
        </w:rPr>
      </w:pPr>
      <w:bookmarkStart w:id="39" w:name="_Toc158732026"/>
      <w:r>
        <w:rPr>
          <w:rFonts w:hint="eastAsia"/>
          <w:lang w:val="en-US" w:eastAsia="zh-CN"/>
        </w:rPr>
        <w:t>被许可人视角</w:t>
      </w:r>
      <w:bookmarkEnd w:id="39"/>
    </w:p>
    <w:p w14:paraId="15EB139A">
      <w:pPr>
        <w:pStyle w:val="84"/>
        <w:bidi w:val="0"/>
        <w:spacing w:before="0" w:beforeLines="0" w:after="0" w:afterLines="0"/>
        <w:rPr>
          <w:rFonts w:hint="eastAsia"/>
          <w:lang w:val="en-US" w:eastAsia="zh-CN"/>
        </w:rPr>
      </w:pPr>
      <w:r>
        <w:rPr>
          <w:rFonts w:hint="eastAsia"/>
          <w:lang w:val="en-US" w:eastAsia="zh-CN"/>
        </w:rPr>
        <w:t>内容：被许可人的目的是通过贡献创新想法、反馈和专业知识来积极参与协作领导，以提高被许可知识产权的价值和潜力。</w:t>
      </w:r>
    </w:p>
    <w:p w14:paraId="51CD71F5">
      <w:pPr>
        <w:pStyle w:val="84"/>
        <w:bidi w:val="0"/>
        <w:spacing w:before="0" w:beforeLines="0" w:after="0" w:afterLines="0"/>
        <w:rPr>
          <w:rFonts w:hint="eastAsia"/>
          <w:lang w:val="en-US" w:eastAsia="zh-CN"/>
        </w:rPr>
      </w:pPr>
      <w:r>
        <w:rPr>
          <w:rFonts w:hint="eastAsia"/>
          <w:lang w:val="en-US" w:eastAsia="zh-CN"/>
        </w:rPr>
        <w:t>原因：它可以促进主人翁意识，鼓励创造性投入，并允许被许可人为许可知识产权的成功和发展做出贡献。</w:t>
      </w:r>
    </w:p>
    <w:p w14:paraId="7D5003D0">
      <w:pPr>
        <w:pStyle w:val="84"/>
        <w:bidi w:val="0"/>
        <w:spacing w:before="0" w:beforeLines="0" w:after="0" w:afterLines="0"/>
        <w:rPr>
          <w:rFonts w:hint="eastAsia"/>
          <w:lang w:val="en-US" w:eastAsia="zh-CN"/>
        </w:rPr>
      </w:pPr>
      <w:r>
        <w:rPr>
          <w:rFonts w:hint="eastAsia"/>
          <w:lang w:val="en-US" w:eastAsia="zh-CN"/>
        </w:rPr>
        <w:t>如何实现：被许可人可以通过提出知识产权的创新用途、向许可人提供有关市场趋势或技术进步的反馈以及参与许可人提出的联合项目或举措来实现这一目标，以最大限度地发挥被许可知识产权的影响。</w:t>
      </w:r>
    </w:p>
    <w:p w14:paraId="32DEABF4">
      <w:pPr>
        <w:pStyle w:val="77"/>
        <w:bidi w:val="0"/>
        <w:rPr>
          <w:rFonts w:hint="eastAsia"/>
          <w:lang w:val="en-US" w:eastAsia="zh-CN"/>
        </w:rPr>
      </w:pPr>
      <w:bookmarkStart w:id="40" w:name="_Toc158732027"/>
      <w:r>
        <w:rPr>
          <w:rFonts w:hint="eastAsia"/>
          <w:lang w:val="en-US" w:eastAsia="zh-CN"/>
        </w:rPr>
        <w:t>原则 5：治理和流程</w:t>
      </w:r>
      <w:bookmarkEnd w:id="40"/>
    </w:p>
    <w:p w14:paraId="4D91A9C5">
      <w:pPr>
        <w:pStyle w:val="78"/>
        <w:bidi w:val="0"/>
        <w:rPr>
          <w:rFonts w:hint="eastAsia"/>
          <w:lang w:val="en-US" w:eastAsia="zh-CN"/>
        </w:rPr>
      </w:pPr>
      <w:bookmarkStart w:id="41" w:name="_Toc158732028"/>
      <w:r>
        <w:rPr>
          <w:rFonts w:hint="eastAsia"/>
          <w:lang w:val="en-US" w:eastAsia="zh-CN"/>
        </w:rPr>
        <w:t>许可方观点</w:t>
      </w:r>
      <w:bookmarkEnd w:id="41"/>
    </w:p>
    <w:p w14:paraId="23D5E4E6">
      <w:pPr>
        <w:pStyle w:val="84"/>
        <w:bidi w:val="0"/>
        <w:spacing w:before="0" w:beforeLines="0" w:after="0" w:afterLines="0"/>
        <w:rPr>
          <w:rFonts w:hint="eastAsia"/>
          <w:lang w:val="en-US" w:eastAsia="zh-CN"/>
        </w:rPr>
      </w:pPr>
      <w:r>
        <w:rPr>
          <w:rFonts w:hint="eastAsia"/>
          <w:lang w:val="en-US" w:eastAsia="zh-CN"/>
        </w:rPr>
        <w:t>内容：许可方的目的是建立明确的治理和流程，以有效管理知识产权许可安排，包括概述权利、责任、决策程序和合规要求。</w:t>
      </w:r>
    </w:p>
    <w:p w14:paraId="7FEDAAC5">
      <w:pPr>
        <w:pStyle w:val="84"/>
        <w:bidi w:val="0"/>
        <w:spacing w:before="0" w:beforeLines="0" w:after="0" w:afterLines="0"/>
        <w:rPr>
          <w:rFonts w:hint="eastAsia"/>
          <w:lang w:val="en-US" w:eastAsia="zh-CN"/>
        </w:rPr>
      </w:pPr>
      <w:r>
        <w:rPr>
          <w:rFonts w:hint="eastAsia"/>
          <w:lang w:val="en-US" w:eastAsia="zh-CN"/>
        </w:rPr>
        <w:t>原因：它确保许可知识产权的使用方式符合法律和监管标准，保护许可人的利益，并提供解决许可期间可能出现的问题或争议的框架。</w:t>
      </w:r>
    </w:p>
    <w:p w14:paraId="1760E025">
      <w:pPr>
        <w:pStyle w:val="84"/>
        <w:bidi w:val="0"/>
        <w:spacing w:before="0" w:beforeLines="0" w:after="0" w:afterLines="0"/>
        <w:rPr>
          <w:rFonts w:hint="eastAsia"/>
          <w:lang w:val="en-US" w:eastAsia="zh-CN"/>
        </w:rPr>
      </w:pPr>
      <w:r>
        <w:rPr>
          <w:rFonts w:hint="eastAsia"/>
          <w:lang w:val="en-US" w:eastAsia="zh-CN"/>
        </w:rPr>
        <w:t>如何实现：许可方可以通过明确定义许可协议的条款和条件、建立监控和执行合规性的机制，并为与质量控制、产品开发以及许可知识产权的任何修改或改进相关的流程提供指南来实现这一点。</w:t>
      </w:r>
    </w:p>
    <w:p w14:paraId="7A10F302">
      <w:pPr>
        <w:pStyle w:val="78"/>
        <w:bidi w:val="0"/>
        <w:rPr>
          <w:rFonts w:hint="eastAsia"/>
          <w:lang w:val="en-US" w:eastAsia="zh-CN"/>
        </w:rPr>
      </w:pPr>
      <w:bookmarkStart w:id="42" w:name="_Toc158732029"/>
      <w:r>
        <w:rPr>
          <w:rFonts w:hint="eastAsia"/>
          <w:lang w:val="en-US" w:eastAsia="zh-CN"/>
        </w:rPr>
        <w:t>被许可人视角</w:t>
      </w:r>
      <w:bookmarkEnd w:id="42"/>
    </w:p>
    <w:p w14:paraId="687758B5">
      <w:pPr>
        <w:pStyle w:val="84"/>
        <w:bidi w:val="0"/>
        <w:spacing w:before="0" w:beforeLines="0" w:after="0" w:afterLines="0"/>
        <w:rPr>
          <w:rFonts w:hint="eastAsia"/>
          <w:lang w:val="en-US" w:eastAsia="zh-CN"/>
        </w:rPr>
      </w:pPr>
      <w:r>
        <w:rPr>
          <w:rFonts w:hint="eastAsia"/>
          <w:lang w:val="en-US" w:eastAsia="zh-CN"/>
        </w:rPr>
        <w:t>内容：被许可人的目的是遵守既定​​的治理和流程，以确保负责任地使用和管理许可的知识产权，并保持遵守商定的条款和条件。</w:t>
      </w:r>
    </w:p>
    <w:p w14:paraId="2E5E3DDC">
      <w:pPr>
        <w:pStyle w:val="84"/>
        <w:bidi w:val="0"/>
        <w:spacing w:before="0" w:beforeLines="0" w:after="0" w:afterLines="0"/>
        <w:rPr>
          <w:rFonts w:hint="eastAsia"/>
          <w:lang w:val="en-US" w:eastAsia="zh-CN"/>
        </w:rPr>
      </w:pPr>
      <w:r>
        <w:rPr>
          <w:rFonts w:hint="eastAsia"/>
          <w:lang w:val="en-US" w:eastAsia="zh-CN"/>
        </w:rPr>
        <w:t>原因：可以帮助被许可人了解自己的义务，避免潜在的冲突，并在许可人设定的范围内运营，从而降低法律或运营问题的风险。</w:t>
      </w:r>
    </w:p>
    <w:p w14:paraId="5C0D39C8">
      <w:pPr>
        <w:pStyle w:val="84"/>
        <w:bidi w:val="0"/>
        <w:spacing w:before="0" w:beforeLines="0" w:after="0" w:afterLines="0"/>
        <w:rPr>
          <w:rFonts w:hint="eastAsia"/>
          <w:lang w:val="en-US" w:eastAsia="zh-CN"/>
        </w:rPr>
      </w:pPr>
      <w:r>
        <w:rPr>
          <w:rFonts w:hint="eastAsia"/>
          <w:lang w:val="en-US" w:eastAsia="zh-CN"/>
        </w:rPr>
        <w:t>如何实施：被许可人可以通过彻底审查和理解许可协议的条款、建立内部流程来跟踪和报告许可知识产权的使用情况、寻求对任何计划的修改或衍生作品的批准以及及时解决任何不合规情况来实施这一点许可方或相关当局发现的问题。</w:t>
      </w:r>
    </w:p>
    <w:p w14:paraId="41E121B5">
      <w:pPr>
        <w:pStyle w:val="77"/>
        <w:bidi w:val="0"/>
        <w:rPr>
          <w:rFonts w:hint="eastAsia"/>
          <w:lang w:val="en-US" w:eastAsia="zh-CN"/>
        </w:rPr>
      </w:pPr>
      <w:bookmarkStart w:id="43" w:name="_Toc158732030"/>
      <w:r>
        <w:rPr>
          <w:rFonts w:hint="eastAsia"/>
          <w:lang w:val="en-US" w:eastAsia="zh-CN"/>
        </w:rPr>
        <w:t>原则 6：协作能力和行为</w:t>
      </w:r>
      <w:bookmarkEnd w:id="43"/>
    </w:p>
    <w:p w14:paraId="6E383760">
      <w:pPr>
        <w:pStyle w:val="78"/>
        <w:bidi w:val="0"/>
        <w:rPr>
          <w:rFonts w:hint="eastAsia"/>
          <w:lang w:val="en-US" w:eastAsia="zh-CN"/>
        </w:rPr>
      </w:pPr>
      <w:bookmarkStart w:id="44" w:name="_Toc158732031"/>
      <w:r>
        <w:rPr>
          <w:rFonts w:hint="eastAsia"/>
          <w:lang w:val="en-US" w:eastAsia="zh-CN"/>
        </w:rPr>
        <w:t>许可方观点</w:t>
      </w:r>
      <w:bookmarkEnd w:id="44"/>
    </w:p>
    <w:p w14:paraId="3E0DD52E">
      <w:pPr>
        <w:pStyle w:val="84"/>
        <w:bidi w:val="0"/>
        <w:spacing w:before="0" w:beforeLines="0" w:after="0" w:afterLines="0"/>
        <w:rPr>
          <w:rFonts w:hint="eastAsia"/>
          <w:lang w:val="en-US" w:eastAsia="zh-CN"/>
        </w:rPr>
      </w:pPr>
      <w:r>
        <w:rPr>
          <w:rFonts w:hint="eastAsia"/>
          <w:lang w:val="en-US" w:eastAsia="zh-CN"/>
        </w:rPr>
        <w:t>内容：许可方的目的是通过与被许可方积极互动、共享知识以及营造相互学习和创新的环境来促进协作能力和行为。</w:t>
      </w:r>
    </w:p>
    <w:p w14:paraId="05900BAD">
      <w:pPr>
        <w:pStyle w:val="84"/>
        <w:bidi w:val="0"/>
        <w:spacing w:before="0" w:beforeLines="0" w:after="0" w:afterLines="0"/>
        <w:rPr>
          <w:rFonts w:hint="eastAsia"/>
          <w:lang w:val="en-US" w:eastAsia="zh-CN"/>
        </w:rPr>
      </w:pPr>
      <w:r>
        <w:rPr>
          <w:rFonts w:hint="eastAsia"/>
          <w:lang w:val="en-US" w:eastAsia="zh-CN"/>
        </w:rPr>
        <w:t>原因：鼓励思想、专业知识和最佳实践的交流，从而更好地利用许可的知识产权以及联合创新和市场成功的潜力。</w:t>
      </w:r>
    </w:p>
    <w:p w14:paraId="547D3882">
      <w:pPr>
        <w:pStyle w:val="84"/>
        <w:bidi w:val="0"/>
        <w:spacing w:before="0" w:beforeLines="0" w:after="0" w:afterLines="0"/>
        <w:rPr>
          <w:rFonts w:hint="eastAsia"/>
          <w:lang w:val="en-US" w:eastAsia="zh-CN"/>
        </w:rPr>
      </w:pPr>
      <w:r>
        <w:rPr>
          <w:rFonts w:hint="eastAsia"/>
          <w:lang w:val="en-US" w:eastAsia="zh-CN"/>
        </w:rPr>
        <w:t>如何实现：许可人可以通过提供培训课程、提供技术资源、寻求被许可人的反馈以及鼓励许可关系中开放沟通和协作的文化来实现这一点。</w:t>
      </w:r>
    </w:p>
    <w:p w14:paraId="14A9B2BF">
      <w:pPr>
        <w:pStyle w:val="78"/>
        <w:bidi w:val="0"/>
        <w:rPr>
          <w:rFonts w:hint="eastAsia"/>
          <w:lang w:val="en-US" w:eastAsia="zh-CN"/>
        </w:rPr>
      </w:pPr>
      <w:bookmarkStart w:id="45" w:name="_Toc158732032"/>
      <w:r>
        <w:rPr>
          <w:rFonts w:hint="eastAsia"/>
          <w:lang w:val="en-US" w:eastAsia="zh-CN"/>
        </w:rPr>
        <w:t>被许可人视角</w:t>
      </w:r>
      <w:bookmarkEnd w:id="45"/>
    </w:p>
    <w:p w14:paraId="1ADF866B">
      <w:pPr>
        <w:pStyle w:val="84"/>
        <w:bidi w:val="0"/>
        <w:spacing w:before="0" w:beforeLines="0" w:after="0" w:afterLines="0"/>
        <w:rPr>
          <w:rFonts w:hint="eastAsia"/>
          <w:lang w:val="en-US" w:eastAsia="zh-CN"/>
        </w:rPr>
      </w:pPr>
      <w:r>
        <w:rPr>
          <w:rFonts w:hint="eastAsia"/>
          <w:lang w:val="en-US" w:eastAsia="zh-CN"/>
        </w:rPr>
        <w:t>内容：被许可人的目的是通过积极参与知识共享、贡献见解并利用许可的知识产权来推动创新和业务增长，从而展示协作能力和行为。</w:t>
      </w:r>
    </w:p>
    <w:p w14:paraId="7D1D558B">
      <w:pPr>
        <w:pStyle w:val="84"/>
        <w:bidi w:val="0"/>
        <w:spacing w:before="0" w:beforeLines="0" w:after="0" w:afterLines="0"/>
        <w:rPr>
          <w:rFonts w:hint="eastAsia"/>
          <w:lang w:val="en-US" w:eastAsia="zh-CN"/>
        </w:rPr>
      </w:pPr>
      <w:r>
        <w:rPr>
          <w:rFonts w:hint="eastAsia"/>
          <w:lang w:val="en-US" w:eastAsia="zh-CN"/>
        </w:rPr>
        <w:t>原因：它允许被许可人从许可人的专业知识中受益，增强自己的能力，并有可能导致基于许可知识产权的新产品或流程的开发。</w:t>
      </w:r>
    </w:p>
    <w:p w14:paraId="57C27E27">
      <w:pPr>
        <w:pStyle w:val="84"/>
        <w:bidi w:val="0"/>
        <w:spacing w:before="0" w:beforeLines="0" w:after="0" w:afterLines="0"/>
        <w:rPr>
          <w:rFonts w:hint="eastAsia"/>
          <w:lang w:val="en-US" w:eastAsia="zh-CN"/>
        </w:rPr>
      </w:pPr>
      <w:r>
        <w:rPr>
          <w:rFonts w:hint="eastAsia"/>
          <w:lang w:val="en-US" w:eastAsia="zh-CN"/>
        </w:rPr>
        <w:t>如何实现：被许可人可以通过积极与许可人进行讨论、寻求联合研究或开发项目的机会、分享与被许可知识产权相关的经验和见解、并表现出学习和合作以实现互利的意愿来实现这一点。</w:t>
      </w:r>
    </w:p>
    <w:p w14:paraId="6DC4B996">
      <w:pPr>
        <w:pStyle w:val="77"/>
        <w:bidi w:val="0"/>
        <w:rPr>
          <w:rFonts w:hint="eastAsia"/>
          <w:lang w:val="en-US" w:eastAsia="zh-CN"/>
        </w:rPr>
      </w:pPr>
      <w:bookmarkStart w:id="46" w:name="_Toc158732033"/>
      <w:r>
        <w:rPr>
          <w:rFonts w:hint="eastAsia"/>
          <w:lang w:val="en-US" w:eastAsia="zh-CN"/>
        </w:rPr>
        <w:t>原则 7：互惠互利的信任和承诺</w:t>
      </w:r>
      <w:bookmarkEnd w:id="46"/>
    </w:p>
    <w:p w14:paraId="38DC8FA1">
      <w:pPr>
        <w:pStyle w:val="78"/>
        <w:bidi w:val="0"/>
        <w:rPr>
          <w:rFonts w:hint="eastAsia"/>
          <w:lang w:val="en-US" w:eastAsia="zh-CN"/>
        </w:rPr>
      </w:pPr>
      <w:bookmarkStart w:id="47" w:name="_Toc158732034"/>
      <w:r>
        <w:rPr>
          <w:rFonts w:hint="eastAsia"/>
          <w:lang w:val="en-US" w:eastAsia="zh-CN"/>
        </w:rPr>
        <w:t>许可方观点</w:t>
      </w:r>
      <w:bookmarkEnd w:id="47"/>
    </w:p>
    <w:p w14:paraId="0596B2DC">
      <w:pPr>
        <w:pStyle w:val="84"/>
        <w:bidi w:val="0"/>
        <w:spacing w:before="0" w:beforeLines="0" w:after="0" w:afterLines="0"/>
        <w:rPr>
          <w:rFonts w:hint="eastAsia"/>
          <w:lang w:val="en-US" w:eastAsia="zh-CN"/>
        </w:rPr>
      </w:pPr>
      <w:r>
        <w:rPr>
          <w:rFonts w:hint="eastAsia"/>
          <w:lang w:val="en-US" w:eastAsia="zh-CN"/>
        </w:rPr>
        <w:t>内容：许可方的目的是在共同目标和开放沟通的基础上，通过与被许可方建立透明、公平的关系，建立信任和互惠互利的承诺。</w:t>
      </w:r>
    </w:p>
    <w:p w14:paraId="1E9B3612">
      <w:pPr>
        <w:pStyle w:val="84"/>
        <w:bidi w:val="0"/>
        <w:spacing w:before="0" w:beforeLines="0" w:after="0" w:afterLines="0"/>
        <w:rPr>
          <w:rFonts w:hint="eastAsia"/>
          <w:lang w:val="en-US" w:eastAsia="zh-CN"/>
        </w:rPr>
      </w:pPr>
      <w:r>
        <w:rPr>
          <w:rFonts w:hint="eastAsia"/>
          <w:lang w:val="en-US" w:eastAsia="zh-CN"/>
        </w:rPr>
        <w:t>原因：长期和富有成效的合作伙伴关系奠定了基础，减少了争议的可能性，并确保双方都致力于最大化许可知识产权的价值。</w:t>
      </w:r>
    </w:p>
    <w:p w14:paraId="5D0DC260">
      <w:pPr>
        <w:pStyle w:val="84"/>
        <w:bidi w:val="0"/>
        <w:spacing w:before="0" w:beforeLines="0" w:after="0" w:afterLines="0"/>
        <w:rPr>
          <w:rFonts w:hint="eastAsia"/>
          <w:lang w:val="en-US" w:eastAsia="zh-CN"/>
        </w:rPr>
      </w:pPr>
      <w:r>
        <w:rPr>
          <w:rFonts w:hint="eastAsia"/>
          <w:lang w:val="en-US" w:eastAsia="zh-CN"/>
        </w:rPr>
        <w:t>如何实现：许可方可以通过公开其期望、向被许可方提供支持和资源、履行承诺以及保持开放的沟通渠道来解决可能出现的任何问题或疑虑来实现这一目标。</w:t>
      </w:r>
    </w:p>
    <w:p w14:paraId="095FCA36">
      <w:pPr>
        <w:pStyle w:val="78"/>
        <w:bidi w:val="0"/>
        <w:rPr>
          <w:rFonts w:hint="eastAsia"/>
          <w:lang w:val="en-US" w:eastAsia="zh-CN"/>
        </w:rPr>
      </w:pPr>
      <w:bookmarkStart w:id="48" w:name="_Toc158732035"/>
      <w:r>
        <w:rPr>
          <w:rFonts w:hint="eastAsia"/>
          <w:lang w:val="en-US" w:eastAsia="zh-CN"/>
        </w:rPr>
        <w:t>被许可人视角</w:t>
      </w:r>
      <w:bookmarkEnd w:id="48"/>
    </w:p>
    <w:p w14:paraId="0E04D171">
      <w:pPr>
        <w:pStyle w:val="84"/>
        <w:bidi w:val="0"/>
        <w:spacing w:before="0" w:beforeLines="0" w:after="0" w:afterLines="0"/>
        <w:rPr>
          <w:rFonts w:hint="eastAsia"/>
          <w:lang w:val="en-US" w:eastAsia="zh-CN"/>
        </w:rPr>
      </w:pPr>
      <w:r>
        <w:rPr>
          <w:rFonts w:hint="eastAsia"/>
          <w:lang w:val="en-US" w:eastAsia="zh-CN"/>
        </w:rPr>
        <w:t>内容：被许可人的目的是通过真诚行事、尊重许可人的权利并积极致力于从许可的知识产权中创造价值来建立信任并展示对互惠互利的承诺。</w:t>
      </w:r>
    </w:p>
    <w:p w14:paraId="3888B133">
      <w:pPr>
        <w:pStyle w:val="84"/>
        <w:bidi w:val="0"/>
        <w:spacing w:before="0" w:beforeLines="0" w:after="0" w:afterLines="0"/>
        <w:rPr>
          <w:rFonts w:hint="eastAsia"/>
          <w:lang w:val="en-US" w:eastAsia="zh-CN"/>
        </w:rPr>
      </w:pPr>
      <w:r>
        <w:rPr>
          <w:rFonts w:hint="eastAsia"/>
          <w:lang w:val="en-US" w:eastAsia="zh-CN"/>
        </w:rPr>
        <w:t>原因：可以营造积极的协作环境，鼓励持续合作，并有助于与许可方建立牢固而持久的关系。</w:t>
      </w:r>
    </w:p>
    <w:p w14:paraId="7B8E9049">
      <w:pPr>
        <w:pStyle w:val="84"/>
        <w:bidi w:val="0"/>
        <w:spacing w:before="0" w:beforeLines="0" w:after="0" w:afterLines="0"/>
        <w:rPr>
          <w:rFonts w:hint="eastAsia"/>
          <w:lang w:val="en-US" w:eastAsia="zh-CN"/>
        </w:rPr>
      </w:pPr>
      <w:r>
        <w:rPr>
          <w:rFonts w:hint="eastAsia"/>
          <w:lang w:val="en-US" w:eastAsia="zh-CN"/>
        </w:rPr>
        <w:t>如何实施：被许可人可以通过遵守许可协议的条款、主动寻找机会提升被许可知识产权的价值、定期向许可人提供其活动的最新信息以及及时解决许可人提出的任何问题来实现这一点和合作方式。</w:t>
      </w:r>
    </w:p>
    <w:p w14:paraId="33D7663F">
      <w:pPr>
        <w:pStyle w:val="77"/>
        <w:bidi w:val="0"/>
        <w:rPr>
          <w:rFonts w:hint="eastAsia"/>
          <w:lang w:val="en-US" w:eastAsia="zh-CN"/>
        </w:rPr>
      </w:pPr>
      <w:bookmarkStart w:id="49" w:name="_Toc158732036"/>
      <w:r>
        <w:rPr>
          <w:rFonts w:hint="eastAsia"/>
          <w:lang w:val="en-US" w:eastAsia="zh-CN"/>
        </w:rPr>
        <w:t>原则 8：价值创造</w:t>
      </w:r>
      <w:bookmarkEnd w:id="49"/>
    </w:p>
    <w:p w14:paraId="19AEBCBF">
      <w:pPr>
        <w:pStyle w:val="78"/>
        <w:bidi w:val="0"/>
        <w:rPr>
          <w:rFonts w:hint="eastAsia"/>
          <w:lang w:val="en-US" w:eastAsia="zh-CN"/>
        </w:rPr>
      </w:pPr>
      <w:bookmarkStart w:id="50" w:name="_Toc158732037"/>
      <w:r>
        <w:rPr>
          <w:rFonts w:hint="eastAsia"/>
          <w:lang w:val="en-US" w:eastAsia="zh-CN"/>
        </w:rPr>
        <w:t>许可方观点</w:t>
      </w:r>
      <w:bookmarkEnd w:id="50"/>
    </w:p>
    <w:p w14:paraId="5EB062E8">
      <w:pPr>
        <w:pStyle w:val="84"/>
        <w:bidi w:val="0"/>
        <w:spacing w:before="0" w:beforeLines="0" w:after="0" w:afterLines="0"/>
        <w:rPr>
          <w:rFonts w:hint="eastAsia"/>
          <w:lang w:val="en-US" w:eastAsia="zh-CN"/>
        </w:rPr>
      </w:pPr>
      <w:r>
        <w:rPr>
          <w:rFonts w:hint="eastAsia"/>
          <w:lang w:val="en-US" w:eastAsia="zh-CN"/>
        </w:rPr>
        <w:t>内容：许可方的目的是通过确保许可的知识产权有助于增强被许可方的产品、服务或市场地位，并为双方带来切实的利益，从而专注于价值创造。</w:t>
      </w:r>
    </w:p>
    <w:p w14:paraId="40AACB05">
      <w:pPr>
        <w:pStyle w:val="84"/>
        <w:bidi w:val="0"/>
        <w:spacing w:before="0" w:beforeLines="0" w:after="0" w:afterLines="0"/>
        <w:rPr>
          <w:rFonts w:hint="eastAsia"/>
          <w:lang w:val="en-US" w:eastAsia="zh-CN"/>
        </w:rPr>
      </w:pPr>
      <w:r>
        <w:rPr>
          <w:rFonts w:hint="eastAsia"/>
          <w:lang w:val="en-US" w:eastAsia="zh-CN"/>
        </w:rPr>
        <w:t>原因：使许可人能够从其知识产权中获得最大价值，增强被许可人的能力，并培养互利的关系。</w:t>
      </w:r>
    </w:p>
    <w:p w14:paraId="6575D2E1">
      <w:pPr>
        <w:pStyle w:val="84"/>
        <w:bidi w:val="0"/>
        <w:spacing w:before="0" w:beforeLines="0" w:after="0" w:afterLines="0"/>
        <w:rPr>
          <w:rFonts w:hint="eastAsia"/>
          <w:lang w:val="en-US" w:eastAsia="zh-CN"/>
        </w:rPr>
      </w:pPr>
      <w:r>
        <w:rPr>
          <w:rFonts w:hint="eastAsia"/>
          <w:lang w:val="en-US" w:eastAsia="zh-CN"/>
        </w:rPr>
        <w:t>如何实现：许可人可以通过以下方式实现这一目标：向被许可人提供有效利用知识产权的支持和资源，提供如何从知识产权中获取最大价值的指导，并与被许可人合作开展旨在创造附加价值的联合计划的IP。</w:t>
      </w:r>
    </w:p>
    <w:p w14:paraId="426314C7">
      <w:pPr>
        <w:pStyle w:val="78"/>
        <w:bidi w:val="0"/>
        <w:rPr>
          <w:rFonts w:hint="eastAsia"/>
          <w:lang w:val="en-US" w:eastAsia="zh-CN"/>
        </w:rPr>
      </w:pPr>
      <w:bookmarkStart w:id="51" w:name="_Toc158732038"/>
      <w:r>
        <w:rPr>
          <w:rFonts w:hint="eastAsia"/>
          <w:lang w:val="en-US" w:eastAsia="zh-CN"/>
        </w:rPr>
        <w:t>被许可人视角</w:t>
      </w:r>
      <w:bookmarkEnd w:id="51"/>
    </w:p>
    <w:p w14:paraId="3CF7D3C6">
      <w:pPr>
        <w:pStyle w:val="84"/>
        <w:bidi w:val="0"/>
        <w:spacing w:before="0" w:beforeLines="0" w:after="0" w:afterLines="0"/>
        <w:rPr>
          <w:rFonts w:hint="eastAsia"/>
          <w:lang w:val="en-US" w:eastAsia="zh-CN"/>
        </w:rPr>
      </w:pPr>
      <w:r>
        <w:rPr>
          <w:rFonts w:hint="eastAsia"/>
          <w:lang w:val="en-US" w:eastAsia="zh-CN"/>
        </w:rPr>
        <w:t>内容：被许可人的目的是通过利用许可的知识产权来增强其产品、服务或竞争优势，从而专注于价值创造，同时为许可安排的整体成功做出贡献。</w:t>
      </w:r>
    </w:p>
    <w:p w14:paraId="4404DF3E">
      <w:pPr>
        <w:pStyle w:val="84"/>
        <w:bidi w:val="0"/>
        <w:spacing w:before="0" w:beforeLines="0" w:after="0" w:afterLines="0"/>
        <w:rPr>
          <w:rFonts w:hint="eastAsia"/>
          <w:lang w:val="en-US" w:eastAsia="zh-CN"/>
        </w:rPr>
      </w:pPr>
      <w:r>
        <w:rPr>
          <w:rFonts w:hint="eastAsia"/>
          <w:lang w:val="en-US" w:eastAsia="zh-CN"/>
        </w:rPr>
        <w:t>原因：允许被许可人区分其产品、进入新市场，并有可能通过使用许可的知识产权来增加收入或市场份额。</w:t>
      </w:r>
    </w:p>
    <w:p w14:paraId="4B014C21">
      <w:pPr>
        <w:pStyle w:val="84"/>
        <w:bidi w:val="0"/>
        <w:spacing w:before="0" w:beforeLines="0" w:after="0" w:afterLines="0"/>
        <w:rPr>
          <w:rFonts w:hint="eastAsia"/>
          <w:lang w:val="en-US" w:eastAsia="zh-CN"/>
        </w:rPr>
      </w:pPr>
      <w:r>
        <w:rPr>
          <w:rFonts w:hint="eastAsia"/>
          <w:lang w:val="en-US" w:eastAsia="zh-CN"/>
        </w:rPr>
        <w:t>如何实现：被许可人可以通过积极寻求将知识产权整合到其产品或流程中的方法、开展旨在扩大知识产权潜力的研发工作以及与许可人合作寻找从知识产权中产生额外价值的机会来实现这一目标。</w:t>
      </w:r>
    </w:p>
    <w:p w14:paraId="48A88C40">
      <w:pPr>
        <w:pStyle w:val="77"/>
        <w:bidi w:val="0"/>
        <w:rPr>
          <w:rFonts w:hint="eastAsia"/>
          <w:highlight w:val="none"/>
          <w:lang w:val="en-US" w:eastAsia="zh-CN"/>
        </w:rPr>
      </w:pPr>
      <w:bookmarkStart w:id="52" w:name="_Toc158732039"/>
      <w:r>
        <w:rPr>
          <w:rFonts w:hint="eastAsia"/>
          <w:lang w:val="en-US" w:eastAsia="zh-CN"/>
        </w:rPr>
        <w:t>原则 9：信息和</w:t>
      </w:r>
      <w:r>
        <w:rPr>
          <w:rFonts w:hint="eastAsia"/>
          <w:highlight w:val="none"/>
          <w:lang w:val="en-US" w:eastAsia="zh-CN"/>
        </w:rPr>
        <w:t>知识共享</w:t>
      </w:r>
      <w:bookmarkEnd w:id="52"/>
    </w:p>
    <w:p w14:paraId="30459475">
      <w:pPr>
        <w:pStyle w:val="78"/>
        <w:bidi w:val="0"/>
        <w:rPr>
          <w:rFonts w:hint="eastAsia"/>
          <w:lang w:val="en-US" w:eastAsia="zh-CN"/>
        </w:rPr>
      </w:pPr>
      <w:bookmarkStart w:id="53" w:name="_Toc158732040"/>
      <w:r>
        <w:rPr>
          <w:rFonts w:hint="eastAsia"/>
          <w:lang w:val="en-US" w:eastAsia="zh-CN"/>
        </w:rPr>
        <w:t>许可方观点</w:t>
      </w:r>
      <w:bookmarkEnd w:id="53"/>
    </w:p>
    <w:p w14:paraId="32B9B851">
      <w:pPr>
        <w:pStyle w:val="84"/>
        <w:bidi w:val="0"/>
        <w:spacing w:before="0" w:beforeLines="0" w:after="0" w:afterLines="0"/>
        <w:rPr>
          <w:rFonts w:hint="eastAsia"/>
          <w:lang w:val="en-US" w:eastAsia="zh-CN"/>
        </w:rPr>
      </w:pPr>
      <w:r>
        <w:rPr>
          <w:rFonts w:hint="eastAsia"/>
          <w:lang w:val="en-US" w:eastAsia="zh-CN"/>
        </w:rPr>
        <w:t>内容：许可方的目的是通过提供与许可知识产权相关的数据、见解和专业知识，积极参与信息和</w:t>
      </w:r>
      <w:r>
        <w:rPr>
          <w:rFonts w:hint="eastAsia"/>
          <w:highlight w:val="none"/>
          <w:lang w:val="en-US" w:eastAsia="zh-CN"/>
        </w:rPr>
        <w:t>知识共享</w:t>
      </w:r>
      <w:r>
        <w:rPr>
          <w:rFonts w:hint="eastAsia"/>
          <w:lang w:val="en-US" w:eastAsia="zh-CN"/>
        </w:rPr>
        <w:t>，以支持被许可方的有效利用和价值创造。</w:t>
      </w:r>
    </w:p>
    <w:p w14:paraId="5B27C50E">
      <w:pPr>
        <w:pStyle w:val="84"/>
        <w:bidi w:val="0"/>
        <w:spacing w:before="0" w:beforeLines="0" w:after="0" w:afterLines="0"/>
        <w:rPr>
          <w:rFonts w:hint="eastAsia"/>
          <w:lang w:val="en-US" w:eastAsia="zh-CN"/>
        </w:rPr>
      </w:pPr>
      <w:r>
        <w:rPr>
          <w:rFonts w:hint="eastAsia"/>
          <w:lang w:val="en-US" w:eastAsia="zh-CN"/>
        </w:rPr>
        <w:t>原因：使被许可人能够更好地理解和利用许可的知识产权，鼓励创新和改进，并促进协作和富有成效的关系。</w:t>
      </w:r>
    </w:p>
    <w:p w14:paraId="12215DBD">
      <w:pPr>
        <w:pStyle w:val="84"/>
        <w:bidi w:val="0"/>
        <w:spacing w:before="0" w:beforeLines="0" w:after="0" w:afterLines="0"/>
        <w:rPr>
          <w:rFonts w:hint="eastAsia"/>
          <w:lang w:val="en-US" w:eastAsia="zh-CN"/>
        </w:rPr>
      </w:pPr>
      <w:r>
        <w:rPr>
          <w:rFonts w:hint="eastAsia"/>
          <w:lang w:val="en-US" w:eastAsia="zh-CN"/>
        </w:rPr>
        <w:t>如何实现：许可方可以通过与被许可方共享技术规范、市场情报和最佳实践、提供有关知识产权使用的培训或研讨会以及保持开放的沟通渠道来解决任何知识差距或问题来实现这一目标。</w:t>
      </w:r>
    </w:p>
    <w:p w14:paraId="76AFED5F">
      <w:pPr>
        <w:pStyle w:val="78"/>
        <w:bidi w:val="0"/>
        <w:rPr>
          <w:rFonts w:hint="eastAsia"/>
          <w:lang w:val="en-US" w:eastAsia="zh-CN"/>
        </w:rPr>
      </w:pPr>
      <w:bookmarkStart w:id="54" w:name="_Toc158732041"/>
      <w:r>
        <w:rPr>
          <w:rFonts w:hint="eastAsia"/>
          <w:lang w:val="en-US" w:eastAsia="zh-CN"/>
        </w:rPr>
        <w:t>被许可人视角</w:t>
      </w:r>
      <w:bookmarkEnd w:id="54"/>
    </w:p>
    <w:p w14:paraId="0BE5ACAE">
      <w:pPr>
        <w:pStyle w:val="84"/>
        <w:bidi w:val="0"/>
        <w:spacing w:before="0" w:beforeLines="0" w:after="0" w:afterLines="0"/>
        <w:rPr>
          <w:rFonts w:hint="eastAsia"/>
          <w:lang w:val="en-US" w:eastAsia="zh-CN"/>
        </w:rPr>
      </w:pPr>
      <w:r>
        <w:rPr>
          <w:rFonts w:hint="eastAsia"/>
          <w:lang w:val="en-US" w:eastAsia="zh-CN"/>
        </w:rPr>
        <w:t>内容：被许可人的目的是积极寻求和利用许可人共享的信息和知识，以增强他们对被许可知识产权的理解并最大化其潜在价值。</w:t>
      </w:r>
    </w:p>
    <w:p w14:paraId="5AAAA1F0">
      <w:pPr>
        <w:pStyle w:val="84"/>
        <w:bidi w:val="0"/>
        <w:spacing w:before="0" w:beforeLines="0" w:after="0" w:afterLines="0"/>
        <w:rPr>
          <w:rFonts w:hint="eastAsia"/>
          <w:lang w:val="en-US" w:eastAsia="zh-CN"/>
        </w:rPr>
      </w:pPr>
      <w:r>
        <w:rPr>
          <w:rFonts w:hint="eastAsia"/>
          <w:lang w:val="en-US" w:eastAsia="zh-CN"/>
        </w:rPr>
        <w:t>原因：它允许被许可人提高能力，围绕许可知识产权进行创新，并为许可安排的整体成功做出贡献。</w:t>
      </w:r>
    </w:p>
    <w:p w14:paraId="6AD66F9C">
      <w:pPr>
        <w:pStyle w:val="84"/>
        <w:bidi w:val="0"/>
        <w:spacing w:before="0" w:beforeLines="0" w:after="0" w:afterLines="0"/>
        <w:rPr>
          <w:rFonts w:hint="eastAsia"/>
          <w:lang w:val="en-US" w:eastAsia="zh-CN"/>
        </w:rPr>
      </w:pPr>
      <w:r>
        <w:rPr>
          <w:rFonts w:hint="eastAsia"/>
          <w:lang w:val="en-US" w:eastAsia="zh-CN"/>
        </w:rPr>
        <w:t>如何实现：被许可人可以通过积极参与许可人提供的信息、在必要时寻求澄清或其他见解、将共享知识纳入其运营以及向许可人提供有关共享信息影响的反馈来实现这一点。</w:t>
      </w:r>
    </w:p>
    <w:p w14:paraId="271D089C">
      <w:pPr>
        <w:pStyle w:val="77"/>
        <w:bidi w:val="0"/>
        <w:rPr>
          <w:rFonts w:hint="eastAsia"/>
          <w:lang w:val="en-US" w:eastAsia="zh-CN"/>
        </w:rPr>
      </w:pPr>
      <w:bookmarkStart w:id="55" w:name="_Toc158732042"/>
      <w:r>
        <w:rPr>
          <w:rFonts w:hint="eastAsia"/>
          <w:lang w:val="en-US" w:eastAsia="zh-CN"/>
        </w:rPr>
        <w:t>原则 10：风险管理</w:t>
      </w:r>
      <w:bookmarkEnd w:id="55"/>
    </w:p>
    <w:p w14:paraId="0525FA83">
      <w:pPr>
        <w:pStyle w:val="78"/>
        <w:bidi w:val="0"/>
        <w:rPr>
          <w:rFonts w:hint="eastAsia"/>
          <w:lang w:val="en-US" w:eastAsia="zh-CN"/>
        </w:rPr>
      </w:pPr>
      <w:bookmarkStart w:id="56" w:name="_Toc158732043"/>
      <w:r>
        <w:rPr>
          <w:rFonts w:hint="eastAsia"/>
          <w:lang w:val="en-US" w:eastAsia="zh-CN"/>
        </w:rPr>
        <w:t>许可方观点</w:t>
      </w:r>
      <w:bookmarkEnd w:id="56"/>
    </w:p>
    <w:p w14:paraId="78817145">
      <w:pPr>
        <w:pStyle w:val="84"/>
        <w:bidi w:val="0"/>
        <w:spacing w:before="0" w:beforeLines="0" w:after="0" w:afterLines="0"/>
        <w:rPr>
          <w:rFonts w:hint="eastAsia"/>
          <w:lang w:val="en-US" w:eastAsia="zh-CN"/>
        </w:rPr>
      </w:pPr>
      <w:r>
        <w:rPr>
          <w:rFonts w:hint="eastAsia"/>
          <w:lang w:val="en-US" w:eastAsia="zh-CN"/>
        </w:rPr>
        <w:t>内容：许可方的目的是通过识别、评估和减轻与许可知识产权相关的潜在风险（例如侵权、滥用或声誉损害）来重点关注风险管理。</w:t>
      </w:r>
    </w:p>
    <w:p w14:paraId="2EEC5F6A">
      <w:pPr>
        <w:pStyle w:val="84"/>
        <w:bidi w:val="0"/>
        <w:spacing w:before="0" w:beforeLines="0" w:after="0" w:afterLines="0"/>
        <w:rPr>
          <w:rFonts w:hint="eastAsia"/>
          <w:lang w:val="en-US" w:eastAsia="zh-CN"/>
        </w:rPr>
      </w:pPr>
      <w:r>
        <w:rPr>
          <w:rFonts w:hint="eastAsia"/>
          <w:lang w:val="en-US" w:eastAsia="zh-CN"/>
        </w:rPr>
        <w:t>原因：有助于保护许可人的知识产权，维护其品牌完整性，并最大限度地减少因被许可人未经授权使用或不当处理知识产权而可能产生的法律和财务责任。</w:t>
      </w:r>
    </w:p>
    <w:p w14:paraId="43179248">
      <w:pPr>
        <w:pStyle w:val="84"/>
        <w:bidi w:val="0"/>
        <w:spacing w:before="0" w:beforeLines="0" w:after="0" w:afterLines="0"/>
        <w:rPr>
          <w:rFonts w:hint="eastAsia"/>
          <w:lang w:val="en-US" w:eastAsia="zh-CN"/>
        </w:rPr>
      </w:pPr>
      <w:r>
        <w:rPr>
          <w:rFonts w:hint="eastAsia"/>
          <w:lang w:val="en-US" w:eastAsia="zh-CN"/>
        </w:rPr>
        <w:t>如何实施：许可方可以通过对被许可方进行彻底的尽职调查、在许可协议中明确概述使用限制和合规要求、监控被许可方的活动是否存在任何潜在违规行为以及建立解决与许可知识产权相关的违规或争议的机制来实现这一点。</w:t>
      </w:r>
    </w:p>
    <w:p w14:paraId="7866B197">
      <w:pPr>
        <w:pStyle w:val="78"/>
        <w:bidi w:val="0"/>
        <w:rPr>
          <w:rFonts w:hint="eastAsia"/>
          <w:lang w:val="en-US" w:eastAsia="zh-CN"/>
        </w:rPr>
      </w:pPr>
      <w:bookmarkStart w:id="57" w:name="_Toc158732044"/>
      <w:r>
        <w:rPr>
          <w:rFonts w:hint="eastAsia"/>
          <w:lang w:val="en-US" w:eastAsia="zh-CN"/>
        </w:rPr>
        <w:t>被许可人视角</w:t>
      </w:r>
      <w:bookmarkEnd w:id="57"/>
    </w:p>
    <w:p w14:paraId="289B8EA4">
      <w:pPr>
        <w:pStyle w:val="84"/>
        <w:bidi w:val="0"/>
        <w:spacing w:before="0" w:beforeLines="0" w:after="0" w:afterLines="0"/>
        <w:rPr>
          <w:rFonts w:hint="eastAsia"/>
          <w:lang w:val="en-US" w:eastAsia="zh-CN"/>
        </w:rPr>
      </w:pPr>
      <w:r>
        <w:rPr>
          <w:rFonts w:hint="eastAsia"/>
          <w:lang w:val="en-US" w:eastAsia="zh-CN"/>
        </w:rPr>
        <w:t>内容：被许可人的目的是通过理解并遵守许可人规定的条款和条件来重点关注风险管理，同时采取措施确保合规性并减轻与许可知识产权相关的潜在风险。</w:t>
      </w:r>
    </w:p>
    <w:p w14:paraId="2666BA8F">
      <w:pPr>
        <w:pStyle w:val="84"/>
        <w:bidi w:val="0"/>
        <w:spacing w:before="0" w:beforeLines="0" w:after="0" w:afterLines="0"/>
        <w:rPr>
          <w:rFonts w:hint="eastAsia"/>
          <w:lang w:val="en-US" w:eastAsia="zh-CN"/>
        </w:rPr>
      </w:pPr>
      <w:r>
        <w:rPr>
          <w:rFonts w:hint="eastAsia"/>
          <w:lang w:val="en-US" w:eastAsia="zh-CN"/>
        </w:rPr>
        <w:t>原因：这很重要，因为它可以减少法律或财务影响的可能性，保护被许可人的利益，并与许可人建立值得信赖的关系。</w:t>
      </w:r>
    </w:p>
    <w:p w14:paraId="697D5952">
      <w:pPr>
        <w:pStyle w:val="84"/>
        <w:bidi w:val="0"/>
        <w:spacing w:before="0" w:beforeLines="0" w:after="0" w:afterLines="0"/>
        <w:rPr>
          <w:rFonts w:hint="eastAsia"/>
          <w:lang w:val="en-US" w:eastAsia="zh-CN"/>
        </w:rPr>
      </w:pPr>
      <w:r>
        <w:rPr>
          <w:rFonts w:hint="eastAsia"/>
          <w:lang w:val="en-US" w:eastAsia="zh-CN"/>
        </w:rPr>
        <w:t>如何实施：被许可人可以通过以下方式实现这一目标：进行内部审计以确保遵守许可协议，在解释复杂条款时寻求法律顾问，维护知识产权使用和修改记录，并及时解决许可人提出的有关潜在风险或不合规的任何担忧。</w:t>
      </w:r>
    </w:p>
    <w:p w14:paraId="59DADBBD">
      <w:pPr>
        <w:pStyle w:val="77"/>
        <w:bidi w:val="0"/>
        <w:rPr>
          <w:rFonts w:hint="eastAsia"/>
          <w:lang w:val="en-US" w:eastAsia="zh-CN"/>
        </w:rPr>
      </w:pPr>
      <w:bookmarkStart w:id="58" w:name="_Toc158732045"/>
      <w:r>
        <w:rPr>
          <w:rFonts w:hint="eastAsia"/>
          <w:lang w:val="en-US" w:eastAsia="zh-CN"/>
        </w:rPr>
        <w:t>原则 11：关系衡量和优化</w:t>
      </w:r>
      <w:bookmarkEnd w:id="58"/>
    </w:p>
    <w:p w14:paraId="65F139AD">
      <w:pPr>
        <w:pStyle w:val="78"/>
        <w:bidi w:val="0"/>
        <w:rPr>
          <w:rFonts w:hint="eastAsia"/>
          <w:lang w:val="en-US" w:eastAsia="zh-CN"/>
        </w:rPr>
      </w:pPr>
      <w:bookmarkStart w:id="59" w:name="_Toc158732046"/>
      <w:r>
        <w:rPr>
          <w:rFonts w:hint="eastAsia"/>
          <w:lang w:val="en-US" w:eastAsia="zh-CN"/>
        </w:rPr>
        <w:t>许可方观点</w:t>
      </w:r>
      <w:bookmarkEnd w:id="59"/>
    </w:p>
    <w:p w14:paraId="1E8478B8">
      <w:pPr>
        <w:pStyle w:val="84"/>
        <w:bidi w:val="0"/>
        <w:spacing w:before="0" w:beforeLines="0" w:after="0" w:afterLines="0"/>
        <w:rPr>
          <w:rFonts w:hint="eastAsia"/>
          <w:lang w:val="en-US" w:eastAsia="zh-CN"/>
        </w:rPr>
      </w:pPr>
      <w:r>
        <w:rPr>
          <w:rFonts w:hint="eastAsia"/>
          <w:lang w:val="en-US" w:eastAsia="zh-CN"/>
        </w:rPr>
        <w:t>内容：许可方的目的是通过评估许可关系的有效性、确定需要改进的领域以及积极主动地加强协作和价值创造来重点关注关系衡量和优化。</w:t>
      </w:r>
    </w:p>
    <w:p w14:paraId="07871E1F">
      <w:pPr>
        <w:pStyle w:val="84"/>
        <w:bidi w:val="0"/>
        <w:spacing w:before="0" w:beforeLines="0" w:after="0" w:afterLines="0"/>
        <w:rPr>
          <w:rFonts w:hint="eastAsia"/>
          <w:lang w:val="en-US" w:eastAsia="zh-CN"/>
        </w:rPr>
      </w:pPr>
      <w:r>
        <w:rPr>
          <w:rFonts w:hint="eastAsia"/>
          <w:lang w:val="en-US" w:eastAsia="zh-CN"/>
        </w:rPr>
        <w:t>原因：使许可人能够衡量许可安排的成功，加强与被许可人的合作伙伴关系，并做出明智的决策以优化许可知识产权的使用和潜力。</w:t>
      </w:r>
    </w:p>
    <w:p w14:paraId="76EEBEC1">
      <w:pPr>
        <w:pStyle w:val="84"/>
        <w:bidi w:val="0"/>
        <w:spacing w:before="0" w:beforeLines="0" w:after="0" w:afterLines="0"/>
        <w:rPr>
          <w:rFonts w:hint="eastAsia"/>
          <w:lang w:val="en-US" w:eastAsia="zh-CN"/>
        </w:rPr>
      </w:pPr>
      <w:r>
        <w:rPr>
          <w:rFonts w:hint="eastAsia"/>
          <w:lang w:val="en-US" w:eastAsia="zh-CN"/>
        </w:rPr>
        <w:t>如何实现：许可方可以通过以下方式实现这一目标：为许可关系建立关键绩效指标 (KPI)、与被许可方进行定期审查和反馈会议、寻求改进领域的意见以及根据收到的反馈积极努力优化协作。</w:t>
      </w:r>
    </w:p>
    <w:p w14:paraId="4A662478">
      <w:pPr>
        <w:pStyle w:val="78"/>
        <w:bidi w:val="0"/>
        <w:rPr>
          <w:rFonts w:hint="eastAsia"/>
          <w:lang w:val="en-US" w:eastAsia="zh-CN"/>
        </w:rPr>
      </w:pPr>
      <w:bookmarkStart w:id="60" w:name="_Toc158732047"/>
      <w:r>
        <w:rPr>
          <w:rFonts w:hint="eastAsia"/>
          <w:lang w:val="en-US" w:eastAsia="zh-CN"/>
        </w:rPr>
        <w:t>被许可人视角</w:t>
      </w:r>
      <w:bookmarkEnd w:id="60"/>
    </w:p>
    <w:p w14:paraId="23A91D91">
      <w:pPr>
        <w:pStyle w:val="84"/>
        <w:bidi w:val="0"/>
        <w:spacing w:before="0" w:beforeLines="0" w:after="0" w:afterLines="0"/>
        <w:rPr>
          <w:rFonts w:hint="eastAsia"/>
          <w:lang w:val="en-US" w:eastAsia="zh-CN"/>
        </w:rPr>
      </w:pPr>
      <w:r>
        <w:rPr>
          <w:rFonts w:hint="eastAsia"/>
          <w:lang w:val="en-US" w:eastAsia="zh-CN"/>
        </w:rPr>
        <w:t>内容：被许可人的目的是通过积极参与许可关系的评估、提供反馈并与许可人合作来识别改进机会，从而专注于关系衡量和优化。</w:t>
      </w:r>
    </w:p>
    <w:p w14:paraId="591C4DD8">
      <w:pPr>
        <w:pStyle w:val="84"/>
        <w:bidi w:val="0"/>
        <w:spacing w:before="0" w:beforeLines="0" w:after="0" w:afterLines="0"/>
        <w:rPr>
          <w:rFonts w:hint="eastAsia"/>
          <w:lang w:val="en-US" w:eastAsia="zh-CN"/>
        </w:rPr>
      </w:pPr>
      <w:r>
        <w:rPr>
          <w:rFonts w:hint="eastAsia"/>
          <w:lang w:val="en-US" w:eastAsia="zh-CN"/>
        </w:rPr>
        <w:t>原因：可以确保被许可人的需求得到满足，培养富有成效和互利的伙伴关系，并促进持续的合作和创新。</w:t>
      </w:r>
    </w:p>
    <w:p w14:paraId="2139DEB8">
      <w:pPr>
        <w:pStyle w:val="84"/>
        <w:bidi w:val="0"/>
        <w:spacing w:before="0" w:beforeLines="0" w:after="0" w:afterLines="0"/>
        <w:rPr>
          <w:rFonts w:hint="eastAsia"/>
          <w:lang w:val="en-US" w:eastAsia="zh-CN"/>
        </w:rPr>
      </w:pPr>
      <w:r>
        <w:rPr>
          <w:rFonts w:hint="eastAsia"/>
          <w:lang w:val="en-US" w:eastAsia="zh-CN"/>
        </w:rPr>
        <w:t>如何实施：被许可人可以通过积极参与许可人的绩效审查、对许可安排的有效性提供建设性反馈、分享优化见解和建议以及与许可人合作解决任何已确定的需要改进的领域来实现这一点。</w:t>
      </w:r>
    </w:p>
    <w:p w14:paraId="5EDFE403">
      <w:pPr>
        <w:pStyle w:val="77"/>
        <w:bidi w:val="0"/>
        <w:rPr>
          <w:rFonts w:hint="eastAsia"/>
          <w:lang w:val="en-US" w:eastAsia="zh-CN"/>
        </w:rPr>
      </w:pPr>
      <w:bookmarkStart w:id="61" w:name="_Toc158732048"/>
      <w:r>
        <w:rPr>
          <w:rFonts w:hint="eastAsia"/>
          <w:lang w:val="en-US" w:eastAsia="zh-CN"/>
        </w:rPr>
        <w:t>原则 12：退出策略</w:t>
      </w:r>
      <w:bookmarkEnd w:id="61"/>
    </w:p>
    <w:p w14:paraId="703D6192">
      <w:pPr>
        <w:pStyle w:val="78"/>
        <w:bidi w:val="0"/>
        <w:rPr>
          <w:rFonts w:hint="eastAsia"/>
          <w:lang w:val="en-US" w:eastAsia="zh-CN"/>
        </w:rPr>
      </w:pPr>
      <w:bookmarkStart w:id="62" w:name="_Toc158732049"/>
      <w:r>
        <w:rPr>
          <w:rFonts w:hint="eastAsia"/>
          <w:lang w:val="en-US" w:eastAsia="zh-CN"/>
        </w:rPr>
        <w:t>许可方观点</w:t>
      </w:r>
      <w:bookmarkEnd w:id="62"/>
    </w:p>
    <w:p w14:paraId="42885CB2">
      <w:pPr>
        <w:pStyle w:val="84"/>
        <w:bidi w:val="0"/>
        <w:spacing w:before="0" w:beforeLines="0" w:after="0" w:afterLines="0"/>
        <w:rPr>
          <w:rFonts w:hint="eastAsia"/>
          <w:lang w:val="en-US" w:eastAsia="zh-CN"/>
        </w:rPr>
      </w:pPr>
      <w:r>
        <w:rPr>
          <w:rFonts w:hint="eastAsia"/>
          <w:lang w:val="en-US" w:eastAsia="zh-CN"/>
        </w:rPr>
        <w:t>内容：许可方的目的是制定退出策略，概述在业务需求、市场条件或不合规问题发生变化时终止或修改许可安排的程序和条件。</w:t>
      </w:r>
    </w:p>
    <w:p w14:paraId="7155F866">
      <w:pPr>
        <w:pStyle w:val="84"/>
        <w:bidi w:val="0"/>
        <w:spacing w:before="0" w:beforeLines="0" w:after="0" w:afterLines="0"/>
        <w:rPr>
          <w:rFonts w:hint="eastAsia"/>
          <w:lang w:val="en-US" w:eastAsia="zh-CN"/>
        </w:rPr>
      </w:pPr>
      <w:r>
        <w:rPr>
          <w:rFonts w:hint="eastAsia"/>
          <w:lang w:val="en-US" w:eastAsia="zh-CN"/>
        </w:rPr>
        <w:t>原因：为许可人提供了安全网，使他们能够保护自己的利益和知识产权，并在许可关系需要调整或终止时促进平稳过渡。</w:t>
      </w:r>
    </w:p>
    <w:p w14:paraId="4CABA2A6">
      <w:pPr>
        <w:pStyle w:val="84"/>
        <w:bidi w:val="0"/>
        <w:spacing w:before="0" w:beforeLines="0" w:after="0" w:afterLines="0"/>
        <w:rPr>
          <w:rFonts w:hint="eastAsia"/>
          <w:lang w:val="en-US" w:eastAsia="zh-CN"/>
        </w:rPr>
      </w:pPr>
      <w:r>
        <w:rPr>
          <w:rFonts w:hint="eastAsia"/>
          <w:lang w:val="en-US" w:eastAsia="zh-CN"/>
        </w:rPr>
        <w:t>如何实施：许可方可以通过在许可协议中明确定义退出条款、指定通知期限、概述终止时处理许可知识产权的流程以及确保提前记录和计划任何所需的移交活动来实现这一点。</w:t>
      </w:r>
    </w:p>
    <w:p w14:paraId="131C1A02">
      <w:pPr>
        <w:pStyle w:val="78"/>
        <w:bidi w:val="0"/>
        <w:rPr>
          <w:rFonts w:hint="eastAsia"/>
          <w:lang w:val="en-US" w:eastAsia="zh-CN"/>
        </w:rPr>
      </w:pPr>
      <w:bookmarkStart w:id="63" w:name="_Toc158732050"/>
      <w:r>
        <w:rPr>
          <w:rFonts w:hint="eastAsia"/>
          <w:lang w:val="en-US" w:eastAsia="zh-CN"/>
        </w:rPr>
        <w:t>被许可人视角</w:t>
      </w:r>
      <w:bookmarkEnd w:id="63"/>
    </w:p>
    <w:p w14:paraId="6A4BC96C">
      <w:pPr>
        <w:pStyle w:val="84"/>
        <w:bidi w:val="0"/>
        <w:spacing w:before="0" w:beforeLines="0" w:after="0" w:afterLines="0"/>
        <w:rPr>
          <w:rFonts w:hint="eastAsia"/>
          <w:lang w:val="en-US" w:eastAsia="zh-CN"/>
        </w:rPr>
      </w:pPr>
      <w:r>
        <w:rPr>
          <w:rFonts w:hint="eastAsia"/>
          <w:lang w:val="en-US" w:eastAsia="zh-CN"/>
        </w:rPr>
        <w:t>内容：被许可人的目的是通过确保他们制定应急计划来解决许可安排的终止或修改问题，了解并为潜在的退出情况做好准备。</w:t>
      </w:r>
    </w:p>
    <w:p w14:paraId="48AFD357">
      <w:pPr>
        <w:pStyle w:val="84"/>
        <w:bidi w:val="0"/>
        <w:spacing w:before="0" w:beforeLines="0" w:after="0" w:afterLines="0"/>
        <w:rPr>
          <w:rFonts w:hint="eastAsia"/>
          <w:lang w:val="en-US" w:eastAsia="zh-CN"/>
        </w:rPr>
      </w:pPr>
      <w:r>
        <w:rPr>
          <w:rFonts w:hint="eastAsia"/>
          <w:lang w:val="en-US" w:eastAsia="zh-CN"/>
        </w:rPr>
        <w:t>原因：允许被许可人保护其投资，最大限度地减少对其运营的干扰，并为许可关系结束时的顺利过渡做好准备。</w:t>
      </w:r>
    </w:p>
    <w:p w14:paraId="79277B94">
      <w:pPr>
        <w:pStyle w:val="84"/>
        <w:bidi w:val="0"/>
        <w:spacing w:before="0" w:beforeLines="0" w:after="0" w:afterLines="0"/>
        <w:rPr>
          <w:rFonts w:hint="eastAsia"/>
          <w:lang w:val="en-US" w:eastAsia="zh-CN"/>
        </w:rPr>
      </w:pPr>
      <w:r>
        <w:rPr>
          <w:rFonts w:hint="eastAsia"/>
          <w:lang w:val="en-US" w:eastAsia="zh-CN"/>
        </w:rPr>
        <w:t>如何实施：被许可人可以通过彻底审查许可协议中的退出条款、维护与许可知识产权的使用和修改相关的文档以及制定策略来减轻退出时对其业务的任何潜在负面影响来实现这一点许可安排。</w:t>
      </w:r>
    </w:p>
    <w:p w14:paraId="6A13C3A4">
      <w:pPr>
        <w:pStyle w:val="76"/>
        <w:bidi w:val="0"/>
        <w:rPr>
          <w:rFonts w:hint="eastAsia"/>
          <w:lang w:val="en-US" w:eastAsia="zh-CN"/>
        </w:rPr>
      </w:pPr>
      <w:bookmarkStart w:id="64" w:name="_Toc158732051"/>
      <w:bookmarkStart w:id="65" w:name="_Toc25117"/>
      <w:r>
        <w:rPr>
          <w:rFonts w:hint="eastAsia"/>
          <w:lang w:val="en-US" w:eastAsia="zh-CN"/>
        </w:rPr>
        <w:t>知识产权许可的阶段</w:t>
      </w:r>
      <w:bookmarkEnd w:id="64"/>
      <w:bookmarkEnd w:id="65"/>
    </w:p>
    <w:p w14:paraId="3961ED6C">
      <w:pPr>
        <w:pStyle w:val="82"/>
        <w:bidi w:val="0"/>
        <w:spacing w:before="0" w:beforeLines="0" w:after="0" w:afterLines="0"/>
        <w:rPr>
          <w:rFonts w:hint="eastAsia"/>
          <w:lang w:val="en-US" w:eastAsia="zh-CN"/>
        </w:rPr>
      </w:pPr>
      <w:r>
        <w:rPr>
          <w:rFonts w:hint="eastAsia"/>
          <w:lang w:val="en-US" w:eastAsia="zh-CN"/>
        </w:rPr>
        <w:t>识别知识资产：第一步是识别公司或个人希望许可的知识资产。这可能包括专利、商标、版权或商业秘密。</w:t>
      </w:r>
    </w:p>
    <w:p w14:paraId="5AD6D1F9">
      <w:pPr>
        <w:pStyle w:val="82"/>
        <w:bidi w:val="0"/>
        <w:spacing w:before="0" w:beforeLines="0" w:after="0" w:afterLines="0"/>
        <w:rPr>
          <w:rFonts w:hint="eastAsia"/>
          <w:lang w:val="en-US" w:eastAsia="zh-CN"/>
        </w:rPr>
      </w:pPr>
      <w:r>
        <w:rPr>
          <w:rFonts w:hint="eastAsia"/>
          <w:lang w:val="en-US" w:eastAsia="zh-CN"/>
        </w:rPr>
        <w:t>评估和市场研究：知识产权所有者需要评估其知识产权的价值并进行市场研究，以了解市场上对其知识产权进行许可的潜在需求。</w:t>
      </w:r>
    </w:p>
    <w:p w14:paraId="3B3D9129">
      <w:pPr>
        <w:pStyle w:val="82"/>
        <w:bidi w:val="0"/>
        <w:spacing w:before="0" w:beforeLines="0" w:after="0" w:afterLines="0"/>
        <w:rPr>
          <w:rFonts w:hint="eastAsia"/>
          <w:lang w:val="en-US" w:eastAsia="zh-CN"/>
        </w:rPr>
      </w:pPr>
      <w:r>
        <w:rPr>
          <w:rFonts w:hint="eastAsia"/>
          <w:lang w:val="en-US" w:eastAsia="zh-CN"/>
        </w:rPr>
        <w:t>谈判：知识产权所有者和潜在被许可人进行谈判，以确定许可协议的条款，包括使用范围、期限、特许权使用费或许可费、排他性和其他相关条款。</w:t>
      </w:r>
    </w:p>
    <w:p w14:paraId="2976825D">
      <w:pPr>
        <w:pStyle w:val="82"/>
        <w:bidi w:val="0"/>
        <w:spacing w:before="0" w:beforeLines="0" w:after="0" w:afterLines="0"/>
        <w:rPr>
          <w:rFonts w:hint="eastAsia"/>
          <w:lang w:val="en-US" w:eastAsia="zh-CN"/>
        </w:rPr>
      </w:pPr>
      <w:r>
        <w:rPr>
          <w:rFonts w:hint="eastAsia"/>
          <w:lang w:val="en-US" w:eastAsia="zh-CN"/>
        </w:rPr>
        <w:t>起草许可协议：一旦就条款达成一致，就会起草正式的许可协议。本文件概述了双方的权利和义务，以及与使用许可知识产权相关的任何限制或条件。</w:t>
      </w:r>
    </w:p>
    <w:p w14:paraId="6DFB7D7E">
      <w:pPr>
        <w:pStyle w:val="82"/>
        <w:bidi w:val="0"/>
        <w:spacing w:before="0" w:beforeLines="0" w:after="0" w:afterLines="0"/>
        <w:rPr>
          <w:rFonts w:hint="eastAsia"/>
          <w:lang w:val="en-US" w:eastAsia="zh-CN"/>
        </w:rPr>
      </w:pPr>
      <w:r>
        <w:rPr>
          <w:rFonts w:hint="eastAsia"/>
          <w:lang w:val="en-US" w:eastAsia="zh-CN"/>
        </w:rPr>
        <w:t>执行和付款：许可协议最终确定后，双方签署协议，被许可人通常向知识产权所有者支付商定的许可费或特许权使用费。</w:t>
      </w:r>
    </w:p>
    <w:p w14:paraId="68DCDD6E">
      <w:pPr>
        <w:pStyle w:val="82"/>
        <w:bidi w:val="0"/>
        <w:spacing w:before="0" w:beforeLines="0" w:after="0" w:afterLines="0"/>
        <w:rPr>
          <w:rFonts w:hint="eastAsia"/>
          <w:lang w:val="en-US" w:eastAsia="zh-CN"/>
        </w:rPr>
      </w:pPr>
      <w:r>
        <w:rPr>
          <w:rFonts w:hint="eastAsia"/>
          <w:lang w:val="en-US" w:eastAsia="zh-CN"/>
        </w:rPr>
        <w:t>维护和合规性：在许可协议的整个有效期内，双方必须确保遵守协议中概述的条款。可能涉及监控使用情况、支付版税以及解决可能出现的其他问题。</w:t>
      </w:r>
    </w:p>
    <w:p w14:paraId="077CB301">
      <w:pPr>
        <w:pStyle w:val="82"/>
        <w:bidi w:val="0"/>
        <w:spacing w:before="0" w:beforeLines="0" w:after="0" w:afterLines="0"/>
        <w:rPr>
          <w:rFonts w:hint="eastAsia"/>
          <w:lang w:val="en-US" w:eastAsia="zh-CN"/>
        </w:rPr>
      </w:pPr>
      <w:r>
        <w:rPr>
          <w:rFonts w:hint="eastAsia"/>
          <w:lang w:val="en-US" w:eastAsia="zh-CN"/>
        </w:rPr>
        <w:t>续订或终止：根据协议条款，许可协议安排可能会在期限结束时进行续订。或者，任何一方都可以选择在某些条件下终止协议。</w:t>
      </w:r>
    </w:p>
    <w:p w14:paraId="160568FD">
      <w:pPr>
        <w:pStyle w:val="76"/>
        <w:bidi w:val="0"/>
        <w:rPr>
          <w:rFonts w:hint="eastAsia"/>
          <w:lang w:val="en-US" w:eastAsia="zh-CN"/>
        </w:rPr>
      </w:pPr>
      <w:bookmarkStart w:id="66" w:name="_Toc158732052"/>
      <w:bookmarkStart w:id="67" w:name="_Toc6074"/>
      <w:r>
        <w:rPr>
          <w:rFonts w:hint="eastAsia"/>
          <w:lang w:val="en-US" w:eastAsia="zh-CN"/>
        </w:rPr>
        <w:t>第一阶段：识别知识资产</w:t>
      </w:r>
      <w:bookmarkEnd w:id="66"/>
      <w:bookmarkEnd w:id="67"/>
    </w:p>
    <w:p w14:paraId="2C521A8C">
      <w:pPr>
        <w:pStyle w:val="29"/>
        <w:rPr>
          <w:rFonts w:hint="eastAsia"/>
          <w:lang w:val="en-US" w:eastAsia="zh-CN"/>
        </w:rPr>
      </w:pPr>
      <w:r>
        <w:rPr>
          <w:rFonts w:hint="eastAsia"/>
          <w:lang w:val="en-US" w:eastAsia="zh-CN"/>
        </w:rPr>
        <w:t>在知识产权许可背景下识别知识产权资产时，许可方（拥有知识产权并授予许可的组织）和被许可方（接受许可的一方）都应独立考虑具体因素：</w:t>
      </w:r>
    </w:p>
    <w:p w14:paraId="06311B9E">
      <w:pPr>
        <w:pStyle w:val="77"/>
        <w:bidi w:val="0"/>
        <w:rPr>
          <w:rFonts w:hint="eastAsia"/>
          <w:lang w:val="en-US" w:eastAsia="zh-CN"/>
        </w:rPr>
      </w:pPr>
      <w:bookmarkStart w:id="68" w:name="_Toc158732053"/>
      <w:r>
        <w:rPr>
          <w:rFonts w:hint="eastAsia"/>
          <w:lang w:val="en-US" w:eastAsia="zh-CN"/>
        </w:rPr>
        <w:t>许可方的观点</w:t>
      </w:r>
      <w:bookmarkEnd w:id="68"/>
    </w:p>
    <w:p w14:paraId="4F6A673C">
      <w:pPr>
        <w:pStyle w:val="83"/>
        <w:bidi w:val="0"/>
        <w:spacing w:before="0" w:beforeLines="0" w:after="0" w:afterLines="0"/>
        <w:rPr>
          <w:rFonts w:hint="eastAsia"/>
          <w:lang w:val="en-US" w:eastAsia="zh-CN"/>
        </w:rPr>
      </w:pPr>
      <w:r>
        <w:rPr>
          <w:rFonts w:hint="eastAsia"/>
          <w:lang w:val="en-US" w:eastAsia="zh-CN"/>
        </w:rPr>
        <w:t>战略价值：许可方根据其业务目标、市场地位和长期增长战略评估其知识产权资产的战略价值。这包括评估知识资产如何与组织的核心能力和竞争优势保持一致。</w:t>
      </w:r>
    </w:p>
    <w:p w14:paraId="2A20F2FA">
      <w:pPr>
        <w:pStyle w:val="83"/>
        <w:bidi w:val="0"/>
        <w:spacing w:before="0" w:beforeLines="0" w:after="0" w:afterLines="0"/>
        <w:rPr>
          <w:rFonts w:hint="eastAsia"/>
          <w:lang w:val="en-US" w:eastAsia="zh-CN"/>
        </w:rPr>
      </w:pPr>
      <w:r>
        <w:rPr>
          <w:rFonts w:hint="eastAsia"/>
          <w:lang w:val="en-US" w:eastAsia="zh-CN"/>
        </w:rPr>
        <w:t>市场潜力：了解知识资产的市场潜力对于许可人至关重要。它涉及评估相关行业对知识产权的需求、识别潜在的被许可人以及衡量知识产权在市场中的价值。</w:t>
      </w:r>
    </w:p>
    <w:p w14:paraId="6B41C7BA">
      <w:pPr>
        <w:pStyle w:val="83"/>
        <w:bidi w:val="0"/>
        <w:spacing w:before="0" w:beforeLines="0" w:after="0" w:afterLines="0"/>
        <w:rPr>
          <w:rFonts w:hint="eastAsia"/>
          <w:lang w:val="en-US" w:eastAsia="zh-CN"/>
        </w:rPr>
      </w:pPr>
      <w:r>
        <w:rPr>
          <w:rFonts w:hint="eastAsia"/>
          <w:lang w:val="en-US" w:eastAsia="zh-CN"/>
        </w:rPr>
        <w:t>保护和所有权：从许可方的角度来看，确保知识产权资产通过专利、商标、版权或商业秘密措施得到适当保护，并验证合法所有权是关键考虑因素。</w:t>
      </w:r>
    </w:p>
    <w:p w14:paraId="58171024">
      <w:pPr>
        <w:pStyle w:val="83"/>
        <w:bidi w:val="0"/>
        <w:spacing w:before="0" w:beforeLines="0" w:after="0" w:afterLines="0"/>
        <w:rPr>
          <w:rFonts w:hint="eastAsia"/>
          <w:lang w:val="en-US" w:eastAsia="zh-CN"/>
        </w:rPr>
      </w:pPr>
      <w:r>
        <w:rPr>
          <w:rFonts w:hint="eastAsia"/>
          <w:lang w:val="en-US" w:eastAsia="zh-CN"/>
        </w:rPr>
        <w:t>合规性和尽职调查：许可方进行尽职调查，以确保所识别的知识产权资产符合法律和监管要求、不存在任何负担，并且适合在不侵犯第三方权利的情况下进行许可。</w:t>
      </w:r>
    </w:p>
    <w:p w14:paraId="39C24816">
      <w:pPr>
        <w:pStyle w:val="83"/>
        <w:bidi w:val="0"/>
        <w:spacing w:before="0" w:beforeLines="0" w:after="0" w:afterLines="0"/>
        <w:rPr>
          <w:rFonts w:hint="eastAsia"/>
          <w:lang w:val="en-US" w:eastAsia="zh-CN"/>
        </w:rPr>
      </w:pPr>
      <w:r>
        <w:rPr>
          <w:rFonts w:hint="eastAsia"/>
          <w:lang w:val="en-US" w:eastAsia="zh-CN"/>
        </w:rPr>
        <w:t>记录和评估：知识产权资产的正确记录和评估对于许可人向潜在被许可人准确呈现知识产权的潜在价值和条款非常重要。</w:t>
      </w:r>
    </w:p>
    <w:p w14:paraId="06B35ED0">
      <w:pPr>
        <w:pStyle w:val="77"/>
        <w:bidi w:val="0"/>
        <w:rPr>
          <w:rFonts w:hint="eastAsia"/>
          <w:lang w:val="en-US" w:eastAsia="zh-CN"/>
        </w:rPr>
      </w:pPr>
      <w:bookmarkStart w:id="69" w:name="_Toc158732054"/>
      <w:r>
        <w:rPr>
          <w:rFonts w:hint="eastAsia"/>
          <w:lang w:val="en-US" w:eastAsia="zh-CN"/>
        </w:rPr>
        <w:t>被许可人的观点</w:t>
      </w:r>
      <w:bookmarkEnd w:id="69"/>
    </w:p>
    <w:p w14:paraId="3A298F63">
      <w:pPr>
        <w:pStyle w:val="83"/>
        <w:bidi w:val="0"/>
        <w:spacing w:before="0" w:beforeLines="0" w:after="0" w:afterLines="0"/>
        <w:rPr>
          <w:rFonts w:hint="eastAsia"/>
          <w:lang w:val="en-US" w:eastAsia="zh-CN"/>
        </w:rPr>
      </w:pPr>
      <w:r>
        <w:rPr>
          <w:rFonts w:hint="eastAsia"/>
          <w:lang w:val="en-US" w:eastAsia="zh-CN"/>
        </w:rPr>
        <w:t>符合业务目标：被许可方评估已确定的知识产权资产如何与其自身的业务目标、产品或服务以及总体战略方向保持一致。</w:t>
      </w:r>
    </w:p>
    <w:p w14:paraId="4DDCB2E4">
      <w:pPr>
        <w:pStyle w:val="83"/>
        <w:bidi w:val="0"/>
        <w:spacing w:before="0" w:beforeLines="0" w:after="0" w:afterLines="0"/>
        <w:rPr>
          <w:rFonts w:hint="eastAsia"/>
          <w:lang w:val="en-US" w:eastAsia="zh-CN"/>
        </w:rPr>
      </w:pPr>
      <w:r>
        <w:rPr>
          <w:rFonts w:hint="eastAsia"/>
          <w:lang w:val="en-US" w:eastAsia="zh-CN"/>
        </w:rPr>
        <w:t>市场需求和竞争力：评估许可知识产权的市场需求、了解其竞争相关性以及其在市场上提供的潜在差异化是被许可人需要考虑的重要因素。</w:t>
      </w:r>
    </w:p>
    <w:p w14:paraId="15FE3D0E">
      <w:pPr>
        <w:pStyle w:val="83"/>
        <w:bidi w:val="0"/>
        <w:spacing w:before="0" w:beforeLines="0" w:after="0" w:afterLines="0"/>
        <w:rPr>
          <w:rFonts w:hint="eastAsia"/>
          <w:lang w:val="en-US" w:eastAsia="zh-CN"/>
        </w:rPr>
      </w:pPr>
      <w:r>
        <w:rPr>
          <w:rFonts w:hint="eastAsia"/>
          <w:lang w:val="en-US" w:eastAsia="zh-CN"/>
        </w:rPr>
        <w:t>知识产权评估和验证：被许可人可以自行评估知识产权资产，以验证其技术能力、商业可行性以及集成到被许可人的产品或服务中的潜力。</w:t>
      </w:r>
    </w:p>
    <w:p w14:paraId="52D96B1D">
      <w:pPr>
        <w:pStyle w:val="83"/>
        <w:bidi w:val="0"/>
        <w:spacing w:before="0" w:beforeLines="0" w:after="0" w:afterLines="0"/>
        <w:rPr>
          <w:rFonts w:hint="eastAsia"/>
          <w:lang w:val="en-US" w:eastAsia="zh-CN"/>
        </w:rPr>
      </w:pPr>
      <w:r>
        <w:rPr>
          <w:rFonts w:hint="eastAsia"/>
          <w:lang w:val="en-US" w:eastAsia="zh-CN"/>
        </w:rPr>
        <w:t>法律和法规合规性：确认许可的知识产权符合适用的法律，不侵犯第三方权利，并符合被许可人的道德和法律标准，这一点至关重要。</w:t>
      </w:r>
    </w:p>
    <w:p w14:paraId="3DD4EF79">
      <w:pPr>
        <w:pStyle w:val="83"/>
        <w:bidi w:val="0"/>
        <w:spacing w:before="0" w:beforeLines="0" w:after="0" w:afterLines="0"/>
        <w:rPr>
          <w:rFonts w:hint="eastAsia"/>
          <w:lang w:val="en-US" w:eastAsia="zh-CN"/>
        </w:rPr>
      </w:pPr>
      <w:r>
        <w:rPr>
          <w:rFonts w:hint="eastAsia"/>
          <w:lang w:val="en-US" w:eastAsia="zh-CN"/>
        </w:rPr>
        <w:t>风险评估：被许可人评估与使用许可知识产权相关的风险，确保其不会产生依赖性或使被许可人面临法律或竞争漏洞。</w:t>
      </w:r>
    </w:p>
    <w:p w14:paraId="53895E3D">
      <w:pPr>
        <w:pStyle w:val="29"/>
        <w:rPr>
          <w:rFonts w:hint="eastAsia"/>
          <w:lang w:val="en-US" w:eastAsia="zh-CN"/>
        </w:rPr>
      </w:pPr>
      <w:r>
        <w:rPr>
          <w:rFonts w:hint="eastAsia"/>
          <w:lang w:val="en-US" w:eastAsia="zh-CN"/>
        </w:rPr>
        <w:t>通过分别考虑这些观点，许可人和被许可人都可以从各自的有利角度有效评估知识产权资产，从而在知识产权许可过程中做出明智的决策。</w:t>
      </w:r>
    </w:p>
    <w:p w14:paraId="1A7394AF">
      <w:pPr>
        <w:pStyle w:val="76"/>
        <w:bidi w:val="0"/>
        <w:rPr>
          <w:rFonts w:hint="eastAsia"/>
          <w:lang w:val="en-US" w:eastAsia="zh-CN"/>
        </w:rPr>
      </w:pPr>
      <w:bookmarkStart w:id="70" w:name="_Toc14547"/>
      <w:bookmarkStart w:id="71" w:name="_Toc158732055"/>
      <w:r>
        <w:rPr>
          <w:rFonts w:hint="eastAsia"/>
          <w:lang w:val="en-US" w:eastAsia="zh-CN"/>
        </w:rPr>
        <w:t>第二阶段：估值和市场研究</w:t>
      </w:r>
      <w:bookmarkEnd w:id="70"/>
      <w:bookmarkEnd w:id="71"/>
    </w:p>
    <w:p w14:paraId="0DFE17DA">
      <w:pPr>
        <w:pStyle w:val="29"/>
        <w:rPr>
          <w:rFonts w:hint="eastAsia"/>
          <w:lang w:val="en-US" w:eastAsia="zh-CN"/>
        </w:rPr>
      </w:pPr>
      <w:r>
        <w:rPr>
          <w:rFonts w:hint="eastAsia"/>
          <w:lang w:val="en-US" w:eastAsia="zh-CN"/>
        </w:rPr>
        <w:t>在知识产权许可的“评估和市场研究”阶段，许可方（拥有知识产权并授予许可的组织）和被许可方（获得许可的一方）都应独立考虑具体因素。</w:t>
      </w:r>
    </w:p>
    <w:p w14:paraId="69304C64">
      <w:pPr>
        <w:pStyle w:val="77"/>
        <w:bidi w:val="0"/>
        <w:rPr>
          <w:rFonts w:hint="eastAsia"/>
          <w:lang w:val="en-US" w:eastAsia="zh-CN"/>
        </w:rPr>
      </w:pPr>
      <w:bookmarkStart w:id="72" w:name="_Toc158732056"/>
      <w:r>
        <w:rPr>
          <w:rFonts w:hint="eastAsia"/>
          <w:lang w:val="en-US" w:eastAsia="zh-CN"/>
        </w:rPr>
        <w:t>许可方的观点</w:t>
      </w:r>
      <w:bookmarkEnd w:id="72"/>
    </w:p>
    <w:p w14:paraId="19CB3410">
      <w:pPr>
        <w:pStyle w:val="83"/>
        <w:bidi w:val="0"/>
        <w:spacing w:before="0" w:beforeLines="0" w:after="0" w:afterLines="0"/>
        <w:rPr>
          <w:rFonts w:hint="eastAsia"/>
          <w:lang w:val="en-US" w:eastAsia="zh-CN"/>
        </w:rPr>
      </w:pPr>
      <w:r>
        <w:rPr>
          <w:rFonts w:hint="eastAsia"/>
          <w:lang w:val="en-US" w:eastAsia="zh-CN"/>
        </w:rPr>
        <w:t>知识产权估值：从许可方的角度来看，对其知识资产进行彻底的估值对于确定其货币价值并建立适当的许可条款至关重要。这涉及到考虑知识产权提供的直接和间接收入潜力、成本节约以及潜在竞争优势。</w:t>
      </w:r>
    </w:p>
    <w:p w14:paraId="2E5CBD96">
      <w:pPr>
        <w:pStyle w:val="83"/>
        <w:bidi w:val="0"/>
        <w:spacing w:before="0" w:beforeLines="0" w:after="0" w:afterLines="0"/>
        <w:rPr>
          <w:rFonts w:hint="eastAsia"/>
          <w:lang w:val="en-US" w:eastAsia="zh-CN"/>
        </w:rPr>
      </w:pPr>
      <w:r>
        <w:rPr>
          <w:rFonts w:hint="eastAsia"/>
          <w:lang w:val="en-US" w:eastAsia="zh-CN"/>
        </w:rPr>
        <w:t>市场研究：许可方进行市场研究，以了解行业动态、趋势和客户需求，从而对其知识产权资产进行战略性定位和定价。这包括识别潜在的被许可人、评估市场需求以及评估知识产权在特定细分市场中的适合度。</w:t>
      </w:r>
    </w:p>
    <w:p w14:paraId="313B044E">
      <w:pPr>
        <w:pStyle w:val="83"/>
        <w:bidi w:val="0"/>
        <w:spacing w:before="0" w:beforeLines="0" w:after="0" w:afterLines="0"/>
        <w:rPr>
          <w:rFonts w:hint="eastAsia"/>
          <w:lang w:val="en-US" w:eastAsia="zh-CN"/>
        </w:rPr>
      </w:pPr>
      <w:r>
        <w:rPr>
          <w:rFonts w:hint="eastAsia"/>
          <w:lang w:val="en-US" w:eastAsia="zh-CN"/>
        </w:rPr>
        <w:t>竞争分析：从许可方的角度分析竞争格局有助于了解许可的知识产权与市场上类似产品的比较，从而在定价、定位和差异化方面做出明智的决策。</w:t>
      </w:r>
    </w:p>
    <w:p w14:paraId="49888E19">
      <w:pPr>
        <w:pStyle w:val="83"/>
        <w:bidi w:val="0"/>
        <w:spacing w:before="0" w:beforeLines="0" w:after="0" w:afterLines="0"/>
        <w:rPr>
          <w:rFonts w:hint="eastAsia"/>
          <w:lang w:val="en-US" w:eastAsia="zh-CN"/>
        </w:rPr>
      </w:pPr>
      <w:r>
        <w:rPr>
          <w:rFonts w:hint="eastAsia"/>
          <w:lang w:val="en-US" w:eastAsia="zh-CN"/>
        </w:rPr>
        <w:t>风险评估：评估与知识产权许可相关的风险，包括知识产权侵权问题、市场波动以及与技术过时或法律纠纷相关的潜在挑战，对于许可人有效降低风险至关重要。</w:t>
      </w:r>
    </w:p>
    <w:p w14:paraId="01053335">
      <w:pPr>
        <w:pStyle w:val="83"/>
        <w:bidi w:val="0"/>
        <w:spacing w:before="0" w:beforeLines="0" w:after="0" w:afterLines="0"/>
        <w:rPr>
          <w:rFonts w:hint="eastAsia"/>
          <w:lang w:val="en-US" w:eastAsia="zh-CN"/>
        </w:rPr>
      </w:pPr>
      <w:r>
        <w:rPr>
          <w:rFonts w:hint="eastAsia"/>
          <w:lang w:val="en-US" w:eastAsia="zh-CN"/>
        </w:rPr>
        <w:t>知识产权增强潜力：评估知识产权进一步开发、增强或改编的潜力，允许许可人将其知识产权资产定位为有价值的并适应不断变化的市场需求，从而有可能增加其对潜在被许可人的吸引力。</w:t>
      </w:r>
    </w:p>
    <w:p w14:paraId="55A2550F">
      <w:pPr>
        <w:pStyle w:val="77"/>
        <w:bidi w:val="0"/>
        <w:rPr>
          <w:rFonts w:hint="eastAsia"/>
          <w:lang w:val="en-US" w:eastAsia="zh-CN"/>
        </w:rPr>
      </w:pPr>
      <w:bookmarkStart w:id="73" w:name="_Toc158732057"/>
      <w:r>
        <w:rPr>
          <w:rFonts w:hint="eastAsia"/>
          <w:lang w:val="en-US" w:eastAsia="zh-CN"/>
        </w:rPr>
        <w:t>被许可人的观点</w:t>
      </w:r>
      <w:bookmarkEnd w:id="73"/>
    </w:p>
    <w:p w14:paraId="4BF6FF5C">
      <w:pPr>
        <w:pStyle w:val="83"/>
        <w:bidi w:val="0"/>
        <w:spacing w:before="0" w:beforeLines="0" w:after="0" w:afterLines="0"/>
        <w:rPr>
          <w:rFonts w:hint="eastAsia"/>
          <w:lang w:val="en-US" w:eastAsia="zh-CN"/>
        </w:rPr>
      </w:pPr>
      <w:r>
        <w:rPr>
          <w:rFonts w:hint="eastAsia"/>
          <w:lang w:val="en-US" w:eastAsia="zh-CN"/>
        </w:rPr>
        <w:t>知识资产价值主张：被许可人评估许可知识产权提供的价值主张，评估其如何与被许可人的业务目标、产品供应和市场定位保持一致。这涉及确定与知识产权相关的潜在经济效益、成本节约和创收机会。</w:t>
      </w:r>
    </w:p>
    <w:p w14:paraId="75CA8961">
      <w:pPr>
        <w:pStyle w:val="83"/>
        <w:bidi w:val="0"/>
        <w:spacing w:before="0" w:beforeLines="0" w:after="0" w:afterLines="0"/>
        <w:rPr>
          <w:rFonts w:hint="eastAsia"/>
          <w:lang w:val="en-US" w:eastAsia="zh-CN"/>
        </w:rPr>
      </w:pPr>
      <w:r>
        <w:rPr>
          <w:rFonts w:hint="eastAsia"/>
          <w:lang w:val="en-US" w:eastAsia="zh-CN"/>
        </w:rPr>
        <w:t>市场研究和需求分析：从被许可人的角度进行市场研究需要确定特定的细分市场，了解客户需求，并衡量许可的知识产权如何适应更广泛的市场格局。</w:t>
      </w:r>
    </w:p>
    <w:p w14:paraId="66BCF91A">
      <w:pPr>
        <w:pStyle w:val="83"/>
        <w:bidi w:val="0"/>
        <w:spacing w:before="0" w:beforeLines="0" w:after="0" w:afterLines="0"/>
        <w:rPr>
          <w:rFonts w:hint="eastAsia"/>
          <w:lang w:val="en-US" w:eastAsia="zh-CN"/>
        </w:rPr>
      </w:pPr>
      <w:r>
        <w:rPr>
          <w:rFonts w:hint="eastAsia"/>
          <w:lang w:val="en-US" w:eastAsia="zh-CN"/>
        </w:rPr>
        <w:t>竞争定位：分析获取许可知识产权的竞争影响，可以深入了解如何加强被许可人的竞争地位、使其产品脱颖而出或解决未满足的市场需求。</w:t>
      </w:r>
    </w:p>
    <w:p w14:paraId="6EBC8A8B">
      <w:pPr>
        <w:pStyle w:val="83"/>
        <w:bidi w:val="0"/>
        <w:spacing w:before="0" w:beforeLines="0" w:after="0" w:afterLines="0"/>
        <w:rPr>
          <w:rFonts w:hint="eastAsia"/>
          <w:lang w:val="en-US" w:eastAsia="zh-CN"/>
        </w:rPr>
      </w:pPr>
      <w:r>
        <w:rPr>
          <w:rFonts w:hint="eastAsia"/>
          <w:lang w:val="en-US" w:eastAsia="zh-CN"/>
        </w:rPr>
        <w:t>风险评估：被许可人评估与使用许可知识产权相关的风险，确保其符合被许可人的风险承受能力，符合法律和监管要求，并且不会使被许可人面临不可预见的责任或竞争漏洞。</w:t>
      </w:r>
    </w:p>
    <w:p w14:paraId="0A493A32">
      <w:pPr>
        <w:pStyle w:val="83"/>
        <w:bidi w:val="0"/>
        <w:spacing w:before="0" w:beforeLines="0" w:after="0" w:afterLines="0"/>
        <w:rPr>
          <w:rFonts w:hint="eastAsia"/>
          <w:lang w:val="en-US" w:eastAsia="zh-CN"/>
        </w:rPr>
      </w:pPr>
      <w:r>
        <w:rPr>
          <w:rFonts w:hint="eastAsia"/>
          <w:lang w:val="en-US" w:eastAsia="zh-CN"/>
        </w:rPr>
        <w:t>与现有资产的整合：评估许可的知识产权如何与被许可人的现有技术、产品或服务集成对于确定许可安排的可行性和潜在影响非常重要。</w:t>
      </w:r>
    </w:p>
    <w:p w14:paraId="3F8E38EF">
      <w:pPr>
        <w:pStyle w:val="29"/>
        <w:rPr>
          <w:rFonts w:hint="eastAsia"/>
          <w:lang w:val="en-US" w:eastAsia="zh-CN"/>
        </w:rPr>
      </w:pPr>
      <w:r>
        <w:rPr>
          <w:rFonts w:hint="eastAsia"/>
          <w:lang w:val="en-US" w:eastAsia="zh-CN"/>
        </w:rPr>
        <w:t>通过分别考虑这些观点，许可方和被许可方都可以从各自的有利角度有效评估知识产权资产、市场动态和潜在的许可机会，从而达成明智且互惠互利的知识产权许可安排。</w:t>
      </w:r>
    </w:p>
    <w:p w14:paraId="67B54323">
      <w:pPr>
        <w:pStyle w:val="76"/>
        <w:bidi w:val="0"/>
        <w:rPr>
          <w:rFonts w:hint="eastAsia"/>
          <w:lang w:val="en-US" w:eastAsia="zh-CN"/>
        </w:rPr>
      </w:pPr>
      <w:bookmarkStart w:id="74" w:name="_Toc158732058"/>
      <w:bookmarkStart w:id="75" w:name="_Toc19750"/>
      <w:r>
        <w:rPr>
          <w:rFonts w:hint="eastAsia"/>
          <w:lang w:val="en-US" w:eastAsia="zh-CN"/>
        </w:rPr>
        <w:t>第三阶段：谈判</w:t>
      </w:r>
      <w:bookmarkEnd w:id="74"/>
      <w:bookmarkEnd w:id="75"/>
    </w:p>
    <w:p w14:paraId="18928956">
      <w:pPr>
        <w:pStyle w:val="29"/>
        <w:rPr>
          <w:rFonts w:hint="eastAsia"/>
          <w:lang w:val="en-US" w:eastAsia="zh-CN"/>
        </w:rPr>
      </w:pPr>
      <w:r>
        <w:rPr>
          <w:rFonts w:hint="eastAsia"/>
          <w:lang w:val="en-US" w:eastAsia="zh-CN"/>
        </w:rPr>
        <w:t>在知识资产许可的“谈判”阶段，许可方（拥有知识产权并授予许可的组织）和被许可方（接受许可的一方）都应独立考虑具体因素：</w:t>
      </w:r>
    </w:p>
    <w:p w14:paraId="6969699B">
      <w:pPr>
        <w:pStyle w:val="77"/>
        <w:bidi w:val="0"/>
        <w:rPr>
          <w:rFonts w:hint="eastAsia"/>
          <w:lang w:val="en-US" w:eastAsia="zh-CN"/>
        </w:rPr>
      </w:pPr>
      <w:bookmarkStart w:id="76" w:name="_Toc158732059"/>
      <w:r>
        <w:rPr>
          <w:rFonts w:hint="eastAsia"/>
          <w:lang w:val="en-US" w:eastAsia="zh-CN"/>
        </w:rPr>
        <w:t>许可方的观点</w:t>
      </w:r>
      <w:bookmarkEnd w:id="76"/>
    </w:p>
    <w:p w14:paraId="291680A9">
      <w:pPr>
        <w:pStyle w:val="83"/>
        <w:bidi w:val="0"/>
        <w:spacing w:before="0" w:beforeLines="0" w:after="0" w:afterLines="0"/>
        <w:rPr>
          <w:rFonts w:hint="eastAsia"/>
          <w:lang w:val="en-US" w:eastAsia="zh-CN"/>
        </w:rPr>
      </w:pPr>
      <w:r>
        <w:rPr>
          <w:rFonts w:hint="eastAsia"/>
          <w:lang w:val="en-US" w:eastAsia="zh-CN"/>
        </w:rPr>
        <w:t>许可目标：许可方为谈判过程设定明确的目标，包括所需的版税率、合同条款、许可期限以及与许可知识产权的使用相关的任何具体限制或津贴。</w:t>
      </w:r>
    </w:p>
    <w:p w14:paraId="4B757F92">
      <w:pPr>
        <w:pStyle w:val="83"/>
        <w:bidi w:val="0"/>
        <w:spacing w:before="0" w:beforeLines="0" w:after="0" w:afterLines="0"/>
        <w:rPr>
          <w:rFonts w:hint="eastAsia"/>
          <w:lang w:val="en-US" w:eastAsia="zh-CN"/>
        </w:rPr>
      </w:pPr>
      <w:r>
        <w:rPr>
          <w:rFonts w:hint="eastAsia"/>
          <w:lang w:val="en-US" w:eastAsia="zh-CN"/>
        </w:rPr>
        <w:t>知识产权保护和控制：从许可方的角度来看，确保充分保护知识产权、保持对其使用的控制以及防止未经授权的利用是谈判期间的主要考虑因素。</w:t>
      </w:r>
    </w:p>
    <w:p w14:paraId="30941D73">
      <w:pPr>
        <w:pStyle w:val="83"/>
        <w:bidi w:val="0"/>
        <w:spacing w:before="0" w:beforeLines="0" w:after="0" w:afterLines="0"/>
        <w:rPr>
          <w:rFonts w:hint="eastAsia"/>
          <w:lang w:val="en-US" w:eastAsia="zh-CN"/>
        </w:rPr>
      </w:pPr>
      <w:r>
        <w:rPr>
          <w:rFonts w:hint="eastAsia"/>
          <w:lang w:val="en-US" w:eastAsia="zh-CN"/>
        </w:rPr>
        <w:t>财务考虑因素：许可人评估许可安排的财务影响，寻求优化知识产权的收入产生，同时与市场标准和被许可人的能力保持一致。</w:t>
      </w:r>
    </w:p>
    <w:p w14:paraId="73652BD3">
      <w:pPr>
        <w:pStyle w:val="83"/>
        <w:bidi w:val="0"/>
        <w:spacing w:before="0" w:beforeLines="0" w:after="0" w:afterLines="0"/>
        <w:rPr>
          <w:rFonts w:hint="eastAsia"/>
          <w:lang w:val="en-US" w:eastAsia="zh-CN"/>
        </w:rPr>
      </w:pPr>
      <w:r>
        <w:rPr>
          <w:rFonts w:hint="eastAsia"/>
          <w:lang w:val="en-US" w:eastAsia="zh-CN"/>
        </w:rPr>
        <w:t>风险缓解：识别与许可相关的潜在风险，例如侵权挑战、声誉风险或技术漏洞，并将风险缓解措施纳入谈判策略对于许可人至关重要。</w:t>
      </w:r>
    </w:p>
    <w:p w14:paraId="39773E12">
      <w:pPr>
        <w:pStyle w:val="83"/>
        <w:bidi w:val="0"/>
        <w:spacing w:before="0" w:beforeLines="0" w:after="0" w:afterLines="0"/>
        <w:rPr>
          <w:rFonts w:hint="eastAsia"/>
          <w:lang w:val="en-US" w:eastAsia="zh-CN"/>
        </w:rPr>
      </w:pPr>
      <w:r>
        <w:rPr>
          <w:rFonts w:hint="eastAsia"/>
          <w:lang w:val="en-US" w:eastAsia="zh-CN"/>
        </w:rPr>
        <w:t>战略协调：从许可方的角度来看，确保协商的条款与许可方更广泛的战略目标、市场定位和长期商业利益相一致是一个关键因素。</w:t>
      </w:r>
    </w:p>
    <w:p w14:paraId="72FDA0F4">
      <w:pPr>
        <w:pStyle w:val="77"/>
        <w:bidi w:val="0"/>
        <w:rPr>
          <w:rFonts w:hint="eastAsia"/>
          <w:lang w:val="en-US" w:eastAsia="zh-CN"/>
        </w:rPr>
      </w:pPr>
      <w:bookmarkStart w:id="77" w:name="_Toc158732060"/>
      <w:r>
        <w:rPr>
          <w:rFonts w:hint="eastAsia"/>
          <w:lang w:val="en-US" w:eastAsia="zh-CN"/>
        </w:rPr>
        <w:t>被许可人的观点</w:t>
      </w:r>
      <w:bookmarkEnd w:id="77"/>
    </w:p>
    <w:p w14:paraId="64155806">
      <w:pPr>
        <w:pStyle w:val="83"/>
        <w:bidi w:val="0"/>
        <w:spacing w:before="0" w:beforeLines="0" w:after="0" w:afterLines="0"/>
        <w:rPr>
          <w:rFonts w:hint="eastAsia"/>
          <w:lang w:val="en-US" w:eastAsia="zh-CN"/>
        </w:rPr>
      </w:pPr>
      <w:r>
        <w:rPr>
          <w:rFonts w:hint="eastAsia"/>
          <w:lang w:val="en-US" w:eastAsia="zh-CN"/>
        </w:rPr>
        <w:t>成本效益分析：被许可方进行彻底的成本效益分析，评估与获取许可知识产权相关的潜在经济效益、成本节约和竞争优势。这包括评估拟议的特许权使用费率、付款条件和总体财务影响。</w:t>
      </w:r>
    </w:p>
    <w:p w14:paraId="65F3C46A">
      <w:pPr>
        <w:pStyle w:val="83"/>
        <w:bidi w:val="0"/>
        <w:spacing w:before="0" w:beforeLines="0" w:after="0" w:afterLines="0"/>
        <w:rPr>
          <w:rFonts w:hint="eastAsia"/>
          <w:lang w:val="en-US" w:eastAsia="zh-CN"/>
        </w:rPr>
      </w:pPr>
      <w:r>
        <w:rPr>
          <w:rFonts w:hint="eastAsia"/>
          <w:lang w:val="en-US" w:eastAsia="zh-CN"/>
        </w:rPr>
        <w:t>使用灵活性和集成：从被许可方的角度来看，就使用许可IP的灵活性、与现有产品或服务的集成以及未来开发或改进的潜力进行谈判是一个关键考虑因素。</w:t>
      </w:r>
    </w:p>
    <w:p w14:paraId="2A6B0D83">
      <w:pPr>
        <w:pStyle w:val="83"/>
        <w:bidi w:val="0"/>
        <w:spacing w:before="0" w:beforeLines="0" w:after="0" w:afterLines="0"/>
        <w:rPr>
          <w:rFonts w:hint="eastAsia"/>
          <w:lang w:val="en-US" w:eastAsia="zh-CN"/>
        </w:rPr>
      </w:pPr>
      <w:r>
        <w:rPr>
          <w:rFonts w:hint="eastAsia"/>
          <w:lang w:val="en-US" w:eastAsia="zh-CN"/>
        </w:rPr>
        <w:t>风险评估和责任：评估与许可知识产权相关的潜在风险、责任和法律影响，包括侵权问题、赔偿条款和争议解决机制，对于被许可人至关重要。</w:t>
      </w:r>
    </w:p>
    <w:p w14:paraId="36ED3A93">
      <w:pPr>
        <w:pStyle w:val="83"/>
        <w:bidi w:val="0"/>
        <w:spacing w:before="0" w:beforeLines="0" w:after="0" w:afterLines="0"/>
        <w:rPr>
          <w:rFonts w:hint="eastAsia"/>
          <w:lang w:val="en-US" w:eastAsia="zh-CN"/>
        </w:rPr>
      </w:pPr>
      <w:r>
        <w:rPr>
          <w:rFonts w:hint="eastAsia"/>
          <w:lang w:val="en-US" w:eastAsia="zh-CN"/>
        </w:rPr>
        <w:t>市场定位和竞争优势：被许可方评估协商条款如何影响其市场定位、竞争优势以及为客户提供的价值主张，寻求利用许可的知识产权获得战略优势。</w:t>
      </w:r>
    </w:p>
    <w:p w14:paraId="32BA5FEE">
      <w:pPr>
        <w:pStyle w:val="83"/>
        <w:bidi w:val="0"/>
        <w:spacing w:before="0" w:beforeLines="0" w:after="0" w:afterLines="0"/>
        <w:rPr>
          <w:rFonts w:hint="eastAsia"/>
          <w:lang w:val="en-US" w:eastAsia="zh-CN"/>
        </w:rPr>
      </w:pPr>
      <w:r>
        <w:rPr>
          <w:rFonts w:hint="eastAsia"/>
          <w:lang w:val="en-US" w:eastAsia="zh-CN"/>
        </w:rPr>
        <w:t>与业务战略保持一致：从被许可人的角度来看，确保谈判条款与被许可人更广泛的业务战略、产品路线图和长期目标相一致至关重要。</w:t>
      </w:r>
    </w:p>
    <w:p w14:paraId="6D7D2263">
      <w:pPr>
        <w:pStyle w:val="29"/>
        <w:rPr>
          <w:rFonts w:hint="eastAsia"/>
          <w:lang w:val="en-US" w:eastAsia="zh-CN"/>
        </w:rPr>
      </w:pPr>
      <w:r>
        <w:rPr>
          <w:rFonts w:hint="eastAsia"/>
          <w:lang w:val="en-US" w:eastAsia="zh-CN"/>
        </w:rPr>
        <w:t>通过分别考虑这些观点，许可人和被许可人都可以有效地协商满足各自利益的条款和条件，确保遵守法律和监管要求，并为互惠互利的知识产权许可协议铺平道路。</w:t>
      </w:r>
    </w:p>
    <w:p w14:paraId="06C45A86">
      <w:pPr>
        <w:pStyle w:val="76"/>
        <w:bidi w:val="0"/>
        <w:rPr>
          <w:rFonts w:hint="eastAsia"/>
          <w:lang w:val="en-US" w:eastAsia="zh-CN"/>
        </w:rPr>
      </w:pPr>
      <w:bookmarkStart w:id="78" w:name="_Toc158732061"/>
      <w:bookmarkStart w:id="79" w:name="_Toc12547"/>
      <w:r>
        <w:rPr>
          <w:rFonts w:hint="eastAsia"/>
          <w:lang w:val="en-US" w:eastAsia="zh-CN"/>
        </w:rPr>
        <w:t>第四阶段：起草许可协议</w:t>
      </w:r>
      <w:bookmarkEnd w:id="78"/>
      <w:bookmarkEnd w:id="79"/>
    </w:p>
    <w:p w14:paraId="7D4300C2">
      <w:pPr>
        <w:pStyle w:val="29"/>
        <w:rPr>
          <w:rFonts w:hint="eastAsia"/>
          <w:lang w:val="en-US" w:eastAsia="zh-CN"/>
        </w:rPr>
      </w:pPr>
      <w:r>
        <w:rPr>
          <w:rFonts w:hint="eastAsia"/>
          <w:lang w:val="en-US" w:eastAsia="zh-CN"/>
        </w:rPr>
        <w:t>在知识产权许可的“起草许可协议”阶段，许可方（拥有知识产权并授予许可的组织）和被许可方（接受许可的一方）均应独立考虑具体因素</w:t>
      </w:r>
    </w:p>
    <w:p w14:paraId="3CE08322">
      <w:pPr>
        <w:pStyle w:val="77"/>
        <w:bidi w:val="0"/>
        <w:rPr>
          <w:rFonts w:hint="eastAsia"/>
          <w:lang w:val="en-US" w:eastAsia="zh-CN"/>
        </w:rPr>
      </w:pPr>
      <w:bookmarkStart w:id="80" w:name="_Toc158732062"/>
      <w:r>
        <w:rPr>
          <w:rFonts w:hint="eastAsia"/>
          <w:lang w:val="en-US" w:eastAsia="zh-CN"/>
        </w:rPr>
        <w:t>许可方的观点</w:t>
      </w:r>
      <w:bookmarkEnd w:id="80"/>
    </w:p>
    <w:p w14:paraId="1741077E">
      <w:pPr>
        <w:pStyle w:val="83"/>
        <w:bidi w:val="0"/>
        <w:spacing w:before="0" w:beforeLines="0" w:after="0" w:afterLines="0"/>
        <w:rPr>
          <w:rFonts w:hint="eastAsia"/>
          <w:lang w:val="en-US" w:eastAsia="zh-CN"/>
        </w:rPr>
      </w:pPr>
      <w:r>
        <w:rPr>
          <w:rFonts w:hint="eastAsia"/>
          <w:lang w:val="en-US" w:eastAsia="zh-CN"/>
        </w:rPr>
        <w:t>知识产权保护和控制：从许可方的角度来看，起草协议涉及确保与知识产权保护、使用限制、保密性和执行机制相关的条款健全且明确，以保护知识产权资产的完整性和价值。</w:t>
      </w:r>
    </w:p>
    <w:p w14:paraId="1C7AFEC5">
      <w:pPr>
        <w:pStyle w:val="83"/>
        <w:bidi w:val="0"/>
        <w:spacing w:before="0" w:beforeLines="0" w:after="0" w:afterLines="0"/>
        <w:rPr>
          <w:rFonts w:hint="eastAsia"/>
          <w:lang w:val="en-US" w:eastAsia="zh-CN"/>
        </w:rPr>
      </w:pPr>
      <w:r>
        <w:rPr>
          <w:rFonts w:hint="eastAsia"/>
          <w:lang w:val="en-US" w:eastAsia="zh-CN"/>
        </w:rPr>
        <w:t>权利授予和限制：许可方明确授予被许可方权利的具体范围，包括任何限制、排他性条款、地域限制以及任何保留权利或保留权，以保持对许可知识产权的使用和利用的控制。</w:t>
      </w:r>
    </w:p>
    <w:p w14:paraId="0C8F257C">
      <w:pPr>
        <w:pStyle w:val="83"/>
        <w:bidi w:val="0"/>
        <w:spacing w:before="0" w:beforeLines="0" w:after="0" w:afterLines="0"/>
        <w:rPr>
          <w:rFonts w:hint="eastAsia"/>
          <w:lang w:val="en-US" w:eastAsia="zh-CN"/>
        </w:rPr>
      </w:pPr>
      <w:r>
        <w:rPr>
          <w:rFonts w:hint="eastAsia"/>
          <w:lang w:val="en-US" w:eastAsia="zh-CN"/>
        </w:rPr>
        <w:t>质量标准和品牌保护：从许可人的角度来看，纳入与维持质量标准、遵守品牌准则以及确保被许可人维护与许可知识产权相关的声誉和商誉的机制相关的条款至关重要。</w:t>
      </w:r>
    </w:p>
    <w:p w14:paraId="67268847">
      <w:pPr>
        <w:pStyle w:val="83"/>
        <w:bidi w:val="0"/>
        <w:spacing w:before="0" w:beforeLines="0" w:after="0" w:afterLines="0"/>
        <w:rPr>
          <w:rFonts w:hint="eastAsia"/>
          <w:lang w:val="en-US" w:eastAsia="zh-CN"/>
        </w:rPr>
      </w:pPr>
      <w:r>
        <w:rPr>
          <w:rFonts w:hint="eastAsia"/>
          <w:lang w:val="en-US" w:eastAsia="zh-CN"/>
        </w:rPr>
        <w:t>风险缓解和赔偿：重点包括陈述、保证、赔偿条款和责任条款，以适当分配风险，防止潜在的侵权索赔，并解决法律或合规相关责任。</w:t>
      </w:r>
    </w:p>
    <w:p w14:paraId="0E441119">
      <w:pPr>
        <w:pStyle w:val="83"/>
        <w:bidi w:val="0"/>
        <w:spacing w:before="0" w:beforeLines="0" w:after="0" w:afterLines="0"/>
        <w:rPr>
          <w:rFonts w:hint="eastAsia"/>
          <w:lang w:val="en-US" w:eastAsia="zh-CN"/>
        </w:rPr>
      </w:pPr>
      <w:r>
        <w:rPr>
          <w:rFonts w:hint="eastAsia"/>
          <w:lang w:val="en-US" w:eastAsia="zh-CN"/>
        </w:rPr>
        <w:t>合规性和法律执行：确保协议符合适用的法律、行业法规和法律标准，同时纳入法律执行和争议解决的规定，这是许可方考虑的重要组成部分。</w:t>
      </w:r>
    </w:p>
    <w:p w14:paraId="56D35273">
      <w:pPr>
        <w:pStyle w:val="77"/>
        <w:bidi w:val="0"/>
        <w:rPr>
          <w:rFonts w:hint="eastAsia"/>
          <w:lang w:val="en-US" w:eastAsia="zh-CN"/>
        </w:rPr>
      </w:pPr>
      <w:bookmarkStart w:id="81" w:name="_Toc158732063"/>
      <w:r>
        <w:rPr>
          <w:rFonts w:hint="eastAsia"/>
          <w:lang w:val="en-US" w:eastAsia="zh-CN"/>
        </w:rPr>
        <w:t>被许可人的观点</w:t>
      </w:r>
      <w:bookmarkEnd w:id="81"/>
    </w:p>
    <w:p w14:paraId="5CB9157D">
      <w:pPr>
        <w:pStyle w:val="83"/>
        <w:bidi w:val="0"/>
        <w:spacing w:before="0" w:beforeLines="0" w:after="0" w:afterLines="0"/>
        <w:rPr>
          <w:rFonts w:hint="eastAsia"/>
          <w:lang w:val="en-US" w:eastAsia="zh-CN"/>
        </w:rPr>
      </w:pPr>
      <w:r>
        <w:rPr>
          <w:rFonts w:hint="eastAsia"/>
          <w:lang w:val="en-US" w:eastAsia="zh-CN"/>
        </w:rPr>
        <w:t>使用灵活性和集成：被许可人专注于谈判条款，以允许灵活地使用许可知识产权、将其与现有产品或服务集成，并有可能在被许可人的运营框架内扩展其效用。</w:t>
      </w:r>
    </w:p>
    <w:p w14:paraId="3EC6CF5E">
      <w:pPr>
        <w:pStyle w:val="83"/>
        <w:bidi w:val="0"/>
        <w:spacing w:before="0" w:beforeLines="0" w:after="0" w:afterLines="0"/>
        <w:rPr>
          <w:rFonts w:hint="eastAsia"/>
          <w:lang w:val="en-US" w:eastAsia="zh-CN"/>
        </w:rPr>
      </w:pPr>
      <w:r>
        <w:rPr>
          <w:rFonts w:hint="eastAsia"/>
          <w:lang w:val="en-US" w:eastAsia="zh-CN"/>
        </w:rPr>
        <w:t>成本效益分析：从被许可人的角度来看，必须评估财务方面，包括前期成本、持续的特许权使用费、付款时间表以及任何基于绩效的考虑因素，以确保财务承诺与预期收益和市场机会相一致。</w:t>
      </w:r>
    </w:p>
    <w:p w14:paraId="17E61C89">
      <w:pPr>
        <w:pStyle w:val="83"/>
        <w:bidi w:val="0"/>
        <w:spacing w:before="0" w:beforeLines="0" w:after="0" w:afterLines="0"/>
        <w:rPr>
          <w:rFonts w:hint="eastAsia"/>
          <w:lang w:val="en-US" w:eastAsia="zh-CN"/>
        </w:rPr>
      </w:pPr>
      <w:r>
        <w:rPr>
          <w:rFonts w:hint="eastAsia"/>
          <w:lang w:val="en-US" w:eastAsia="zh-CN"/>
        </w:rPr>
        <w:t>运营合规性和实施：解决与运营合规性、使用指南、技术规范、质量控制标准以及在被许可人运营中实施和维护许可知识产权的任何具体要求相关的条款是重点。</w:t>
      </w:r>
    </w:p>
    <w:p w14:paraId="723C6AE9">
      <w:pPr>
        <w:pStyle w:val="83"/>
        <w:bidi w:val="0"/>
        <w:spacing w:before="0" w:beforeLines="0" w:after="0" w:afterLines="0"/>
        <w:rPr>
          <w:rFonts w:hint="eastAsia"/>
          <w:lang w:val="en-US" w:eastAsia="zh-CN"/>
        </w:rPr>
      </w:pPr>
      <w:r>
        <w:rPr>
          <w:rFonts w:hint="eastAsia"/>
          <w:lang w:val="en-US" w:eastAsia="zh-CN"/>
        </w:rPr>
        <w:t>风险评估和责任：被许可人仔细审查与责任限制相关的陈述、保证、赔偿规定和条款，以评估和减轻潜在风险，确保法律合规性，并防止因许可知识产权而产生不可预见的责任。</w:t>
      </w:r>
    </w:p>
    <w:p w14:paraId="23A13880">
      <w:pPr>
        <w:pStyle w:val="83"/>
        <w:bidi w:val="0"/>
        <w:spacing w:before="0" w:beforeLines="0" w:after="0" w:afterLines="0"/>
        <w:rPr>
          <w:rFonts w:hint="eastAsia"/>
          <w:lang w:val="en-US" w:eastAsia="zh-CN"/>
        </w:rPr>
      </w:pPr>
      <w:r>
        <w:rPr>
          <w:rFonts w:hint="eastAsia"/>
          <w:lang w:val="en-US" w:eastAsia="zh-CN"/>
        </w:rPr>
        <w:t>法律一致性和商业战略：确保起草的协议符合被许可人更广泛的法律要求、战略目标、产品路线图和市场定位对于被许可人的长期商业利益至关重要。</w:t>
      </w:r>
    </w:p>
    <w:p w14:paraId="606915CA">
      <w:pPr>
        <w:pStyle w:val="29"/>
        <w:rPr>
          <w:rFonts w:hint="eastAsia"/>
          <w:lang w:val="en-US" w:eastAsia="zh-CN"/>
        </w:rPr>
      </w:pPr>
      <w:r>
        <w:rPr>
          <w:rFonts w:hint="eastAsia"/>
          <w:lang w:val="en-US" w:eastAsia="zh-CN"/>
        </w:rPr>
        <w:t>通过分别考虑这些观点，许可人和被许可人可以确保许可协议的起草反映各自的利益、关注点和战略重点，从而形成一个平衡且互利的合同框架来管理知识产权的许可使用。</w:t>
      </w:r>
    </w:p>
    <w:p w14:paraId="5A14521A">
      <w:pPr>
        <w:pStyle w:val="76"/>
        <w:bidi w:val="0"/>
        <w:rPr>
          <w:rFonts w:hint="eastAsia"/>
          <w:lang w:val="en-US" w:eastAsia="zh-CN"/>
        </w:rPr>
      </w:pPr>
      <w:bookmarkStart w:id="82" w:name="_Toc19420"/>
      <w:bookmarkStart w:id="83" w:name="_Toc158732064"/>
      <w:r>
        <w:rPr>
          <w:rFonts w:hint="eastAsia"/>
          <w:lang w:val="en-US" w:eastAsia="zh-CN"/>
        </w:rPr>
        <w:t>第五阶段：执行和付款</w:t>
      </w:r>
      <w:bookmarkEnd w:id="82"/>
      <w:bookmarkEnd w:id="83"/>
    </w:p>
    <w:p w14:paraId="77470307">
      <w:pPr>
        <w:pStyle w:val="29"/>
        <w:rPr>
          <w:rFonts w:hint="eastAsia"/>
          <w:lang w:val="en-US" w:eastAsia="zh-CN"/>
        </w:rPr>
      </w:pPr>
      <w:r>
        <w:rPr>
          <w:rFonts w:hint="eastAsia"/>
          <w:lang w:val="en-US" w:eastAsia="zh-CN"/>
        </w:rPr>
        <w:t>在知识产权许可的“执行和付款”阶段，许可方（拥有知识产权并授予许可的组织）和被许可方（获得许可的一方）都应独立考虑具体因素</w:t>
      </w:r>
    </w:p>
    <w:p w14:paraId="216AFE52">
      <w:pPr>
        <w:pStyle w:val="77"/>
        <w:bidi w:val="0"/>
        <w:rPr>
          <w:rFonts w:hint="eastAsia"/>
          <w:lang w:val="en-US" w:eastAsia="zh-CN"/>
        </w:rPr>
      </w:pPr>
      <w:bookmarkStart w:id="84" w:name="_Toc158732065"/>
      <w:r>
        <w:rPr>
          <w:rFonts w:hint="eastAsia"/>
          <w:lang w:val="en-US" w:eastAsia="zh-CN"/>
        </w:rPr>
        <w:t>许可方的观点</w:t>
      </w:r>
      <w:bookmarkEnd w:id="84"/>
    </w:p>
    <w:p w14:paraId="21CBB5FE">
      <w:pPr>
        <w:pStyle w:val="83"/>
        <w:bidi w:val="0"/>
        <w:spacing w:before="0" w:beforeLines="0" w:after="0" w:afterLines="0"/>
        <w:rPr>
          <w:rFonts w:hint="eastAsia"/>
          <w:lang w:val="en-US" w:eastAsia="zh-CN"/>
        </w:rPr>
      </w:pPr>
      <w:r>
        <w:rPr>
          <w:rFonts w:hint="eastAsia"/>
          <w:lang w:val="en-US" w:eastAsia="zh-CN"/>
        </w:rPr>
        <w:t>合同正式化：从许可方的角度来看，确保许可协议的正确执行涉及组织必要的文件、获得授权签名以及使合同关系正式化，以确保法律有效性和可执行性。</w:t>
      </w:r>
    </w:p>
    <w:p w14:paraId="1D428D64">
      <w:pPr>
        <w:pStyle w:val="83"/>
        <w:bidi w:val="0"/>
        <w:spacing w:before="0" w:beforeLines="0" w:after="0" w:afterLines="0"/>
        <w:rPr>
          <w:rFonts w:hint="eastAsia"/>
          <w:lang w:val="en-US" w:eastAsia="zh-CN"/>
        </w:rPr>
      </w:pPr>
      <w:r>
        <w:rPr>
          <w:rFonts w:hint="eastAsia"/>
          <w:lang w:val="en-US" w:eastAsia="zh-CN"/>
        </w:rPr>
        <w:t>监管合规性：根据许可知识产权的性质和相关行业法规处理许可安排所需的任何监管备案、批准或通知是许可人在执行阶段的重点。</w:t>
      </w:r>
    </w:p>
    <w:p w14:paraId="74B20587">
      <w:pPr>
        <w:pStyle w:val="83"/>
        <w:bidi w:val="0"/>
        <w:spacing w:before="0" w:beforeLines="0" w:after="0" w:afterLines="0"/>
        <w:rPr>
          <w:rFonts w:hint="eastAsia"/>
          <w:lang w:val="en-US" w:eastAsia="zh-CN"/>
        </w:rPr>
      </w:pPr>
      <w:r>
        <w:rPr>
          <w:rFonts w:hint="eastAsia"/>
          <w:lang w:val="en-US" w:eastAsia="zh-CN"/>
        </w:rPr>
        <w:t>内部通知和协调：许可方组织内的内部利益相关者会收到最终协议的通知，从而使内部团队、部门和决策者与许可安排的条款和条件保持一致。</w:t>
      </w:r>
    </w:p>
    <w:p w14:paraId="0C8844E5">
      <w:pPr>
        <w:pStyle w:val="83"/>
        <w:bidi w:val="0"/>
        <w:spacing w:before="0" w:beforeLines="0" w:after="0" w:afterLines="0"/>
        <w:rPr>
          <w:rFonts w:hint="eastAsia"/>
          <w:lang w:val="en-US" w:eastAsia="zh-CN"/>
        </w:rPr>
      </w:pPr>
      <w:r>
        <w:rPr>
          <w:rFonts w:hint="eastAsia"/>
          <w:lang w:val="en-US" w:eastAsia="zh-CN"/>
        </w:rPr>
        <w:t>建立支付程序：许可方重点关注建立清晰、高效的支付程序，包括发票机制、支付处理渠道、财务报告要求以及任何必要的财务控制，以确保及时、准确地支付款项。</w:t>
      </w:r>
    </w:p>
    <w:p w14:paraId="4875A3BA">
      <w:pPr>
        <w:pStyle w:val="83"/>
        <w:bidi w:val="0"/>
        <w:spacing w:before="0" w:beforeLines="0" w:after="0" w:afterLines="0"/>
        <w:rPr>
          <w:rFonts w:hint="eastAsia"/>
          <w:lang w:val="en-US" w:eastAsia="zh-CN"/>
        </w:rPr>
      </w:pPr>
      <w:r>
        <w:rPr>
          <w:rFonts w:hint="eastAsia"/>
          <w:lang w:val="en-US" w:eastAsia="zh-CN"/>
        </w:rPr>
        <w:t>绩效监控和审计：从许可方的角度来看，建立系统来监控许可知识产权的绩效、定义审计权并确保遵守与付款对账和特许权使用费计算相关的报告和审计义务是首要任务。</w:t>
      </w:r>
    </w:p>
    <w:p w14:paraId="3AE962F1">
      <w:pPr>
        <w:pStyle w:val="77"/>
        <w:bidi w:val="0"/>
        <w:rPr>
          <w:rFonts w:hint="eastAsia"/>
          <w:lang w:val="en-US" w:eastAsia="zh-CN"/>
        </w:rPr>
      </w:pPr>
      <w:bookmarkStart w:id="85" w:name="_Toc158732066"/>
      <w:r>
        <w:rPr>
          <w:rFonts w:hint="eastAsia"/>
          <w:lang w:val="en-US" w:eastAsia="zh-CN"/>
        </w:rPr>
        <w:t>被许可人的观点</w:t>
      </w:r>
      <w:bookmarkEnd w:id="85"/>
    </w:p>
    <w:p w14:paraId="158400DA">
      <w:pPr>
        <w:pStyle w:val="83"/>
        <w:bidi w:val="0"/>
        <w:spacing w:before="0" w:beforeLines="0" w:after="0" w:afterLines="0"/>
        <w:rPr>
          <w:rFonts w:hint="eastAsia"/>
          <w:lang w:val="en-US" w:eastAsia="zh-CN"/>
        </w:rPr>
      </w:pPr>
      <w:r>
        <w:rPr>
          <w:rFonts w:hint="eastAsia"/>
          <w:lang w:val="en-US" w:eastAsia="zh-CN"/>
        </w:rPr>
        <w:t>合同执行和公证：被许可人确保许可协议的正确执行，包括必要时的公证或见证，以增强合同承诺的法律效力和可执行性。</w:t>
      </w:r>
    </w:p>
    <w:p w14:paraId="3C07851B">
      <w:pPr>
        <w:pStyle w:val="83"/>
        <w:bidi w:val="0"/>
        <w:spacing w:before="0" w:beforeLines="0" w:after="0" w:afterLines="0"/>
        <w:rPr>
          <w:rFonts w:hint="eastAsia"/>
          <w:lang w:val="en-US" w:eastAsia="zh-CN"/>
        </w:rPr>
      </w:pPr>
      <w:r>
        <w:rPr>
          <w:rFonts w:hint="eastAsia"/>
          <w:lang w:val="en-US" w:eastAsia="zh-CN"/>
        </w:rPr>
        <w:t>运营整合：建立将许可的知识产权集成到被许可人的运营中、更新内部系统、产品文档和营销材料以反映知识产权的许可状态的流程，以确保无缝的运营整合。</w:t>
      </w:r>
    </w:p>
    <w:p w14:paraId="50488A88">
      <w:pPr>
        <w:pStyle w:val="83"/>
        <w:bidi w:val="0"/>
        <w:spacing w:before="0" w:beforeLines="0" w:after="0" w:afterLines="0"/>
        <w:rPr>
          <w:rFonts w:hint="eastAsia"/>
          <w:lang w:val="en-US" w:eastAsia="zh-CN"/>
        </w:rPr>
      </w:pPr>
      <w:r>
        <w:rPr>
          <w:rFonts w:hint="eastAsia"/>
          <w:lang w:val="en-US" w:eastAsia="zh-CN"/>
        </w:rPr>
        <w:t>通知和协调：被许可方将最终协议传达给相关的内部利益相关者，确保组织协调并遵守内部协议、财务准则和运营流程。</w:t>
      </w:r>
    </w:p>
    <w:p w14:paraId="0720FBB4">
      <w:pPr>
        <w:pStyle w:val="83"/>
        <w:bidi w:val="0"/>
        <w:spacing w:before="0" w:beforeLines="0" w:after="0" w:afterLines="0"/>
        <w:rPr>
          <w:rFonts w:hint="eastAsia"/>
          <w:lang w:val="en-US" w:eastAsia="zh-CN"/>
        </w:rPr>
      </w:pPr>
      <w:r>
        <w:rPr>
          <w:rFonts w:hint="eastAsia"/>
          <w:lang w:val="en-US" w:eastAsia="zh-CN"/>
        </w:rPr>
        <w:t>合规性和审计准备情况：被许可人承诺遵守协议条款，包括遵守付款义务、财务报告和任何规定的审计程序，以证明责任和透明度。</w:t>
      </w:r>
    </w:p>
    <w:p w14:paraId="4F9A07D9">
      <w:pPr>
        <w:pStyle w:val="83"/>
        <w:bidi w:val="0"/>
        <w:spacing w:before="0" w:beforeLines="0" w:after="0" w:afterLines="0"/>
        <w:rPr>
          <w:rFonts w:hint="eastAsia"/>
          <w:lang w:val="en-US" w:eastAsia="zh-CN"/>
        </w:rPr>
      </w:pPr>
      <w:r>
        <w:rPr>
          <w:rFonts w:hint="eastAsia"/>
          <w:lang w:val="en-US" w:eastAsia="zh-CN"/>
        </w:rPr>
        <w:t>付款对账和支付：从被许可人的角度来看，建立协调付款差异的机制，解决与付款相关的争议，并确保及时向许可人支付商定的付款是执行和付款考虑的关键部分。</w:t>
      </w:r>
    </w:p>
    <w:p w14:paraId="3ED2A6BE">
      <w:pPr>
        <w:pStyle w:val="29"/>
        <w:rPr>
          <w:rFonts w:hint="eastAsia"/>
          <w:lang w:val="en-US" w:eastAsia="zh-CN"/>
        </w:rPr>
      </w:pPr>
      <w:r>
        <w:rPr>
          <w:rFonts w:hint="eastAsia"/>
          <w:lang w:val="en-US" w:eastAsia="zh-CN"/>
        </w:rPr>
        <w:t>通过分别考虑这些观点，许可方和被许可方可以确保许可协议的执行和付款安排的建立符合各自的运营、法律和财务要求，从而形成协作和结构化的方法来管理知识产权许可关系。</w:t>
      </w:r>
    </w:p>
    <w:p w14:paraId="76FFA08C">
      <w:pPr>
        <w:pStyle w:val="76"/>
        <w:bidi w:val="0"/>
        <w:rPr>
          <w:rFonts w:hint="eastAsia"/>
          <w:lang w:val="en-US" w:eastAsia="zh-CN"/>
        </w:rPr>
      </w:pPr>
      <w:bookmarkStart w:id="86" w:name="_Toc158732067"/>
      <w:bookmarkStart w:id="87" w:name="_Toc27955"/>
      <w:r>
        <w:rPr>
          <w:rFonts w:hint="eastAsia"/>
          <w:lang w:val="en-US" w:eastAsia="zh-CN"/>
        </w:rPr>
        <w:t>第六阶段：维护和合规性</w:t>
      </w:r>
      <w:bookmarkEnd w:id="86"/>
      <w:bookmarkEnd w:id="87"/>
    </w:p>
    <w:p w14:paraId="35B2FE3F">
      <w:pPr>
        <w:pStyle w:val="29"/>
        <w:rPr>
          <w:rFonts w:hint="eastAsia"/>
          <w:lang w:val="en-US" w:eastAsia="zh-CN"/>
        </w:rPr>
      </w:pPr>
      <w:r>
        <w:rPr>
          <w:rFonts w:hint="eastAsia"/>
          <w:lang w:val="en-US" w:eastAsia="zh-CN"/>
        </w:rPr>
        <w:t>在IP许可的“维护与合规”阶段，许可方（拥有知识产权IP并授予许可的组织）和被许可方（接受许可的一方）都应独立考虑具体因素</w:t>
      </w:r>
    </w:p>
    <w:p w14:paraId="0351EEB6">
      <w:pPr>
        <w:pStyle w:val="77"/>
        <w:bidi w:val="0"/>
        <w:rPr>
          <w:rFonts w:hint="eastAsia"/>
          <w:lang w:val="en-US" w:eastAsia="zh-CN"/>
        </w:rPr>
      </w:pPr>
      <w:bookmarkStart w:id="88" w:name="_Toc158732068"/>
      <w:r>
        <w:rPr>
          <w:rFonts w:hint="eastAsia"/>
          <w:lang w:val="en-US" w:eastAsia="zh-CN"/>
        </w:rPr>
        <w:t>许可方的观点</w:t>
      </w:r>
      <w:bookmarkEnd w:id="88"/>
    </w:p>
    <w:p w14:paraId="7DEEE504">
      <w:pPr>
        <w:pStyle w:val="83"/>
        <w:bidi w:val="0"/>
        <w:spacing w:before="0" w:beforeLines="0" w:after="0" w:afterLines="0"/>
        <w:rPr>
          <w:rFonts w:hint="eastAsia"/>
          <w:lang w:val="en-US" w:eastAsia="zh-CN"/>
        </w:rPr>
      </w:pPr>
      <w:r>
        <w:rPr>
          <w:rFonts w:hint="eastAsia"/>
          <w:lang w:val="en-US" w:eastAsia="zh-CN"/>
        </w:rPr>
        <w:t>质量控制和知识产权IP维护：许可方专注于建立和维护许可知识产权IP的质量控制标准，确保其符合定义的规范并继续保持预期的质量和性能水平。</w:t>
      </w:r>
    </w:p>
    <w:p w14:paraId="24884172">
      <w:pPr>
        <w:pStyle w:val="83"/>
        <w:bidi w:val="0"/>
        <w:spacing w:before="0" w:beforeLines="0" w:after="0" w:afterLines="0"/>
        <w:rPr>
          <w:rFonts w:hint="eastAsia"/>
          <w:lang w:val="en-US" w:eastAsia="zh-CN"/>
        </w:rPr>
      </w:pPr>
      <w:r>
        <w:rPr>
          <w:rFonts w:hint="eastAsia"/>
          <w:lang w:val="en-US" w:eastAsia="zh-CN"/>
        </w:rPr>
        <w:t>更新和增强：启动管理许可 知识产权IP的更新、增强或修改的流程，许可方负责监督版本控制、发布管理和变更沟通，以保持知识产权 IP 的最新性和相关性。</w:t>
      </w:r>
    </w:p>
    <w:p w14:paraId="12D5C5CC">
      <w:pPr>
        <w:pStyle w:val="83"/>
        <w:bidi w:val="0"/>
        <w:spacing w:before="0" w:beforeLines="0" w:after="0" w:afterLines="0"/>
        <w:rPr>
          <w:rFonts w:hint="eastAsia"/>
          <w:lang w:val="en-US" w:eastAsia="zh-CN"/>
        </w:rPr>
      </w:pPr>
      <w:r>
        <w:rPr>
          <w:rFonts w:hint="eastAsia"/>
          <w:lang w:val="en-US" w:eastAsia="zh-CN"/>
        </w:rPr>
        <w:t>技术支持和指导：许可方可以向被许可方提供技术支持、指导或协助，以解决与在被许可方的产品或服务中实施或使用许可知识产权相关的任何操作或技术挑战。</w:t>
      </w:r>
    </w:p>
    <w:p w14:paraId="0A4C1F0C">
      <w:pPr>
        <w:pStyle w:val="83"/>
        <w:bidi w:val="0"/>
        <w:spacing w:before="0" w:beforeLines="0" w:after="0" w:afterLines="0"/>
        <w:rPr>
          <w:rFonts w:hint="eastAsia"/>
          <w:lang w:val="en-US" w:eastAsia="zh-CN"/>
        </w:rPr>
      </w:pPr>
      <w:r>
        <w:rPr>
          <w:rFonts w:hint="eastAsia"/>
          <w:lang w:val="en-US" w:eastAsia="zh-CN"/>
        </w:rPr>
        <w:t>续订和延期规划：如果许可协议允许续订、延期或升级选项，则许可方准备围绕这些方面进行讨论，包括评估标准、通知期和潜在的谈判因素。</w:t>
      </w:r>
    </w:p>
    <w:p w14:paraId="02EA14B6">
      <w:pPr>
        <w:pStyle w:val="83"/>
        <w:bidi w:val="0"/>
        <w:spacing w:before="0" w:beforeLines="0" w:after="0" w:afterLines="0"/>
        <w:rPr>
          <w:rFonts w:hint="eastAsia"/>
          <w:lang w:val="en-US" w:eastAsia="zh-CN"/>
        </w:rPr>
      </w:pPr>
      <w:r>
        <w:rPr>
          <w:rFonts w:hint="eastAsia"/>
          <w:lang w:val="en-US" w:eastAsia="zh-CN"/>
        </w:rPr>
        <w:t>绩效监控和审计：许可方建立系统来监控被许可知识产权的绩效、定义审计权利并确保遵守报告和审计义务，以维护知识产权的完整性和价值。</w:t>
      </w:r>
    </w:p>
    <w:p w14:paraId="6EA59102">
      <w:pPr>
        <w:pStyle w:val="77"/>
        <w:bidi w:val="0"/>
        <w:rPr>
          <w:rFonts w:hint="eastAsia"/>
          <w:lang w:val="en-US" w:eastAsia="zh-CN"/>
        </w:rPr>
      </w:pPr>
      <w:bookmarkStart w:id="89" w:name="_Toc158732069"/>
      <w:r>
        <w:rPr>
          <w:rFonts w:hint="eastAsia"/>
          <w:lang w:val="en-US" w:eastAsia="zh-CN"/>
        </w:rPr>
        <w:t>被许可人的观点</w:t>
      </w:r>
      <w:bookmarkEnd w:id="89"/>
    </w:p>
    <w:p w14:paraId="6C626237">
      <w:pPr>
        <w:pStyle w:val="83"/>
        <w:bidi w:val="0"/>
        <w:spacing w:before="0" w:beforeLines="0" w:after="0" w:afterLines="0"/>
        <w:rPr>
          <w:rFonts w:hint="eastAsia"/>
          <w:lang w:val="en-US" w:eastAsia="zh-CN"/>
        </w:rPr>
      </w:pPr>
      <w:r>
        <w:rPr>
          <w:rFonts w:hint="eastAsia"/>
          <w:lang w:val="en-US" w:eastAsia="zh-CN"/>
        </w:rPr>
        <w:t>合规和报告义务：被许可人承诺遵守财务义务、准确报告、支付特许权使用费，并遵守许可协议中概述的任何与绩效相关的付款条款。</w:t>
      </w:r>
    </w:p>
    <w:p w14:paraId="52E37758">
      <w:pPr>
        <w:pStyle w:val="83"/>
        <w:bidi w:val="0"/>
        <w:spacing w:before="0" w:beforeLines="0" w:after="0" w:afterLines="0"/>
        <w:rPr>
          <w:rFonts w:hint="eastAsia"/>
          <w:lang w:val="en-US" w:eastAsia="zh-CN"/>
        </w:rPr>
      </w:pPr>
      <w:r>
        <w:rPr>
          <w:rFonts w:hint="eastAsia"/>
          <w:lang w:val="en-US" w:eastAsia="zh-CN"/>
        </w:rPr>
        <w:t>遵守使用指南：被许可人注重遵守与许可知识产权相关的使用指南、限制和规定的操作协议，以确保其使用符合协议中约定的条款和领土限制。</w:t>
      </w:r>
    </w:p>
    <w:p w14:paraId="2F619B9B">
      <w:pPr>
        <w:pStyle w:val="83"/>
        <w:bidi w:val="0"/>
        <w:spacing w:before="0" w:beforeLines="0" w:after="0" w:afterLines="0"/>
        <w:rPr>
          <w:rFonts w:hint="eastAsia"/>
          <w:lang w:val="en-US" w:eastAsia="zh-CN"/>
        </w:rPr>
      </w:pPr>
      <w:r>
        <w:rPr>
          <w:rFonts w:hint="eastAsia"/>
          <w:lang w:val="en-US" w:eastAsia="zh-CN"/>
        </w:rPr>
        <w:t>监控和审计准备情况：被许可方参与监控活动以验证协议条款的遵守情况，可能包括对使用、销售或运营数据的审计，以确保报告和合规性的透明度和准确性。</w:t>
      </w:r>
    </w:p>
    <w:p w14:paraId="18054E78">
      <w:pPr>
        <w:pStyle w:val="83"/>
        <w:bidi w:val="0"/>
        <w:spacing w:before="0" w:beforeLines="0" w:after="0" w:afterLines="0"/>
        <w:rPr>
          <w:rFonts w:hint="eastAsia"/>
          <w:lang w:val="en-US" w:eastAsia="zh-CN"/>
        </w:rPr>
      </w:pPr>
      <w:r>
        <w:rPr>
          <w:rFonts w:hint="eastAsia"/>
          <w:lang w:val="en-US" w:eastAsia="zh-CN"/>
        </w:rPr>
        <w:t>法律法规合规性：从被许可人的角度来看，确保许可知识产权的使用符合相关法律、法规、行业标准和道德规范是合规的一个基本方面。</w:t>
      </w:r>
    </w:p>
    <w:p w14:paraId="32BFC27B">
      <w:pPr>
        <w:pStyle w:val="83"/>
        <w:bidi w:val="0"/>
        <w:spacing w:before="0" w:beforeLines="0" w:after="0" w:afterLines="0"/>
        <w:rPr>
          <w:rFonts w:hint="eastAsia"/>
          <w:lang w:val="en-US" w:eastAsia="zh-CN"/>
        </w:rPr>
      </w:pPr>
      <w:r>
        <w:rPr>
          <w:rFonts w:hint="eastAsia"/>
          <w:lang w:val="en-US" w:eastAsia="zh-CN"/>
        </w:rPr>
        <w:t>问题解决和争议管理：被许可人建立解决与许可知识产权的使用或实施相关的潜在争议、不合规问题或冲突的程序，包括解决分歧和降低不合规风险的机制。</w:t>
      </w:r>
    </w:p>
    <w:p w14:paraId="1AFBC112">
      <w:pPr>
        <w:pStyle w:val="29"/>
        <w:rPr>
          <w:rFonts w:hint="eastAsia"/>
          <w:lang w:val="en-US" w:eastAsia="zh-CN"/>
        </w:rPr>
      </w:pPr>
      <w:r>
        <w:rPr>
          <w:rFonts w:hint="eastAsia"/>
          <w:lang w:val="en-US" w:eastAsia="zh-CN"/>
        </w:rPr>
        <w:t>通过分别考虑这些观点，许可人和被许可人可以确保与知识产权许可安排相关的维护和合规活动与其各自的角色、责任和承诺相一致，从而有效管理许可的知识产权并遵守许可协议的条款许可协议。</w:t>
      </w:r>
    </w:p>
    <w:p w14:paraId="7F42985C">
      <w:pPr>
        <w:pStyle w:val="76"/>
        <w:bidi w:val="0"/>
        <w:rPr>
          <w:rFonts w:hint="eastAsia"/>
          <w:lang w:val="en-US" w:eastAsia="zh-CN"/>
        </w:rPr>
      </w:pPr>
      <w:bookmarkStart w:id="90" w:name="_Toc158732070"/>
      <w:bookmarkStart w:id="91" w:name="_Toc9211"/>
      <w:r>
        <w:rPr>
          <w:rFonts w:hint="eastAsia"/>
          <w:lang w:val="en-US" w:eastAsia="zh-CN"/>
        </w:rPr>
        <w:t>第七阶段：续约或终止</w:t>
      </w:r>
      <w:bookmarkEnd w:id="90"/>
      <w:bookmarkEnd w:id="91"/>
    </w:p>
    <w:p w14:paraId="3F80780C">
      <w:pPr>
        <w:pStyle w:val="29"/>
        <w:rPr>
          <w:rFonts w:hint="eastAsia"/>
          <w:lang w:val="en-US" w:eastAsia="zh-CN"/>
        </w:rPr>
      </w:pPr>
      <w:r>
        <w:rPr>
          <w:rFonts w:hint="eastAsia"/>
          <w:lang w:val="en-US" w:eastAsia="zh-CN"/>
        </w:rPr>
        <w:t>在知识产权许可的“续展或终止”阶段，许可方（拥有知识产权并授予许可的组织）和被许可方（接受许可的一方）都应独立考虑具体因素</w:t>
      </w:r>
    </w:p>
    <w:p w14:paraId="0071253B">
      <w:pPr>
        <w:pStyle w:val="77"/>
        <w:bidi w:val="0"/>
        <w:rPr>
          <w:rFonts w:hint="eastAsia"/>
          <w:lang w:val="en-US" w:eastAsia="zh-CN"/>
        </w:rPr>
      </w:pPr>
      <w:bookmarkStart w:id="92" w:name="_Toc158732071"/>
      <w:r>
        <w:rPr>
          <w:rFonts w:hint="eastAsia"/>
          <w:lang w:val="en-US" w:eastAsia="zh-CN"/>
        </w:rPr>
        <w:t>许可方的观点</w:t>
      </w:r>
      <w:bookmarkEnd w:id="92"/>
    </w:p>
    <w:p w14:paraId="5A035991">
      <w:pPr>
        <w:pStyle w:val="83"/>
        <w:bidi w:val="0"/>
        <w:spacing w:before="0" w:beforeLines="0" w:after="0" w:afterLines="0"/>
        <w:rPr>
          <w:rFonts w:hint="eastAsia"/>
          <w:lang w:val="en-US" w:eastAsia="zh-CN"/>
        </w:rPr>
      </w:pPr>
      <w:r>
        <w:rPr>
          <w:rFonts w:hint="eastAsia"/>
          <w:lang w:val="en-US" w:eastAsia="zh-CN"/>
        </w:rPr>
        <w:t>知识产权相关性评估：许可方评估许可知识产权的市场相关性和战略重要性，考虑技术进步、竞争格局和潜在的未来应用等因素，为有关续展或终止的决策提供信息。</w:t>
      </w:r>
    </w:p>
    <w:p w14:paraId="4921C5BB">
      <w:pPr>
        <w:pStyle w:val="83"/>
        <w:bidi w:val="0"/>
        <w:spacing w:before="0" w:beforeLines="0" w:after="0" w:afterLines="0"/>
        <w:rPr>
          <w:rFonts w:hint="eastAsia"/>
          <w:lang w:val="en-US" w:eastAsia="zh-CN"/>
        </w:rPr>
      </w:pPr>
      <w:r>
        <w:rPr>
          <w:rFonts w:hint="eastAsia"/>
          <w:lang w:val="en-US" w:eastAsia="zh-CN"/>
        </w:rPr>
        <w:t>谈判准备：如果可能续签，许可方将通过概述所需条款、评估绩效指标以及确定续签协议所需的任何修改或更新来准备谈判。</w:t>
      </w:r>
    </w:p>
    <w:p w14:paraId="0AA4520F">
      <w:pPr>
        <w:pStyle w:val="83"/>
        <w:bidi w:val="0"/>
        <w:spacing w:before="0" w:beforeLines="0" w:after="0" w:afterLines="0"/>
        <w:rPr>
          <w:rFonts w:hint="eastAsia"/>
          <w:lang w:val="en-US" w:eastAsia="zh-CN"/>
        </w:rPr>
      </w:pPr>
      <w:r>
        <w:rPr>
          <w:rFonts w:hint="eastAsia"/>
          <w:lang w:val="en-US" w:eastAsia="zh-CN"/>
        </w:rPr>
        <w:t>法律和监管合规性：确保续订或终止过程符合法律和监管要求，包括任何通知期、法定义务和行业特定法规，是许可方考虑的一个重要方面。</w:t>
      </w:r>
    </w:p>
    <w:p w14:paraId="02824DA5">
      <w:pPr>
        <w:pStyle w:val="83"/>
        <w:bidi w:val="0"/>
        <w:spacing w:before="0" w:beforeLines="0" w:after="0" w:afterLines="0"/>
        <w:rPr>
          <w:rFonts w:hint="eastAsia"/>
          <w:lang w:val="en-US" w:eastAsia="zh-CN"/>
        </w:rPr>
      </w:pPr>
      <w:r>
        <w:rPr>
          <w:rFonts w:hint="eastAsia"/>
          <w:lang w:val="en-US" w:eastAsia="zh-CN"/>
        </w:rPr>
        <w:t>战略知识产权规划：如果考虑终止，许可方可以参与战略知识产权规划，评估知识产权的替代用途或潜在的重新许可机会，以及制定终止后保护专有信息和商业秘密的计划。</w:t>
      </w:r>
    </w:p>
    <w:p w14:paraId="54D67E2E">
      <w:pPr>
        <w:pStyle w:val="83"/>
        <w:bidi w:val="0"/>
        <w:spacing w:before="0" w:beforeLines="0" w:after="0" w:afterLines="0"/>
        <w:rPr>
          <w:rFonts w:hint="eastAsia"/>
          <w:lang w:val="en-US" w:eastAsia="zh-CN"/>
        </w:rPr>
      </w:pPr>
      <w:r>
        <w:rPr>
          <w:rFonts w:hint="eastAsia"/>
          <w:lang w:val="en-US" w:eastAsia="zh-CN"/>
        </w:rPr>
        <w:t>争议解决准备：许可方预见到与续约或终止相关的潜在争议，准备友好解决争议，包括建设性地解决任何分歧并在谈判过程中管理潜在冲突。</w:t>
      </w:r>
    </w:p>
    <w:p w14:paraId="470A45A2">
      <w:pPr>
        <w:pStyle w:val="77"/>
        <w:bidi w:val="0"/>
        <w:rPr>
          <w:rFonts w:hint="eastAsia"/>
          <w:lang w:val="en-US" w:eastAsia="zh-CN"/>
        </w:rPr>
      </w:pPr>
      <w:bookmarkStart w:id="93" w:name="_Toc158732072"/>
      <w:r>
        <w:rPr>
          <w:rFonts w:hint="eastAsia"/>
          <w:lang w:val="en-US" w:eastAsia="zh-CN"/>
        </w:rPr>
        <w:t>被许可人的观点</w:t>
      </w:r>
      <w:bookmarkEnd w:id="93"/>
    </w:p>
    <w:p w14:paraId="3ADB027E">
      <w:pPr>
        <w:pStyle w:val="83"/>
        <w:bidi w:val="0"/>
        <w:spacing w:before="0" w:beforeLines="0" w:after="0" w:afterLines="0"/>
        <w:rPr>
          <w:rFonts w:hint="eastAsia"/>
          <w:lang w:val="en-US" w:eastAsia="zh-CN"/>
        </w:rPr>
      </w:pPr>
      <w:r>
        <w:rPr>
          <w:rFonts w:hint="eastAsia"/>
          <w:lang w:val="en-US" w:eastAsia="zh-CN"/>
        </w:rPr>
        <w:t>业务影响评估：被许可方对许可知识产权的业务影响进行评估，考虑其对产品供应、创收和整体业务战略的贡献，为有关续约或终止的决策提供信息。</w:t>
      </w:r>
    </w:p>
    <w:p w14:paraId="1CA6A2D9">
      <w:pPr>
        <w:pStyle w:val="83"/>
        <w:bidi w:val="0"/>
        <w:spacing w:before="0" w:beforeLines="0" w:after="0" w:afterLines="0"/>
        <w:rPr>
          <w:rFonts w:hint="eastAsia"/>
          <w:lang w:val="en-US" w:eastAsia="zh-CN"/>
        </w:rPr>
      </w:pPr>
      <w:r>
        <w:rPr>
          <w:rFonts w:hint="eastAsia"/>
          <w:lang w:val="en-US" w:eastAsia="zh-CN"/>
        </w:rPr>
        <w:t>续签谈判策略：如果寻求续签，被许可人会制定谈判策略，概述关键优先事项、对现有协议的潜在修订以及与绩效相关的讨论，以确保续签许可安排的有利条款。</w:t>
      </w:r>
    </w:p>
    <w:p w14:paraId="327937AD">
      <w:pPr>
        <w:pStyle w:val="83"/>
        <w:bidi w:val="0"/>
        <w:spacing w:before="0" w:beforeLines="0" w:after="0" w:afterLines="0"/>
        <w:rPr>
          <w:rFonts w:hint="eastAsia"/>
          <w:lang w:val="en-US" w:eastAsia="zh-CN"/>
        </w:rPr>
      </w:pPr>
      <w:r>
        <w:rPr>
          <w:rFonts w:hint="eastAsia"/>
          <w:lang w:val="en-US" w:eastAsia="zh-CN"/>
        </w:rPr>
        <w:t>终止过渡计划：在可能终止的情况下，被许可人参与过渡计划，为停止知识产权使用做好准备，移交专有材料，并解决与终止许可协议相关的运营影响。</w:t>
      </w:r>
    </w:p>
    <w:p w14:paraId="13C33373">
      <w:pPr>
        <w:pStyle w:val="83"/>
        <w:bidi w:val="0"/>
        <w:spacing w:before="0" w:beforeLines="0" w:after="0" w:afterLines="0"/>
        <w:rPr>
          <w:rFonts w:hint="eastAsia"/>
          <w:lang w:val="en-US" w:eastAsia="zh-CN"/>
        </w:rPr>
      </w:pPr>
      <w:r>
        <w:rPr>
          <w:rFonts w:hint="eastAsia"/>
          <w:lang w:val="en-US" w:eastAsia="zh-CN"/>
        </w:rPr>
        <w:t>法律合规性和义务：确保遵守协议中概述的合同义务、通知期和任何终止相关要求成为被许可人有效引导终止流程的焦点。</w:t>
      </w:r>
    </w:p>
    <w:p w14:paraId="291480F3">
      <w:pPr>
        <w:pStyle w:val="83"/>
        <w:bidi w:val="0"/>
        <w:spacing w:before="0" w:beforeLines="0" w:after="0" w:afterLines="0"/>
        <w:rPr>
          <w:rFonts w:hint="eastAsia"/>
          <w:lang w:val="en-US" w:eastAsia="zh-CN"/>
        </w:rPr>
      </w:pPr>
      <w:r>
        <w:rPr>
          <w:rFonts w:hint="eastAsia"/>
          <w:lang w:val="en-US" w:eastAsia="zh-CN"/>
        </w:rPr>
        <w:t>终止后突发事件：从被许可人的角度来看，优先考虑终止后突发事件的规划，例如过渡到替代 IP 解决方案、解决剩余特许权使用费以及管理因终止而导致的潜在业务中断。</w:t>
      </w:r>
    </w:p>
    <w:p w14:paraId="2634B3C3">
      <w:pPr>
        <w:pStyle w:val="29"/>
        <w:rPr>
          <w:rFonts w:hint="eastAsia"/>
          <w:lang w:val="en-US" w:eastAsia="zh-CN"/>
        </w:rPr>
      </w:pPr>
      <w:r>
        <w:rPr>
          <w:rFonts w:hint="eastAsia"/>
          <w:lang w:val="en-US" w:eastAsia="zh-CN"/>
        </w:rPr>
        <w:t>通过分别考虑这些观点，许可人和被许可人可以确保与续展或终止相关的决策过程符合各自的战略、运营和法律考虑，从而采用明智和结构化的方法来管理知识产权许可关系，无论是涉及续订或终止。</w:t>
      </w:r>
    </w:p>
    <w:p w14:paraId="4648A7A1">
      <w:pPr>
        <w:pStyle w:val="29"/>
        <w:rPr>
          <w:rFonts w:hint="eastAsia"/>
          <w:lang w:val="en-US" w:eastAsia="zh-CN"/>
        </w:rPr>
      </w:pPr>
    </w:p>
    <w:p w14:paraId="6243B4B7">
      <w:pPr>
        <w:rPr>
          <w:rFonts w:hint="eastAsia"/>
          <w:lang w:val="en-US" w:eastAsia="zh-CN"/>
        </w:rPr>
      </w:pPr>
      <w:r>
        <w:rPr>
          <w:rFonts w:hint="eastAsia"/>
          <w:lang w:val="en-US" w:eastAsia="zh-CN"/>
        </w:rPr>
        <w:br w:type="page"/>
      </w:r>
      <w:bookmarkStart w:id="94" w:name="BKFL"/>
    </w:p>
    <w:p w14:paraId="39083C9D">
      <w:pPr>
        <w:pStyle w:val="103"/>
        <w:bidi w:val="0"/>
        <w:rPr>
          <w:rFonts w:hint="eastAsia"/>
          <w:lang w:val="en-US" w:eastAsia="zh-CN"/>
        </w:rPr>
      </w:pPr>
    </w:p>
    <w:p w14:paraId="4200F19D">
      <w:pPr>
        <w:pStyle w:val="105"/>
        <w:bidi w:val="0"/>
        <w:rPr>
          <w:rFonts w:hint="eastAsia"/>
          <w:lang w:val="en-US" w:eastAsia="zh-CN"/>
        </w:rPr>
      </w:pPr>
    </w:p>
    <w:p w14:paraId="3F5F0E1D">
      <w:pPr>
        <w:pStyle w:val="92"/>
        <w:bidi w:val="0"/>
        <w:rPr>
          <w:rFonts w:hint="eastAsia"/>
          <w:lang w:val="en-US" w:eastAsia="zh-CN"/>
        </w:rPr>
      </w:pPr>
      <w:bookmarkStart w:id="95" w:name="_Toc7662"/>
    </w:p>
    <w:p w14:paraId="34F10491">
      <w:pPr>
        <w:pStyle w:val="92"/>
        <w:bidi w:val="0"/>
        <w:rPr>
          <w:rFonts w:hint="eastAsia"/>
          <w:lang w:val="en-US" w:eastAsia="zh-CN"/>
        </w:rPr>
      </w:pPr>
      <w:r>
        <w:rPr>
          <w:rFonts w:hint="eastAsia"/>
          <w:lang w:val="en-US" w:eastAsia="zh-CN"/>
        </w:rPr>
        <w:t>（资料性）</w:t>
      </w:r>
    </w:p>
    <w:p w14:paraId="60E2E32C">
      <w:pPr>
        <w:pStyle w:val="92"/>
        <w:bidi w:val="0"/>
        <w:rPr>
          <w:rFonts w:hint="eastAsia"/>
          <w:lang w:val="en-US" w:eastAsia="zh-CN"/>
        </w:rPr>
      </w:pPr>
      <w:r>
        <w:rPr>
          <w:rFonts w:hint="eastAsia"/>
          <w:lang w:val="en-US" w:eastAsia="zh-CN"/>
        </w:rPr>
        <w:t>知识产权许可的分类</w:t>
      </w:r>
      <w:bookmarkEnd w:id="95"/>
    </w:p>
    <w:p w14:paraId="4C39625E">
      <w:pPr>
        <w:pStyle w:val="29"/>
        <w:rPr>
          <w:rFonts w:hint="eastAsia"/>
          <w:lang w:val="en-US" w:eastAsia="zh-CN"/>
        </w:rPr>
      </w:pPr>
      <w:r>
        <w:rPr>
          <w:rFonts w:hint="eastAsia"/>
          <w:lang w:val="en-US" w:eastAsia="zh-CN"/>
        </w:rPr>
        <w:t>专利、</w:t>
      </w:r>
      <w:bookmarkStart w:id="96" w:name="OLE_LINK3"/>
      <w:r>
        <w:rPr>
          <w:rFonts w:hint="eastAsia"/>
          <w:lang w:val="en-US" w:eastAsia="zh-CN"/>
        </w:rPr>
        <w:t>著作权(版权\美术作品）</w:t>
      </w:r>
      <w:bookmarkEnd w:id="96"/>
      <w:r>
        <w:rPr>
          <w:rFonts w:hint="eastAsia"/>
          <w:lang w:val="en-US" w:eastAsia="zh-CN"/>
        </w:rPr>
        <w:t>、</w:t>
      </w:r>
      <w:bookmarkStart w:id="97" w:name="OLE_LINK4"/>
      <w:r>
        <w:rPr>
          <w:rFonts w:hint="eastAsia"/>
          <w:lang w:val="en-US" w:eastAsia="zh-CN"/>
        </w:rPr>
        <w:t>商标</w:t>
      </w:r>
      <w:bookmarkEnd w:id="97"/>
      <w:r>
        <w:rPr>
          <w:rFonts w:hint="eastAsia"/>
          <w:lang w:val="en-US" w:eastAsia="zh-CN"/>
        </w:rPr>
        <w:t>和</w:t>
      </w:r>
      <w:bookmarkStart w:id="98" w:name="OLE_LINK6"/>
      <w:r>
        <w:rPr>
          <w:rFonts w:hint="eastAsia"/>
          <w:lang w:val="en-US" w:eastAsia="zh-CN"/>
        </w:rPr>
        <w:t>商业秘密</w:t>
      </w:r>
      <w:bookmarkEnd w:id="98"/>
      <w:r>
        <w:rPr>
          <w:rFonts w:hint="eastAsia"/>
          <w:lang w:val="en-US" w:eastAsia="zh-CN"/>
        </w:rPr>
        <w:t>（一级）</w:t>
      </w:r>
    </w:p>
    <w:p w14:paraId="138BA628">
      <w:pPr>
        <w:pStyle w:val="29"/>
        <w:rPr>
          <w:rFonts w:hint="default"/>
          <w:lang w:val="en-US" w:eastAsia="zh-CN"/>
        </w:rPr>
      </w:pPr>
      <w:r>
        <w:rPr>
          <w:rFonts w:hint="eastAsia"/>
          <w:lang w:val="en-US" w:eastAsia="zh-CN"/>
        </w:rPr>
        <w:t xml:space="preserve">分类    </w:t>
      </w:r>
      <w:bookmarkStart w:id="99" w:name="OLE_LINK5"/>
      <w:r>
        <w:rPr>
          <w:rFonts w:hint="eastAsia"/>
          <w:lang w:val="en-US" w:eastAsia="zh-CN"/>
        </w:rPr>
        <w:t>许可项目   许可类型   许可内容    权益保障</w:t>
      </w:r>
      <w:bookmarkEnd w:id="99"/>
      <w:r>
        <w:rPr>
          <w:rFonts w:hint="eastAsia"/>
          <w:lang w:val="en-US" w:eastAsia="zh-CN"/>
        </w:rPr>
        <w:t>（6）  备注（7）</w:t>
      </w:r>
    </w:p>
    <w:p w14:paraId="332D52FC">
      <w:pPr>
        <w:pStyle w:val="29"/>
        <w:rPr>
          <w:rFonts w:hint="eastAsia"/>
          <w:lang w:val="en-US" w:eastAsia="zh-CN"/>
        </w:rPr>
      </w:pPr>
    </w:p>
    <w:p w14:paraId="66DF6C75">
      <w:pPr>
        <w:pStyle w:val="29"/>
        <w:rPr>
          <w:rFonts w:hint="eastAsia"/>
          <w:lang w:val="en-US" w:eastAsia="zh-CN"/>
        </w:rPr>
      </w:pPr>
    </w:p>
    <w:bookmarkEnd w:id="94"/>
    <w:p w14:paraId="4BD5BA06">
      <w:pPr>
        <w:pStyle w:val="29"/>
        <w:rPr>
          <w:rFonts w:hint="eastAsia"/>
          <w:lang w:val="en-US" w:eastAsia="zh-CN"/>
        </w:rPr>
      </w:pPr>
    </w:p>
    <w:p w14:paraId="6DCE53F0">
      <w:pPr>
        <w:rPr>
          <w:rFonts w:hint="eastAsia"/>
          <w:lang w:val="en-US" w:eastAsia="zh-CN"/>
        </w:rPr>
      </w:pPr>
      <w:r>
        <w:rPr>
          <w:rFonts w:hint="eastAsia"/>
          <w:lang w:val="en-US" w:eastAsia="zh-CN"/>
        </w:rPr>
        <w:t>专利许可通常包括以下几个方面：</w:t>
      </w:r>
    </w:p>
    <w:p w14:paraId="018F704D">
      <w:pPr>
        <w:rPr>
          <w:rFonts w:hint="eastAsia"/>
          <w:lang w:val="en-US" w:eastAsia="zh-CN"/>
        </w:rPr>
      </w:pPr>
      <w:r>
        <w:drawing>
          <wp:anchor distT="0" distB="0" distL="114935" distR="114935" simplePos="0" relativeHeight="251660288" behindDoc="0" locked="0" layoutInCell="1" allowOverlap="1">
            <wp:simplePos x="0" y="0"/>
            <wp:positionH relativeFrom="column">
              <wp:posOffset>-201295</wp:posOffset>
            </wp:positionH>
            <wp:positionV relativeFrom="paragraph">
              <wp:posOffset>179070</wp:posOffset>
            </wp:positionV>
            <wp:extent cx="5934710" cy="4036060"/>
            <wp:effectExtent l="0" t="0" r="889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934710" cy="4036060"/>
                    </a:xfrm>
                    <a:prstGeom prst="rect">
                      <a:avLst/>
                    </a:prstGeom>
                    <a:noFill/>
                    <a:ln>
                      <a:noFill/>
                    </a:ln>
                  </pic:spPr>
                </pic:pic>
              </a:graphicData>
            </a:graphic>
          </wp:anchor>
        </w:drawing>
      </w:r>
    </w:p>
    <w:p w14:paraId="7B04EE33">
      <w:pPr>
        <w:rPr>
          <w:rFonts w:hint="eastAsia"/>
          <w:lang w:val="en-US" w:eastAsia="zh-CN"/>
        </w:rPr>
      </w:pPr>
      <w:r>
        <w:rPr>
          <w:rFonts w:hint="eastAsia"/>
          <w:lang w:val="en-US" w:eastAsia="zh-CN"/>
        </w:rPr>
        <w:t xml:space="preserve">    发明专利：涉及新产品或新方法的技术方案，通常需要经过严格的审查程序。</w:t>
      </w:r>
    </w:p>
    <w:p w14:paraId="087605FB">
      <w:pPr>
        <w:rPr>
          <w:rFonts w:hint="eastAsia"/>
          <w:lang w:val="en-US" w:eastAsia="zh-CN"/>
        </w:rPr>
      </w:pPr>
    </w:p>
    <w:p w14:paraId="283F7391">
      <w:pPr>
        <w:rPr>
          <w:rFonts w:hint="eastAsia"/>
          <w:lang w:val="en-US" w:eastAsia="zh-CN"/>
        </w:rPr>
      </w:pPr>
      <w:r>
        <w:rPr>
          <w:rFonts w:hint="eastAsia"/>
          <w:lang w:val="en-US" w:eastAsia="zh-CN"/>
        </w:rPr>
        <w:t xml:space="preserve">    实用新型专利：主要针对产品的形状、构造等方面的技术改进，审查相对简单。</w:t>
      </w:r>
    </w:p>
    <w:p w14:paraId="3C952A88">
      <w:pPr>
        <w:rPr>
          <w:rFonts w:hint="eastAsia"/>
          <w:lang w:val="en-US" w:eastAsia="zh-CN"/>
        </w:rPr>
      </w:pPr>
    </w:p>
    <w:p w14:paraId="43A6936B">
      <w:pPr>
        <w:rPr>
          <w:rFonts w:hint="eastAsia"/>
          <w:lang w:val="en-US" w:eastAsia="zh-CN"/>
        </w:rPr>
      </w:pPr>
      <w:r>
        <w:rPr>
          <w:rFonts w:hint="eastAsia"/>
          <w:lang w:val="en-US" w:eastAsia="zh-CN"/>
        </w:rPr>
        <w:t xml:space="preserve">    外观设计专利：保护产品的外观设计，如形状、图案或色彩的组合。</w:t>
      </w:r>
    </w:p>
    <w:p w14:paraId="539C1D83">
      <w:pPr>
        <w:rPr>
          <w:rFonts w:hint="eastAsia"/>
          <w:lang w:val="en-US" w:eastAsia="zh-CN"/>
        </w:rPr>
      </w:pPr>
    </w:p>
    <w:p w14:paraId="00481A2D">
      <w:pPr>
        <w:rPr>
          <w:rFonts w:hint="eastAsia"/>
          <w:lang w:val="en-US" w:eastAsia="zh-CN"/>
        </w:rPr>
      </w:pPr>
      <w:r>
        <w:rPr>
          <w:rFonts w:hint="eastAsia"/>
          <w:lang w:val="en-US" w:eastAsia="zh-CN"/>
        </w:rPr>
        <w:t xml:space="preserve">    许可类型：</w:t>
      </w:r>
    </w:p>
    <w:p w14:paraId="1E4C8845">
      <w:pPr>
        <w:rPr>
          <w:rFonts w:hint="eastAsia"/>
          <w:lang w:val="en-US" w:eastAsia="zh-CN"/>
        </w:rPr>
      </w:pPr>
      <w:r>
        <w:rPr>
          <w:rFonts w:hint="eastAsia"/>
          <w:lang w:val="en-US" w:eastAsia="zh-CN"/>
        </w:rPr>
        <w:t xml:space="preserve">        独占许可：许可方在特定范围内只授予一个许可人使用权。</w:t>
      </w:r>
    </w:p>
    <w:p w14:paraId="26C3070F">
      <w:pPr>
        <w:rPr>
          <w:rFonts w:hint="eastAsia"/>
          <w:lang w:val="en-US" w:eastAsia="zh-CN"/>
        </w:rPr>
      </w:pPr>
      <w:r>
        <w:rPr>
          <w:rFonts w:hint="eastAsia"/>
          <w:lang w:val="en-US" w:eastAsia="zh-CN"/>
        </w:rPr>
        <w:t xml:space="preserve">        非独占许可：许可方可以同时授予多个许可人使用权。</w:t>
      </w:r>
    </w:p>
    <w:p w14:paraId="17603A36">
      <w:pPr>
        <w:rPr>
          <w:rFonts w:hint="eastAsia"/>
          <w:lang w:val="en-US" w:eastAsia="zh-CN"/>
        </w:rPr>
      </w:pPr>
      <w:r>
        <w:rPr>
          <w:rFonts w:hint="eastAsia"/>
          <w:lang w:val="en-US" w:eastAsia="zh-CN"/>
        </w:rPr>
        <w:t xml:space="preserve">        排他性许可：在特定区域或时间内，许可方不再向其他人授予相同的权利。</w:t>
      </w:r>
    </w:p>
    <w:p w14:paraId="4538A845">
      <w:pPr>
        <w:rPr>
          <w:rFonts w:hint="eastAsia"/>
          <w:lang w:val="en-US" w:eastAsia="zh-CN"/>
        </w:rPr>
      </w:pPr>
    </w:p>
    <w:p w14:paraId="5C8FA8AF">
      <w:pPr>
        <w:rPr>
          <w:rFonts w:hint="eastAsia"/>
          <w:lang w:val="en-US" w:eastAsia="zh-CN"/>
        </w:rPr>
      </w:pPr>
      <w:r>
        <w:rPr>
          <w:rFonts w:hint="eastAsia"/>
          <w:lang w:val="en-US" w:eastAsia="zh-CN"/>
        </w:rPr>
        <w:t xml:space="preserve">    许可内容：包括使用范围、地域限制、使用期限、许可费用、终止条款等。</w:t>
      </w:r>
    </w:p>
    <w:p w14:paraId="67F1B875">
      <w:pPr>
        <w:rPr>
          <w:rFonts w:hint="eastAsia"/>
          <w:lang w:val="en-US" w:eastAsia="zh-CN"/>
        </w:rPr>
      </w:pPr>
    </w:p>
    <w:p w14:paraId="28045EBA">
      <w:pPr>
        <w:rPr>
          <w:rFonts w:hint="eastAsia"/>
          <w:lang w:val="en-US" w:eastAsia="zh-CN"/>
        </w:rPr>
      </w:pPr>
      <w:r>
        <w:rPr>
          <w:rFonts w:hint="eastAsia"/>
          <w:lang w:val="en-US" w:eastAsia="zh-CN"/>
        </w:rPr>
        <w:t xml:space="preserve">    权利保障：许可协议中常会规定如何处理侵权行为，如何对专利进行维护等。</w:t>
      </w:r>
    </w:p>
    <w:p w14:paraId="37A7F0CB">
      <w:pPr>
        <w:rPr>
          <w:rFonts w:hint="eastAsia"/>
          <w:lang w:val="en-US" w:eastAsia="zh-CN"/>
        </w:rPr>
      </w:pPr>
    </w:p>
    <w:p w14:paraId="28FF75C6">
      <w:pPr>
        <w:rPr>
          <w:rFonts w:hint="eastAsia"/>
          <w:lang w:val="en-US" w:eastAsia="zh-CN"/>
        </w:rPr>
      </w:pPr>
      <w:r>
        <w:rPr>
          <w:rFonts w:hint="eastAsia"/>
          <w:lang w:val="en-US" w:eastAsia="zh-CN"/>
        </w:rPr>
        <w:t xml:space="preserve">    转让与再许可：某些许可协议中可能会允许许可方将其权利转让给第三方或进行再许可。</w:t>
      </w:r>
    </w:p>
    <w:p w14:paraId="3AD4B732">
      <w:pPr>
        <w:rPr>
          <w:rFonts w:hint="eastAsia"/>
          <w:lang w:val="en-US" w:eastAsia="zh-CN"/>
        </w:rPr>
      </w:pPr>
    </w:p>
    <w:p w14:paraId="3662D357">
      <w:pPr>
        <w:rPr>
          <w:rFonts w:hint="eastAsia"/>
          <w:lang w:val="en-US" w:eastAsia="zh-CN"/>
        </w:rPr>
      </w:pPr>
      <w:r>
        <w:rPr>
          <w:rFonts w:hint="eastAsia"/>
          <w:lang w:val="en-US" w:eastAsia="zh-CN"/>
        </w:rPr>
        <w:t>通过专利许可，专利权人可以获得经济收益，同时也能推动技术的应用与发展。</w:t>
      </w:r>
    </w:p>
    <w:p w14:paraId="62E2F36C">
      <w:pPr>
        <w:rPr>
          <w:rFonts w:hint="eastAsia"/>
          <w:lang w:val="en-US" w:eastAsia="zh-CN"/>
        </w:rPr>
      </w:pPr>
    </w:p>
    <w:p w14:paraId="37E8EA57">
      <w:pPr>
        <w:pStyle w:val="29"/>
        <w:rPr>
          <w:rFonts w:hint="eastAsia"/>
          <w:lang w:val="en-US" w:eastAsia="zh-CN"/>
        </w:rPr>
      </w:pPr>
    </w:p>
    <w:p w14:paraId="70A8D169">
      <w:pPr>
        <w:rPr>
          <w:rFonts w:hint="eastAsia"/>
          <w:lang w:val="en-US" w:eastAsia="zh-CN"/>
        </w:rPr>
      </w:pPr>
    </w:p>
    <w:p w14:paraId="2C7D7809"/>
    <w:p w14:paraId="09569AD9">
      <w:pPr>
        <w:rPr>
          <w:rFonts w:hint="eastAsia"/>
          <w:lang w:val="en-US" w:eastAsia="zh-CN"/>
        </w:rPr>
      </w:pPr>
      <w:r>
        <w:rPr>
          <w:rFonts w:hint="eastAsia"/>
          <w:lang w:val="en-US" w:eastAsia="zh-CN"/>
        </w:rPr>
        <w:br w:type="page"/>
      </w:r>
    </w:p>
    <w:p w14:paraId="24F94F7A">
      <w:pPr>
        <w:rPr>
          <w:rFonts w:hint="eastAsia"/>
          <w:lang w:val="en-US" w:eastAsia="zh-CN"/>
        </w:rPr>
      </w:pPr>
      <w:r>
        <w:rPr>
          <w:rFonts w:hint="eastAsia"/>
          <w:lang w:val="en-US" w:eastAsia="zh-CN"/>
        </w:rPr>
        <w:t>著作权许可通常包括以下几个方面：</w:t>
      </w:r>
    </w:p>
    <w:p w14:paraId="4C5FEE03">
      <w:pPr>
        <w:rPr>
          <w:rFonts w:hint="eastAsia"/>
          <w:lang w:val="en-US" w:eastAsia="zh-CN"/>
        </w:rPr>
      </w:pPr>
    </w:p>
    <w:p w14:paraId="385E0D24">
      <w:pPr>
        <w:keepNext w:val="0"/>
        <w:keepLines w:val="0"/>
        <w:widowControl/>
        <w:numPr>
          <w:ilvl w:val="0"/>
          <w:numId w:val="19"/>
        </w:numPr>
        <w:suppressLineNumbers w:val="0"/>
        <w:spacing w:before="0" w:beforeAutospacing="1" w:after="0" w:afterAutospacing="1"/>
        <w:ind w:left="720" w:hanging="360"/>
      </w:pPr>
      <w:r>
        <w:rPr>
          <w:rStyle w:val="27"/>
        </w:rPr>
        <w:t>文学作品</w:t>
      </w:r>
      <w:r>
        <w:t>：小说、诗歌、散文、戏剧等。</w:t>
      </w:r>
    </w:p>
    <w:p w14:paraId="752F83AF">
      <w:pPr>
        <w:keepNext w:val="0"/>
        <w:keepLines w:val="0"/>
        <w:widowControl/>
        <w:numPr>
          <w:ilvl w:val="0"/>
          <w:numId w:val="19"/>
        </w:numPr>
        <w:suppressLineNumbers w:val="0"/>
        <w:spacing w:before="0" w:beforeAutospacing="1" w:after="0" w:afterAutospacing="1"/>
        <w:ind w:left="720" w:hanging="360"/>
      </w:pPr>
      <w:r>
        <w:rPr>
          <w:rStyle w:val="27"/>
        </w:rPr>
        <w:t>音乐作品</w:t>
      </w:r>
      <w:r>
        <w:t>：音乐乐谱、歌词等。</w:t>
      </w:r>
    </w:p>
    <w:p w14:paraId="74B67C30">
      <w:pPr>
        <w:keepNext w:val="0"/>
        <w:keepLines w:val="0"/>
        <w:widowControl/>
        <w:numPr>
          <w:ilvl w:val="0"/>
          <w:numId w:val="19"/>
        </w:numPr>
        <w:suppressLineNumbers w:val="0"/>
        <w:spacing w:before="0" w:beforeAutospacing="1" w:after="0" w:afterAutospacing="1"/>
        <w:ind w:left="720" w:hanging="360"/>
      </w:pPr>
      <w:r>
        <w:rPr>
          <w:rStyle w:val="27"/>
        </w:rPr>
        <w:t>美术作品</w:t>
      </w:r>
      <w:r>
        <w:t>：绘画、雕塑、建筑设计等。</w:t>
      </w:r>
    </w:p>
    <w:p w14:paraId="6D52B6BC">
      <w:pPr>
        <w:keepNext w:val="0"/>
        <w:keepLines w:val="0"/>
        <w:widowControl/>
        <w:numPr>
          <w:ilvl w:val="0"/>
          <w:numId w:val="19"/>
        </w:numPr>
        <w:suppressLineNumbers w:val="0"/>
        <w:spacing w:before="0" w:beforeAutospacing="1" w:after="0" w:afterAutospacing="1"/>
        <w:ind w:left="720" w:hanging="360"/>
      </w:pPr>
      <w:r>
        <w:rPr>
          <w:rStyle w:val="27"/>
        </w:rPr>
        <w:t>影视作品</w:t>
      </w:r>
      <w:r>
        <w:t>：电影、电视剧、动画等。</w:t>
      </w:r>
    </w:p>
    <w:p w14:paraId="12FD8096">
      <w:pPr>
        <w:keepNext w:val="0"/>
        <w:keepLines w:val="0"/>
        <w:widowControl/>
        <w:numPr>
          <w:ilvl w:val="0"/>
          <w:numId w:val="19"/>
        </w:numPr>
        <w:suppressLineNumbers w:val="0"/>
        <w:spacing w:before="0" w:beforeAutospacing="1" w:after="0" w:afterAutospacing="1"/>
        <w:ind w:left="720" w:hanging="360"/>
      </w:pPr>
      <w:r>
        <w:rPr>
          <w:rStyle w:val="27"/>
        </w:rPr>
        <w:t>计算机软件</w:t>
      </w:r>
      <w:r>
        <w:t>：程序代码及其文档。</w:t>
      </w:r>
    </w:p>
    <w:p w14:paraId="1FC7153D">
      <w:pPr>
        <w:keepNext w:val="0"/>
        <w:keepLines w:val="0"/>
        <w:widowControl/>
        <w:numPr>
          <w:ilvl w:val="0"/>
          <w:numId w:val="19"/>
        </w:numPr>
        <w:suppressLineNumbers w:val="0"/>
        <w:spacing w:before="0" w:beforeAutospacing="1" w:after="0" w:afterAutospacing="1"/>
        <w:ind w:left="720" w:hanging="360"/>
      </w:pPr>
      <w:r>
        <w:rPr>
          <w:rStyle w:val="27"/>
        </w:rPr>
        <w:t>摄影作品</w:t>
      </w:r>
      <w:r>
        <w:t>：摄影图像及相关作品。</w:t>
      </w:r>
    </w:p>
    <w:p w14:paraId="34517CCF">
      <w:pPr>
        <w:keepNext w:val="0"/>
        <w:keepLines w:val="0"/>
        <w:widowControl/>
        <w:numPr>
          <w:ilvl w:val="0"/>
          <w:numId w:val="19"/>
        </w:numPr>
        <w:suppressLineNumbers w:val="0"/>
        <w:spacing w:before="0" w:beforeAutospacing="1" w:after="0" w:afterAutospacing="1"/>
        <w:ind w:left="720" w:hanging="360"/>
      </w:pPr>
      <w:r>
        <w:rPr>
          <w:rStyle w:val="27"/>
        </w:rPr>
        <w:t>音频作品</w:t>
      </w:r>
      <w:r>
        <w:t>：录音、广播等。</w:t>
      </w:r>
    </w:p>
    <w:p w14:paraId="58F7E28F">
      <w:pPr>
        <w:rPr>
          <w:rFonts w:hint="eastAsia"/>
          <w:lang w:val="en-US" w:eastAsia="zh-CN"/>
        </w:rPr>
      </w:pPr>
    </w:p>
    <w:p w14:paraId="5BB85F4B">
      <w:pPr>
        <w:rPr>
          <w:rFonts w:hint="eastAsia"/>
          <w:lang w:val="en-US" w:eastAsia="zh-CN"/>
        </w:rPr>
      </w:pPr>
    </w:p>
    <w:p w14:paraId="56CE56F2">
      <w:pPr>
        <w:rPr>
          <w:rFonts w:hint="eastAsia"/>
          <w:lang w:val="en-US" w:eastAsia="zh-CN"/>
        </w:rPr>
      </w:pPr>
      <w:r>
        <w:rPr>
          <w:rFonts w:hint="eastAsia"/>
          <w:lang w:val="en-US" w:eastAsia="zh-CN"/>
        </w:rPr>
        <w:t xml:space="preserve">   4 许可类型：</w:t>
      </w:r>
    </w:p>
    <w:p w14:paraId="432191EF">
      <w:pPr>
        <w:rPr>
          <w:rFonts w:hint="eastAsia"/>
          <w:lang w:val="en-US" w:eastAsia="zh-CN"/>
        </w:rPr>
      </w:pPr>
      <w:r>
        <w:rPr>
          <w:rFonts w:hint="eastAsia"/>
          <w:lang w:val="en-US" w:eastAsia="zh-CN"/>
        </w:rPr>
        <w:t xml:space="preserve">        独占许可：仅有被许可人可以使用该著作，甚至连著作权人也不能使用。</w:t>
      </w:r>
    </w:p>
    <w:p w14:paraId="60B9D42E">
      <w:pPr>
        <w:rPr>
          <w:rFonts w:hint="eastAsia"/>
          <w:lang w:val="en-US" w:eastAsia="zh-CN"/>
        </w:rPr>
      </w:pPr>
      <w:r>
        <w:rPr>
          <w:rFonts w:hint="eastAsia"/>
          <w:lang w:val="en-US" w:eastAsia="zh-CN"/>
        </w:rPr>
        <w:t xml:space="preserve">        非独占许可：著作权人可以同时授予多个许可人使用该著作的权利。</w:t>
      </w:r>
    </w:p>
    <w:p w14:paraId="2A8D55C3">
      <w:pPr>
        <w:rPr>
          <w:rFonts w:hint="eastAsia"/>
          <w:lang w:val="en-US" w:eastAsia="zh-CN"/>
        </w:rPr>
      </w:pPr>
    </w:p>
    <w:p w14:paraId="35DBF279">
      <w:pPr>
        <w:numPr>
          <w:ilvl w:val="0"/>
          <w:numId w:val="20"/>
        </w:numPr>
        <w:ind w:left="315" w:leftChars="0" w:firstLine="0" w:firstLineChars="0"/>
        <w:rPr>
          <w:rFonts w:hint="eastAsia"/>
          <w:lang w:val="en-US" w:eastAsia="zh-CN"/>
        </w:rPr>
      </w:pPr>
      <w:r>
        <w:rPr>
          <w:rFonts w:hint="eastAsia"/>
          <w:lang w:val="en-US" w:eastAsia="zh-CN"/>
        </w:rPr>
        <w:t>许可内容</w:t>
      </w:r>
    </w:p>
    <w:p w14:paraId="0E174235">
      <w:pPr>
        <w:rPr>
          <w:rFonts w:hint="default"/>
          <w:lang w:val="en-US" w:eastAsia="zh-CN"/>
        </w:rPr>
      </w:pPr>
      <w:r>
        <w:rPr>
          <w:rFonts w:hint="eastAsia"/>
          <w:lang w:val="en-US" w:eastAsia="zh-CN"/>
        </w:rPr>
        <w:t xml:space="preserve">        地域范围、使用方式：使用期限、报酬、终止条款、署名要求等</w:t>
      </w:r>
    </w:p>
    <w:p w14:paraId="3E92F0EE">
      <w:pPr>
        <w:rPr>
          <w:rFonts w:hint="eastAsia"/>
          <w:lang w:val="en-US" w:eastAsia="zh-CN"/>
        </w:rPr>
      </w:pPr>
      <w:r>
        <w:rPr>
          <w:rFonts w:hint="eastAsia"/>
          <w:lang w:val="en-US" w:eastAsia="zh-CN"/>
        </w:rPr>
        <w:t xml:space="preserve">   6 权利保障：对被许可人的使用行为进行限制，如不得修改、不得转让等。</w:t>
      </w:r>
    </w:p>
    <w:p w14:paraId="0200D904">
      <w:pPr>
        <w:rPr>
          <w:rFonts w:hint="eastAsia"/>
          <w:lang w:val="en-US" w:eastAsia="zh-CN"/>
        </w:rPr>
      </w:pPr>
    </w:p>
    <w:p w14:paraId="2A8B694B">
      <w:pPr>
        <w:rPr>
          <w:rFonts w:hint="eastAsia"/>
          <w:lang w:val="en-US" w:eastAsia="zh-CN"/>
        </w:rPr>
      </w:pPr>
    </w:p>
    <w:p w14:paraId="6591BAD8">
      <w:pPr>
        <w:rPr>
          <w:rFonts w:hint="eastAsia"/>
          <w:lang w:val="en-US" w:eastAsia="zh-CN"/>
        </w:rPr>
      </w:pPr>
    </w:p>
    <w:p w14:paraId="5FA21AD0">
      <w:pPr>
        <w:rPr>
          <w:rFonts w:hint="eastAsia"/>
          <w:lang w:val="en-US" w:eastAsia="zh-CN"/>
        </w:rPr>
      </w:pPr>
    </w:p>
    <w:p w14:paraId="6FF37F0C">
      <w:pPr>
        <w:rPr>
          <w:rFonts w:hint="eastAsia"/>
          <w:lang w:val="en-US" w:eastAsia="zh-CN"/>
        </w:rPr>
      </w:pPr>
    </w:p>
    <w:p w14:paraId="39CF0D5E">
      <w:pPr>
        <w:rPr>
          <w:rFonts w:hint="eastAsia"/>
          <w:lang w:val="en-US" w:eastAsia="zh-CN"/>
        </w:rPr>
      </w:pPr>
      <w:r>
        <w:rPr>
          <w:rFonts w:hint="eastAsia"/>
          <w:lang w:val="en-US" w:eastAsia="zh-CN"/>
        </w:rPr>
        <w:t>商标</w:t>
      </w:r>
    </w:p>
    <w:p w14:paraId="57082C63">
      <w:pPr>
        <w:rPr>
          <w:rFonts w:hint="default"/>
          <w:lang w:val="en-US" w:eastAsia="zh-CN"/>
        </w:rPr>
      </w:pPr>
    </w:p>
    <w:p w14:paraId="5AC7AEAD">
      <w:pPr>
        <w:pStyle w:val="23"/>
        <w:keepNext w:val="0"/>
        <w:keepLines w:val="0"/>
        <w:widowControl/>
        <w:suppressLineNumbers w:val="0"/>
      </w:pPr>
      <w:r>
        <w:rPr>
          <w:rFonts w:ascii="Symbol" w:hAnsi="Symbol" w:eastAsia="Symbol" w:cs="Symbol"/>
          <w:sz w:val="24"/>
        </w:rPr>
        <w:t>·</w:t>
      </w:r>
      <w:r>
        <w:rPr>
          <w:rFonts w:hint="eastAsia" w:ascii="宋体" w:hAnsi="宋体" w:eastAsia="宋体" w:cs="宋体"/>
          <w:sz w:val="24"/>
        </w:rPr>
        <w:t xml:space="preserve">  </w:t>
      </w:r>
      <w:r>
        <w:rPr>
          <w:rStyle w:val="27"/>
        </w:rPr>
        <w:t>注册商标</w:t>
      </w:r>
      <w:r>
        <w:t>：经过国家商标局注册的商标，享有法律保护。</w:t>
      </w:r>
    </w:p>
    <w:p w14:paraId="7945A203">
      <w:pPr>
        <w:pStyle w:val="23"/>
        <w:keepNext w:val="0"/>
        <w:keepLines w:val="0"/>
        <w:widowControl/>
        <w:suppressLineNumbers w:val="0"/>
      </w:pPr>
      <w:r>
        <w:rPr>
          <w:rFonts w:hint="default" w:ascii="Symbol" w:hAnsi="Symbol" w:eastAsia="Symbol" w:cs="Symbol"/>
          <w:sz w:val="24"/>
        </w:rPr>
        <w:t>·</w:t>
      </w:r>
      <w:r>
        <w:rPr>
          <w:rFonts w:hint="eastAsia" w:ascii="宋体" w:hAnsi="宋体" w:eastAsia="宋体" w:cs="宋体"/>
          <w:sz w:val="24"/>
        </w:rPr>
        <w:t xml:space="preserve">  </w:t>
      </w:r>
      <w:r>
        <w:rPr>
          <w:rFonts w:hint="default" w:ascii="Symbol" w:hAnsi="Symbol" w:eastAsia="Symbol" w:cs="Symbol"/>
          <w:sz w:val="24"/>
        </w:rPr>
        <w:t>·</w:t>
      </w:r>
      <w:r>
        <w:rPr>
          <w:rFonts w:hint="eastAsia" w:ascii="宋体" w:hAnsi="宋体" w:eastAsia="宋体" w:cs="宋体"/>
          <w:sz w:val="24"/>
        </w:rPr>
        <w:t xml:space="preserve">  </w:t>
      </w:r>
      <w:r>
        <w:rPr>
          <w:rStyle w:val="27"/>
        </w:rPr>
        <w:t>未注册商标</w:t>
      </w:r>
      <w:r>
        <w:t>：虽然未经过注册，但在使用过程中形成的商标，有一定的保护。</w:t>
      </w:r>
    </w:p>
    <w:p w14:paraId="33047978">
      <w:pPr>
        <w:pStyle w:val="23"/>
        <w:keepNext w:val="0"/>
        <w:keepLines w:val="0"/>
        <w:widowControl/>
        <w:suppressLineNumbers w:val="0"/>
      </w:pPr>
      <w:r>
        <w:rPr>
          <w:rFonts w:hint="default" w:ascii="Symbol" w:hAnsi="Symbol" w:eastAsia="Symbol" w:cs="Symbol"/>
          <w:sz w:val="24"/>
        </w:rPr>
        <w:t>·</w:t>
      </w:r>
      <w:r>
        <w:rPr>
          <w:rFonts w:hint="eastAsia" w:ascii="宋体" w:hAnsi="宋体" w:eastAsia="宋体" w:cs="宋体"/>
          <w:sz w:val="24"/>
        </w:rPr>
        <w:t xml:space="preserve">  </w:t>
      </w:r>
      <w:r>
        <w:rPr>
          <w:rFonts w:hint="default" w:ascii="Symbol" w:hAnsi="Symbol" w:eastAsia="Symbol" w:cs="Symbol"/>
          <w:sz w:val="24"/>
        </w:rPr>
        <w:t>·</w:t>
      </w:r>
      <w:r>
        <w:rPr>
          <w:rFonts w:hint="eastAsia" w:ascii="宋体" w:hAnsi="宋体" w:eastAsia="宋体" w:cs="宋体"/>
          <w:sz w:val="24"/>
        </w:rPr>
        <w:t xml:space="preserve">  </w:t>
      </w:r>
      <w:r>
        <w:rPr>
          <w:rStyle w:val="27"/>
        </w:rPr>
        <w:t>普通商标</w:t>
      </w:r>
      <w:r>
        <w:t>：未经特殊保护的商标，包括文字、图形、字母、数字等。</w:t>
      </w:r>
    </w:p>
    <w:p w14:paraId="6DFAD3E3">
      <w:pPr>
        <w:pStyle w:val="23"/>
        <w:keepNext w:val="0"/>
        <w:keepLines w:val="0"/>
        <w:widowControl/>
        <w:suppressLineNumbers w:val="0"/>
      </w:pPr>
      <w:r>
        <w:rPr>
          <w:rFonts w:hint="default" w:ascii="Symbol" w:hAnsi="Symbol" w:eastAsia="Symbol" w:cs="Symbol"/>
          <w:sz w:val="24"/>
        </w:rPr>
        <w:t>·</w:t>
      </w:r>
      <w:r>
        <w:rPr>
          <w:rFonts w:hint="eastAsia" w:ascii="宋体" w:hAnsi="宋体" w:eastAsia="宋体" w:cs="宋体"/>
          <w:sz w:val="24"/>
        </w:rPr>
        <w:t xml:space="preserve">  </w:t>
      </w:r>
      <w:r>
        <w:rPr>
          <w:rFonts w:hint="default" w:ascii="Symbol" w:hAnsi="Symbol" w:eastAsia="Symbol" w:cs="Symbol"/>
          <w:sz w:val="24"/>
        </w:rPr>
        <w:t>·</w:t>
      </w:r>
      <w:r>
        <w:rPr>
          <w:rFonts w:hint="eastAsia" w:ascii="宋体" w:hAnsi="宋体" w:eastAsia="宋体" w:cs="宋体"/>
          <w:sz w:val="24"/>
        </w:rPr>
        <w:t xml:space="preserve">  </w:t>
      </w:r>
      <w:r>
        <w:rPr>
          <w:rStyle w:val="27"/>
        </w:rPr>
        <w:t>服务商标</w:t>
      </w:r>
      <w:r>
        <w:t>：用于识别服务提供者的商标，与商品商标相对。</w:t>
      </w:r>
    </w:p>
    <w:p w14:paraId="3CB6B8C6">
      <w:pPr>
        <w:pStyle w:val="23"/>
        <w:keepNext w:val="0"/>
        <w:keepLines w:val="0"/>
        <w:widowControl/>
        <w:suppressLineNumbers w:val="0"/>
      </w:pPr>
      <w:r>
        <w:rPr>
          <w:rFonts w:hint="default" w:ascii="Symbol" w:hAnsi="Symbol" w:eastAsia="Symbol" w:cs="Symbol"/>
          <w:sz w:val="24"/>
        </w:rPr>
        <w:t>·</w:t>
      </w:r>
      <w:r>
        <w:rPr>
          <w:rFonts w:hint="eastAsia" w:ascii="宋体" w:hAnsi="宋体" w:eastAsia="宋体" w:cs="宋体"/>
          <w:sz w:val="24"/>
        </w:rPr>
        <w:t xml:space="preserve">  </w:t>
      </w:r>
      <w:r>
        <w:rPr>
          <w:rFonts w:hint="default" w:ascii="Symbol" w:hAnsi="Symbol" w:eastAsia="Symbol" w:cs="Symbol"/>
          <w:sz w:val="24"/>
        </w:rPr>
        <w:t>·</w:t>
      </w:r>
      <w:r>
        <w:rPr>
          <w:rFonts w:hint="eastAsia" w:ascii="宋体" w:hAnsi="宋体" w:eastAsia="宋体" w:cs="宋体"/>
          <w:sz w:val="24"/>
        </w:rPr>
        <w:t xml:space="preserve">  </w:t>
      </w:r>
      <w:r>
        <w:rPr>
          <w:rStyle w:val="27"/>
        </w:rPr>
        <w:t>集体商标</w:t>
      </w:r>
      <w:r>
        <w:t>：由某个组织或团体注册，代表该组织的成员或产品。</w:t>
      </w:r>
    </w:p>
    <w:p w14:paraId="52100B89">
      <w:pPr>
        <w:pStyle w:val="23"/>
        <w:keepNext w:val="0"/>
        <w:keepLines w:val="0"/>
        <w:widowControl/>
        <w:suppressLineNumbers w:val="0"/>
      </w:pPr>
      <w:r>
        <w:rPr>
          <w:rFonts w:hint="default" w:ascii="Symbol" w:hAnsi="Symbol" w:eastAsia="Symbol" w:cs="Symbol"/>
          <w:sz w:val="24"/>
        </w:rPr>
        <w:t>·</w:t>
      </w:r>
      <w:r>
        <w:rPr>
          <w:rFonts w:hint="eastAsia" w:ascii="宋体" w:hAnsi="宋体" w:eastAsia="宋体" w:cs="宋体"/>
          <w:sz w:val="24"/>
        </w:rPr>
        <w:t xml:space="preserve">  </w:t>
      </w:r>
      <w:r>
        <w:rPr>
          <w:rFonts w:hint="default" w:ascii="Symbol" w:hAnsi="Symbol" w:eastAsia="Symbol" w:cs="Symbol"/>
          <w:sz w:val="24"/>
        </w:rPr>
        <w:t>·</w:t>
      </w:r>
      <w:r>
        <w:rPr>
          <w:rFonts w:hint="eastAsia" w:ascii="宋体" w:hAnsi="宋体" w:eastAsia="宋体" w:cs="宋体"/>
          <w:sz w:val="24"/>
        </w:rPr>
        <w:t xml:space="preserve">  </w:t>
      </w:r>
      <w:r>
        <w:rPr>
          <w:rStyle w:val="27"/>
        </w:rPr>
        <w:t>证明商标</w:t>
      </w:r>
      <w:r>
        <w:t>：用于证明某种商品或服务的特定性质、质量等特征的商标。</w:t>
      </w:r>
    </w:p>
    <w:p w14:paraId="1CE88502">
      <w:pPr>
        <w:rPr>
          <w:rFonts w:hint="eastAsia"/>
          <w:lang w:val="en-US" w:eastAsia="zh-CN"/>
        </w:rPr>
      </w:pPr>
      <w:r>
        <w:rPr>
          <w:rFonts w:hint="eastAsia"/>
          <w:lang w:val="en-US" w:eastAsia="zh-CN"/>
        </w:rPr>
        <w:t>1. 许可项目</w:t>
      </w:r>
    </w:p>
    <w:p w14:paraId="489E8DF7">
      <w:pPr>
        <w:rPr>
          <w:rFonts w:hint="eastAsia"/>
          <w:lang w:val="en-US" w:eastAsia="zh-CN"/>
        </w:rPr>
      </w:pPr>
    </w:p>
    <w:p w14:paraId="3FD82F58">
      <w:pPr>
        <w:rPr>
          <w:rFonts w:hint="eastAsia"/>
          <w:lang w:val="en-US" w:eastAsia="zh-CN"/>
        </w:rPr>
      </w:pPr>
      <w:r>
        <w:rPr>
          <w:rFonts w:hint="eastAsia"/>
          <w:lang w:val="en-US" w:eastAsia="zh-CN"/>
        </w:rPr>
        <w:t xml:space="preserve">    许可范围：明确哪些商标可以被使用。</w:t>
      </w:r>
    </w:p>
    <w:p w14:paraId="68DC190B">
      <w:pPr>
        <w:rPr>
          <w:rFonts w:hint="eastAsia"/>
          <w:lang w:val="en-US" w:eastAsia="zh-CN"/>
        </w:rPr>
      </w:pPr>
      <w:r>
        <w:rPr>
          <w:rFonts w:hint="eastAsia"/>
          <w:lang w:val="en-US" w:eastAsia="zh-CN"/>
        </w:rPr>
        <w:t xml:space="preserve">    相关商品或服务：具体列出哪些商品或服务可以使用该商标。</w:t>
      </w:r>
    </w:p>
    <w:p w14:paraId="06DA24A8">
      <w:pPr>
        <w:rPr>
          <w:rFonts w:hint="eastAsia"/>
          <w:lang w:val="en-US" w:eastAsia="zh-CN"/>
        </w:rPr>
      </w:pPr>
    </w:p>
    <w:p w14:paraId="5BEE9D0B">
      <w:pPr>
        <w:rPr>
          <w:rFonts w:hint="eastAsia"/>
          <w:lang w:val="en-US" w:eastAsia="zh-CN"/>
        </w:rPr>
      </w:pPr>
      <w:r>
        <w:rPr>
          <w:rFonts w:hint="eastAsia"/>
          <w:lang w:val="en-US" w:eastAsia="zh-CN"/>
        </w:rPr>
        <w:t>2. 许可类型</w:t>
      </w:r>
    </w:p>
    <w:p w14:paraId="7EB5F989">
      <w:pPr>
        <w:rPr>
          <w:rFonts w:hint="eastAsia"/>
          <w:lang w:val="en-US" w:eastAsia="zh-CN"/>
        </w:rPr>
      </w:pPr>
    </w:p>
    <w:p w14:paraId="2BB8C710">
      <w:pPr>
        <w:rPr>
          <w:rFonts w:hint="eastAsia"/>
          <w:lang w:val="en-US" w:eastAsia="zh-CN"/>
        </w:rPr>
      </w:pPr>
      <w:r>
        <w:rPr>
          <w:rFonts w:hint="eastAsia"/>
          <w:lang w:val="en-US" w:eastAsia="zh-CN"/>
        </w:rPr>
        <w:t xml:space="preserve">    独占许可：被许可方在许可有效期内独占使用该商标，其他任何人（包括许可方）不得使用。</w:t>
      </w:r>
    </w:p>
    <w:p w14:paraId="556D02F7">
      <w:pPr>
        <w:rPr>
          <w:rFonts w:hint="eastAsia"/>
          <w:lang w:val="en-US" w:eastAsia="zh-CN"/>
        </w:rPr>
      </w:pPr>
      <w:r>
        <w:rPr>
          <w:rFonts w:hint="eastAsia"/>
          <w:lang w:val="en-US" w:eastAsia="zh-CN"/>
        </w:rPr>
        <w:t xml:space="preserve">    非独占许可���被许可方可以使用商标，但许可方可以同时将商标授权给其他人。</w:t>
      </w:r>
    </w:p>
    <w:p w14:paraId="713C9E96">
      <w:pPr>
        <w:rPr>
          <w:rFonts w:hint="eastAsia"/>
          <w:lang w:val="en-US" w:eastAsia="zh-CN"/>
        </w:rPr>
      </w:pPr>
      <w:r>
        <w:rPr>
          <w:rFonts w:hint="eastAsia"/>
          <w:lang w:val="en-US" w:eastAsia="zh-CN"/>
        </w:rPr>
        <w:t xml:space="preserve">    排他许可：在特定区域或特定时间内，只允许一个被许可方使用商标。</w:t>
      </w:r>
    </w:p>
    <w:p w14:paraId="73495921">
      <w:pPr>
        <w:rPr>
          <w:rFonts w:hint="eastAsia"/>
          <w:lang w:val="en-US" w:eastAsia="zh-CN"/>
        </w:rPr>
      </w:pPr>
    </w:p>
    <w:p w14:paraId="718951D1">
      <w:pPr>
        <w:rPr>
          <w:rFonts w:hint="eastAsia"/>
          <w:lang w:val="en-US" w:eastAsia="zh-CN"/>
        </w:rPr>
      </w:pPr>
      <w:r>
        <w:rPr>
          <w:rFonts w:hint="eastAsia"/>
          <w:lang w:val="en-US" w:eastAsia="zh-CN"/>
        </w:rPr>
        <w:t>3. 许可内容</w:t>
      </w:r>
    </w:p>
    <w:p w14:paraId="1D8E80AF">
      <w:pPr>
        <w:rPr>
          <w:rFonts w:hint="eastAsia"/>
          <w:lang w:val="en-US" w:eastAsia="zh-CN"/>
        </w:rPr>
      </w:pPr>
    </w:p>
    <w:p w14:paraId="068983B2">
      <w:pPr>
        <w:rPr>
          <w:rFonts w:hint="eastAsia"/>
          <w:lang w:val="en-US" w:eastAsia="zh-CN"/>
        </w:rPr>
      </w:pPr>
      <w:r>
        <w:rPr>
          <w:rFonts w:hint="eastAsia"/>
          <w:lang w:val="en-US" w:eastAsia="zh-CN"/>
        </w:rPr>
        <w:t xml:space="preserve">    许可期限：商标使用权的有效期，通常以年为单位。</w:t>
      </w:r>
    </w:p>
    <w:p w14:paraId="6DF7B6D6">
      <w:pPr>
        <w:rPr>
          <w:rFonts w:hint="eastAsia"/>
          <w:lang w:val="en-US" w:eastAsia="zh-CN"/>
        </w:rPr>
      </w:pPr>
      <w:r>
        <w:rPr>
          <w:rFonts w:hint="eastAsia"/>
          <w:lang w:val="en-US" w:eastAsia="zh-CN"/>
        </w:rPr>
        <w:t xml:space="preserve">    使用方式：具体说明如何使用商标，包括标识、宣传方式等。</w:t>
      </w:r>
    </w:p>
    <w:p w14:paraId="41C46E41">
      <w:pPr>
        <w:rPr>
          <w:rFonts w:hint="eastAsia"/>
          <w:lang w:val="en-US" w:eastAsia="zh-CN"/>
        </w:rPr>
      </w:pPr>
      <w:r>
        <w:rPr>
          <w:rFonts w:hint="eastAsia"/>
          <w:lang w:val="en-US" w:eastAsia="zh-CN"/>
        </w:rPr>
        <w:t xml:space="preserve">    质量控制：许可方对被许可方使用商标的产品或服务质量的要求。</w:t>
      </w:r>
    </w:p>
    <w:p w14:paraId="0A45996D">
      <w:pPr>
        <w:ind w:firstLine="420" w:firstLineChars="200"/>
        <w:rPr>
          <w:rFonts w:hint="eastAsia"/>
          <w:lang w:val="en-US" w:eastAsia="zh-CN"/>
        </w:rPr>
      </w:pPr>
      <w:r>
        <w:rPr>
          <w:rFonts w:hint="eastAsia"/>
          <w:lang w:val="en-US" w:eastAsia="zh-CN"/>
        </w:rPr>
        <w:t>许可期限：商标使用权的有效期，通常以年为单位。</w:t>
      </w:r>
    </w:p>
    <w:p w14:paraId="675CF5C6">
      <w:pPr>
        <w:rPr>
          <w:rFonts w:hint="eastAsia"/>
          <w:lang w:val="en-US" w:eastAsia="zh-CN"/>
        </w:rPr>
      </w:pPr>
      <w:r>
        <w:rPr>
          <w:rFonts w:hint="eastAsia"/>
          <w:lang w:val="en-US" w:eastAsia="zh-CN"/>
        </w:rPr>
        <w:t xml:space="preserve">    使用方式：具体说明如何使用商标，包括标识、宣传方式等。</w:t>
      </w:r>
    </w:p>
    <w:p w14:paraId="3069E508">
      <w:pPr>
        <w:rPr>
          <w:rFonts w:hint="eastAsia"/>
          <w:lang w:val="en-US" w:eastAsia="zh-CN"/>
        </w:rPr>
      </w:pPr>
      <w:r>
        <w:rPr>
          <w:rFonts w:hint="eastAsia"/>
          <w:lang w:val="en-US" w:eastAsia="zh-CN"/>
        </w:rPr>
        <w:t xml:space="preserve">    质量控制：许可方对被许可方使用商标的产品或服务质量的要求</w:t>
      </w:r>
    </w:p>
    <w:p w14:paraId="4156E62F">
      <w:pPr>
        <w:rPr>
          <w:rFonts w:hint="eastAsia"/>
          <w:lang w:val="en-US" w:eastAsia="zh-CN"/>
        </w:rPr>
      </w:pPr>
      <w:r>
        <w:rPr>
          <w:rFonts w:hint="eastAsia"/>
          <w:lang w:val="en-US" w:eastAsia="zh-CN"/>
        </w:rPr>
        <w:t>4. 权益保障</w:t>
      </w:r>
    </w:p>
    <w:p w14:paraId="7C27D5E5">
      <w:pPr>
        <w:rPr>
          <w:rFonts w:hint="eastAsia"/>
          <w:lang w:val="en-US" w:eastAsia="zh-CN"/>
        </w:rPr>
      </w:pPr>
    </w:p>
    <w:p w14:paraId="337E2BA2">
      <w:pPr>
        <w:rPr>
          <w:rFonts w:hint="eastAsia"/>
          <w:lang w:val="en-US" w:eastAsia="zh-CN"/>
        </w:rPr>
      </w:pPr>
      <w:r>
        <w:rPr>
          <w:rFonts w:hint="eastAsia"/>
          <w:lang w:val="en-US" w:eastAsia="zh-CN"/>
        </w:rPr>
        <w:t xml:space="preserve">    保护条款：包括对商标的使用和维护的责任，以及侵权情况下的救济措施。</w:t>
      </w:r>
    </w:p>
    <w:p w14:paraId="76588EF3">
      <w:pPr>
        <w:rPr>
          <w:rFonts w:hint="eastAsia"/>
          <w:lang w:val="en-US" w:eastAsia="zh-CN"/>
        </w:rPr>
      </w:pPr>
      <w:r>
        <w:rPr>
          <w:rFonts w:hint="eastAsia"/>
          <w:lang w:val="en-US" w:eastAsia="zh-CN"/>
        </w:rPr>
        <w:t xml:space="preserve">    违约责任：如果被许可方未按照协议使用商标或违反其他条款，需承担的责任。</w:t>
      </w:r>
    </w:p>
    <w:p w14:paraId="42FC6A7B">
      <w:pPr>
        <w:rPr>
          <w:rFonts w:hint="eastAsia"/>
          <w:lang w:val="en-US" w:eastAsia="zh-CN"/>
        </w:rPr>
      </w:pPr>
      <w:r>
        <w:rPr>
          <w:rFonts w:hint="eastAsia"/>
          <w:lang w:val="en-US" w:eastAsia="zh-CN"/>
        </w:rPr>
        <w:t xml:space="preserve">    终止条件：在什么情况下许可协议可以被终止，及终止后的处理方式。</w:t>
      </w:r>
    </w:p>
    <w:p w14:paraId="067EF3E1">
      <w:pPr>
        <w:rPr>
          <w:rFonts w:hint="eastAsia"/>
          <w:lang w:val="en-US" w:eastAsia="zh-CN"/>
        </w:rPr>
      </w:pPr>
      <w:r>
        <w:rPr>
          <w:rFonts w:hint="eastAsia"/>
          <w:lang w:val="en-US" w:eastAsia="zh-CN"/>
        </w:rPr>
        <w:t>6备注</w:t>
      </w:r>
    </w:p>
    <w:p w14:paraId="13A12442">
      <w:pPr>
        <w:rPr>
          <w:rFonts w:hint="default"/>
          <w:lang w:val="en-US" w:eastAsia="zh-CN"/>
        </w:rPr>
      </w:pPr>
      <w:r>
        <w:rPr>
          <w:rFonts w:hint="eastAsia" w:hAnsi="宋体" w:cs="宋体"/>
          <w:sz w:val="24"/>
          <w:szCs w:val="24"/>
          <w:lang w:val="en-US" w:eastAsia="zh-CN"/>
        </w:rPr>
        <w:t>不同类型的</w:t>
      </w:r>
      <w:r>
        <w:rPr>
          <w:rFonts w:ascii="宋体" w:hAnsi="宋体" w:eastAsia="宋体" w:cs="宋体"/>
          <w:sz w:val="24"/>
          <w:szCs w:val="24"/>
        </w:rPr>
        <w:t>商标在法律上享有不同的权利和保护程度。</w:t>
      </w:r>
    </w:p>
    <w:p w14:paraId="39DCCDA1">
      <w:pPr>
        <w:rPr>
          <w:rFonts w:hint="eastAsia"/>
          <w:lang w:val="en-US" w:eastAsia="zh-CN"/>
        </w:rPr>
      </w:pPr>
    </w:p>
    <w:p w14:paraId="49311B54">
      <w:pPr>
        <w:rPr>
          <w:rFonts w:hint="eastAsia"/>
          <w:lang w:val="en-US" w:eastAsia="zh-CN"/>
        </w:rPr>
      </w:pPr>
    </w:p>
    <w:p w14:paraId="4B11FAF2">
      <w:pPr>
        <w:rPr>
          <w:rFonts w:hint="eastAsia"/>
          <w:lang w:val="en-US" w:eastAsia="zh-CN"/>
        </w:rPr>
      </w:pPr>
    </w:p>
    <w:p w14:paraId="2800EEAC">
      <w:pPr>
        <w:rPr>
          <w:rFonts w:hint="eastAsia"/>
          <w:lang w:val="en-US" w:eastAsia="zh-CN"/>
        </w:rPr>
      </w:pPr>
      <w:r>
        <w:rPr>
          <w:rFonts w:hint="eastAsia"/>
          <w:lang w:val="en-US" w:eastAsia="zh-CN"/>
        </w:rPr>
        <w:t>商业秘密</w:t>
      </w:r>
    </w:p>
    <w:p w14:paraId="092DE145">
      <w:pPr>
        <w:rPr>
          <w:rFonts w:hint="eastAsia"/>
          <w:lang w:val="en-US" w:eastAsia="zh-CN"/>
        </w:rPr>
      </w:pPr>
    </w:p>
    <w:p w14:paraId="0560B1E7">
      <w:pPr>
        <w:rPr>
          <w:rFonts w:hint="eastAsia"/>
          <w:lang w:val="en-US" w:eastAsia="zh-CN"/>
        </w:rPr>
      </w:pPr>
      <w:r>
        <w:rPr>
          <w:rFonts w:hint="eastAsia"/>
          <w:lang w:val="en-US" w:eastAsia="zh-CN"/>
        </w:rPr>
        <w:t>许可项目：技术工艺信息、业务流程、商业模式、客户关系、员工及员工技能</w:t>
      </w:r>
    </w:p>
    <w:p w14:paraId="1D061E0A">
      <w:pPr>
        <w:rPr>
          <w:rFonts w:hint="eastAsia"/>
          <w:lang w:val="en-US" w:eastAsia="zh-CN"/>
        </w:rPr>
      </w:pPr>
    </w:p>
    <w:p w14:paraId="1EE7B7E8">
      <w:pPr>
        <w:rPr>
          <w:rFonts w:hint="eastAsia"/>
          <w:lang w:val="en-US" w:eastAsia="zh-CN"/>
        </w:rPr>
      </w:pPr>
      <w:r>
        <w:rPr>
          <w:rFonts w:hint="eastAsia"/>
          <w:lang w:val="en-US" w:eastAsia="zh-CN"/>
        </w:rPr>
        <w:t>许可类型：</w:t>
      </w:r>
    </w:p>
    <w:p w14:paraId="6ED919DA">
      <w:pPr>
        <w:rPr>
          <w:rFonts w:hint="eastAsia"/>
          <w:lang w:val="en-US" w:eastAsia="zh-CN"/>
        </w:rPr>
      </w:pPr>
    </w:p>
    <w:p w14:paraId="58147714">
      <w:pPr>
        <w:rPr>
          <w:rFonts w:hint="eastAsia"/>
          <w:lang w:val="en-US" w:eastAsia="zh-CN"/>
        </w:rPr>
      </w:pPr>
      <w:r>
        <w:rPr>
          <w:rFonts w:hint="eastAsia"/>
          <w:lang w:val="en-US" w:eastAsia="zh-CN"/>
        </w:rPr>
        <w:t>独占许可：授予许可方独占使用权，其他人不能使用该商业秘密。</w:t>
      </w:r>
    </w:p>
    <w:p w14:paraId="5BA3C745">
      <w:pPr>
        <w:rPr>
          <w:rFonts w:hint="eastAsia"/>
          <w:lang w:val="en-US" w:eastAsia="zh-CN"/>
        </w:rPr>
      </w:pPr>
      <w:r>
        <w:rPr>
          <w:rFonts w:hint="eastAsia"/>
          <w:lang w:val="en-US" w:eastAsia="zh-CN"/>
        </w:rPr>
        <w:t>非独占许可：多方可以共同使用该商业秘密，但许可方仍保留使用权。</w:t>
      </w:r>
    </w:p>
    <w:p w14:paraId="23AFB1C0">
      <w:pPr>
        <w:rPr>
          <w:rFonts w:hint="eastAsia"/>
          <w:lang w:val="en-US" w:eastAsia="zh-CN"/>
        </w:rPr>
      </w:pPr>
      <w:r>
        <w:rPr>
          <w:rFonts w:hint="eastAsia"/>
          <w:lang w:val="en-US" w:eastAsia="zh-CN"/>
        </w:rPr>
        <w:t>排他许可：特定的条件下，许可方可以限制某些使用者。</w:t>
      </w:r>
    </w:p>
    <w:p w14:paraId="34CD8144">
      <w:pPr>
        <w:rPr>
          <w:rFonts w:hint="eastAsia"/>
          <w:lang w:val="en-US" w:eastAsia="zh-CN"/>
        </w:rPr>
      </w:pPr>
    </w:p>
    <w:p w14:paraId="50C43EBF">
      <w:pPr>
        <w:rPr>
          <w:rFonts w:hint="eastAsia"/>
          <w:lang w:val="en-US" w:eastAsia="zh-CN"/>
        </w:rPr>
      </w:pPr>
      <w:r>
        <w:rPr>
          <w:rFonts w:hint="eastAsia"/>
          <w:lang w:val="en-US" w:eastAsia="zh-CN"/>
        </w:rPr>
        <w:t>许可内容：</w:t>
      </w:r>
    </w:p>
    <w:p w14:paraId="0296498A">
      <w:pPr>
        <w:rPr>
          <w:rFonts w:hint="eastAsia"/>
          <w:lang w:val="en-US" w:eastAsia="zh-CN"/>
        </w:rPr>
      </w:pPr>
    </w:p>
    <w:p w14:paraId="1FABFB7D">
      <w:pPr>
        <w:rPr>
          <w:rFonts w:hint="eastAsia"/>
          <w:lang w:val="en-US" w:eastAsia="zh-CN"/>
        </w:rPr>
      </w:pPr>
      <w:r>
        <w:rPr>
          <w:rFonts w:hint="eastAsia"/>
          <w:lang w:val="en-US" w:eastAsia="zh-CN"/>
        </w:rPr>
        <w:t>使用范围：明确商业秘密的使用限制和适用领域。</w:t>
      </w:r>
    </w:p>
    <w:p w14:paraId="151C0AAF">
      <w:pPr>
        <w:rPr>
          <w:rFonts w:hint="eastAsia"/>
          <w:lang w:val="en-US" w:eastAsia="zh-CN"/>
        </w:rPr>
      </w:pPr>
      <w:r>
        <w:rPr>
          <w:rFonts w:hint="eastAsia"/>
          <w:lang w:val="en-US" w:eastAsia="zh-CN"/>
        </w:rPr>
        <w:t>使用期限：规定商业秘密许可的有效期限。</w:t>
      </w:r>
    </w:p>
    <w:p w14:paraId="498CC079">
      <w:pPr>
        <w:rPr>
          <w:rFonts w:hint="eastAsia"/>
          <w:lang w:val="en-US" w:eastAsia="zh-CN"/>
        </w:rPr>
      </w:pPr>
      <w:r>
        <w:rPr>
          <w:rFonts w:hint="eastAsia"/>
          <w:lang w:val="en-US" w:eastAsia="zh-CN"/>
        </w:rPr>
        <w:t>费用：包括许可费、权利金等经济条款。</w:t>
      </w:r>
    </w:p>
    <w:p w14:paraId="0241513B">
      <w:pPr>
        <w:rPr>
          <w:rFonts w:hint="eastAsia"/>
          <w:lang w:val="en-US" w:eastAsia="zh-CN"/>
        </w:rPr>
      </w:pPr>
    </w:p>
    <w:p w14:paraId="348BDA4F">
      <w:pPr>
        <w:rPr>
          <w:rFonts w:hint="eastAsia"/>
          <w:lang w:val="en-US" w:eastAsia="zh-CN"/>
        </w:rPr>
      </w:pPr>
      <w:r>
        <w:rPr>
          <w:rFonts w:hint="eastAsia"/>
          <w:lang w:val="en-US" w:eastAsia="zh-CN"/>
        </w:rPr>
        <w:t>权益保障：</w:t>
      </w:r>
    </w:p>
    <w:p w14:paraId="73FB12EB">
      <w:pPr>
        <w:rPr>
          <w:rFonts w:hint="eastAsia"/>
          <w:lang w:val="en-US" w:eastAsia="zh-CN"/>
        </w:rPr>
      </w:pPr>
    </w:p>
    <w:p w14:paraId="444D5475">
      <w:pPr>
        <w:rPr>
          <w:rFonts w:hint="eastAsia"/>
          <w:lang w:val="en-US" w:eastAsia="zh-CN"/>
        </w:rPr>
      </w:pPr>
      <w:r>
        <w:rPr>
          <w:rFonts w:hint="eastAsia"/>
          <w:lang w:val="en-US" w:eastAsia="zh-CN"/>
        </w:rPr>
        <w:t>保密义务：双方需签署保密协议，约定对商业秘密的保密责任。</w:t>
      </w:r>
    </w:p>
    <w:p w14:paraId="359FF860">
      <w:pPr>
        <w:rPr>
          <w:rFonts w:hint="eastAsia"/>
          <w:lang w:val="en-US" w:eastAsia="zh-CN"/>
        </w:rPr>
      </w:pPr>
      <w:r>
        <w:rPr>
          <w:rFonts w:hint="eastAsia"/>
          <w:lang w:val="en-US" w:eastAsia="zh-CN"/>
        </w:rPr>
        <w:t>侵权责任：明确违反协议的法律后果，包括赔偿损失等。</w:t>
      </w:r>
    </w:p>
    <w:p w14:paraId="3E70E405">
      <w:pPr>
        <w:rPr>
          <w:rFonts w:hint="eastAsia"/>
          <w:lang w:val="en-US" w:eastAsia="zh-CN"/>
        </w:rPr>
      </w:pPr>
      <w:r>
        <w:rPr>
          <w:rFonts w:hint="eastAsia"/>
          <w:lang w:val="en-US" w:eastAsia="zh-CN"/>
        </w:rPr>
        <w:t>监测机制：建立监督和反馈机制，以确保双方遵守协议。</w:t>
      </w:r>
    </w:p>
    <w:p w14:paraId="6E9EE719">
      <w:pPr>
        <w:rPr>
          <w:rFonts w:hint="eastAsia"/>
          <w:lang w:val="en-US" w:eastAsia="zh-CN"/>
        </w:rPr>
      </w:pPr>
    </w:p>
    <w:p w14:paraId="064B9FB9">
      <w:pPr>
        <w:rPr>
          <w:rFonts w:hint="eastAsia"/>
          <w:lang w:val="en-US" w:eastAsia="zh-CN"/>
        </w:rPr>
      </w:pPr>
    </w:p>
    <w:p w14:paraId="69672BBD">
      <w:pPr>
        <w:rPr>
          <w:rFonts w:hint="eastAsia"/>
          <w:lang w:val="en-US" w:eastAsia="zh-CN"/>
        </w:rPr>
      </w:pPr>
    </w:p>
    <w:p w14:paraId="103CAF78">
      <w:pPr>
        <w:rPr>
          <w:rFonts w:hint="eastAsia"/>
          <w:lang w:val="en-US" w:eastAsia="zh-CN"/>
        </w:rPr>
      </w:pPr>
    </w:p>
    <w:p w14:paraId="43A3CC10">
      <w:pPr>
        <w:rPr>
          <w:rFonts w:hint="eastAsia"/>
          <w:lang w:val="en-US" w:eastAsia="zh-CN"/>
        </w:rPr>
      </w:pPr>
    </w:p>
    <w:p w14:paraId="21867AF4">
      <w:pPr>
        <w:rPr>
          <w:rFonts w:hint="eastAsia"/>
          <w:lang w:val="en-US" w:eastAsia="zh-CN"/>
        </w:rPr>
      </w:pPr>
    </w:p>
    <w:p w14:paraId="73879CB4">
      <w:pPr>
        <w:rPr>
          <w:rFonts w:hint="eastAsia"/>
          <w:lang w:val="en-US" w:eastAsia="zh-CN"/>
        </w:rPr>
      </w:pPr>
    </w:p>
    <w:p w14:paraId="286070F8">
      <w:pPr>
        <w:rPr>
          <w:rFonts w:hint="eastAsia"/>
          <w:lang w:val="en-US" w:eastAsia="zh-CN"/>
        </w:rPr>
      </w:pPr>
    </w:p>
    <w:p w14:paraId="7E83605E">
      <w:pPr>
        <w:rPr>
          <w:rFonts w:hint="eastAsia"/>
          <w:lang w:val="en-US" w:eastAsia="zh-CN"/>
        </w:rPr>
      </w:pPr>
    </w:p>
    <w:p w14:paraId="3720965E">
      <w:pPr>
        <w:rPr>
          <w:rFonts w:hint="eastAsia"/>
          <w:lang w:val="en-US" w:eastAsia="zh-CN"/>
        </w:rPr>
      </w:pPr>
    </w:p>
    <w:p w14:paraId="2D8AB81F">
      <w:pPr>
        <w:rPr>
          <w:rFonts w:hint="eastAsia"/>
          <w:lang w:val="en-US" w:eastAsia="zh-CN"/>
        </w:rPr>
      </w:pPr>
    </w:p>
    <w:p w14:paraId="6958704E">
      <w:pPr>
        <w:rPr>
          <w:rFonts w:hint="eastAsia"/>
          <w:lang w:val="en-US" w:eastAsia="zh-CN"/>
        </w:rPr>
      </w:pPr>
    </w:p>
    <w:p w14:paraId="37BB544A">
      <w:pPr>
        <w:rPr>
          <w:rFonts w:hint="eastAsia"/>
          <w:lang w:val="en-US" w:eastAsia="zh-CN"/>
        </w:rPr>
      </w:pPr>
    </w:p>
    <w:p w14:paraId="00FB4BAF">
      <w:pPr>
        <w:pStyle w:val="38"/>
        <w:bidi w:val="0"/>
        <w:rPr>
          <w:rFonts w:hint="eastAsia"/>
          <w:spacing w:val="108"/>
          <w:lang w:val="en-US" w:eastAsia="zh-CN"/>
        </w:rPr>
      </w:pPr>
      <w:bookmarkStart w:id="100" w:name="_Toc18720"/>
    </w:p>
    <w:p w14:paraId="276205F8">
      <w:pPr>
        <w:pStyle w:val="38"/>
        <w:bidi w:val="0"/>
        <w:rPr>
          <w:rFonts w:hint="eastAsia"/>
          <w:spacing w:val="108"/>
          <w:lang w:val="en-US" w:eastAsia="zh-CN"/>
        </w:rPr>
      </w:pPr>
    </w:p>
    <w:p w14:paraId="5EBD4F7F">
      <w:pPr>
        <w:pStyle w:val="38"/>
        <w:bidi w:val="0"/>
        <w:rPr>
          <w:rFonts w:hint="eastAsia"/>
          <w:spacing w:val="108"/>
          <w:lang w:val="en-US" w:eastAsia="zh-CN"/>
        </w:rPr>
      </w:pPr>
    </w:p>
    <w:p w14:paraId="1FDF7CAF">
      <w:pPr>
        <w:pStyle w:val="38"/>
        <w:bidi w:val="0"/>
        <w:rPr>
          <w:rFonts w:hint="eastAsia"/>
          <w:spacing w:val="108"/>
          <w:lang w:val="en-US" w:eastAsia="zh-CN"/>
        </w:rPr>
      </w:pPr>
    </w:p>
    <w:p w14:paraId="5497036C">
      <w:pPr>
        <w:pStyle w:val="38"/>
        <w:bidi w:val="0"/>
        <w:rPr>
          <w:rFonts w:hint="eastAsia"/>
          <w:spacing w:val="108"/>
          <w:lang w:val="en-US" w:eastAsia="zh-CN"/>
        </w:rPr>
      </w:pPr>
    </w:p>
    <w:p w14:paraId="3504F42D">
      <w:pPr>
        <w:pStyle w:val="38"/>
        <w:bidi w:val="0"/>
        <w:rPr>
          <w:rFonts w:hint="eastAsia"/>
          <w:spacing w:val="108"/>
          <w:lang w:val="en-US" w:eastAsia="zh-CN"/>
        </w:rPr>
      </w:pPr>
    </w:p>
    <w:p w14:paraId="73934370">
      <w:pPr>
        <w:pStyle w:val="38"/>
        <w:bidi w:val="0"/>
        <w:rPr>
          <w:rFonts w:hint="eastAsia"/>
          <w:spacing w:val="108"/>
          <w:lang w:val="en-US" w:eastAsia="zh-CN"/>
        </w:rPr>
      </w:pPr>
    </w:p>
    <w:p w14:paraId="102D3012">
      <w:pPr>
        <w:pStyle w:val="38"/>
        <w:bidi w:val="0"/>
        <w:rPr>
          <w:rFonts w:hint="eastAsia"/>
          <w:spacing w:val="108"/>
          <w:lang w:val="en-US" w:eastAsia="zh-CN"/>
        </w:rPr>
      </w:pPr>
    </w:p>
    <w:p w14:paraId="3D9C58A8">
      <w:pPr>
        <w:pStyle w:val="38"/>
        <w:bidi w:val="0"/>
        <w:rPr>
          <w:rFonts w:hint="eastAsia"/>
          <w:spacing w:val="108"/>
          <w:lang w:val="en-US" w:eastAsia="zh-CN"/>
        </w:rPr>
      </w:pPr>
    </w:p>
    <w:p w14:paraId="3AF83480">
      <w:pPr>
        <w:pStyle w:val="38"/>
        <w:bidi w:val="0"/>
        <w:rPr>
          <w:rFonts w:hint="eastAsia"/>
          <w:spacing w:val="108"/>
          <w:lang w:val="en-US" w:eastAsia="zh-CN"/>
        </w:rPr>
      </w:pPr>
    </w:p>
    <w:p w14:paraId="3C172BF2">
      <w:pPr>
        <w:pStyle w:val="38"/>
        <w:bidi w:val="0"/>
        <w:rPr>
          <w:rFonts w:hint="eastAsia"/>
          <w:spacing w:val="108"/>
          <w:lang w:val="en-US" w:eastAsia="zh-CN"/>
        </w:rPr>
      </w:pPr>
    </w:p>
    <w:p w14:paraId="6641C35D">
      <w:pPr>
        <w:pStyle w:val="38"/>
        <w:bidi w:val="0"/>
        <w:rPr>
          <w:rFonts w:hint="eastAsia"/>
          <w:spacing w:val="108"/>
          <w:lang w:val="en-US" w:eastAsia="zh-CN"/>
        </w:rPr>
      </w:pPr>
    </w:p>
    <w:p w14:paraId="31EB84DD">
      <w:pPr>
        <w:pStyle w:val="38"/>
        <w:bidi w:val="0"/>
        <w:rPr>
          <w:rFonts w:hint="eastAsia"/>
          <w:spacing w:val="108"/>
          <w:lang w:val="en-US" w:eastAsia="zh-CN"/>
        </w:rPr>
      </w:pPr>
    </w:p>
    <w:p w14:paraId="650BD869">
      <w:pPr>
        <w:pStyle w:val="38"/>
        <w:bidi w:val="0"/>
        <w:rPr>
          <w:rFonts w:hint="eastAsia"/>
          <w:spacing w:val="108"/>
          <w:lang w:val="en-US" w:eastAsia="zh-CN"/>
        </w:rPr>
      </w:pPr>
    </w:p>
    <w:p w14:paraId="74AA3183">
      <w:pPr>
        <w:pStyle w:val="38"/>
        <w:bidi w:val="0"/>
        <w:rPr>
          <w:rFonts w:hint="eastAsia"/>
          <w:spacing w:val="108"/>
          <w:lang w:val="en-US" w:eastAsia="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1593"/>
        <w:gridCol w:w="1593"/>
        <w:gridCol w:w="1593"/>
        <w:gridCol w:w="1593"/>
        <w:gridCol w:w="1593"/>
      </w:tblGrid>
      <w:tr w14:paraId="39FE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593" w:type="dxa"/>
          </w:tcPr>
          <w:p w14:paraId="6FC51F11">
            <w:pPr>
              <w:pStyle w:val="38"/>
              <w:bidi w:val="0"/>
              <w:rPr>
                <w:rFonts w:hint="default"/>
                <w:spacing w:val="108"/>
                <w:vertAlign w:val="baseline"/>
                <w:lang w:val="en-US" w:eastAsia="zh-CN"/>
              </w:rPr>
            </w:pPr>
            <w:r>
              <w:rPr>
                <w:rFonts w:hint="eastAsia"/>
                <w:spacing w:val="108"/>
                <w:vertAlign w:val="baseline"/>
                <w:lang w:val="en-US" w:eastAsia="zh-CN"/>
              </w:rPr>
              <w:t>分类</w:t>
            </w:r>
          </w:p>
        </w:tc>
        <w:tc>
          <w:tcPr>
            <w:tcW w:w="1593" w:type="dxa"/>
          </w:tcPr>
          <w:p w14:paraId="3F6BD14E">
            <w:pPr>
              <w:pStyle w:val="38"/>
              <w:bidi w:val="0"/>
              <w:rPr>
                <w:rFonts w:hint="default"/>
                <w:spacing w:val="108"/>
                <w:vertAlign w:val="baseline"/>
                <w:lang w:val="en-US" w:eastAsia="zh-CN"/>
              </w:rPr>
            </w:pPr>
            <w:r>
              <w:rPr>
                <w:rFonts w:hint="eastAsia"/>
                <w:spacing w:val="108"/>
                <w:vertAlign w:val="baseline"/>
                <w:lang w:val="en-US" w:eastAsia="zh-CN"/>
              </w:rPr>
              <w:t>许可项目</w:t>
            </w:r>
          </w:p>
        </w:tc>
        <w:tc>
          <w:tcPr>
            <w:tcW w:w="1593" w:type="dxa"/>
          </w:tcPr>
          <w:p w14:paraId="453D3F88">
            <w:pPr>
              <w:pStyle w:val="38"/>
              <w:bidi w:val="0"/>
              <w:rPr>
                <w:rFonts w:hint="default"/>
                <w:spacing w:val="108"/>
                <w:vertAlign w:val="baseline"/>
                <w:lang w:val="en-US" w:eastAsia="zh-CN"/>
              </w:rPr>
            </w:pPr>
            <w:r>
              <w:rPr>
                <w:rFonts w:hint="eastAsia"/>
                <w:spacing w:val="108"/>
                <w:vertAlign w:val="baseline"/>
                <w:lang w:val="en-US" w:eastAsia="zh-CN"/>
              </w:rPr>
              <w:t>许可类型</w:t>
            </w:r>
          </w:p>
        </w:tc>
        <w:tc>
          <w:tcPr>
            <w:tcW w:w="1593" w:type="dxa"/>
          </w:tcPr>
          <w:p w14:paraId="03A1E593">
            <w:pPr>
              <w:pStyle w:val="38"/>
              <w:bidi w:val="0"/>
              <w:rPr>
                <w:rFonts w:hint="default"/>
                <w:spacing w:val="108"/>
                <w:vertAlign w:val="baseline"/>
                <w:lang w:val="en-US" w:eastAsia="zh-CN"/>
              </w:rPr>
            </w:pPr>
            <w:r>
              <w:rPr>
                <w:rFonts w:hint="eastAsia"/>
                <w:spacing w:val="108"/>
                <w:vertAlign w:val="baseline"/>
                <w:lang w:val="en-US" w:eastAsia="zh-CN"/>
              </w:rPr>
              <w:t>许可内容</w:t>
            </w:r>
          </w:p>
        </w:tc>
        <w:tc>
          <w:tcPr>
            <w:tcW w:w="1593" w:type="dxa"/>
          </w:tcPr>
          <w:p w14:paraId="32589707">
            <w:pPr>
              <w:pStyle w:val="38"/>
              <w:bidi w:val="0"/>
              <w:rPr>
                <w:rFonts w:hint="default"/>
                <w:spacing w:val="108"/>
                <w:vertAlign w:val="baseline"/>
                <w:lang w:val="en-US" w:eastAsia="zh-CN"/>
              </w:rPr>
            </w:pPr>
            <w:r>
              <w:rPr>
                <w:rFonts w:hint="eastAsia"/>
                <w:spacing w:val="108"/>
                <w:vertAlign w:val="baseline"/>
                <w:lang w:val="en-US" w:eastAsia="zh-CN"/>
              </w:rPr>
              <w:t>权益保障</w:t>
            </w:r>
          </w:p>
        </w:tc>
        <w:tc>
          <w:tcPr>
            <w:tcW w:w="1593" w:type="dxa"/>
          </w:tcPr>
          <w:p w14:paraId="39162F25">
            <w:pPr>
              <w:pStyle w:val="38"/>
              <w:bidi w:val="0"/>
              <w:rPr>
                <w:rFonts w:hint="default"/>
                <w:spacing w:val="108"/>
                <w:vertAlign w:val="baseline"/>
                <w:lang w:val="en-US" w:eastAsia="zh-CN"/>
              </w:rPr>
            </w:pPr>
            <w:r>
              <w:rPr>
                <w:rFonts w:hint="eastAsia"/>
                <w:spacing w:val="108"/>
                <w:vertAlign w:val="baseline"/>
                <w:lang w:val="en-US" w:eastAsia="zh-CN"/>
              </w:rPr>
              <w:t>备注</w:t>
            </w:r>
          </w:p>
        </w:tc>
      </w:tr>
      <w:tr w14:paraId="3230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593" w:type="dxa"/>
            <w:vMerge w:val="restart"/>
            <w:vAlign w:val="center"/>
          </w:tcPr>
          <w:p w14:paraId="3EABC8FC">
            <w:pPr>
              <w:pStyle w:val="29"/>
              <w:widowControl w:val="0"/>
              <w:bidi w:val="0"/>
              <w:ind w:left="0" w:leftChars="0" w:firstLine="0" w:firstLineChars="0"/>
              <w:jc w:val="distribute"/>
              <w:rPr>
                <w:rFonts w:hint="eastAsia"/>
                <w:lang w:val="en-US" w:eastAsia="zh-CN"/>
              </w:rPr>
            </w:pPr>
            <w:r>
              <w:rPr>
                <w:rFonts w:hint="eastAsia" w:ascii="黑体" w:hAnsi="黑体" w:eastAsia="黑体" w:cs="黑体"/>
                <w:lang w:val="en-US" w:eastAsia="zh-CN"/>
              </w:rPr>
              <w:t>专利</w:t>
            </w:r>
          </w:p>
        </w:tc>
        <w:tc>
          <w:tcPr>
            <w:tcW w:w="1593" w:type="dxa"/>
          </w:tcPr>
          <w:p w14:paraId="089C08A6">
            <w:pPr>
              <w:pStyle w:val="38"/>
              <w:bidi w:val="0"/>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发明专利</w:t>
            </w:r>
          </w:p>
        </w:tc>
        <w:tc>
          <w:tcPr>
            <w:tcW w:w="1593" w:type="dxa"/>
          </w:tcPr>
          <w:p w14:paraId="2F3EA8B8">
            <w:pPr>
              <w:pStyle w:val="38"/>
              <w:bidi w:val="0"/>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独占许可</w:t>
            </w:r>
          </w:p>
        </w:tc>
        <w:tc>
          <w:tcPr>
            <w:tcW w:w="1593" w:type="dxa"/>
            <w:vMerge w:val="restart"/>
          </w:tcPr>
          <w:p w14:paraId="01ED8737">
            <w:pPr>
              <w:pStyle w:val="38"/>
              <w:bidi w:val="0"/>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包括使用范围、地域限制、使用期限、许可费用</w:t>
            </w:r>
          </w:p>
        </w:tc>
        <w:tc>
          <w:tcPr>
            <w:tcW w:w="1593" w:type="dxa"/>
            <w:vMerge w:val="restart"/>
          </w:tcPr>
          <w:p w14:paraId="7B2E2A83">
            <w:pPr>
              <w:pStyle w:val="29"/>
              <w:widowControl w:val="0"/>
              <w:bidi w:val="0"/>
              <w:ind w:left="0" w:leftChars="0" w:firstLine="0" w:firstLineChars="0"/>
              <w:rPr>
                <w:rFonts w:hint="eastAsia"/>
                <w:lang w:val="en-US" w:eastAsia="zh-CN"/>
              </w:rPr>
            </w:pPr>
            <w:r>
              <w:rPr>
                <w:rFonts w:hint="eastAsia"/>
                <w:lang w:val="en-US" w:eastAsia="zh-CN"/>
              </w:rPr>
              <w:t>许可协议中常会规定如何处理侵权行为，如何对专利进行维护等。</w:t>
            </w:r>
          </w:p>
        </w:tc>
        <w:tc>
          <w:tcPr>
            <w:tcW w:w="1593" w:type="dxa"/>
            <w:vMerge w:val="restart"/>
          </w:tcPr>
          <w:p w14:paraId="475740CA">
            <w:pPr>
              <w:pStyle w:val="29"/>
              <w:widowControl w:val="0"/>
              <w:bidi w:val="0"/>
              <w:ind w:left="0" w:leftChars="0" w:firstLine="0" w:firstLineChars="0"/>
              <w:rPr>
                <w:rFonts w:hint="default"/>
                <w:lang w:val="en-US" w:eastAsia="zh-CN"/>
              </w:rPr>
            </w:pPr>
            <w:r>
              <w:rPr>
                <w:rFonts w:hint="eastAsia"/>
                <w:lang w:val="en-US" w:eastAsia="zh-CN"/>
              </w:rPr>
              <w:t>某些许可协议中可能会允许许可方将其权利转让给第三方或进行再许可。通过专利许可，专利权人可以获得经济收益，同时也能推动技术的应用与发展。</w:t>
            </w:r>
          </w:p>
        </w:tc>
      </w:tr>
      <w:tr w14:paraId="004F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593" w:type="dxa"/>
            <w:vMerge w:val="continue"/>
          </w:tcPr>
          <w:p w14:paraId="0F9E5D8B">
            <w:pPr>
              <w:pStyle w:val="38"/>
              <w:bidi w:val="0"/>
              <w:rPr>
                <w:rFonts w:hint="eastAsia"/>
                <w:spacing w:val="108"/>
                <w:vertAlign w:val="baseline"/>
                <w:lang w:val="en-US" w:eastAsia="zh-CN"/>
              </w:rPr>
            </w:pPr>
          </w:p>
        </w:tc>
        <w:tc>
          <w:tcPr>
            <w:tcW w:w="1593" w:type="dxa"/>
          </w:tcPr>
          <w:p w14:paraId="5340EC6A">
            <w:pPr>
              <w:pStyle w:val="38"/>
              <w:bidi w:val="0"/>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实用新型专利</w:t>
            </w:r>
          </w:p>
        </w:tc>
        <w:tc>
          <w:tcPr>
            <w:tcW w:w="1593" w:type="dxa"/>
          </w:tcPr>
          <w:p w14:paraId="27B7613E">
            <w:pPr>
              <w:pStyle w:val="38"/>
              <w:bidi w:val="0"/>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非独占许可</w:t>
            </w:r>
          </w:p>
        </w:tc>
        <w:tc>
          <w:tcPr>
            <w:tcW w:w="1593" w:type="dxa"/>
            <w:vMerge w:val="continue"/>
          </w:tcPr>
          <w:p w14:paraId="07745357">
            <w:pPr>
              <w:pStyle w:val="38"/>
              <w:bidi w:val="0"/>
              <w:rPr>
                <w:rFonts w:hint="eastAsia"/>
                <w:spacing w:val="108"/>
                <w:vertAlign w:val="baseline"/>
                <w:lang w:val="en-US" w:eastAsia="zh-CN"/>
              </w:rPr>
            </w:pPr>
          </w:p>
        </w:tc>
        <w:tc>
          <w:tcPr>
            <w:tcW w:w="1593" w:type="dxa"/>
            <w:vMerge w:val="continue"/>
          </w:tcPr>
          <w:p w14:paraId="61B0B488">
            <w:pPr>
              <w:pStyle w:val="38"/>
              <w:bidi w:val="0"/>
              <w:rPr>
                <w:rFonts w:hint="eastAsia"/>
                <w:spacing w:val="108"/>
                <w:vertAlign w:val="baseline"/>
                <w:lang w:val="en-US" w:eastAsia="zh-CN"/>
              </w:rPr>
            </w:pPr>
          </w:p>
        </w:tc>
        <w:tc>
          <w:tcPr>
            <w:tcW w:w="1593" w:type="dxa"/>
            <w:vMerge w:val="continue"/>
          </w:tcPr>
          <w:p w14:paraId="2B5F3B4B">
            <w:pPr>
              <w:pStyle w:val="38"/>
              <w:bidi w:val="0"/>
              <w:rPr>
                <w:rFonts w:hint="eastAsia"/>
                <w:spacing w:val="108"/>
                <w:vertAlign w:val="baseline"/>
                <w:lang w:val="en-US" w:eastAsia="zh-CN"/>
              </w:rPr>
            </w:pPr>
          </w:p>
        </w:tc>
      </w:tr>
      <w:tr w14:paraId="1E7A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1593" w:type="dxa"/>
            <w:vMerge w:val="continue"/>
          </w:tcPr>
          <w:p w14:paraId="676BF621">
            <w:pPr>
              <w:pStyle w:val="38"/>
              <w:bidi w:val="0"/>
              <w:rPr>
                <w:rFonts w:hint="eastAsia"/>
                <w:spacing w:val="108"/>
                <w:vertAlign w:val="baseline"/>
                <w:lang w:val="en-US" w:eastAsia="zh-CN"/>
              </w:rPr>
            </w:pPr>
          </w:p>
        </w:tc>
        <w:tc>
          <w:tcPr>
            <w:tcW w:w="1593" w:type="dxa"/>
          </w:tcPr>
          <w:p w14:paraId="57893DDD">
            <w:pPr>
              <w:pStyle w:val="38"/>
              <w:bidi w:val="0"/>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外观设计专利</w:t>
            </w:r>
          </w:p>
        </w:tc>
        <w:tc>
          <w:tcPr>
            <w:tcW w:w="1593" w:type="dxa"/>
          </w:tcPr>
          <w:p w14:paraId="3CB486DD">
            <w:pPr>
              <w:pStyle w:val="38"/>
              <w:bidi w:val="0"/>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排他性许可</w:t>
            </w:r>
          </w:p>
        </w:tc>
        <w:tc>
          <w:tcPr>
            <w:tcW w:w="1593" w:type="dxa"/>
            <w:vMerge w:val="continue"/>
          </w:tcPr>
          <w:p w14:paraId="1F75827B">
            <w:pPr>
              <w:pStyle w:val="38"/>
              <w:bidi w:val="0"/>
              <w:rPr>
                <w:rFonts w:hint="eastAsia"/>
                <w:spacing w:val="108"/>
                <w:vertAlign w:val="baseline"/>
                <w:lang w:val="en-US" w:eastAsia="zh-CN"/>
              </w:rPr>
            </w:pPr>
          </w:p>
        </w:tc>
        <w:tc>
          <w:tcPr>
            <w:tcW w:w="1593" w:type="dxa"/>
            <w:vMerge w:val="continue"/>
          </w:tcPr>
          <w:p w14:paraId="427E0A0D">
            <w:pPr>
              <w:pStyle w:val="38"/>
              <w:bidi w:val="0"/>
              <w:rPr>
                <w:rFonts w:hint="eastAsia"/>
                <w:spacing w:val="108"/>
                <w:vertAlign w:val="baseline"/>
                <w:lang w:val="en-US" w:eastAsia="zh-CN"/>
              </w:rPr>
            </w:pPr>
          </w:p>
        </w:tc>
        <w:tc>
          <w:tcPr>
            <w:tcW w:w="1593" w:type="dxa"/>
            <w:vMerge w:val="continue"/>
          </w:tcPr>
          <w:p w14:paraId="4878A070">
            <w:pPr>
              <w:pStyle w:val="38"/>
              <w:bidi w:val="0"/>
              <w:rPr>
                <w:rFonts w:hint="eastAsia"/>
                <w:spacing w:val="108"/>
                <w:vertAlign w:val="baseline"/>
                <w:lang w:val="en-US" w:eastAsia="zh-CN"/>
              </w:rPr>
            </w:pPr>
          </w:p>
        </w:tc>
      </w:tr>
      <w:tr w14:paraId="25EE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593" w:type="dxa"/>
            <w:vMerge w:val="restart"/>
          </w:tcPr>
          <w:p w14:paraId="307C87BF">
            <w:pPr>
              <w:pStyle w:val="38"/>
              <w:bidi w:val="0"/>
              <w:spacing w:line="360" w:lineRule="auto"/>
              <w:rPr>
                <w:rFonts w:hint="eastAsia"/>
                <w:spacing w:val="108"/>
                <w:vertAlign w:val="baseline"/>
                <w:lang w:val="en-US" w:eastAsia="zh-CN"/>
              </w:rPr>
            </w:pPr>
            <w:r>
              <w:rPr>
                <w:rFonts w:hint="eastAsia"/>
                <w:spacing w:val="108"/>
                <w:vertAlign w:val="baseline"/>
                <w:lang w:val="en-US" w:eastAsia="zh-CN"/>
              </w:rPr>
              <w:t>商标、注册商标、未注册商标、服务商标、集体商标、证明商标</w:t>
            </w:r>
          </w:p>
        </w:tc>
        <w:tc>
          <w:tcPr>
            <w:tcW w:w="1593" w:type="dxa"/>
            <w:vMerge w:val="restart"/>
          </w:tcPr>
          <w:p w14:paraId="7CAB2648">
            <w:pPr>
              <w:pStyle w:val="38"/>
              <w:bidi w:val="0"/>
              <w:spacing w:line="720" w:lineRule="auto"/>
              <w:jc w:val="center"/>
              <w:rPr>
                <w:rFonts w:hint="default"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许可范围</w:t>
            </w:r>
          </w:p>
        </w:tc>
        <w:tc>
          <w:tcPr>
            <w:tcW w:w="1593" w:type="dxa"/>
            <w:vMerge w:val="restart"/>
          </w:tcPr>
          <w:p w14:paraId="3D515626">
            <w:pPr>
              <w:pStyle w:val="29"/>
              <w:keepNext w:val="0"/>
              <w:keepLines w:val="0"/>
              <w:pageBreakBefore w:val="0"/>
              <w:widowControl/>
              <w:kinsoku/>
              <w:wordWrap/>
              <w:overflowPunct/>
              <w:topLinePunct w:val="0"/>
              <w:autoSpaceDE/>
              <w:autoSpaceDN/>
              <w:bidi w:val="0"/>
              <w:adjustRightInd/>
              <w:snapToGrid/>
              <w:spacing w:line="960" w:lineRule="auto"/>
              <w:ind w:left="0" w:leftChars="0" w:firstLine="0" w:firstLineChars="0"/>
              <w:jc w:val="distribute"/>
              <w:textAlignment w:val="auto"/>
              <w:rPr>
                <w:rFonts w:hint="eastAsia"/>
                <w:lang w:val="en-US" w:eastAsia="zh-CN"/>
              </w:rPr>
            </w:pPr>
            <w:r>
              <w:rPr>
                <w:rFonts w:hint="eastAsia"/>
                <w:lang w:val="en-US" w:eastAsia="zh-CN"/>
              </w:rPr>
              <w:t>独占许可</w:t>
            </w:r>
          </w:p>
          <w:p w14:paraId="0577C274">
            <w:pPr>
              <w:pStyle w:val="29"/>
              <w:keepNext w:val="0"/>
              <w:keepLines w:val="0"/>
              <w:pageBreakBefore w:val="0"/>
              <w:widowControl/>
              <w:kinsoku/>
              <w:wordWrap/>
              <w:overflowPunct/>
              <w:topLinePunct w:val="0"/>
              <w:autoSpaceDE/>
              <w:autoSpaceDN/>
              <w:bidi w:val="0"/>
              <w:adjustRightInd/>
              <w:snapToGrid/>
              <w:spacing w:line="960" w:lineRule="auto"/>
              <w:ind w:left="0" w:leftChars="0" w:firstLine="0" w:firstLineChars="0"/>
              <w:jc w:val="distribute"/>
              <w:textAlignment w:val="auto"/>
              <w:rPr>
                <w:rFonts w:hint="default"/>
                <w:lang w:val="en-US" w:eastAsia="zh-CN"/>
              </w:rPr>
            </w:pPr>
            <w:r>
              <w:rPr>
                <w:rFonts w:hint="eastAsia"/>
                <w:lang w:val="en-US" w:eastAsia="zh-CN"/>
              </w:rPr>
              <w:t>非独占许可</w:t>
            </w:r>
          </w:p>
          <w:p w14:paraId="3FE6CDDC">
            <w:pPr>
              <w:pStyle w:val="29"/>
              <w:keepNext w:val="0"/>
              <w:keepLines w:val="0"/>
              <w:pageBreakBefore w:val="0"/>
              <w:widowControl/>
              <w:kinsoku/>
              <w:wordWrap/>
              <w:overflowPunct/>
              <w:topLinePunct w:val="0"/>
              <w:autoSpaceDE/>
              <w:autoSpaceDN/>
              <w:bidi w:val="0"/>
              <w:adjustRightInd/>
              <w:snapToGrid/>
              <w:spacing w:line="960" w:lineRule="auto"/>
              <w:ind w:left="0" w:leftChars="0" w:firstLine="0" w:firstLineChars="0"/>
              <w:jc w:val="distribute"/>
              <w:textAlignment w:val="auto"/>
              <w:rPr>
                <w:rFonts w:hint="default"/>
                <w:lang w:val="en-US" w:eastAsia="zh-CN"/>
              </w:rPr>
            </w:pPr>
            <w:r>
              <w:rPr>
                <w:rFonts w:hint="eastAsia"/>
                <w:lang w:val="en-US" w:eastAsia="zh-CN"/>
              </w:rPr>
              <w:t>排他许可</w:t>
            </w:r>
          </w:p>
        </w:tc>
        <w:tc>
          <w:tcPr>
            <w:tcW w:w="1593" w:type="dxa"/>
            <w:vMerge w:val="restart"/>
          </w:tcPr>
          <w:p w14:paraId="6F500F1C">
            <w:pPr>
              <w:rPr>
                <w:rFonts w:hint="eastAsia"/>
                <w:lang w:val="en-US" w:eastAsia="zh-CN"/>
              </w:rPr>
            </w:pPr>
            <w:r>
              <w:rPr>
                <w:rFonts w:hint="eastAsia"/>
                <w:lang w:val="en-US" w:eastAsia="zh-CN"/>
              </w:rPr>
              <w:t>许可期限：</w:t>
            </w:r>
          </w:p>
          <w:p w14:paraId="27448AC2">
            <w:pPr>
              <w:rPr>
                <w:rFonts w:hint="eastAsia"/>
                <w:lang w:val="en-US" w:eastAsia="zh-CN"/>
              </w:rPr>
            </w:pPr>
            <w:r>
              <w:rPr>
                <w:rFonts w:hint="eastAsia"/>
                <w:lang w:val="en-US" w:eastAsia="zh-CN"/>
              </w:rPr>
              <w:t>使用方式：</w:t>
            </w:r>
          </w:p>
          <w:p w14:paraId="3E3C17CF">
            <w:pPr>
              <w:rPr>
                <w:rFonts w:hint="eastAsia"/>
                <w:lang w:val="en-US" w:eastAsia="zh-CN"/>
              </w:rPr>
            </w:pPr>
            <w:r>
              <w:rPr>
                <w:rFonts w:hint="eastAsia"/>
                <w:lang w:val="en-US" w:eastAsia="zh-CN"/>
              </w:rPr>
              <w:t>质量控制：</w:t>
            </w:r>
          </w:p>
          <w:p w14:paraId="0EA18A81">
            <w:pPr>
              <w:rPr>
                <w:rFonts w:hint="eastAsia"/>
                <w:lang w:val="en-US" w:eastAsia="zh-CN"/>
              </w:rPr>
            </w:pPr>
            <w:r>
              <w:rPr>
                <w:rFonts w:hint="eastAsia"/>
                <w:lang w:val="en-US" w:eastAsia="zh-CN"/>
              </w:rPr>
              <w:t>许可期限：</w:t>
            </w:r>
          </w:p>
          <w:p w14:paraId="32CEE000">
            <w:pPr>
              <w:rPr>
                <w:rFonts w:hint="eastAsia"/>
                <w:lang w:val="en-US" w:eastAsia="zh-CN"/>
              </w:rPr>
            </w:pPr>
            <w:r>
              <w:rPr>
                <w:rFonts w:hint="eastAsia"/>
                <w:lang w:val="en-US" w:eastAsia="zh-CN"/>
              </w:rPr>
              <w:t>使用方式：</w:t>
            </w:r>
          </w:p>
          <w:p w14:paraId="33D7C286">
            <w:pPr>
              <w:rPr>
                <w:rFonts w:hint="eastAsia"/>
                <w:lang w:val="en-US" w:eastAsia="zh-CN"/>
              </w:rPr>
            </w:pPr>
            <w:r>
              <w:rPr>
                <w:rFonts w:hint="eastAsia"/>
                <w:lang w:val="en-US" w:eastAsia="zh-CN"/>
              </w:rPr>
              <w:t xml:space="preserve"> 质量控制：</w:t>
            </w:r>
          </w:p>
          <w:p w14:paraId="16113089">
            <w:pPr>
              <w:rPr>
                <w:rFonts w:hint="default" w:ascii="宋体" w:hAnsi="Times New Roman" w:eastAsia="宋体" w:cs="宋体"/>
                <w:kern w:val="0"/>
                <w:sz w:val="21"/>
                <w:szCs w:val="20"/>
                <w:lang w:val="en-US" w:eastAsia="zh-CN"/>
              </w:rPr>
            </w:pPr>
          </w:p>
        </w:tc>
        <w:tc>
          <w:tcPr>
            <w:tcW w:w="1593" w:type="dxa"/>
            <w:vMerge w:val="restart"/>
          </w:tcPr>
          <w:p w14:paraId="6D288628">
            <w:pPr>
              <w:pStyle w:val="38"/>
              <w:bidi w:val="0"/>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保护条款；</w:t>
            </w:r>
          </w:p>
          <w:p w14:paraId="7FDFA19F">
            <w:pPr>
              <w:pStyle w:val="38"/>
              <w:bidi w:val="0"/>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违约责任；</w:t>
            </w:r>
          </w:p>
          <w:p w14:paraId="6740F7AC">
            <w:pPr>
              <w:pStyle w:val="38"/>
              <w:bidi w:val="0"/>
              <w:rPr>
                <w:rFonts w:hint="default"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终止条件；</w:t>
            </w:r>
          </w:p>
        </w:tc>
        <w:tc>
          <w:tcPr>
            <w:tcW w:w="1593" w:type="dxa"/>
            <w:vMerge w:val="restart"/>
          </w:tcPr>
          <w:p w14:paraId="7A3C197C">
            <w:pPr>
              <w:pStyle w:val="38"/>
              <w:bidi w:val="0"/>
              <w:jc w:val="both"/>
              <w:rPr>
                <w:rFonts w:hint="default"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不同类型的商标在法律上在法律上享有不同的权利和保护程度。</w:t>
            </w:r>
          </w:p>
        </w:tc>
      </w:tr>
      <w:tr w14:paraId="24BF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593" w:type="dxa"/>
            <w:vMerge w:val="continue"/>
          </w:tcPr>
          <w:p w14:paraId="395AAE77">
            <w:pPr>
              <w:pStyle w:val="38"/>
              <w:bidi w:val="0"/>
              <w:rPr>
                <w:rFonts w:hint="eastAsia"/>
                <w:spacing w:val="108"/>
                <w:vertAlign w:val="baseline"/>
                <w:lang w:val="en-US" w:eastAsia="zh-CN"/>
              </w:rPr>
            </w:pPr>
          </w:p>
        </w:tc>
        <w:tc>
          <w:tcPr>
            <w:tcW w:w="1593" w:type="dxa"/>
          </w:tcPr>
          <w:p w14:paraId="46F10BF5">
            <w:pPr>
              <w:pStyle w:val="29"/>
              <w:widowControl w:val="0"/>
              <w:bidi w:val="0"/>
              <w:spacing w:line="720" w:lineRule="auto"/>
              <w:ind w:left="0" w:leftChars="0" w:firstLine="0" w:firstLineChars="0"/>
              <w:jc w:val="center"/>
              <w:rPr>
                <w:rFonts w:hint="default"/>
                <w:lang w:val="en-US" w:eastAsia="zh-CN"/>
              </w:rPr>
            </w:pPr>
            <w:r>
              <w:rPr>
                <w:rFonts w:hint="eastAsia"/>
                <w:lang w:val="en-US" w:eastAsia="zh-CN"/>
              </w:rPr>
              <w:t>相关商品或服务</w:t>
            </w:r>
          </w:p>
        </w:tc>
        <w:tc>
          <w:tcPr>
            <w:tcW w:w="1593" w:type="dxa"/>
            <w:vMerge w:val="continue"/>
          </w:tcPr>
          <w:p w14:paraId="798F330B">
            <w:pPr>
              <w:pStyle w:val="29"/>
              <w:widowControl w:val="0"/>
              <w:bidi w:val="0"/>
              <w:ind w:left="0" w:leftChars="0" w:firstLine="0" w:firstLineChars="0"/>
              <w:rPr>
                <w:rFonts w:hint="default"/>
                <w:lang w:val="en-US" w:eastAsia="zh-CN"/>
              </w:rPr>
            </w:pPr>
          </w:p>
        </w:tc>
        <w:tc>
          <w:tcPr>
            <w:tcW w:w="1593" w:type="dxa"/>
            <w:vMerge w:val="continue"/>
          </w:tcPr>
          <w:p w14:paraId="53BD4447">
            <w:pPr>
              <w:pStyle w:val="38"/>
              <w:bidi w:val="0"/>
              <w:rPr>
                <w:rFonts w:hint="eastAsia" w:ascii="宋体" w:hAnsi="Times New Roman" w:eastAsia="宋体" w:cs="宋体"/>
                <w:kern w:val="0"/>
                <w:sz w:val="21"/>
                <w:szCs w:val="20"/>
                <w:lang w:val="en-US" w:eastAsia="zh-CN"/>
              </w:rPr>
            </w:pPr>
          </w:p>
        </w:tc>
        <w:tc>
          <w:tcPr>
            <w:tcW w:w="1593" w:type="dxa"/>
            <w:vMerge w:val="continue"/>
          </w:tcPr>
          <w:p w14:paraId="4FD3F9D5">
            <w:pPr>
              <w:pStyle w:val="38"/>
              <w:bidi w:val="0"/>
              <w:rPr>
                <w:rFonts w:hint="eastAsia" w:asciiTheme="minorEastAsia" w:hAnsiTheme="minorEastAsia" w:eastAsiaTheme="minorEastAsia" w:cstheme="minorEastAsia"/>
                <w:spacing w:val="108"/>
                <w:sz w:val="18"/>
                <w:szCs w:val="18"/>
                <w:vertAlign w:val="baseline"/>
                <w:lang w:val="en-US" w:eastAsia="zh-CN"/>
              </w:rPr>
            </w:pPr>
          </w:p>
        </w:tc>
        <w:tc>
          <w:tcPr>
            <w:tcW w:w="1593" w:type="dxa"/>
            <w:vMerge w:val="continue"/>
          </w:tcPr>
          <w:p w14:paraId="56CA7782">
            <w:pPr>
              <w:pStyle w:val="38"/>
              <w:bidi w:val="0"/>
              <w:rPr>
                <w:rFonts w:hint="eastAsia" w:asciiTheme="minorEastAsia" w:hAnsiTheme="minorEastAsia" w:eastAsiaTheme="minorEastAsia" w:cstheme="minorEastAsia"/>
                <w:spacing w:val="108"/>
                <w:sz w:val="18"/>
                <w:szCs w:val="18"/>
                <w:vertAlign w:val="baseline"/>
                <w:lang w:val="en-US" w:eastAsia="zh-CN"/>
              </w:rPr>
            </w:pPr>
          </w:p>
        </w:tc>
      </w:tr>
      <w:tr w14:paraId="4DD0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93" w:type="dxa"/>
            <w:vMerge w:val="restart"/>
          </w:tcPr>
          <w:p w14:paraId="62E934ED">
            <w:pPr>
              <w:pStyle w:val="38"/>
              <w:bidi w:val="0"/>
              <w:rPr>
                <w:rFonts w:hint="default"/>
                <w:spacing w:val="108"/>
                <w:vertAlign w:val="baseline"/>
                <w:lang w:val="en-US" w:eastAsia="zh-CN"/>
              </w:rPr>
            </w:pPr>
            <w:r>
              <w:rPr>
                <w:rFonts w:hint="eastAsia"/>
                <w:spacing w:val="108"/>
                <w:vertAlign w:val="baseline"/>
                <w:lang w:val="en-US" w:eastAsia="zh-CN"/>
              </w:rPr>
              <w:t>著作权</w:t>
            </w:r>
          </w:p>
        </w:tc>
        <w:tc>
          <w:tcPr>
            <w:tcW w:w="1593" w:type="dxa"/>
            <w:vMerge w:val="restart"/>
          </w:tcPr>
          <w:p w14:paraId="3CC1BB5B">
            <w:pPr>
              <w:pStyle w:val="38"/>
              <w:keepNext w:val="0"/>
              <w:keepLines w:val="0"/>
              <w:pageBreakBefore w:val="0"/>
              <w:widowControl/>
              <w:kinsoku/>
              <w:wordWrap/>
              <w:overflowPunct/>
              <w:topLinePunct w:val="0"/>
              <w:autoSpaceDE/>
              <w:autoSpaceDN/>
              <w:bidi w:val="0"/>
              <w:adjustRightInd/>
              <w:snapToGrid/>
              <w:spacing w:line="240" w:lineRule="atLeast"/>
              <w:textAlignment w:val="auto"/>
              <w:rPr>
                <w:rFonts w:hint="default"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文学作品；音乐作品；美术作品；影视作品；计算机软件；摄影作品；音频作品；</w:t>
            </w:r>
          </w:p>
        </w:tc>
        <w:tc>
          <w:tcPr>
            <w:tcW w:w="1593" w:type="dxa"/>
            <w:vMerge w:val="restart"/>
          </w:tcPr>
          <w:p w14:paraId="12713D0E">
            <w:pPr>
              <w:pStyle w:val="38"/>
              <w:bidi w:val="0"/>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独占许可</w:t>
            </w:r>
          </w:p>
          <w:p w14:paraId="2A5F5668">
            <w:pPr>
              <w:rPr>
                <w:rFonts w:hint="default"/>
                <w:lang w:val="en-US" w:eastAsia="zh-CN"/>
              </w:rPr>
            </w:pPr>
            <w:r>
              <w:rPr>
                <w:rFonts w:hint="eastAsia" w:asciiTheme="minorEastAsia" w:hAnsiTheme="minorEastAsia" w:eastAsiaTheme="minorEastAsia" w:cstheme="minorEastAsia"/>
                <w:spacing w:val="108"/>
                <w:sz w:val="18"/>
                <w:szCs w:val="18"/>
                <w:vertAlign w:val="baseline"/>
                <w:lang w:val="en-US" w:eastAsia="zh-CN"/>
              </w:rPr>
              <w:t>非独占许可</w:t>
            </w:r>
          </w:p>
        </w:tc>
        <w:tc>
          <w:tcPr>
            <w:tcW w:w="1593" w:type="dxa"/>
            <w:vMerge w:val="restart"/>
          </w:tcPr>
          <w:p w14:paraId="15836FCD">
            <w:pPr>
              <w:pStyle w:val="38"/>
              <w:bidi w:val="0"/>
              <w:rPr>
                <w:rFonts w:hint="eastAsia" w:ascii="宋体" w:eastAsia="宋体" w:cs="宋体"/>
                <w:kern w:val="0"/>
                <w:sz w:val="21"/>
                <w:szCs w:val="20"/>
                <w:lang w:val="en-US" w:eastAsia="zh-CN"/>
              </w:rPr>
            </w:pPr>
            <w:r>
              <w:rPr>
                <w:rFonts w:hint="eastAsia" w:ascii="宋体" w:eastAsia="宋体" w:cs="宋体"/>
                <w:kern w:val="0"/>
                <w:sz w:val="21"/>
                <w:szCs w:val="20"/>
                <w:lang w:val="en-US" w:eastAsia="zh-CN"/>
              </w:rPr>
              <w:t>地域范围</w:t>
            </w:r>
          </w:p>
          <w:p w14:paraId="51BFCF36">
            <w:pPr>
              <w:pStyle w:val="38"/>
              <w:bidi w:val="0"/>
              <w:rPr>
                <w:rFonts w:hint="default"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使用方式</w:t>
            </w:r>
          </w:p>
          <w:p w14:paraId="62D82330">
            <w:pPr>
              <w:pStyle w:val="38"/>
              <w:bidi w:val="0"/>
              <w:rPr>
                <w:rFonts w:hint="default"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使用期限</w:t>
            </w:r>
          </w:p>
          <w:p w14:paraId="193D9575">
            <w:pPr>
              <w:pStyle w:val="38"/>
              <w:bidi w:val="0"/>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报酬</w:t>
            </w:r>
          </w:p>
          <w:p w14:paraId="5A04DB3E">
            <w:pPr>
              <w:jc w:val="center"/>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终止条款</w:t>
            </w:r>
          </w:p>
          <w:p w14:paraId="78B5E665">
            <w:pPr>
              <w:jc w:val="center"/>
              <w:rPr>
                <w:rFonts w:hint="default"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署名</w:t>
            </w:r>
          </w:p>
        </w:tc>
        <w:tc>
          <w:tcPr>
            <w:tcW w:w="1593" w:type="dxa"/>
            <w:vMerge w:val="restart"/>
          </w:tcPr>
          <w:p w14:paraId="2DE9C939">
            <w:pPr>
              <w:pStyle w:val="38"/>
              <w:bidi w:val="0"/>
              <w:rPr>
                <w:rFonts w:hint="default"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对被许可人的使用行为进行限制，如不得修改，不得转让等。</w:t>
            </w:r>
          </w:p>
        </w:tc>
        <w:tc>
          <w:tcPr>
            <w:tcW w:w="1593" w:type="dxa"/>
          </w:tcPr>
          <w:p w14:paraId="12E98F76">
            <w:pPr>
              <w:pStyle w:val="38"/>
              <w:bidi w:val="0"/>
              <w:rPr>
                <w:rFonts w:hint="eastAsia" w:asciiTheme="minorEastAsia" w:hAnsiTheme="minorEastAsia" w:eastAsiaTheme="minorEastAsia" w:cstheme="minorEastAsia"/>
                <w:spacing w:val="108"/>
                <w:sz w:val="18"/>
                <w:szCs w:val="18"/>
                <w:vertAlign w:val="baseline"/>
                <w:lang w:val="en-US" w:eastAsia="zh-CN"/>
              </w:rPr>
            </w:pPr>
          </w:p>
        </w:tc>
      </w:tr>
      <w:tr w14:paraId="21C6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93" w:type="dxa"/>
            <w:vMerge w:val="continue"/>
          </w:tcPr>
          <w:p w14:paraId="73508C0B">
            <w:pPr>
              <w:pStyle w:val="38"/>
              <w:bidi w:val="0"/>
              <w:rPr>
                <w:rFonts w:hint="eastAsia"/>
                <w:spacing w:val="108"/>
                <w:vertAlign w:val="baseline"/>
                <w:lang w:val="en-US" w:eastAsia="zh-CN"/>
              </w:rPr>
            </w:pPr>
          </w:p>
        </w:tc>
        <w:tc>
          <w:tcPr>
            <w:tcW w:w="1593" w:type="dxa"/>
            <w:vMerge w:val="continue"/>
          </w:tcPr>
          <w:p w14:paraId="69B74E8A">
            <w:pPr>
              <w:pStyle w:val="38"/>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pacing w:val="108"/>
                <w:sz w:val="18"/>
                <w:szCs w:val="18"/>
                <w:vertAlign w:val="baseline"/>
                <w:lang w:val="en-US" w:eastAsia="zh-CN"/>
              </w:rPr>
            </w:pPr>
          </w:p>
        </w:tc>
        <w:tc>
          <w:tcPr>
            <w:tcW w:w="1593" w:type="dxa"/>
            <w:vMerge w:val="continue"/>
          </w:tcPr>
          <w:p w14:paraId="28418AF4">
            <w:pPr>
              <w:pStyle w:val="38"/>
              <w:bidi w:val="0"/>
              <w:rPr>
                <w:rFonts w:hint="eastAsia" w:asciiTheme="minorEastAsia" w:hAnsiTheme="minorEastAsia" w:eastAsiaTheme="minorEastAsia" w:cstheme="minorEastAsia"/>
                <w:spacing w:val="108"/>
                <w:sz w:val="18"/>
                <w:szCs w:val="18"/>
                <w:vertAlign w:val="baseline"/>
                <w:lang w:val="en-US" w:eastAsia="zh-CN"/>
              </w:rPr>
            </w:pPr>
          </w:p>
        </w:tc>
        <w:tc>
          <w:tcPr>
            <w:tcW w:w="1593" w:type="dxa"/>
            <w:vMerge w:val="continue"/>
          </w:tcPr>
          <w:p w14:paraId="658A9FDD">
            <w:pPr>
              <w:pStyle w:val="38"/>
              <w:bidi w:val="0"/>
              <w:rPr>
                <w:rFonts w:hint="default" w:asciiTheme="minorEastAsia" w:hAnsiTheme="minorEastAsia" w:eastAsiaTheme="minorEastAsia" w:cstheme="minorEastAsia"/>
                <w:spacing w:val="108"/>
                <w:sz w:val="18"/>
                <w:szCs w:val="18"/>
                <w:vertAlign w:val="baseline"/>
                <w:lang w:val="en-US" w:eastAsia="zh-CN"/>
              </w:rPr>
            </w:pPr>
          </w:p>
        </w:tc>
        <w:tc>
          <w:tcPr>
            <w:tcW w:w="1593" w:type="dxa"/>
            <w:vMerge w:val="continue"/>
          </w:tcPr>
          <w:p w14:paraId="79E381BB">
            <w:pPr>
              <w:pStyle w:val="38"/>
              <w:bidi w:val="0"/>
              <w:rPr>
                <w:rFonts w:hint="eastAsia" w:asciiTheme="minorEastAsia" w:hAnsiTheme="minorEastAsia" w:eastAsiaTheme="minorEastAsia" w:cstheme="minorEastAsia"/>
                <w:spacing w:val="108"/>
                <w:sz w:val="18"/>
                <w:szCs w:val="18"/>
                <w:vertAlign w:val="baseline"/>
                <w:lang w:val="en-US" w:eastAsia="zh-CN"/>
              </w:rPr>
            </w:pPr>
          </w:p>
        </w:tc>
        <w:tc>
          <w:tcPr>
            <w:tcW w:w="1593" w:type="dxa"/>
          </w:tcPr>
          <w:p w14:paraId="270ABC33">
            <w:pPr>
              <w:pStyle w:val="38"/>
              <w:bidi w:val="0"/>
              <w:rPr>
                <w:rFonts w:hint="eastAsia" w:asciiTheme="minorEastAsia" w:hAnsiTheme="minorEastAsia" w:eastAsiaTheme="minorEastAsia" w:cstheme="minorEastAsia"/>
                <w:spacing w:val="108"/>
                <w:sz w:val="18"/>
                <w:szCs w:val="18"/>
                <w:vertAlign w:val="baseline"/>
                <w:lang w:val="en-US" w:eastAsia="zh-CN"/>
              </w:rPr>
            </w:pPr>
          </w:p>
        </w:tc>
      </w:tr>
      <w:tr w14:paraId="1A57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93" w:type="dxa"/>
            <w:vMerge w:val="continue"/>
          </w:tcPr>
          <w:p w14:paraId="42BED145">
            <w:pPr>
              <w:pStyle w:val="38"/>
              <w:bidi w:val="0"/>
              <w:rPr>
                <w:rFonts w:hint="eastAsia"/>
                <w:spacing w:val="108"/>
                <w:vertAlign w:val="baseline"/>
                <w:lang w:val="en-US" w:eastAsia="zh-CN"/>
              </w:rPr>
            </w:pPr>
          </w:p>
        </w:tc>
        <w:tc>
          <w:tcPr>
            <w:tcW w:w="1593" w:type="dxa"/>
            <w:vMerge w:val="continue"/>
          </w:tcPr>
          <w:p w14:paraId="2A555609">
            <w:pPr>
              <w:pStyle w:val="38"/>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pacing w:val="108"/>
                <w:sz w:val="18"/>
                <w:szCs w:val="18"/>
                <w:vertAlign w:val="baseline"/>
                <w:lang w:val="en-US" w:eastAsia="zh-CN"/>
              </w:rPr>
            </w:pPr>
          </w:p>
        </w:tc>
        <w:tc>
          <w:tcPr>
            <w:tcW w:w="1593" w:type="dxa"/>
            <w:vMerge w:val="continue"/>
          </w:tcPr>
          <w:p w14:paraId="669EFFD9">
            <w:pPr>
              <w:pStyle w:val="38"/>
              <w:bidi w:val="0"/>
              <w:rPr>
                <w:rFonts w:hint="eastAsia" w:asciiTheme="minorEastAsia" w:hAnsiTheme="minorEastAsia" w:eastAsiaTheme="minorEastAsia" w:cstheme="minorEastAsia"/>
                <w:spacing w:val="108"/>
                <w:sz w:val="18"/>
                <w:szCs w:val="18"/>
                <w:vertAlign w:val="baseline"/>
                <w:lang w:val="en-US" w:eastAsia="zh-CN"/>
              </w:rPr>
            </w:pPr>
          </w:p>
        </w:tc>
        <w:tc>
          <w:tcPr>
            <w:tcW w:w="1593" w:type="dxa"/>
            <w:vMerge w:val="continue"/>
          </w:tcPr>
          <w:p w14:paraId="3CCF7797">
            <w:pPr>
              <w:pStyle w:val="38"/>
              <w:bidi w:val="0"/>
              <w:rPr>
                <w:rFonts w:hint="default" w:asciiTheme="minorEastAsia" w:hAnsiTheme="minorEastAsia" w:eastAsiaTheme="minorEastAsia" w:cstheme="minorEastAsia"/>
                <w:spacing w:val="108"/>
                <w:sz w:val="18"/>
                <w:szCs w:val="18"/>
                <w:vertAlign w:val="baseline"/>
                <w:lang w:val="en-US" w:eastAsia="zh-CN"/>
              </w:rPr>
            </w:pPr>
          </w:p>
        </w:tc>
        <w:tc>
          <w:tcPr>
            <w:tcW w:w="1593" w:type="dxa"/>
            <w:vMerge w:val="continue"/>
          </w:tcPr>
          <w:p w14:paraId="1CA72EAB">
            <w:pPr>
              <w:pStyle w:val="38"/>
              <w:bidi w:val="0"/>
              <w:rPr>
                <w:rFonts w:hint="eastAsia" w:asciiTheme="minorEastAsia" w:hAnsiTheme="minorEastAsia" w:eastAsiaTheme="minorEastAsia" w:cstheme="minorEastAsia"/>
                <w:spacing w:val="108"/>
                <w:sz w:val="18"/>
                <w:szCs w:val="18"/>
                <w:vertAlign w:val="baseline"/>
                <w:lang w:val="en-US" w:eastAsia="zh-CN"/>
              </w:rPr>
            </w:pPr>
          </w:p>
        </w:tc>
        <w:tc>
          <w:tcPr>
            <w:tcW w:w="1593" w:type="dxa"/>
          </w:tcPr>
          <w:p w14:paraId="5247A9C8">
            <w:pPr>
              <w:pStyle w:val="38"/>
              <w:bidi w:val="0"/>
              <w:rPr>
                <w:rFonts w:hint="eastAsia" w:asciiTheme="minorEastAsia" w:hAnsiTheme="minorEastAsia" w:eastAsiaTheme="minorEastAsia" w:cstheme="minorEastAsia"/>
                <w:spacing w:val="108"/>
                <w:sz w:val="18"/>
                <w:szCs w:val="18"/>
                <w:vertAlign w:val="baseline"/>
                <w:lang w:val="en-US" w:eastAsia="zh-CN"/>
              </w:rPr>
            </w:pPr>
          </w:p>
        </w:tc>
      </w:tr>
      <w:tr w14:paraId="4E96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93" w:type="dxa"/>
            <w:vMerge w:val="continue"/>
          </w:tcPr>
          <w:p w14:paraId="1C3535CA">
            <w:pPr>
              <w:pStyle w:val="38"/>
              <w:bidi w:val="0"/>
              <w:rPr>
                <w:rFonts w:hint="eastAsia"/>
                <w:spacing w:val="108"/>
                <w:vertAlign w:val="baseline"/>
                <w:lang w:val="en-US" w:eastAsia="zh-CN"/>
              </w:rPr>
            </w:pPr>
          </w:p>
        </w:tc>
        <w:tc>
          <w:tcPr>
            <w:tcW w:w="1593" w:type="dxa"/>
            <w:vMerge w:val="continue"/>
          </w:tcPr>
          <w:p w14:paraId="7B66F7FA">
            <w:pPr>
              <w:pStyle w:val="38"/>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pacing w:val="108"/>
                <w:sz w:val="18"/>
                <w:szCs w:val="18"/>
                <w:vertAlign w:val="baseline"/>
                <w:lang w:val="en-US" w:eastAsia="zh-CN"/>
              </w:rPr>
            </w:pPr>
          </w:p>
        </w:tc>
        <w:tc>
          <w:tcPr>
            <w:tcW w:w="1593" w:type="dxa"/>
            <w:vMerge w:val="continue"/>
          </w:tcPr>
          <w:p w14:paraId="4D451632">
            <w:pPr>
              <w:pStyle w:val="38"/>
              <w:bidi w:val="0"/>
              <w:rPr>
                <w:rFonts w:hint="eastAsia" w:asciiTheme="minorEastAsia" w:hAnsiTheme="minorEastAsia" w:eastAsiaTheme="minorEastAsia" w:cstheme="minorEastAsia"/>
                <w:spacing w:val="108"/>
                <w:sz w:val="18"/>
                <w:szCs w:val="18"/>
                <w:vertAlign w:val="baseline"/>
                <w:lang w:val="en-US" w:eastAsia="zh-CN"/>
              </w:rPr>
            </w:pPr>
          </w:p>
        </w:tc>
        <w:tc>
          <w:tcPr>
            <w:tcW w:w="1593" w:type="dxa"/>
            <w:vMerge w:val="continue"/>
          </w:tcPr>
          <w:p w14:paraId="6F9ADCF7">
            <w:pPr>
              <w:jc w:val="center"/>
              <w:rPr>
                <w:rFonts w:hint="default" w:asciiTheme="minorEastAsia" w:hAnsiTheme="minorEastAsia" w:eastAsiaTheme="minorEastAsia" w:cstheme="minorEastAsia"/>
                <w:spacing w:val="108"/>
                <w:sz w:val="18"/>
                <w:szCs w:val="18"/>
                <w:vertAlign w:val="baseline"/>
                <w:lang w:val="en-US" w:eastAsia="zh-CN"/>
              </w:rPr>
            </w:pPr>
          </w:p>
        </w:tc>
        <w:tc>
          <w:tcPr>
            <w:tcW w:w="1593" w:type="dxa"/>
            <w:vMerge w:val="continue"/>
          </w:tcPr>
          <w:p w14:paraId="779E3539">
            <w:pPr>
              <w:pStyle w:val="38"/>
              <w:bidi w:val="0"/>
              <w:rPr>
                <w:rFonts w:hint="eastAsia" w:asciiTheme="minorEastAsia" w:hAnsiTheme="minorEastAsia" w:eastAsiaTheme="minorEastAsia" w:cstheme="minorEastAsia"/>
                <w:spacing w:val="108"/>
                <w:sz w:val="18"/>
                <w:szCs w:val="18"/>
                <w:vertAlign w:val="baseline"/>
                <w:lang w:val="en-US" w:eastAsia="zh-CN"/>
              </w:rPr>
            </w:pPr>
          </w:p>
        </w:tc>
        <w:tc>
          <w:tcPr>
            <w:tcW w:w="1593" w:type="dxa"/>
          </w:tcPr>
          <w:p w14:paraId="28538275">
            <w:pPr>
              <w:pStyle w:val="38"/>
              <w:bidi w:val="0"/>
              <w:rPr>
                <w:rFonts w:hint="eastAsia" w:asciiTheme="minorEastAsia" w:hAnsiTheme="minorEastAsia" w:eastAsiaTheme="minorEastAsia" w:cstheme="minorEastAsia"/>
                <w:spacing w:val="108"/>
                <w:sz w:val="18"/>
                <w:szCs w:val="18"/>
                <w:vertAlign w:val="baseline"/>
                <w:lang w:val="en-US" w:eastAsia="zh-CN"/>
              </w:rPr>
            </w:pPr>
          </w:p>
        </w:tc>
      </w:tr>
      <w:tr w14:paraId="6038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93" w:type="dxa"/>
          </w:tcPr>
          <w:p w14:paraId="1E501676">
            <w:pPr>
              <w:pStyle w:val="38"/>
              <w:bidi w:val="0"/>
              <w:rPr>
                <w:rFonts w:hint="default"/>
                <w:spacing w:val="108"/>
                <w:vertAlign w:val="baseline"/>
                <w:lang w:val="en-US" w:eastAsia="zh-CN"/>
              </w:rPr>
            </w:pPr>
            <w:r>
              <w:rPr>
                <w:rFonts w:hint="eastAsia"/>
                <w:spacing w:val="108"/>
                <w:vertAlign w:val="baseline"/>
                <w:lang w:val="en-US" w:eastAsia="zh-CN"/>
              </w:rPr>
              <w:t>商业秘密</w:t>
            </w:r>
          </w:p>
        </w:tc>
        <w:tc>
          <w:tcPr>
            <w:tcW w:w="1593" w:type="dxa"/>
          </w:tcPr>
          <w:p w14:paraId="6ACF762A">
            <w:pPr>
              <w:pStyle w:val="38"/>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技术工艺信息</w:t>
            </w:r>
          </w:p>
          <w:p w14:paraId="740DC956">
            <w:pPr>
              <w:jc w:val="center"/>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业务流程</w:t>
            </w:r>
          </w:p>
          <w:p w14:paraId="5CDE813E">
            <w:pPr>
              <w:jc w:val="center"/>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商业模式</w:t>
            </w:r>
          </w:p>
          <w:p w14:paraId="56A841A1">
            <w:pPr>
              <w:jc w:val="center"/>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客户关系</w:t>
            </w:r>
          </w:p>
          <w:p w14:paraId="12FED1F8">
            <w:pPr>
              <w:jc w:val="center"/>
              <w:rPr>
                <w:rFonts w:hint="default"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员工及员工技能</w:t>
            </w:r>
          </w:p>
        </w:tc>
        <w:tc>
          <w:tcPr>
            <w:tcW w:w="1593" w:type="dxa"/>
          </w:tcPr>
          <w:p w14:paraId="70897969">
            <w:pPr>
              <w:pStyle w:val="38"/>
              <w:bidi w:val="0"/>
              <w:jc w:val="center"/>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独占许可</w:t>
            </w:r>
          </w:p>
          <w:p w14:paraId="65C5978E">
            <w:pPr>
              <w:jc w:val="center"/>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非独占许可</w:t>
            </w:r>
          </w:p>
          <w:p w14:paraId="1C3D5926">
            <w:pPr>
              <w:jc w:val="center"/>
              <w:rPr>
                <w:rFonts w:hint="default"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排他许可</w:t>
            </w:r>
          </w:p>
        </w:tc>
        <w:tc>
          <w:tcPr>
            <w:tcW w:w="1593" w:type="dxa"/>
          </w:tcPr>
          <w:p w14:paraId="37C3CB87">
            <w:pPr>
              <w:pStyle w:val="38"/>
              <w:bidi w:val="0"/>
              <w:jc w:val="center"/>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适用范围</w:t>
            </w:r>
          </w:p>
          <w:p w14:paraId="45F90539">
            <w:pPr>
              <w:jc w:val="center"/>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使用期限</w:t>
            </w:r>
          </w:p>
          <w:p w14:paraId="728EA7A0">
            <w:pPr>
              <w:jc w:val="center"/>
              <w:rPr>
                <w:rFonts w:hint="default"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费用</w:t>
            </w:r>
          </w:p>
        </w:tc>
        <w:tc>
          <w:tcPr>
            <w:tcW w:w="1593" w:type="dxa"/>
          </w:tcPr>
          <w:p w14:paraId="2E8B1934">
            <w:pPr>
              <w:pStyle w:val="38"/>
              <w:bidi w:val="0"/>
              <w:jc w:val="center"/>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保密义务</w:t>
            </w:r>
          </w:p>
          <w:p w14:paraId="3F8B9F48">
            <w:pPr>
              <w:jc w:val="center"/>
              <w:rPr>
                <w:rFonts w:hint="eastAsia"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侵权责任</w:t>
            </w:r>
          </w:p>
          <w:p w14:paraId="1F639836">
            <w:pPr>
              <w:jc w:val="center"/>
              <w:rPr>
                <w:rFonts w:hint="default" w:asciiTheme="minorEastAsia" w:hAnsiTheme="minorEastAsia" w:eastAsiaTheme="minorEastAsia" w:cstheme="minorEastAsia"/>
                <w:spacing w:val="108"/>
                <w:sz w:val="18"/>
                <w:szCs w:val="18"/>
                <w:vertAlign w:val="baseline"/>
                <w:lang w:val="en-US" w:eastAsia="zh-CN"/>
              </w:rPr>
            </w:pPr>
            <w:r>
              <w:rPr>
                <w:rFonts w:hint="eastAsia" w:asciiTheme="minorEastAsia" w:hAnsiTheme="minorEastAsia" w:eastAsiaTheme="minorEastAsia" w:cstheme="minorEastAsia"/>
                <w:spacing w:val="108"/>
                <w:sz w:val="18"/>
                <w:szCs w:val="18"/>
                <w:vertAlign w:val="baseline"/>
                <w:lang w:val="en-US" w:eastAsia="zh-CN"/>
              </w:rPr>
              <w:t>监测机制</w:t>
            </w:r>
          </w:p>
        </w:tc>
        <w:tc>
          <w:tcPr>
            <w:tcW w:w="1593" w:type="dxa"/>
          </w:tcPr>
          <w:p w14:paraId="0645C16B">
            <w:pPr>
              <w:pStyle w:val="38"/>
              <w:bidi w:val="0"/>
              <w:rPr>
                <w:rFonts w:hint="eastAsia" w:asciiTheme="minorEastAsia" w:hAnsiTheme="minorEastAsia" w:eastAsiaTheme="minorEastAsia" w:cstheme="minorEastAsia"/>
                <w:spacing w:val="108"/>
                <w:sz w:val="18"/>
                <w:szCs w:val="18"/>
                <w:vertAlign w:val="baseline"/>
                <w:lang w:val="en-US" w:eastAsia="zh-CN"/>
              </w:rPr>
            </w:pPr>
          </w:p>
        </w:tc>
      </w:tr>
    </w:tbl>
    <w:p w14:paraId="4FE3400E">
      <w:pPr>
        <w:pStyle w:val="29"/>
        <w:bidi w:val="0"/>
        <w:ind w:left="0" w:leftChars="0" w:firstLine="0" w:firstLineChars="0"/>
        <w:rPr>
          <w:rFonts w:hint="eastAsia"/>
          <w:lang w:val="en-US" w:eastAsia="zh-CN"/>
        </w:rPr>
      </w:pPr>
    </w:p>
    <w:p w14:paraId="4EE8E6EF">
      <w:pPr>
        <w:pStyle w:val="38"/>
        <w:bidi w:val="0"/>
        <w:rPr>
          <w:rFonts w:hint="eastAsia"/>
          <w:spacing w:val="108"/>
          <w:lang w:val="en-US" w:eastAsia="zh-CN"/>
        </w:rPr>
      </w:pPr>
    </w:p>
    <w:p w14:paraId="20328695">
      <w:pPr>
        <w:pStyle w:val="38"/>
        <w:bidi w:val="0"/>
        <w:rPr>
          <w:rFonts w:hint="eastAsia"/>
          <w:spacing w:val="108"/>
          <w:lang w:val="en-US" w:eastAsia="zh-CN"/>
        </w:rPr>
      </w:pPr>
    </w:p>
    <w:p w14:paraId="3C9E545E">
      <w:pPr>
        <w:pStyle w:val="38"/>
        <w:bidi w:val="0"/>
        <w:rPr>
          <w:rFonts w:hint="eastAsia"/>
          <w:spacing w:val="108"/>
          <w:lang w:val="en-US" w:eastAsia="zh-CN"/>
        </w:rPr>
      </w:pPr>
    </w:p>
    <w:p w14:paraId="4BF350EB">
      <w:pPr>
        <w:pStyle w:val="38"/>
        <w:bidi w:val="0"/>
        <w:rPr>
          <w:rFonts w:hint="eastAsia"/>
          <w:spacing w:val="108"/>
          <w:lang w:val="en-US" w:eastAsia="zh-CN"/>
        </w:rPr>
      </w:pPr>
    </w:p>
    <w:p w14:paraId="60709641">
      <w:pPr>
        <w:pStyle w:val="38"/>
        <w:bidi w:val="0"/>
        <w:rPr>
          <w:rFonts w:hint="eastAsia"/>
          <w:spacing w:val="108"/>
          <w:lang w:val="en-US" w:eastAsia="zh-CN"/>
        </w:rPr>
      </w:pPr>
    </w:p>
    <w:p w14:paraId="78BCD1A8">
      <w:pPr>
        <w:pStyle w:val="38"/>
        <w:bidi w:val="0"/>
        <w:rPr>
          <w:rFonts w:hint="eastAsia"/>
          <w:spacing w:val="108"/>
          <w:lang w:val="en-US" w:eastAsia="zh-CN"/>
        </w:rPr>
      </w:pPr>
    </w:p>
    <w:p w14:paraId="77FEB397">
      <w:pPr>
        <w:pStyle w:val="38"/>
        <w:bidi w:val="0"/>
        <w:rPr>
          <w:rFonts w:hint="eastAsia"/>
          <w:spacing w:val="108"/>
          <w:lang w:val="en-US" w:eastAsia="zh-CN"/>
        </w:rPr>
      </w:pPr>
    </w:p>
    <w:p w14:paraId="5AB6A55A">
      <w:pPr>
        <w:pStyle w:val="38"/>
        <w:bidi w:val="0"/>
        <w:rPr>
          <w:rFonts w:hint="eastAsia"/>
          <w:spacing w:val="108"/>
          <w:lang w:val="en-US" w:eastAsia="zh-CN"/>
        </w:rPr>
      </w:pPr>
    </w:p>
    <w:p w14:paraId="67291133">
      <w:pPr>
        <w:pStyle w:val="38"/>
        <w:bidi w:val="0"/>
        <w:rPr>
          <w:rFonts w:hint="eastAsia"/>
          <w:spacing w:val="108"/>
          <w:lang w:val="en-US" w:eastAsia="zh-CN"/>
        </w:rPr>
      </w:pPr>
    </w:p>
    <w:p w14:paraId="6C91A0E1">
      <w:pPr>
        <w:pStyle w:val="38"/>
        <w:bidi w:val="0"/>
        <w:rPr>
          <w:rFonts w:hint="eastAsia"/>
          <w:spacing w:val="108"/>
          <w:lang w:val="en-US" w:eastAsia="zh-CN"/>
        </w:rPr>
      </w:pPr>
    </w:p>
    <w:p w14:paraId="33F3723A">
      <w:pPr>
        <w:pStyle w:val="38"/>
        <w:bidi w:val="0"/>
        <w:rPr>
          <w:rFonts w:hint="eastAsia"/>
          <w:spacing w:val="108"/>
          <w:lang w:val="en-US" w:eastAsia="zh-CN"/>
        </w:rPr>
      </w:pPr>
    </w:p>
    <w:p w14:paraId="210DE9F4">
      <w:pPr>
        <w:pStyle w:val="38"/>
        <w:bidi w:val="0"/>
        <w:rPr>
          <w:rFonts w:hint="eastAsia"/>
          <w:spacing w:val="108"/>
          <w:lang w:val="en-US" w:eastAsia="zh-CN"/>
        </w:rPr>
      </w:pPr>
    </w:p>
    <w:p w14:paraId="0ECA2D07">
      <w:pPr>
        <w:pStyle w:val="38"/>
        <w:bidi w:val="0"/>
        <w:rPr>
          <w:rFonts w:hint="eastAsia"/>
          <w:spacing w:val="108"/>
          <w:lang w:val="en-US" w:eastAsia="zh-CN"/>
        </w:rPr>
      </w:pPr>
    </w:p>
    <w:p w14:paraId="5C47C086">
      <w:pPr>
        <w:pStyle w:val="38"/>
        <w:bidi w:val="0"/>
        <w:rPr>
          <w:rFonts w:hint="eastAsia"/>
          <w:lang w:val="en-US" w:eastAsia="zh-CN"/>
        </w:rPr>
      </w:pPr>
      <w:r>
        <w:rPr>
          <w:rFonts w:hint="eastAsia"/>
          <w:spacing w:val="108"/>
          <w:lang w:val="en-US" w:eastAsia="zh-CN"/>
        </w:rPr>
        <w:t>参</w:t>
      </w:r>
      <w:bookmarkStart w:id="101" w:name="BKCKWX"/>
      <w:r>
        <w:rPr>
          <w:rFonts w:hint="eastAsia"/>
          <w:spacing w:val="108"/>
          <w:lang w:val="en-US" w:eastAsia="zh-CN"/>
        </w:rPr>
        <w:t>考文</w:t>
      </w:r>
      <w:r>
        <w:rPr>
          <w:rFonts w:hint="eastAsia"/>
          <w:lang w:val="en-US" w:eastAsia="zh-CN"/>
        </w:rPr>
        <w:t>献</w:t>
      </w:r>
      <w:bookmarkEnd w:id="100"/>
    </w:p>
    <w:p w14:paraId="4ED709FE">
      <w:pPr>
        <w:pStyle w:val="29"/>
        <w:bidi w:val="0"/>
        <w:rPr>
          <w:rFonts w:hint="eastAsia"/>
          <w:lang w:val="en-US" w:eastAsia="zh-CN"/>
        </w:rPr>
      </w:pPr>
      <w:r>
        <w:rPr>
          <w:rFonts w:hint="eastAsia"/>
          <w:lang w:val="en-US" w:eastAsia="zh-CN"/>
        </w:rPr>
        <w:t>[1]</w:t>
      </w:r>
      <w:r>
        <w:rPr>
          <w:rFonts w:hint="eastAsia"/>
          <w:lang w:val="en-US" w:eastAsia="zh-CN"/>
        </w:rPr>
        <w:tab/>
      </w:r>
      <w:r>
        <w:rPr>
          <w:rFonts w:hint="eastAsia"/>
          <w:lang w:val="en-US" w:eastAsia="zh-CN"/>
        </w:rPr>
        <w:t>ISO 19011，管理体系审核指南</w:t>
      </w:r>
    </w:p>
    <w:p w14:paraId="42585883">
      <w:pPr>
        <w:pStyle w:val="29"/>
        <w:bidi w:val="0"/>
        <w:rPr>
          <w:rFonts w:hint="eastAsia"/>
          <w:lang w:val="en-US" w:eastAsia="zh-CN"/>
        </w:rPr>
      </w:pPr>
      <w:r>
        <w:rPr>
          <w:rFonts w:hint="eastAsia"/>
          <w:lang w:val="en-US" w:eastAsia="zh-CN"/>
        </w:rPr>
        <w:t>[2]</w:t>
      </w:r>
      <w:r>
        <w:rPr>
          <w:rFonts w:hint="eastAsia"/>
          <w:lang w:val="en-US" w:eastAsia="zh-CN"/>
        </w:rPr>
        <w:tab/>
      </w:r>
      <w:r>
        <w:rPr>
          <w:rFonts w:hint="eastAsia"/>
          <w:lang w:val="en-US" w:eastAsia="zh-CN"/>
        </w:rPr>
        <w:t>ISO/TR 44000，成功合作业务关系管理的原则</w:t>
      </w:r>
    </w:p>
    <w:p w14:paraId="0DF386DC">
      <w:pPr>
        <w:pStyle w:val="29"/>
        <w:bidi w:val="0"/>
        <w:rPr>
          <w:rFonts w:hint="eastAsia"/>
          <w:lang w:val="en-US" w:eastAsia="zh-CN"/>
        </w:rPr>
      </w:pPr>
      <w:r>
        <w:rPr>
          <w:rFonts w:hint="eastAsia"/>
          <w:lang w:val="en-US" w:eastAsia="zh-CN"/>
        </w:rPr>
        <w:t>[3]</w:t>
      </w:r>
      <w:r>
        <w:rPr>
          <w:rFonts w:hint="eastAsia"/>
          <w:lang w:val="en-US" w:eastAsia="zh-CN"/>
        </w:rPr>
        <w:tab/>
      </w:r>
      <w:r>
        <w:rPr>
          <w:rFonts w:hint="eastAsia"/>
          <w:lang w:val="en-US" w:eastAsia="zh-CN"/>
        </w:rPr>
        <w:t>ISO 44001，合作业务关系管理系统—要求和框架</w:t>
      </w:r>
    </w:p>
    <w:p w14:paraId="0AA0C780">
      <w:pPr>
        <w:pStyle w:val="29"/>
        <w:bidi w:val="0"/>
        <w:rPr>
          <w:rFonts w:hint="eastAsia"/>
          <w:lang w:val="en-US" w:eastAsia="zh-CN"/>
        </w:rPr>
      </w:pPr>
      <w:r>
        <w:rPr>
          <w:rFonts w:hint="eastAsia"/>
          <w:lang w:val="en-US" w:eastAsia="zh-CN"/>
        </w:rPr>
        <w:t>[4]</w:t>
      </w:r>
      <w:r>
        <w:rPr>
          <w:rFonts w:hint="eastAsia"/>
          <w:lang w:val="en-US" w:eastAsia="zh-CN"/>
        </w:rPr>
        <w:tab/>
      </w:r>
      <w:r>
        <w:rPr>
          <w:rFonts w:hint="eastAsia"/>
          <w:lang w:val="en-US" w:eastAsia="zh-CN"/>
        </w:rPr>
        <w:t>ISO 44003，合作业务关系管理—微型、小型和中型企业基本原则实施指南</w:t>
      </w:r>
    </w:p>
    <w:p w14:paraId="56FA78A6">
      <w:pPr>
        <w:pStyle w:val="29"/>
        <w:bidi w:val="0"/>
        <w:rPr>
          <w:rFonts w:hint="eastAsia"/>
          <w:lang w:val="en-US" w:eastAsia="zh-CN"/>
        </w:rPr>
      </w:pPr>
      <w:r>
        <w:rPr>
          <w:rFonts w:hint="eastAsia"/>
          <w:lang w:val="en-US" w:eastAsia="zh-CN"/>
        </w:rPr>
        <w:t>[5]</w:t>
      </w:r>
      <w:r>
        <w:rPr>
          <w:rFonts w:hint="eastAsia"/>
          <w:lang w:val="en-US" w:eastAsia="zh-CN"/>
        </w:rPr>
        <w:tab/>
      </w:r>
      <w:r>
        <w:rPr>
          <w:rFonts w:hint="eastAsia"/>
          <w:lang w:val="en-US" w:eastAsia="zh-CN"/>
        </w:rPr>
        <w:t>ISO 44004，合作业务关系管理—寻求与微型、小型和中型企业 (MSME) 协作的大型组织指南</w:t>
      </w:r>
    </w:p>
    <w:p w14:paraId="7A7A1D22">
      <w:pPr>
        <w:pStyle w:val="29"/>
        <w:bidi w:val="0"/>
        <w:rPr>
          <w:rFonts w:hint="eastAsia"/>
          <w:lang w:val="en-US" w:eastAsia="zh-CN"/>
        </w:rPr>
      </w:pPr>
      <w:r>
        <w:rPr>
          <w:rFonts w:hint="eastAsia"/>
          <w:lang w:val="en-US" w:eastAsia="zh-CN"/>
        </w:rPr>
        <w:t>[6]</w:t>
      </w:r>
      <w:r>
        <w:rPr>
          <w:rFonts w:hint="eastAsia"/>
          <w:lang w:val="en-US" w:eastAsia="zh-CN"/>
        </w:rPr>
        <w:tab/>
      </w:r>
      <w:r>
        <w:rPr>
          <w:rFonts w:hint="eastAsia"/>
          <w:lang w:val="en-US" w:eastAsia="zh-CN"/>
        </w:rPr>
        <w:t>ISO 指南 73，风险管理—词汇</w:t>
      </w:r>
    </w:p>
    <w:p w14:paraId="56E772D5">
      <w:pPr>
        <w:pStyle w:val="29"/>
        <w:bidi w:val="0"/>
        <w:rPr>
          <w:rFonts w:hint="eastAsia"/>
          <w:lang w:val="en-US" w:eastAsia="zh-CN"/>
        </w:rPr>
      </w:pPr>
    </w:p>
    <w:p w14:paraId="79014B34">
      <w:pPr>
        <w:pStyle w:val="29"/>
        <w:bidi w:val="0"/>
        <w:rPr>
          <w:rFonts w:hint="eastAsia"/>
          <w:lang w:val="en-US" w:eastAsia="zh-CN"/>
        </w:rPr>
      </w:pPr>
    </w:p>
    <w:bookmarkEnd w:id="101"/>
    <w:p w14:paraId="529825EF">
      <w:pPr>
        <w:pStyle w:val="29"/>
        <w:bidi w:val="0"/>
        <w:rPr>
          <w:rFonts w:hint="eastAsia"/>
          <w:lang w:val="en-US" w:eastAsia="zh-CN"/>
        </w:rPr>
      </w:pPr>
    </w:p>
    <w:p w14:paraId="7FDFE1DE">
      <w:pPr>
        <w:pStyle w:val="29"/>
        <w:bidi w:val="0"/>
        <w:rPr>
          <w:rFonts w:hint="eastAsia"/>
          <w:lang w:val="en-US" w:eastAsia="zh-CN"/>
        </w:rPr>
      </w:pPr>
    </w:p>
    <w:sectPr>
      <w:pgSz w:w="11906" w:h="16838"/>
      <w:pgMar w:top="2410" w:right="1134" w:bottom="1134" w:left="1134" w:header="1418" w:footer="1134" w:gutter="284"/>
      <w:lnNumType w:countBy="0" w:restart="continuou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0982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04D0F">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77BA">
    <w:pPr>
      <w:pStyle w:val="35"/>
      <w:bidi w:val="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E79AC">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76643">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BEBDB">
    <w:pPr>
      <w:pStyle w:val="36"/>
      <w:bidi w:val="0"/>
      <w:jc w:val="right"/>
      <w:rPr>
        <w:rFonts w:hint="eastAsia" w:eastAsia="黑体"/>
        <w:lang w:eastAsia="zh-CN"/>
      </w:rPr>
    </w:pPr>
    <w:r>
      <w:rPr>
        <w:rFonts w:hint="eastAsia"/>
        <w:lang w:val="en-US" w:eastAsia="zh-CN"/>
      </w:rPr>
      <w:t>T</w:t>
    </w:r>
    <w:r>
      <w:rPr>
        <w:rFonts w:hint="eastAsia"/>
        <w:lang w:eastAsia="zh-CN"/>
      </w:rPr>
      <w:t>/</w:t>
    </w:r>
    <w:r>
      <w:rPr>
        <w:rFonts w:hint="eastAsia"/>
        <w:lang w:val="en-US" w:eastAsia="zh-CN"/>
      </w:rPr>
      <w:t>CCPI</w:t>
    </w:r>
    <w:bookmarkStart w:id="102" w:name="_GoBack"/>
    <w:bookmarkEnd w:id="102"/>
    <w:r>
      <w:rPr>
        <w:rFonts w:hint="eastAsia"/>
        <w:lang w:val="en-US" w:eastAsia="zh-CN"/>
      </w:rPr>
      <w:t xml:space="preserve">TCSC </w:t>
    </w:r>
    <w:r>
      <w:rPr>
        <w:rFonts w:hint="eastAsia"/>
        <w:lang w:eastAsia="zh-CN"/>
      </w:rPr>
      <w:t>XXX—2024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C1563"/>
    <w:multiLevelType w:val="multilevel"/>
    <w:tmpl w:val="887C1563"/>
    <w:lvl w:ilvl="0" w:tentative="0">
      <w:start w:val="1"/>
      <w:numFmt w:val="decimal"/>
      <w:pStyle w:val="109"/>
      <w:suff w:val="nothing"/>
      <w:lvlText w:val="示例%1："/>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89B0B962"/>
    <w:multiLevelType w:val="multilevel"/>
    <w:tmpl w:val="89B0B96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96D8E9EB"/>
    <w:multiLevelType w:val="multilevel"/>
    <w:tmpl w:val="96D8E9EB"/>
    <w:lvl w:ilvl="0" w:tentative="0">
      <w:start w:val="1"/>
      <w:numFmt w:val="lowerLetter"/>
      <w:pStyle w:val="112"/>
      <w:lvlText w:val="%1"/>
      <w:lvlJc w:val="left"/>
      <w:pPr>
        <w:tabs>
          <w:tab w:val="left" w:pos="539"/>
        </w:tabs>
        <w:ind w:left="539" w:leftChars="0" w:hanging="119" w:firstLineChars="0"/>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BEAD4B24"/>
    <w:multiLevelType w:val="multilevel"/>
    <w:tmpl w:val="BEAD4B24"/>
    <w:lvl w:ilvl="0" w:tentative="0">
      <w:start w:val="1"/>
      <w:numFmt w:val="upperLetter"/>
      <w:pStyle w:val="92"/>
      <w:suff w:val="nothing"/>
      <w:lvlText w:val="附录%1"/>
      <w:lvlJc w:val="left"/>
      <w:pPr>
        <w:ind w:left="0" w:leftChars="0" w:firstLine="0" w:firstLineChars="0"/>
      </w:pPr>
      <w:rPr>
        <w:rFonts w:hint="default"/>
        <w:spacing w:val="102"/>
      </w:rPr>
    </w:lvl>
    <w:lvl w:ilvl="1" w:tentative="0">
      <w:start w:val="1"/>
      <w:numFmt w:val="decimal"/>
      <w:pStyle w:val="93"/>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94"/>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95"/>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6"/>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7"/>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CF2B635E"/>
    <w:multiLevelType w:val="multilevel"/>
    <w:tmpl w:val="CF2B635E"/>
    <w:lvl w:ilvl="0" w:tentative="0">
      <w:start w:val="1"/>
      <w:numFmt w:val="upperLetter"/>
      <w:pStyle w:val="105"/>
      <w:lvlText w:val="%1"/>
      <w:lvlJc w:val="left"/>
      <w:pPr>
        <w:tabs>
          <w:tab w:val="left" w:pos="0"/>
        </w:tabs>
        <w:ind w:left="0" w:leftChars="0" w:firstLine="0" w:firstLineChars="0"/>
      </w:pPr>
      <w:rPr>
        <w:rFonts w:hint="default"/>
      </w:rPr>
    </w:lvl>
    <w:lvl w:ilvl="1" w:tentative="0">
      <w:start w:val="1"/>
      <w:numFmt w:val="decimal"/>
      <w:pStyle w:val="106"/>
      <w:suff w:val="nothing"/>
      <w:lvlText w:val="表%1.%2　"/>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CF4EF6F8"/>
    <w:multiLevelType w:val="multilevel"/>
    <w:tmpl w:val="CF4EF6F8"/>
    <w:lvl w:ilvl="0" w:tentative="0">
      <w:start w:val="1"/>
      <w:numFmt w:val="none"/>
      <w:pStyle w:val="110"/>
      <w:suff w:val="nothing"/>
      <w:lvlText w:val="注："/>
      <w:lvlJc w:val="left"/>
      <w:pPr>
        <w:tabs>
          <w:tab w:val="left" w:pos="539"/>
        </w:tabs>
        <w:ind w:left="737" w:leftChars="0" w:hanging="374"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D824FB8C"/>
    <w:multiLevelType w:val="multilevel"/>
    <w:tmpl w:val="D824FB8C"/>
    <w:lvl w:ilvl="0" w:tentative="0">
      <w:start w:val="1"/>
      <w:numFmt w:val="upperLetter"/>
      <w:pStyle w:val="103"/>
      <w:lvlText w:val="%1"/>
      <w:lvlJc w:val="left"/>
      <w:pPr>
        <w:tabs>
          <w:tab w:val="left" w:pos="0"/>
        </w:tabs>
        <w:ind w:left="0" w:leftChars="0" w:firstLine="0" w:firstLineChars="0"/>
      </w:pPr>
      <w:rPr>
        <w:rFonts w:hint="default"/>
      </w:rPr>
    </w:lvl>
    <w:lvl w:ilvl="1" w:tentative="0">
      <w:start w:val="1"/>
      <w:numFmt w:val="decimal"/>
      <w:pStyle w:val="104"/>
      <w:suff w:val="nothing"/>
      <w:lvlText w:val="图%1.%2　"/>
      <w:lvlJc w:val="left"/>
      <w:pPr>
        <w:ind w:left="0" w:leftChars="0" w:firstLine="0" w:firstLineChars="0"/>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7">
    <w:nsid w:val="E357334C"/>
    <w:multiLevelType w:val="multilevel"/>
    <w:tmpl w:val="E357334C"/>
    <w:lvl w:ilvl="0" w:tentative="0">
      <w:start w:val="1"/>
      <w:numFmt w:val="none"/>
      <w:pStyle w:val="108"/>
      <w:suff w:val="nothing"/>
      <w:lvlText w:val="示例："/>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E81DB77B"/>
    <w:multiLevelType w:val="multilevel"/>
    <w:tmpl w:val="E81DB77B"/>
    <w:lvl w:ilvl="0" w:tentative="0">
      <w:start w:val="1"/>
      <w:numFmt w:val="decimal"/>
      <w:pStyle w:val="117"/>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9">
    <w:nsid w:val="EF9BFCF3"/>
    <w:multiLevelType w:val="multilevel"/>
    <w:tmpl w:val="EF9BFCF3"/>
    <w:lvl w:ilvl="0" w:tentative="0">
      <w:start w:val="1"/>
      <w:numFmt w:val="none"/>
      <w:pStyle w:val="59"/>
      <w:suff w:val="nothing"/>
      <w:lvlText w:val="%1"/>
      <w:lvlJc w:val="left"/>
      <w:pPr>
        <w:ind w:left="425" w:leftChars="0" w:hanging="425" w:firstLineChars="0"/>
      </w:pPr>
      <w:rPr>
        <w:rFonts w:hint="default"/>
      </w:rPr>
    </w:lvl>
    <w:lvl w:ilvl="1" w:tentative="0">
      <w:start w:val="1"/>
      <w:numFmt w:val="decimal"/>
      <w:pStyle w:val="60"/>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61"/>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62"/>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63"/>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64"/>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FBC08111"/>
    <w:multiLevelType w:val="multilevel"/>
    <w:tmpl w:val="FBC08111"/>
    <w:lvl w:ilvl="0" w:tentative="0">
      <w:start w:val="1"/>
      <w:numFmt w:val="none"/>
      <w:pStyle w:val="66"/>
      <w:lvlText w:val="%1——"/>
      <w:lvlJc w:val="left"/>
      <w:pPr>
        <w:tabs>
          <w:tab w:val="left" w:pos="851"/>
        </w:tabs>
        <w:ind w:left="851" w:leftChars="0" w:hanging="426" w:firstLineChars="0"/>
      </w:pPr>
      <w:rPr>
        <w:rFonts w:hint="default" w:ascii="Times New Roman" w:hAnsi="Times New Roman" w:eastAsia="宋体" w:cs="Times New Roman"/>
        <w:sz w:val="20"/>
      </w:rPr>
    </w:lvl>
    <w:lvl w:ilvl="1" w:tentative="0">
      <w:start w:val="1"/>
      <w:numFmt w:val="bullet"/>
      <w:pStyle w:val="67"/>
      <w:lvlText w:val=""/>
      <w:lvlJc w:val="left"/>
      <w:pPr>
        <w:tabs>
          <w:tab w:val="left" w:pos="851"/>
        </w:tabs>
        <w:ind w:left="1270" w:leftChars="0" w:hanging="419" w:firstLineChars="0"/>
      </w:pPr>
      <w:rPr>
        <w:rFonts w:hint="default" w:ascii="Symbol" w:hAnsi="Symbol" w:eastAsia="宋体" w:cs="Symbol"/>
        <w:sz w:val="21"/>
      </w:rPr>
    </w:lvl>
    <w:lvl w:ilvl="2" w:tentative="0">
      <w:start w:val="1"/>
      <w:numFmt w:val="bullet"/>
      <w:pStyle w:val="68"/>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1">
    <w:nsid w:val="FF23AB1C"/>
    <w:multiLevelType w:val="multilevel"/>
    <w:tmpl w:val="FF23AB1C"/>
    <w:lvl w:ilvl="0" w:tentative="0">
      <w:start w:val="1"/>
      <w:numFmt w:val="decimal"/>
      <w:pStyle w:val="76"/>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7"/>
      <w:suff w:val="nothing"/>
      <w:lvlText w:val="%1.%2　"/>
      <w:lvlJc w:val="left"/>
      <w:pPr>
        <w:ind w:left="0" w:leftChars="0" w:firstLine="0" w:firstLineChars="0"/>
      </w:pPr>
      <w:rPr>
        <w:rFonts w:hint="default" w:ascii="黑体" w:hAnsi="黑体" w:eastAsia="黑体" w:cs="黑体"/>
        <w:sz w:val="20"/>
        <w:highlight w:val="none"/>
      </w:rPr>
    </w:lvl>
    <w:lvl w:ilvl="2" w:tentative="0">
      <w:start w:val="1"/>
      <w:numFmt w:val="decimal"/>
      <w:pStyle w:val="78"/>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79"/>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80"/>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81"/>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2">
    <w:nsid w:val="13CE2CCF"/>
    <w:multiLevelType w:val="multilevel"/>
    <w:tmpl w:val="13CE2CCF"/>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3">
    <w:nsid w:val="2EEAE26B"/>
    <w:multiLevelType w:val="multilevel"/>
    <w:tmpl w:val="2EEAE26B"/>
    <w:lvl w:ilvl="0" w:tentative="0">
      <w:start w:val="1"/>
      <w:numFmt w:val="decimal"/>
      <w:pStyle w:val="111"/>
      <w:suff w:val="nothing"/>
      <w:lvlText w:val="注%1："/>
      <w:lvlJc w:val="left"/>
      <w:pPr>
        <w:tabs>
          <w:tab w:val="left" w:pos="539"/>
        </w:tabs>
        <w:ind w:left="811" w:leftChars="0" w:hanging="448"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3AC7EB8"/>
    <w:multiLevelType w:val="multilevel"/>
    <w:tmpl w:val="33AC7EB8"/>
    <w:lvl w:ilvl="0" w:tentative="0">
      <w:start w:val="1"/>
      <w:numFmt w:val="decimal"/>
      <w:pStyle w:val="2"/>
      <w:lvlText w:val="%1"/>
      <w:lvlJc w:val="left"/>
      <w:pPr>
        <w:tabs>
          <w:tab w:val="left" w:pos="432"/>
        </w:tabs>
        <w:ind w:left="432" w:hanging="432"/>
      </w:pPr>
      <w:rPr>
        <w:b/>
        <w:i w:val="0"/>
      </w:rPr>
    </w:lvl>
    <w:lvl w:ilvl="1" w:tentative="0">
      <w:start w:val="1"/>
      <w:numFmt w:val="decimal"/>
      <w:lvlText w:val="%1.%2"/>
      <w:lvlJc w:val="left"/>
      <w:pPr>
        <w:tabs>
          <w:tab w:val="left" w:pos="5746"/>
        </w:tabs>
        <w:ind w:left="5386" w:firstLine="0"/>
      </w:pPr>
      <w:rPr>
        <w:b/>
        <w:i w:val="0"/>
      </w:rPr>
    </w:lvl>
    <w:lvl w:ilvl="2" w:tentative="0">
      <w:start w:val="1"/>
      <w:numFmt w:val="decimal"/>
      <w:lvlText w:val="%1.%2.%3"/>
      <w:lvlJc w:val="left"/>
      <w:pPr>
        <w:tabs>
          <w:tab w:val="left" w:pos="720"/>
        </w:tabs>
        <w:ind w:left="0" w:firstLine="0"/>
      </w:pPr>
      <w:rPr>
        <w:b/>
        <w:i w:val="0"/>
      </w:rPr>
    </w:lvl>
    <w:lvl w:ilvl="3" w:tentative="0">
      <w:start w:val="1"/>
      <w:numFmt w:val="decimal"/>
      <w:lvlText w:val="%1.%2.%3.%4"/>
      <w:lvlJc w:val="left"/>
      <w:pPr>
        <w:tabs>
          <w:tab w:val="left" w:pos="1080"/>
        </w:tabs>
        <w:ind w:left="0" w:firstLine="0"/>
      </w:pPr>
      <w:rPr>
        <w:b/>
        <w:i w:val="0"/>
      </w:rPr>
    </w:lvl>
    <w:lvl w:ilvl="4" w:tentative="0">
      <w:start w:val="1"/>
      <w:numFmt w:val="decimal"/>
      <w:lvlText w:val="%1.%2.%3.%4.%5"/>
      <w:lvlJc w:val="left"/>
      <w:pPr>
        <w:tabs>
          <w:tab w:val="left" w:pos="1080"/>
        </w:tabs>
        <w:ind w:left="0" w:firstLine="0"/>
      </w:pPr>
      <w:rPr>
        <w:b/>
        <w:i w:val="0"/>
      </w:rPr>
    </w:lvl>
    <w:lvl w:ilvl="5" w:tentative="0">
      <w:start w:val="1"/>
      <w:numFmt w:val="decimal"/>
      <w:lvlText w:val="%1.%2.%3.%4.%5.%6"/>
      <w:lvlJc w:val="left"/>
      <w:pPr>
        <w:tabs>
          <w:tab w:val="left" w:pos="1440"/>
        </w:tabs>
        <w:ind w:left="0" w:firstLine="0"/>
      </w:pPr>
      <w:rPr>
        <w:b/>
        <w:i w:val="0"/>
      </w:rPr>
    </w:lvl>
    <w:lvl w:ilvl="6" w:tentative="0">
      <w:start w:val="1"/>
      <w:numFmt w:val="decimal"/>
      <w:lvlText w:val="%1.%2.%3.%4.%5.%6.%7"/>
      <w:lvlJc w:val="left"/>
      <w:pPr>
        <w:tabs>
          <w:tab w:val="left" w:pos="1440"/>
        </w:tabs>
        <w:ind w:left="0" w:firstLine="0"/>
      </w:pPr>
    </w:lvl>
    <w:lvl w:ilvl="7" w:tentative="0">
      <w:start w:val="1"/>
      <w:numFmt w:val="decimal"/>
      <w:lvlText w:val="%1.%2.%3.%4.%5.%6.%7.%8"/>
      <w:lvlJc w:val="left"/>
      <w:pPr>
        <w:tabs>
          <w:tab w:val="left" w:pos="1800"/>
        </w:tabs>
        <w:ind w:left="0" w:firstLine="0"/>
      </w:pPr>
    </w:lvl>
    <w:lvl w:ilvl="8" w:tentative="0">
      <w:start w:val="1"/>
      <w:numFmt w:val="decimal"/>
      <w:lvlText w:val="%1.%2.%3.%4.%5.%6.%7.%8.%9"/>
      <w:lvlJc w:val="left"/>
      <w:pPr>
        <w:tabs>
          <w:tab w:val="left" w:pos="1800"/>
        </w:tabs>
        <w:ind w:left="0" w:firstLine="0"/>
      </w:pPr>
    </w:lvl>
  </w:abstractNum>
  <w:abstractNum w:abstractNumId="15">
    <w:nsid w:val="39888D28"/>
    <w:multiLevelType w:val="multilevel"/>
    <w:tmpl w:val="39888D28"/>
    <w:lvl w:ilvl="0" w:tentative="0">
      <w:start w:val="1"/>
      <w:numFmt w:val="decimal"/>
      <w:pStyle w:val="20"/>
      <w:lvlText w:val="%1)"/>
      <w:lvlJc w:val="left"/>
      <w:pPr>
        <w:tabs>
          <w:tab w:val="left" w:pos="0"/>
        </w:tabs>
        <w:ind w:left="720" w:leftChars="0" w:hanging="357" w:firstLineChars="0"/>
      </w:pPr>
      <w:rPr>
        <w:rFonts w:hint="eastAsia" w:ascii="宋体" w:hAnsi="宋体" w:eastAsia="宋体" w:cs="宋体"/>
        <w:sz w:val="15"/>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4F79A8C2"/>
    <w:multiLevelType w:val="multilevel"/>
    <w:tmpl w:val="4F79A8C2"/>
    <w:lvl w:ilvl="0" w:tentative="0">
      <w:start w:val="1"/>
      <w:numFmt w:val="decimal"/>
      <w:pStyle w:val="118"/>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7">
    <w:nsid w:val="75DC2A6C"/>
    <w:multiLevelType w:val="multilevel"/>
    <w:tmpl w:val="75DC2A6C"/>
    <w:lvl w:ilvl="0" w:tentative="0">
      <w:start w:val="1"/>
      <w:numFmt w:val="decimal"/>
      <w:pStyle w:val="123"/>
      <w:suff w:val="nothing"/>
      <w:lvlText w:val="[%1]  "/>
      <w:lvlJc w:val="left"/>
      <w:pPr>
        <w:ind w:left="0" w:leftChars="0" w:firstLine="363" w:firstLineChars="0"/>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8">
    <w:nsid w:val="7A3A2147"/>
    <w:multiLevelType w:val="multilevel"/>
    <w:tmpl w:val="7A3A2147"/>
    <w:lvl w:ilvl="0" w:tentative="0">
      <w:start w:val="1"/>
      <w:numFmt w:val="lowerLetter"/>
      <w:pStyle w:val="69"/>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70"/>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9">
    <w:nsid w:val="7CF92A57"/>
    <w:multiLevelType w:val="singleLevel"/>
    <w:tmpl w:val="7CF92A57"/>
    <w:lvl w:ilvl="0" w:tentative="0">
      <w:start w:val="5"/>
      <w:numFmt w:val="decimal"/>
      <w:lvlText w:val="%1."/>
      <w:lvlJc w:val="left"/>
      <w:pPr>
        <w:tabs>
          <w:tab w:val="left" w:pos="312"/>
        </w:tabs>
        <w:ind w:left="315" w:leftChars="0" w:firstLine="0" w:firstLineChars="0"/>
      </w:pPr>
    </w:lvl>
  </w:abstractNum>
  <w:num w:numId="1">
    <w:abstractNumId w:val="14"/>
  </w:num>
  <w:num w:numId="2">
    <w:abstractNumId w:val="12"/>
  </w:num>
  <w:num w:numId="3">
    <w:abstractNumId w:val="6"/>
  </w:num>
  <w:num w:numId="4">
    <w:abstractNumId w:val="15"/>
  </w:num>
  <w:num w:numId="5">
    <w:abstractNumId w:val="9"/>
  </w:num>
  <w:num w:numId="6">
    <w:abstractNumId w:val="10"/>
  </w:num>
  <w:num w:numId="7">
    <w:abstractNumId w:val="18"/>
  </w:num>
  <w:num w:numId="8">
    <w:abstractNumId w:val="11"/>
  </w:num>
  <w:num w:numId="9">
    <w:abstractNumId w:val="3"/>
  </w:num>
  <w:num w:numId="10">
    <w:abstractNumId w:val="4"/>
  </w:num>
  <w:num w:numId="11">
    <w:abstractNumId w:val="7"/>
  </w:num>
  <w:num w:numId="12">
    <w:abstractNumId w:val="0"/>
  </w:num>
  <w:num w:numId="13">
    <w:abstractNumId w:val="5"/>
  </w:num>
  <w:num w:numId="14">
    <w:abstractNumId w:val="13"/>
  </w:num>
  <w:num w:numId="15">
    <w:abstractNumId w:val="2"/>
  </w:num>
  <w:num w:numId="16">
    <w:abstractNumId w:val="8"/>
  </w:num>
  <w:num w:numId="17">
    <w:abstractNumId w:val="16"/>
  </w:num>
  <w:num w:numId="18">
    <w:abstractNumId w:val="17"/>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OGNjNjMyYmRlNDM5MjcwMGUyNjNkYTIxYTA3Y2IifQ=="/>
  </w:docVars>
  <w:rsids>
    <w:rsidRoot w:val="349A6599"/>
    <w:rsid w:val="020F5E08"/>
    <w:rsid w:val="040944AB"/>
    <w:rsid w:val="0C522EC7"/>
    <w:rsid w:val="10656FAA"/>
    <w:rsid w:val="24CD1054"/>
    <w:rsid w:val="28341F69"/>
    <w:rsid w:val="349A6599"/>
    <w:rsid w:val="3BD41BB4"/>
    <w:rsid w:val="3F473ED8"/>
    <w:rsid w:val="3F4E1B13"/>
    <w:rsid w:val="44DB3BFF"/>
    <w:rsid w:val="4DB15A87"/>
    <w:rsid w:val="4F111850"/>
    <w:rsid w:val="56496330"/>
    <w:rsid w:val="5CFB2770"/>
    <w:rsid w:val="5E8E37F6"/>
    <w:rsid w:val="676C2BA5"/>
    <w:rsid w:val="6A8D77DD"/>
    <w:rsid w:val="6B1E46DD"/>
    <w:rsid w:val="6D2154B9"/>
    <w:rsid w:val="6D490C6D"/>
    <w:rsid w:val="6DD24A05"/>
    <w:rsid w:val="6F327E52"/>
    <w:rsid w:val="754C32EF"/>
    <w:rsid w:val="75E50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1"/>
    <w:basedOn w:val="3"/>
    <w:next w:val="1"/>
    <w:qFormat/>
    <w:uiPriority w:val="0"/>
    <w:pPr>
      <w:keepNext/>
      <w:numPr>
        <w:ilvl w:val="0"/>
        <w:numId w:val="1"/>
      </w:numPr>
      <w:tabs>
        <w:tab w:val="left" w:pos="400"/>
        <w:tab w:val="left" w:pos="560"/>
        <w:tab w:val="clear" w:pos="432"/>
      </w:tabs>
      <w:suppressAutoHyphens/>
      <w:spacing w:before="270" w:line="270" w:lineRule="exact"/>
      <w:ind w:left="0" w:firstLine="0"/>
    </w:pPr>
    <w:rPr>
      <w:rFonts w:eastAsia="MS Mincho"/>
      <w:b/>
      <w:sz w:val="26"/>
      <w:szCs w:val="20"/>
      <w:lang w:eastAsia="ja-JP"/>
    </w:rPr>
  </w:style>
  <w:style w:type="paragraph" w:styleId="4">
    <w:name w:val="heading 2"/>
    <w:basedOn w:val="2"/>
    <w:next w:val="1"/>
    <w:qFormat/>
    <w:uiPriority w:val="0"/>
    <w:pPr>
      <w:numPr>
        <w:ilvl w:val="1"/>
        <w:numId w:val="2"/>
      </w:numPr>
      <w:tabs>
        <w:tab w:val="left" w:pos="540"/>
        <w:tab w:val="left" w:pos="700"/>
        <w:tab w:val="clear" w:pos="400"/>
        <w:tab w:val="clear" w:pos="560"/>
      </w:tabs>
      <w:spacing w:before="60" w:line="250" w:lineRule="exact"/>
      <w:ind w:left="575" w:hanging="575"/>
      <w:outlineLvl w:val="1"/>
    </w:pPr>
    <w:rPr>
      <w:sz w:val="24"/>
    </w:rPr>
  </w:style>
  <w:style w:type="paragraph" w:styleId="5">
    <w:name w:val="heading 3"/>
    <w:basedOn w:val="2"/>
    <w:next w:val="1"/>
    <w:semiHidden/>
    <w:unhideWhenUsed/>
    <w:qFormat/>
    <w:uiPriority w:val="0"/>
    <w:pPr>
      <w:keepNext/>
      <w:keepLines/>
      <w:numPr>
        <w:ilvl w:val="2"/>
        <w:numId w:val="3"/>
      </w:numPr>
      <w:spacing w:before="260" w:beforeLines="0" w:beforeAutospacing="0" w:after="260" w:afterLines="0" w:afterAutospacing="0" w:line="413" w:lineRule="auto"/>
      <w:ind w:left="720" w:hanging="720"/>
      <w:outlineLvl w:val="2"/>
    </w:pPr>
    <w:rPr>
      <w:b w:val="0"/>
      <w:sz w:val="32"/>
    </w:rPr>
  </w:style>
  <w:style w:type="paragraph" w:styleId="6">
    <w:name w:val="heading 4"/>
    <w:basedOn w:val="1"/>
    <w:next w:val="1"/>
    <w:semiHidden/>
    <w:unhideWhenUsed/>
    <w:qFormat/>
    <w:uiPriority w:val="0"/>
    <w:pPr>
      <w:keepNext/>
      <w:keepLines/>
      <w:numPr>
        <w:ilvl w:val="3"/>
        <w:numId w:val="3"/>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6">
    <w:name w:val="Default Paragraph Font"/>
    <w:semiHidden/>
    <w:qFormat/>
    <w:uiPriority w:val="0"/>
    <w:rPr>
      <w:rFonts w:hint="eastAsia" w:ascii="黑体" w:hAnsi="黑体" w:eastAsia="黑体" w:cs="黑体"/>
      <w:sz w:val="21"/>
    </w:rPr>
  </w:style>
  <w:style w:type="table" w:default="1" w:styleId="24">
    <w:name w:val="Normal Table"/>
    <w:autoRedefine/>
    <w:semiHidden/>
    <w:qFormat/>
    <w:uiPriority w:val="0"/>
    <w:tblPr>
      <w:tblCellMar>
        <w:top w:w="0" w:type="dxa"/>
        <w:left w:w="108" w:type="dxa"/>
        <w:bottom w:w="0" w:type="dxa"/>
        <w:right w:w="108" w:type="dxa"/>
      </w:tblCellMar>
    </w:tblPr>
  </w:style>
  <w:style w:type="paragraph" w:customStyle="1" w:styleId="3">
    <w:name w:val="Base_Heading"/>
    <w:autoRedefine/>
    <w:qFormat/>
    <w:uiPriority w:val="0"/>
    <w:pPr>
      <w:spacing w:after="240" w:line="240" w:lineRule="atLeast"/>
      <w:outlineLvl w:val="0"/>
    </w:pPr>
    <w:rPr>
      <w:rFonts w:ascii="Cambria" w:hAnsi="Cambria" w:eastAsia="Calibri" w:cs="Times New Roman"/>
      <w:sz w:val="22"/>
      <w:szCs w:val="22"/>
      <w:lang w:val="en-GB" w:eastAsia="en-US" w:bidi="ar-SA"/>
    </w:rPr>
  </w:style>
  <w:style w:type="paragraph" w:styleId="12">
    <w:name w:val="Body Text"/>
    <w:basedOn w:val="13"/>
    <w:unhideWhenUsed/>
    <w:qFormat/>
    <w:uiPriority w:val="99"/>
    <w:pPr>
      <w:tabs>
        <w:tab w:val="left" w:pos="397"/>
        <w:tab w:val="left" w:pos="794"/>
        <w:tab w:val="left" w:pos="1191"/>
        <w:tab w:val="left" w:pos="1588"/>
        <w:tab w:val="left" w:pos="1985"/>
        <w:tab w:val="left" w:pos="2381"/>
        <w:tab w:val="left" w:pos="2778"/>
        <w:tab w:val="left" w:pos="3175"/>
        <w:tab w:val="left" w:pos="3572"/>
        <w:tab w:val="left" w:pos="3969"/>
      </w:tabs>
      <w:spacing w:after="120"/>
    </w:pPr>
  </w:style>
  <w:style w:type="paragraph" w:customStyle="1" w:styleId="13">
    <w:name w:val="Base_Text"/>
    <w:autoRedefine/>
    <w:qFormat/>
    <w:uiPriority w:val="0"/>
    <w:pPr>
      <w:tabs>
        <w:tab w:val="left" w:pos="397"/>
        <w:tab w:val="left" w:pos="794"/>
        <w:tab w:val="left" w:pos="1191"/>
        <w:tab w:val="left" w:pos="1588"/>
        <w:tab w:val="left" w:pos="1985"/>
        <w:tab w:val="left" w:pos="2381"/>
        <w:tab w:val="left" w:pos="2778"/>
        <w:tab w:val="left" w:pos="3175"/>
        <w:tab w:val="left" w:pos="3572"/>
        <w:tab w:val="left" w:pos="3969"/>
      </w:tabs>
      <w:spacing w:after="240" w:line="240" w:lineRule="atLeast"/>
      <w:jc w:val="both"/>
    </w:pPr>
    <w:rPr>
      <w:rFonts w:ascii="Cambria" w:hAnsi="Cambria" w:eastAsia="Calibri" w:cs="Times New Roman"/>
      <w:sz w:val="22"/>
      <w:szCs w:val="22"/>
      <w:lang w:val="en-GB" w:eastAsia="en-US" w:bidi="ar-SA"/>
    </w:rPr>
  </w:style>
  <w:style w:type="paragraph" w:styleId="14">
    <w:name w:val="toc 5"/>
    <w:basedOn w:val="1"/>
    <w:next w:val="1"/>
    <w:qFormat/>
    <w:uiPriority w:val="0"/>
    <w:pPr>
      <w:spacing w:line="300" w:lineRule="exact"/>
      <w:ind w:left="1680" w:leftChars="800"/>
    </w:pPr>
    <w:rPr>
      <w:rFonts w:hAnsi="宋体"/>
    </w:rPr>
  </w:style>
  <w:style w:type="paragraph" w:styleId="15">
    <w:name w:val="toc 3"/>
    <w:basedOn w:val="1"/>
    <w:next w:val="1"/>
    <w:qFormat/>
    <w:uiPriority w:val="0"/>
    <w:pPr>
      <w:spacing w:line="300" w:lineRule="exact"/>
      <w:ind w:left="840" w:leftChars="400"/>
    </w:pPr>
    <w:rPr>
      <w:rFonts w:hAnsi="宋体"/>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qFormat/>
    <w:uiPriority w:val="0"/>
    <w:pPr>
      <w:spacing w:line="400" w:lineRule="exact"/>
    </w:pPr>
    <w:rPr>
      <w:rFonts w:hAnsi="宋体"/>
    </w:rPr>
  </w:style>
  <w:style w:type="paragraph" w:styleId="19">
    <w:name w:val="toc 4"/>
    <w:basedOn w:val="1"/>
    <w:next w:val="1"/>
    <w:autoRedefine/>
    <w:qFormat/>
    <w:uiPriority w:val="0"/>
    <w:pPr>
      <w:spacing w:line="300" w:lineRule="exact"/>
      <w:ind w:left="1260" w:leftChars="600"/>
    </w:pPr>
    <w:rPr>
      <w:rFonts w:hAnsi="宋体"/>
    </w:rPr>
  </w:style>
  <w:style w:type="paragraph" w:styleId="20">
    <w:name w:val="footnote text"/>
    <w:basedOn w:val="1"/>
    <w:qFormat/>
    <w:uiPriority w:val="0"/>
    <w:pPr>
      <w:widowControl/>
      <w:numPr>
        <w:ilvl w:val="0"/>
        <w:numId w:val="4"/>
      </w:numPr>
      <w:autoSpaceDE w:val="0"/>
      <w:autoSpaceDN w:val="0"/>
      <w:snapToGrid/>
      <w:ind w:left="1380" w:leftChars="200" w:hanging="960" w:hangingChars="200"/>
      <w:jc w:val="both"/>
    </w:pPr>
    <w:rPr>
      <w:rFonts w:hAnsi="宋体"/>
      <w:sz w:val="15"/>
    </w:rPr>
  </w:style>
  <w:style w:type="paragraph" w:styleId="21">
    <w:name w:val="toc 6"/>
    <w:basedOn w:val="1"/>
    <w:next w:val="1"/>
    <w:qFormat/>
    <w:uiPriority w:val="0"/>
    <w:pPr>
      <w:spacing w:line="300" w:lineRule="exact"/>
      <w:ind w:left="2100" w:leftChars="1000"/>
    </w:pPr>
    <w:rPr>
      <w:rFonts w:hAnsi="宋体"/>
    </w:rPr>
  </w:style>
  <w:style w:type="paragraph" w:styleId="22">
    <w:name w:val="toc 2"/>
    <w:basedOn w:val="1"/>
    <w:next w:val="1"/>
    <w:qFormat/>
    <w:uiPriority w:val="0"/>
    <w:pPr>
      <w:spacing w:line="300" w:lineRule="exact"/>
      <w:ind w:left="420" w:leftChars="200"/>
    </w:pPr>
    <w:rPr>
      <w:rFonts w:hAnsi="宋体"/>
    </w:rPr>
  </w:style>
  <w:style w:type="paragraph" w:styleId="23">
    <w:name w:val="Normal (Web)"/>
    <w:basedOn w:val="1"/>
    <w:qFormat/>
    <w:uiPriority w:val="0"/>
    <w:pPr>
      <w:spacing w:before="0" w:beforeAutospacing="1" w:after="0" w:afterAutospacing="1"/>
      <w:ind w:left="0" w:right="0"/>
      <w:jc w:val="left"/>
    </w:pPr>
    <w:rPr>
      <w:kern w:val="0"/>
      <w:sz w:val="24"/>
      <w:lang w:val="en-US" w:eastAsia="zh-CN" w:bidi="ar"/>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footnote reference"/>
    <w:basedOn w:val="26"/>
    <w:qFormat/>
    <w:uiPriority w:val="0"/>
    <w:rPr>
      <w:rFonts w:ascii="宋体" w:hAnsi="宋体" w:eastAsia="宋体" w:cs="宋体"/>
      <w:sz w:val="18"/>
      <w:vertAlign w:val="superscript"/>
    </w:rPr>
  </w:style>
  <w:style w:type="paragraph" w:customStyle="1" w:styleId="29">
    <w:name w:val="标准文件_段"/>
    <w:qFormat/>
    <w:uiPriority w:val="0"/>
    <w:pPr>
      <w:ind w:firstLine="960" w:firstLineChars="200"/>
      <w:jc w:val="both"/>
    </w:pPr>
    <w:rPr>
      <w:rFonts w:hint="eastAsia" w:ascii="宋体" w:hAnsi="Times New Roman" w:eastAsia="宋体" w:cs="宋体"/>
      <w:sz w:val="21"/>
    </w:rPr>
  </w:style>
  <w:style w:type="paragraph" w:customStyle="1" w:styleId="30">
    <w:name w:val="标准标志"/>
    <w:next w:val="1"/>
    <w:qFormat/>
    <w:uiPriority w:val="0"/>
    <w:pPr>
      <w:framePr w:w="2546" w:h="1134" w:hRule="exact" w:hSpace="181" w:wrap="around" w:vAnchor="margin" w:hAnchor="margin" w:x="6521" w:y="421" w:anchorLock="1"/>
      <w:shd w:val="clear" w:fill="FFFFFF"/>
      <w:spacing w:line="0" w:lineRule="atLeast"/>
      <w:jc w:val="right"/>
    </w:pPr>
    <w:rPr>
      <w:rFonts w:hint="eastAsia" w:ascii="Times New Roman" w:hAnsi="Times New Roman" w:eastAsia="宋体" w:cs="Times New Roman"/>
      <w:b/>
      <w:w w:val="170"/>
      <w:sz w:val="96"/>
    </w:rPr>
  </w:style>
  <w:style w:type="paragraph" w:customStyle="1" w:styleId="31">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rPr>
  </w:style>
  <w:style w:type="paragraph" w:customStyle="1" w:styleId="32">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rPr>
  </w:style>
  <w:style w:type="paragraph" w:customStyle="1" w:styleId="33">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rPr>
  </w:style>
  <w:style w:type="paragraph" w:customStyle="1" w:styleId="34">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35">
    <w:name w:val="标准书脚_奇数页"/>
    <w:qFormat/>
    <w:uiPriority w:val="0"/>
    <w:pPr>
      <w:ind w:right="227"/>
      <w:jc w:val="right"/>
    </w:pPr>
    <w:rPr>
      <w:rFonts w:hint="eastAsia" w:ascii="宋体" w:hAnsi="Times New Roman" w:eastAsia="宋体" w:cs="宋体"/>
      <w:sz w:val="18"/>
    </w:rPr>
  </w:style>
  <w:style w:type="paragraph" w:customStyle="1" w:styleId="36">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37">
    <w:name w:val="标准书眉_偶数页"/>
    <w:next w:val="1"/>
    <w:qFormat/>
    <w:uiPriority w:val="0"/>
    <w:pPr>
      <w:spacing w:after="120"/>
    </w:pPr>
    <w:rPr>
      <w:rFonts w:hint="eastAsia" w:ascii="黑体" w:hAnsi="Times New Roman" w:eastAsia="黑体" w:cs="黑体"/>
      <w:sz w:val="21"/>
    </w:rPr>
  </w:style>
  <w:style w:type="paragraph" w:customStyle="1" w:styleId="38">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9">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40">
    <w:name w:val="发布部门"/>
    <w:next w:val="29"/>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41">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rPr>
  </w:style>
  <w:style w:type="paragraph" w:customStyle="1" w:styleId="42">
    <w:name w:val="实施日期"/>
    <w:basedOn w:val="41"/>
    <w:autoRedefine/>
    <w:qFormat/>
    <w:uiPriority w:val="0"/>
    <w:pPr>
      <w:framePr w:hSpace="0" w:wrap="around" w:vAnchor="page" w:hAnchor="page" w:x="7089" w:y="14176"/>
      <w:jc w:val="right"/>
    </w:pPr>
  </w:style>
  <w:style w:type="paragraph" w:customStyle="1" w:styleId="43">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44">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rPr>
  </w:style>
  <w:style w:type="paragraph" w:customStyle="1" w:styleId="45">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46">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47">
    <w:name w:val="封面标准英文名称"/>
    <w:basedOn w:val="46"/>
    <w:qFormat/>
    <w:uiPriority w:val="0"/>
    <w:pPr>
      <w:widowControl w:val="0"/>
      <w:spacing w:before="410" w:line="360" w:lineRule="exact"/>
      <w:textAlignment w:val="bottom"/>
    </w:pPr>
    <w:rPr>
      <w:rFonts w:ascii="Times New Roman" w:hAnsi="Times New Roman" w:cs="Times New Roman"/>
      <w:sz w:val="28"/>
    </w:rPr>
  </w:style>
  <w:style w:type="paragraph" w:customStyle="1" w:styleId="48">
    <w:name w:val="封面一致性程度标识"/>
    <w:basedOn w:val="47"/>
    <w:autoRedefine/>
    <w:qFormat/>
    <w:uiPriority w:val="0"/>
    <w:pPr>
      <w:spacing w:before="760"/>
    </w:pPr>
  </w:style>
  <w:style w:type="paragraph" w:customStyle="1" w:styleId="49">
    <w:name w:val="封面标准文稿类别"/>
    <w:basedOn w:val="48"/>
    <w:qFormat/>
    <w:uiPriority w:val="0"/>
    <w:pPr>
      <w:spacing w:before="440" w:after="160"/>
    </w:pPr>
    <w:rPr>
      <w:rFonts w:ascii="黑体" w:hAnsi="黑体" w:cs="黑体"/>
      <w:sz w:val="24"/>
    </w:rPr>
  </w:style>
  <w:style w:type="paragraph" w:customStyle="1" w:styleId="50">
    <w:name w:val="封面标准文稿编辑信息"/>
    <w:basedOn w:val="49"/>
    <w:qFormat/>
    <w:uiPriority w:val="0"/>
    <w:pPr>
      <w:spacing w:before="180" w:line="240" w:lineRule="atLeast"/>
    </w:pPr>
    <w:rPr>
      <w:sz w:val="21"/>
    </w:rPr>
  </w:style>
  <w:style w:type="paragraph" w:customStyle="1" w:styleId="51">
    <w:name w:val="封面标准文稿附件"/>
    <w:basedOn w:val="49"/>
    <w:qFormat/>
    <w:uiPriority w:val="0"/>
    <w:pPr>
      <w:spacing w:before="937" w:beforeLines="300" w:afterLines="30" w:line="240" w:lineRule="auto"/>
    </w:pPr>
    <w:rPr>
      <w:rFonts w:ascii="Times New Roman" w:hAnsi="Times New Roman" w:cs="Times New Roman"/>
      <w:b/>
      <w:sz w:val="21"/>
    </w:rPr>
  </w:style>
  <w:style w:type="paragraph" w:customStyle="1" w:styleId="52">
    <w:name w:val="其他发布部门"/>
    <w:basedOn w:val="40"/>
    <w:qFormat/>
    <w:uiPriority w:val="0"/>
    <w:pPr>
      <w:framePr w:wrap="around" w:y="15310"/>
      <w:spacing w:line="0" w:lineRule="atLeast"/>
    </w:pPr>
    <w:rPr>
      <w:rFonts w:ascii="黑体" w:hAnsi="黑体" w:eastAsia="黑体" w:cs="黑体"/>
    </w:rPr>
  </w:style>
  <w:style w:type="paragraph" w:customStyle="1" w:styleId="53">
    <w:name w:val="其他发布部门2"/>
    <w:basedOn w:val="40"/>
    <w:qFormat/>
    <w:uiPriority w:val="0"/>
    <w:pPr>
      <w:framePr w:w="7433" w:h="584" w:hRule="exact" w:hSpace="181" w:wrap="around" w:vAnchor="margin" w:hAnchor="margin" w:xAlign="center" w:y="15027"/>
      <w:spacing w:line="0" w:lineRule="atLeast"/>
    </w:pPr>
    <w:rPr>
      <w:rFonts w:ascii="黑体" w:hAnsi="黑体" w:eastAsia="黑体" w:cs="Times New Roman"/>
      <w:spacing w:val="0"/>
      <w:w w:val="100"/>
    </w:rPr>
  </w:style>
  <w:style w:type="paragraph" w:customStyle="1" w:styleId="54">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rPr>
  </w:style>
  <w:style w:type="paragraph" w:customStyle="1" w:styleId="55">
    <w:name w:val="其他发布日期"/>
    <w:basedOn w:val="41"/>
    <w:autoRedefine/>
    <w:qFormat/>
    <w:uiPriority w:val="0"/>
    <w:pPr>
      <w:framePr w:hSpace="0" w:wrap="around" w:vAnchor="page" w:hAnchor="page" w:x="1419" w:y="14176"/>
    </w:pPr>
  </w:style>
  <w:style w:type="paragraph" w:customStyle="1" w:styleId="56">
    <w:name w:val="其他实施日期"/>
    <w:basedOn w:val="42"/>
    <w:autoRedefine/>
    <w:qFormat/>
    <w:uiPriority w:val="0"/>
  </w:style>
  <w:style w:type="paragraph" w:customStyle="1" w:styleId="57">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rPr>
  </w:style>
  <w:style w:type="paragraph" w:customStyle="1" w:styleId="58">
    <w:name w:val="标准文件_目录标题"/>
    <w:basedOn w:val="1"/>
    <w:qFormat/>
    <w:uiPriority w:val="0"/>
    <w:pPr>
      <w:shd w:val="clear" w:fill="FFFFFF"/>
      <w:spacing w:after="469" w:afterLines="150"/>
      <w:jc w:val="center"/>
    </w:pPr>
    <w:rPr>
      <w:rFonts w:ascii="黑体" w:hAnsi="Times New Roman" w:eastAsia="黑体" w:cs="黑体"/>
      <w:kern w:val="0"/>
      <w:sz w:val="32"/>
    </w:rPr>
  </w:style>
  <w:style w:type="paragraph" w:customStyle="1" w:styleId="59">
    <w:name w:val="标准文件_前言、引言标题"/>
    <w:next w:val="1"/>
    <w:qFormat/>
    <w:uiPriority w:val="0"/>
    <w:pPr>
      <w:numPr>
        <w:ilvl w:val="0"/>
        <w:numId w:val="5"/>
      </w:numPr>
      <w:suppressAutoHyphens w:val="0"/>
      <w:spacing w:after="469" w:afterLines="150"/>
      <w:ind w:left="425" w:hanging="425"/>
      <w:jc w:val="center"/>
      <w:outlineLvl w:val="0"/>
    </w:pPr>
    <w:rPr>
      <w:rFonts w:hint="eastAsia" w:ascii="黑体" w:hAnsi="Times New Roman" w:eastAsia="黑体" w:cs="黑体"/>
      <w:sz w:val="32"/>
    </w:rPr>
  </w:style>
  <w:style w:type="paragraph" w:customStyle="1" w:styleId="60">
    <w:name w:val="标准文件_引言一级条标题"/>
    <w:basedOn w:val="29"/>
    <w:next w:val="29"/>
    <w:autoRedefine/>
    <w:qFormat/>
    <w:uiPriority w:val="0"/>
    <w:pPr>
      <w:numPr>
        <w:ilvl w:val="1"/>
        <w:numId w:val="5"/>
      </w:numPr>
      <w:spacing w:before="157" w:beforeLines="50" w:after="157" w:afterLines="50"/>
    </w:pPr>
    <w:rPr>
      <w:rFonts w:ascii="黑体" w:hAnsi="黑体" w:eastAsia="黑体" w:cs="黑体"/>
    </w:rPr>
  </w:style>
  <w:style w:type="paragraph" w:customStyle="1" w:styleId="61">
    <w:name w:val="标准文件_引言二级条标题"/>
    <w:basedOn w:val="29"/>
    <w:next w:val="29"/>
    <w:qFormat/>
    <w:uiPriority w:val="0"/>
    <w:pPr>
      <w:numPr>
        <w:ilvl w:val="2"/>
        <w:numId w:val="5"/>
      </w:numPr>
      <w:spacing w:before="157" w:beforeLines="50" w:after="157" w:afterLines="50"/>
    </w:pPr>
    <w:rPr>
      <w:rFonts w:ascii="黑体" w:hAnsi="黑体" w:eastAsia="黑体" w:cs="黑体"/>
    </w:rPr>
  </w:style>
  <w:style w:type="paragraph" w:customStyle="1" w:styleId="62">
    <w:name w:val="标准文件_引言三级条标题"/>
    <w:basedOn w:val="29"/>
    <w:next w:val="29"/>
    <w:qFormat/>
    <w:uiPriority w:val="0"/>
    <w:pPr>
      <w:numPr>
        <w:ilvl w:val="3"/>
        <w:numId w:val="5"/>
      </w:numPr>
      <w:spacing w:before="157" w:beforeLines="50" w:after="157" w:afterLines="50"/>
    </w:pPr>
    <w:rPr>
      <w:rFonts w:ascii="黑体" w:hAnsi="黑体" w:eastAsia="黑体" w:cs="黑体"/>
    </w:rPr>
  </w:style>
  <w:style w:type="paragraph" w:customStyle="1" w:styleId="63">
    <w:name w:val="标准文件_引言四级条标题"/>
    <w:basedOn w:val="29"/>
    <w:next w:val="29"/>
    <w:autoRedefine/>
    <w:qFormat/>
    <w:uiPriority w:val="0"/>
    <w:pPr>
      <w:numPr>
        <w:ilvl w:val="4"/>
        <w:numId w:val="5"/>
      </w:numPr>
      <w:spacing w:before="157" w:beforeLines="50" w:after="157" w:afterLines="50"/>
    </w:pPr>
    <w:rPr>
      <w:rFonts w:ascii="黑体" w:hAnsi="黑体" w:eastAsia="黑体" w:cs="黑体"/>
    </w:rPr>
  </w:style>
  <w:style w:type="paragraph" w:customStyle="1" w:styleId="64">
    <w:name w:val="标准文件_引言五级条标题"/>
    <w:basedOn w:val="29"/>
    <w:next w:val="29"/>
    <w:autoRedefine/>
    <w:qFormat/>
    <w:uiPriority w:val="0"/>
    <w:pPr>
      <w:numPr>
        <w:ilvl w:val="5"/>
        <w:numId w:val="5"/>
      </w:numPr>
      <w:spacing w:before="157" w:beforeLines="50" w:after="157" w:afterLines="50"/>
    </w:pPr>
    <w:rPr>
      <w:rFonts w:ascii="黑体" w:hAnsi="黑体" w:eastAsia="黑体" w:cs="黑体"/>
    </w:rPr>
  </w:style>
  <w:style w:type="paragraph" w:customStyle="1" w:styleId="65">
    <w:name w:val="标准文件_正文标准名称"/>
    <w:basedOn w:val="1"/>
    <w:link w:val="124"/>
    <w:autoRedefine/>
    <w:qFormat/>
    <w:uiPriority w:val="0"/>
    <w:pPr>
      <w:widowControl/>
      <w:suppressAutoHyphens w:val="0"/>
      <w:spacing w:after="640" w:line="400" w:lineRule="exact"/>
      <w:jc w:val="center"/>
    </w:pPr>
    <w:rPr>
      <w:rFonts w:ascii="黑体" w:hAnsi="黑体" w:eastAsia="黑体" w:cs="黑体"/>
      <w:sz w:val="32"/>
    </w:rPr>
  </w:style>
  <w:style w:type="paragraph" w:customStyle="1" w:styleId="66">
    <w:name w:val="标准文件_一级项"/>
    <w:next w:val="29"/>
    <w:autoRedefine/>
    <w:qFormat/>
    <w:uiPriority w:val="0"/>
    <w:pPr>
      <w:numPr>
        <w:ilvl w:val="0"/>
        <w:numId w:val="6"/>
      </w:numPr>
      <w:suppressAutoHyphens w:val="0"/>
      <w:ind w:left="851" w:hanging="425"/>
    </w:pPr>
    <w:rPr>
      <w:rFonts w:hint="eastAsia" w:ascii="宋体" w:hAnsi="Times New Roman" w:eastAsia="宋体" w:cs="宋体"/>
      <w:sz w:val="21"/>
    </w:rPr>
  </w:style>
  <w:style w:type="paragraph" w:customStyle="1" w:styleId="67">
    <w:name w:val="标准文件_二级项2"/>
    <w:basedOn w:val="29"/>
    <w:next w:val="29"/>
    <w:autoRedefine/>
    <w:qFormat/>
    <w:uiPriority w:val="0"/>
    <w:pPr>
      <w:numPr>
        <w:ilvl w:val="1"/>
        <w:numId w:val="6"/>
      </w:numPr>
      <w:suppressAutoHyphens w:val="0"/>
      <w:ind w:left="1270" w:hanging="419"/>
    </w:pPr>
    <w:rPr>
      <w:rFonts w:hAnsi="Times New Roman"/>
    </w:rPr>
  </w:style>
  <w:style w:type="paragraph" w:customStyle="1" w:styleId="68">
    <w:name w:val="标准文件_三级项"/>
    <w:basedOn w:val="1"/>
    <w:next w:val="29"/>
    <w:autoRedefine/>
    <w:qFormat/>
    <w:uiPriority w:val="0"/>
    <w:pPr>
      <w:numPr>
        <w:ilvl w:val="2"/>
        <w:numId w:val="6"/>
      </w:numPr>
      <w:suppressAutoHyphens w:val="0"/>
      <w:spacing w:line="300" w:lineRule="exact"/>
      <w:ind w:left="1678" w:hanging="414"/>
    </w:pPr>
    <w:rPr>
      <w:rFonts w:hAnsi="+西文正文"/>
    </w:rPr>
  </w:style>
  <w:style w:type="paragraph" w:customStyle="1" w:styleId="69">
    <w:name w:val="标准文件_字母编号列项（一级）"/>
    <w:next w:val="29"/>
    <w:qFormat/>
    <w:uiPriority w:val="0"/>
    <w:pPr>
      <w:numPr>
        <w:ilvl w:val="0"/>
        <w:numId w:val="7"/>
      </w:numPr>
      <w:tabs>
        <w:tab w:val="left" w:pos="839"/>
      </w:tabs>
      <w:ind w:left="851" w:hanging="426"/>
      <w:jc w:val="both"/>
    </w:pPr>
    <w:rPr>
      <w:rFonts w:hint="eastAsia" w:ascii="宋体" w:hAnsi="Times New Roman" w:eastAsia="宋体" w:cs="宋体"/>
      <w:sz w:val="21"/>
    </w:rPr>
  </w:style>
  <w:style w:type="paragraph" w:customStyle="1" w:styleId="70">
    <w:name w:val="标准文件_数字编号列项（二级）"/>
    <w:next w:val="29"/>
    <w:qFormat/>
    <w:uiPriority w:val="0"/>
    <w:pPr>
      <w:numPr>
        <w:ilvl w:val="1"/>
        <w:numId w:val="7"/>
      </w:numPr>
      <w:tabs>
        <w:tab w:val="left" w:pos="1259"/>
        <w:tab w:val="clear" w:pos="1276"/>
      </w:tabs>
      <w:ind w:left="1259" w:hanging="419"/>
      <w:jc w:val="both"/>
    </w:pPr>
    <w:rPr>
      <w:rFonts w:hint="eastAsia" w:ascii="宋体" w:hAnsi="Times New Roman" w:eastAsia="宋体" w:cs="Times New Roman"/>
      <w:sz w:val="21"/>
    </w:rPr>
  </w:style>
  <w:style w:type="paragraph" w:customStyle="1" w:styleId="71">
    <w:name w:val="标准文件_引言一级无标题"/>
    <w:basedOn w:val="60"/>
    <w:next w:val="29"/>
    <w:autoRedefine/>
    <w:qFormat/>
    <w:uiPriority w:val="0"/>
    <w:pPr>
      <w:spacing w:before="4" w:beforeLines="1" w:after="4" w:afterLines="1" w:line="276" w:lineRule="auto"/>
    </w:pPr>
    <w:rPr>
      <w:rFonts w:ascii="宋体" w:hAnsi="宋体" w:eastAsia="宋体" w:cs="宋体"/>
    </w:rPr>
  </w:style>
  <w:style w:type="paragraph" w:customStyle="1" w:styleId="72">
    <w:name w:val="标准文件_引言二级无标题"/>
    <w:basedOn w:val="61"/>
    <w:next w:val="29"/>
    <w:autoRedefine/>
    <w:qFormat/>
    <w:uiPriority w:val="0"/>
    <w:pPr>
      <w:spacing w:before="4" w:beforeLines="1" w:after="4" w:afterLines="1" w:line="276" w:lineRule="auto"/>
    </w:pPr>
    <w:rPr>
      <w:rFonts w:ascii="宋体" w:hAnsi="宋体" w:eastAsia="宋体" w:cs="宋体"/>
    </w:rPr>
  </w:style>
  <w:style w:type="paragraph" w:customStyle="1" w:styleId="73">
    <w:name w:val="标准文件_引言三级无标题"/>
    <w:basedOn w:val="62"/>
    <w:next w:val="29"/>
    <w:qFormat/>
    <w:uiPriority w:val="0"/>
    <w:pPr>
      <w:spacing w:before="4" w:beforeLines="1" w:after="4" w:afterLines="1" w:line="276" w:lineRule="auto"/>
    </w:pPr>
    <w:rPr>
      <w:rFonts w:ascii="宋体" w:hAnsi="宋体" w:eastAsia="宋体" w:cs="宋体"/>
    </w:rPr>
  </w:style>
  <w:style w:type="paragraph" w:customStyle="1" w:styleId="74">
    <w:name w:val="标准文件_引言四级无标题"/>
    <w:basedOn w:val="63"/>
    <w:next w:val="29"/>
    <w:autoRedefine/>
    <w:qFormat/>
    <w:uiPriority w:val="0"/>
    <w:pPr>
      <w:spacing w:before="4" w:beforeLines="1" w:after="4" w:afterLines="1" w:line="276" w:lineRule="auto"/>
    </w:pPr>
    <w:rPr>
      <w:rFonts w:ascii="宋体" w:hAnsi="宋体" w:eastAsia="宋体" w:cs="宋体"/>
    </w:rPr>
  </w:style>
  <w:style w:type="paragraph" w:customStyle="1" w:styleId="75">
    <w:name w:val="标准文件_引言五级无标题"/>
    <w:basedOn w:val="64"/>
    <w:next w:val="29"/>
    <w:autoRedefine/>
    <w:qFormat/>
    <w:uiPriority w:val="0"/>
    <w:pPr>
      <w:spacing w:before="4" w:beforeLines="1" w:after="4" w:afterLines="1" w:line="276" w:lineRule="auto"/>
    </w:pPr>
    <w:rPr>
      <w:rFonts w:ascii="宋体" w:hAnsi="宋体" w:eastAsia="宋体" w:cs="宋体"/>
    </w:rPr>
  </w:style>
  <w:style w:type="paragraph" w:customStyle="1" w:styleId="76">
    <w:name w:val="标准文件_章标题"/>
    <w:next w:val="29"/>
    <w:qFormat/>
    <w:uiPriority w:val="0"/>
    <w:pPr>
      <w:numPr>
        <w:ilvl w:val="0"/>
        <w:numId w:val="8"/>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77">
    <w:name w:val="标准文件_一级条标题"/>
    <w:basedOn w:val="76"/>
    <w:next w:val="29"/>
    <w:qFormat/>
    <w:uiPriority w:val="0"/>
    <w:pPr>
      <w:numPr>
        <w:ilvl w:val="1"/>
      </w:numPr>
      <w:spacing w:before="157" w:beforeLines="50" w:after="157" w:afterLines="50"/>
      <w:outlineLvl w:val="1"/>
    </w:pPr>
    <w:rPr>
      <w:rFonts w:hAnsi="Times New Roman"/>
    </w:rPr>
  </w:style>
  <w:style w:type="paragraph" w:customStyle="1" w:styleId="78">
    <w:name w:val="标准文件_二级条标题"/>
    <w:next w:val="29"/>
    <w:qFormat/>
    <w:uiPriority w:val="0"/>
    <w:pPr>
      <w:numPr>
        <w:ilvl w:val="2"/>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79">
    <w:name w:val="标准文件_三级条标题"/>
    <w:basedOn w:val="78"/>
    <w:next w:val="29"/>
    <w:qFormat/>
    <w:uiPriority w:val="0"/>
    <w:pPr>
      <w:numPr>
        <w:ilvl w:val="3"/>
      </w:numPr>
      <w:spacing w:before="157" w:after="157"/>
      <w:outlineLvl w:val="3"/>
    </w:pPr>
  </w:style>
  <w:style w:type="paragraph" w:customStyle="1" w:styleId="80">
    <w:name w:val="标准文件_四级条标题"/>
    <w:next w:val="29"/>
    <w:qFormat/>
    <w:uiPriority w:val="0"/>
    <w:pPr>
      <w:numPr>
        <w:ilvl w:val="4"/>
        <w:numId w:val="8"/>
      </w:numPr>
      <w:suppressAutoHyphens w:val="0"/>
      <w:spacing w:before="157" w:beforeLines="50" w:after="157" w:afterLines="50"/>
      <w:jc w:val="both"/>
      <w:outlineLvl w:val="4"/>
    </w:pPr>
    <w:rPr>
      <w:rFonts w:hint="eastAsia" w:ascii="黑体" w:hAnsi="黑体" w:eastAsia="黑体" w:cs="黑体"/>
      <w:sz w:val="21"/>
    </w:rPr>
  </w:style>
  <w:style w:type="paragraph" w:customStyle="1" w:styleId="81">
    <w:name w:val="标准文件_五级条标题"/>
    <w:next w:val="29"/>
    <w:qFormat/>
    <w:uiPriority w:val="0"/>
    <w:pPr>
      <w:numPr>
        <w:ilvl w:val="5"/>
        <w:numId w:val="8"/>
      </w:numPr>
      <w:suppressAutoHyphens w:val="0"/>
      <w:spacing w:before="157" w:beforeLines="50" w:after="157" w:afterLines="50"/>
      <w:jc w:val="both"/>
      <w:outlineLvl w:val="4"/>
    </w:pPr>
    <w:rPr>
      <w:rFonts w:hint="eastAsia" w:ascii="黑体" w:hAnsi="黑体" w:eastAsia="黑体" w:cs="黑体"/>
      <w:sz w:val="21"/>
    </w:rPr>
  </w:style>
  <w:style w:type="paragraph" w:customStyle="1" w:styleId="82">
    <w:name w:val="标准文件_一级无标题"/>
    <w:basedOn w:val="77"/>
    <w:autoRedefine/>
    <w:qFormat/>
    <w:uiPriority w:val="0"/>
    <w:pPr>
      <w:spacing w:before="4" w:beforeLines="1" w:after="4" w:afterLines="1"/>
      <w:outlineLvl w:val="9"/>
    </w:pPr>
    <w:rPr>
      <w:rFonts w:ascii="宋体" w:hAnsi="宋体" w:eastAsia="宋体" w:cs="宋体"/>
    </w:rPr>
  </w:style>
  <w:style w:type="paragraph" w:customStyle="1" w:styleId="83">
    <w:name w:val="标准文件_二级无标题"/>
    <w:basedOn w:val="78"/>
    <w:autoRedefine/>
    <w:qFormat/>
    <w:uiPriority w:val="0"/>
    <w:pPr>
      <w:spacing w:before="4" w:beforeLines="1" w:after="4" w:afterLines="1"/>
      <w:outlineLvl w:val="9"/>
    </w:pPr>
    <w:rPr>
      <w:rFonts w:ascii="宋体" w:hAnsi="宋体" w:eastAsia="宋体" w:cs="宋体"/>
    </w:rPr>
  </w:style>
  <w:style w:type="paragraph" w:customStyle="1" w:styleId="84">
    <w:name w:val="标准文件_三级无标题"/>
    <w:basedOn w:val="79"/>
    <w:autoRedefine/>
    <w:qFormat/>
    <w:uiPriority w:val="0"/>
    <w:pPr>
      <w:spacing w:before="4" w:beforeLines="1" w:after="4" w:afterLines="1"/>
      <w:outlineLvl w:val="9"/>
    </w:pPr>
    <w:rPr>
      <w:rFonts w:ascii="宋体" w:hAnsi="宋体" w:eastAsia="宋体" w:cs="宋体"/>
    </w:rPr>
  </w:style>
  <w:style w:type="paragraph" w:customStyle="1" w:styleId="85">
    <w:name w:val="标准文件_四级无标题"/>
    <w:basedOn w:val="80"/>
    <w:autoRedefine/>
    <w:qFormat/>
    <w:uiPriority w:val="0"/>
    <w:pPr>
      <w:spacing w:before="4" w:beforeLines="1" w:after="4" w:afterLines="1"/>
      <w:outlineLvl w:val="9"/>
    </w:pPr>
    <w:rPr>
      <w:rFonts w:ascii="宋体" w:hAnsi="宋体" w:eastAsia="宋体" w:cs="宋体"/>
    </w:rPr>
  </w:style>
  <w:style w:type="paragraph" w:customStyle="1" w:styleId="86">
    <w:name w:val="标准文件_五级无标题"/>
    <w:basedOn w:val="81"/>
    <w:autoRedefine/>
    <w:qFormat/>
    <w:uiPriority w:val="0"/>
    <w:pPr>
      <w:spacing w:before="4" w:beforeLines="1" w:after="4" w:afterLines="1"/>
      <w:outlineLvl w:val="9"/>
    </w:pPr>
    <w:rPr>
      <w:rFonts w:ascii="宋体" w:hAnsi="宋体" w:eastAsia="宋体" w:cs="宋体"/>
    </w:rPr>
  </w:style>
  <w:style w:type="paragraph" w:customStyle="1" w:styleId="87">
    <w:name w:val="标准文件_术语条一"/>
    <w:basedOn w:val="82"/>
    <w:next w:val="29"/>
    <w:autoRedefine/>
    <w:qFormat/>
    <w:uiPriority w:val="0"/>
    <w:pPr>
      <w:ind w:left="960" w:hanging="960" w:hangingChars="200"/>
    </w:pPr>
    <w:rPr>
      <w:rFonts w:ascii="黑体" w:hAnsi="黑体" w:eastAsia="黑体" w:cs="黑体"/>
    </w:rPr>
  </w:style>
  <w:style w:type="paragraph" w:customStyle="1" w:styleId="88">
    <w:name w:val="标准文件_术语条二"/>
    <w:basedOn w:val="83"/>
    <w:next w:val="29"/>
    <w:autoRedefine/>
    <w:qFormat/>
    <w:uiPriority w:val="0"/>
    <w:pPr>
      <w:ind w:left="960" w:hanging="960" w:hangingChars="200"/>
    </w:pPr>
    <w:rPr>
      <w:rFonts w:ascii="黑体" w:hAnsi="黑体" w:eastAsia="黑体" w:cs="黑体"/>
    </w:rPr>
  </w:style>
  <w:style w:type="paragraph" w:customStyle="1" w:styleId="89">
    <w:name w:val="标准文件_术语条三"/>
    <w:basedOn w:val="84"/>
    <w:next w:val="29"/>
    <w:autoRedefine/>
    <w:qFormat/>
    <w:uiPriority w:val="0"/>
    <w:pPr>
      <w:ind w:left="960" w:hanging="960" w:hangingChars="200"/>
    </w:pPr>
    <w:rPr>
      <w:rFonts w:ascii="黑体" w:hAnsi="黑体" w:eastAsia="黑体" w:cs="黑体"/>
    </w:rPr>
  </w:style>
  <w:style w:type="paragraph" w:customStyle="1" w:styleId="90">
    <w:name w:val="标准文件_术语条四"/>
    <w:basedOn w:val="85"/>
    <w:next w:val="29"/>
    <w:autoRedefine/>
    <w:qFormat/>
    <w:uiPriority w:val="0"/>
    <w:pPr>
      <w:ind w:left="960" w:hanging="960" w:hangingChars="200"/>
    </w:pPr>
    <w:rPr>
      <w:rFonts w:ascii="黑体" w:hAnsi="黑体" w:eastAsia="黑体" w:cs="黑体"/>
    </w:rPr>
  </w:style>
  <w:style w:type="paragraph" w:customStyle="1" w:styleId="91">
    <w:name w:val="标准文件_术语条五"/>
    <w:basedOn w:val="86"/>
    <w:next w:val="29"/>
    <w:autoRedefine/>
    <w:qFormat/>
    <w:uiPriority w:val="0"/>
    <w:pPr>
      <w:ind w:left="960" w:hanging="960" w:hangingChars="200"/>
    </w:pPr>
    <w:rPr>
      <w:rFonts w:ascii="黑体" w:hAnsi="黑体" w:eastAsia="黑体" w:cs="黑体"/>
    </w:rPr>
  </w:style>
  <w:style w:type="paragraph" w:customStyle="1" w:styleId="92">
    <w:name w:val="标准文件_附录标识"/>
    <w:basedOn w:val="1"/>
    <w:next w:val="29"/>
    <w:autoRedefine/>
    <w:qFormat/>
    <w:uiPriority w:val="0"/>
    <w:pPr>
      <w:widowControl/>
      <w:numPr>
        <w:ilvl w:val="0"/>
        <w:numId w:val="9"/>
      </w:numPr>
      <w:suppressAutoHyphens w:val="0"/>
      <w:spacing w:before="79" w:beforeLines="25" w:after="157" w:afterLines="50"/>
      <w:jc w:val="center"/>
      <w:outlineLvl w:val="0"/>
    </w:pPr>
    <w:rPr>
      <w:rFonts w:ascii="黑体" w:hAnsi="黑体" w:eastAsia="黑体" w:cs="黑体"/>
    </w:rPr>
  </w:style>
  <w:style w:type="paragraph" w:customStyle="1" w:styleId="93">
    <w:name w:val="标准文件_附录一级条标题"/>
    <w:next w:val="29"/>
    <w:autoRedefine/>
    <w:qFormat/>
    <w:uiPriority w:val="0"/>
    <w:pPr>
      <w:numPr>
        <w:ilvl w:val="1"/>
        <w:numId w:val="9"/>
      </w:numPr>
      <w:suppressAutoHyphens w:val="0"/>
      <w:spacing w:before="157" w:beforeLines="50" w:after="157" w:afterLines="50"/>
      <w:jc w:val="both"/>
      <w:outlineLvl w:val="2"/>
    </w:pPr>
    <w:rPr>
      <w:rFonts w:hint="eastAsia" w:ascii="黑体" w:hAnsi="黑体" w:eastAsia="黑体" w:cs="黑体"/>
      <w:sz w:val="21"/>
    </w:rPr>
  </w:style>
  <w:style w:type="paragraph" w:customStyle="1" w:styleId="94">
    <w:name w:val="标准文件_附录二级条标题"/>
    <w:next w:val="29"/>
    <w:autoRedefine/>
    <w:qFormat/>
    <w:uiPriority w:val="0"/>
    <w:pPr>
      <w:numPr>
        <w:ilvl w:val="2"/>
        <w:numId w:val="9"/>
      </w:numPr>
      <w:suppressAutoHyphens w:val="0"/>
      <w:spacing w:before="157" w:beforeLines="50" w:after="157" w:afterLines="50"/>
      <w:jc w:val="both"/>
      <w:outlineLvl w:val="2"/>
    </w:pPr>
    <w:rPr>
      <w:rFonts w:hint="eastAsia" w:ascii="黑体" w:hAnsi="黑体" w:eastAsia="黑体" w:cs="黑体"/>
      <w:sz w:val="21"/>
    </w:rPr>
  </w:style>
  <w:style w:type="paragraph" w:customStyle="1" w:styleId="95">
    <w:name w:val="标准文件_附录三级条标题"/>
    <w:next w:val="29"/>
    <w:autoRedefine/>
    <w:qFormat/>
    <w:uiPriority w:val="0"/>
    <w:pPr>
      <w:numPr>
        <w:ilvl w:val="3"/>
        <w:numId w:val="9"/>
      </w:numPr>
      <w:suppressAutoHyphens w:val="0"/>
      <w:spacing w:before="157" w:beforeLines="50" w:after="157" w:afterLines="50"/>
      <w:jc w:val="both"/>
      <w:outlineLvl w:val="2"/>
    </w:pPr>
    <w:rPr>
      <w:rFonts w:hint="eastAsia" w:ascii="黑体" w:hAnsi="黑体" w:eastAsia="黑体" w:cs="黑体"/>
      <w:sz w:val="21"/>
    </w:rPr>
  </w:style>
  <w:style w:type="paragraph" w:customStyle="1" w:styleId="96">
    <w:name w:val="标准文件_附录四级条标题"/>
    <w:next w:val="29"/>
    <w:autoRedefine/>
    <w:qFormat/>
    <w:uiPriority w:val="0"/>
    <w:pPr>
      <w:numPr>
        <w:ilvl w:val="4"/>
        <w:numId w:val="9"/>
      </w:numPr>
      <w:suppressAutoHyphens w:val="0"/>
      <w:spacing w:before="157" w:beforeLines="50" w:after="157" w:afterLines="50"/>
      <w:jc w:val="both"/>
      <w:outlineLvl w:val="2"/>
    </w:pPr>
    <w:rPr>
      <w:rFonts w:hint="eastAsia" w:ascii="黑体" w:hAnsi="黑体" w:eastAsia="黑体" w:cs="黑体"/>
      <w:sz w:val="21"/>
    </w:rPr>
  </w:style>
  <w:style w:type="paragraph" w:customStyle="1" w:styleId="97">
    <w:name w:val="标准文件_附录五级条标题"/>
    <w:next w:val="29"/>
    <w:qFormat/>
    <w:uiPriority w:val="0"/>
    <w:pPr>
      <w:numPr>
        <w:ilvl w:val="5"/>
        <w:numId w:val="9"/>
      </w:numPr>
      <w:suppressAutoHyphens w:val="0"/>
      <w:spacing w:before="157" w:beforeLines="50" w:after="157" w:afterLines="50"/>
      <w:jc w:val="both"/>
      <w:outlineLvl w:val="2"/>
    </w:pPr>
    <w:rPr>
      <w:rFonts w:hint="eastAsia" w:ascii="黑体" w:hAnsi="黑体" w:eastAsia="黑体" w:cs="黑体"/>
      <w:sz w:val="21"/>
    </w:rPr>
  </w:style>
  <w:style w:type="paragraph" w:customStyle="1" w:styleId="98">
    <w:name w:val="标准文件_附录一级无标题"/>
    <w:basedOn w:val="93"/>
    <w:autoRedefine/>
    <w:qFormat/>
    <w:uiPriority w:val="0"/>
    <w:pPr>
      <w:spacing w:before="4" w:beforeLines="1" w:after="4" w:afterLines="1" w:line="276" w:lineRule="auto"/>
    </w:pPr>
    <w:rPr>
      <w:rFonts w:ascii="宋体" w:hAnsi="宋体" w:eastAsia="宋体" w:cs="宋体"/>
    </w:rPr>
  </w:style>
  <w:style w:type="paragraph" w:customStyle="1" w:styleId="99">
    <w:name w:val="标准文件_附录二级无标题"/>
    <w:basedOn w:val="94"/>
    <w:autoRedefine/>
    <w:qFormat/>
    <w:uiPriority w:val="0"/>
    <w:pPr>
      <w:spacing w:before="4" w:beforeLines="1" w:after="4" w:afterLines="1" w:line="276" w:lineRule="auto"/>
    </w:pPr>
    <w:rPr>
      <w:rFonts w:ascii="宋体" w:hAnsi="宋体" w:eastAsia="宋体" w:cs="宋体"/>
    </w:rPr>
  </w:style>
  <w:style w:type="paragraph" w:customStyle="1" w:styleId="100">
    <w:name w:val="标准文件_附录三级无标题"/>
    <w:basedOn w:val="95"/>
    <w:autoRedefine/>
    <w:qFormat/>
    <w:uiPriority w:val="0"/>
    <w:pPr>
      <w:spacing w:before="4" w:beforeLines="1" w:after="4" w:afterLines="1" w:line="276" w:lineRule="auto"/>
    </w:pPr>
    <w:rPr>
      <w:rFonts w:ascii="宋体" w:hAnsi="宋体" w:eastAsia="宋体" w:cs="宋体"/>
    </w:rPr>
  </w:style>
  <w:style w:type="paragraph" w:customStyle="1" w:styleId="101">
    <w:name w:val="标准文件_附录四级无标题"/>
    <w:basedOn w:val="96"/>
    <w:autoRedefine/>
    <w:qFormat/>
    <w:uiPriority w:val="0"/>
    <w:pPr>
      <w:spacing w:before="4" w:beforeLines="1" w:after="4" w:afterLines="1" w:line="276" w:lineRule="auto"/>
    </w:pPr>
    <w:rPr>
      <w:rFonts w:ascii="宋体" w:hAnsi="宋体" w:eastAsia="宋体" w:cs="宋体"/>
    </w:rPr>
  </w:style>
  <w:style w:type="paragraph" w:customStyle="1" w:styleId="102">
    <w:name w:val="标准文件_附录五级无标题"/>
    <w:basedOn w:val="97"/>
    <w:autoRedefine/>
    <w:qFormat/>
    <w:uiPriority w:val="0"/>
    <w:pPr>
      <w:spacing w:before="4" w:beforeLines="1" w:after="4" w:afterLines="1" w:line="276" w:lineRule="auto"/>
    </w:pPr>
    <w:rPr>
      <w:rFonts w:ascii="宋体" w:hAnsi="宋体" w:eastAsia="宋体" w:cs="宋体"/>
    </w:rPr>
  </w:style>
  <w:style w:type="paragraph" w:customStyle="1" w:styleId="103">
    <w:name w:val="附录图标号"/>
    <w:basedOn w:val="29"/>
    <w:next w:val="29"/>
    <w:qFormat/>
    <w:uiPriority w:val="0"/>
    <w:pPr>
      <w:numPr>
        <w:ilvl w:val="0"/>
        <w:numId w:val="3"/>
      </w:numPr>
      <w:spacing w:line="14" w:lineRule="exact"/>
      <w:ind w:left="0"/>
      <w:jc w:val="center"/>
    </w:pPr>
    <w:rPr>
      <w:sz w:val="2"/>
    </w:rPr>
  </w:style>
  <w:style w:type="paragraph" w:customStyle="1" w:styleId="104">
    <w:name w:val="附录图标题"/>
    <w:next w:val="29"/>
    <w:autoRedefine/>
    <w:qFormat/>
    <w:uiPriority w:val="0"/>
    <w:pPr>
      <w:numPr>
        <w:ilvl w:val="1"/>
        <w:numId w:val="3"/>
      </w:numPr>
      <w:spacing w:before="157" w:beforeLines="50" w:after="157" w:afterLines="50"/>
      <w:jc w:val="center"/>
    </w:pPr>
    <w:rPr>
      <w:rFonts w:hint="eastAsia" w:ascii="黑体" w:hAnsi="黑体" w:eastAsia="黑体" w:cs="黑体"/>
      <w:sz w:val="21"/>
    </w:rPr>
  </w:style>
  <w:style w:type="paragraph" w:customStyle="1" w:styleId="105">
    <w:name w:val="附录表标号"/>
    <w:basedOn w:val="29"/>
    <w:next w:val="29"/>
    <w:qFormat/>
    <w:uiPriority w:val="0"/>
    <w:pPr>
      <w:numPr>
        <w:ilvl w:val="0"/>
        <w:numId w:val="10"/>
      </w:numPr>
      <w:spacing w:line="14" w:lineRule="exact"/>
      <w:ind w:left="0"/>
      <w:jc w:val="center"/>
    </w:pPr>
    <w:rPr>
      <w:sz w:val="2"/>
    </w:rPr>
  </w:style>
  <w:style w:type="paragraph" w:customStyle="1" w:styleId="106">
    <w:name w:val="附录表标题"/>
    <w:next w:val="29"/>
    <w:autoRedefine/>
    <w:qFormat/>
    <w:uiPriority w:val="0"/>
    <w:pPr>
      <w:numPr>
        <w:ilvl w:val="1"/>
        <w:numId w:val="10"/>
      </w:numPr>
      <w:spacing w:before="157" w:beforeLines="50" w:after="157" w:afterLines="50"/>
      <w:jc w:val="center"/>
    </w:pPr>
    <w:rPr>
      <w:rFonts w:hint="eastAsia" w:ascii="黑体" w:hAnsi="黑体" w:eastAsia="黑体" w:cs="黑体"/>
      <w:sz w:val="21"/>
    </w:rPr>
  </w:style>
  <w:style w:type="paragraph" w:customStyle="1" w:styleId="107">
    <w:name w:val="标准文件_示例内容"/>
    <w:basedOn w:val="29"/>
    <w:autoRedefine/>
    <w:qFormat/>
    <w:uiPriority w:val="0"/>
    <w:pPr>
      <w:suppressAutoHyphens w:val="0"/>
    </w:pPr>
    <w:rPr>
      <w:rFonts w:hAnsi="宋体"/>
      <w:sz w:val="18"/>
    </w:rPr>
  </w:style>
  <w:style w:type="paragraph" w:customStyle="1" w:styleId="108">
    <w:name w:val="标准文件_示例"/>
    <w:next w:val="107"/>
    <w:autoRedefine/>
    <w:qFormat/>
    <w:uiPriority w:val="0"/>
    <w:pPr>
      <w:numPr>
        <w:ilvl w:val="0"/>
        <w:numId w:val="11"/>
      </w:numPr>
      <w:suppressAutoHyphens w:val="0"/>
      <w:jc w:val="both"/>
    </w:pPr>
    <w:rPr>
      <w:rFonts w:hint="eastAsia" w:ascii="宋体" w:hAnsi="宋体" w:eastAsia="宋体" w:cs="宋体"/>
      <w:sz w:val="18"/>
    </w:rPr>
  </w:style>
  <w:style w:type="paragraph" w:customStyle="1" w:styleId="109">
    <w:name w:val="标准文件_示例×"/>
    <w:basedOn w:val="1"/>
    <w:next w:val="107"/>
    <w:autoRedefine/>
    <w:qFormat/>
    <w:uiPriority w:val="0"/>
    <w:pPr>
      <w:widowControl/>
      <w:numPr>
        <w:ilvl w:val="0"/>
        <w:numId w:val="12"/>
      </w:numPr>
      <w:suppressAutoHyphens w:val="0"/>
      <w:ind w:firstLine="363"/>
    </w:pPr>
    <w:rPr>
      <w:rFonts w:hAnsi="Times New Roman"/>
      <w:sz w:val="18"/>
    </w:rPr>
  </w:style>
  <w:style w:type="paragraph" w:customStyle="1" w:styleId="110">
    <w:name w:val="标准文件_注"/>
    <w:next w:val="29"/>
    <w:autoRedefine/>
    <w:qFormat/>
    <w:uiPriority w:val="0"/>
    <w:pPr>
      <w:numPr>
        <w:ilvl w:val="0"/>
        <w:numId w:val="13"/>
      </w:numPr>
      <w:autoSpaceDE w:val="0"/>
      <w:autoSpaceDN w:val="0"/>
      <w:jc w:val="both"/>
    </w:pPr>
    <w:rPr>
      <w:rFonts w:hint="eastAsia" w:ascii="宋体" w:hAnsi="宋体" w:eastAsia="宋体" w:cs="宋体"/>
      <w:sz w:val="18"/>
    </w:rPr>
  </w:style>
  <w:style w:type="paragraph" w:customStyle="1" w:styleId="111">
    <w:name w:val="标准文件_注×"/>
    <w:next w:val="29"/>
    <w:autoRedefine/>
    <w:qFormat/>
    <w:uiPriority w:val="0"/>
    <w:pPr>
      <w:numPr>
        <w:ilvl w:val="0"/>
        <w:numId w:val="14"/>
      </w:numPr>
      <w:jc w:val="both"/>
    </w:pPr>
    <w:rPr>
      <w:rFonts w:hint="eastAsia" w:ascii="宋体" w:hAnsi="宋体" w:eastAsia="宋体" w:cs="宋体"/>
      <w:sz w:val="18"/>
    </w:rPr>
  </w:style>
  <w:style w:type="paragraph" w:customStyle="1" w:styleId="112">
    <w:name w:val="标准文件_图表脚注"/>
    <w:basedOn w:val="1"/>
    <w:next w:val="29"/>
    <w:qFormat/>
    <w:uiPriority w:val="0"/>
    <w:pPr>
      <w:numPr>
        <w:ilvl w:val="0"/>
        <w:numId w:val="15"/>
      </w:numPr>
      <w:suppressAutoHyphens w:val="0"/>
      <w:adjustRightInd w:val="0"/>
      <w:jc w:val="left"/>
    </w:pPr>
    <w:rPr>
      <w:rFonts w:hAnsi="宋体"/>
      <w:sz w:val="18"/>
    </w:rPr>
  </w:style>
  <w:style w:type="paragraph" w:customStyle="1" w:styleId="113">
    <w:name w:val="标准文件_标准正文"/>
    <w:basedOn w:val="1"/>
    <w:next w:val="29"/>
    <w:autoRedefine/>
    <w:qFormat/>
    <w:uiPriority w:val="0"/>
    <w:pPr>
      <w:ind w:firstLine="960" w:firstLineChars="200"/>
    </w:pPr>
  </w:style>
  <w:style w:type="paragraph" w:customStyle="1" w:styleId="114">
    <w:name w:val="标准文件_正文公式"/>
    <w:basedOn w:val="1"/>
    <w:next w:val="113"/>
    <w:autoRedefine/>
    <w:qFormat/>
    <w:uiPriority w:val="0"/>
    <w:pPr>
      <w:tabs>
        <w:tab w:val="center" w:pos="4678"/>
        <w:tab w:val="right" w:leader="middleDot" w:pos="9355"/>
      </w:tabs>
    </w:pPr>
  </w:style>
  <w:style w:type="paragraph" w:customStyle="1" w:styleId="115">
    <w:name w:val="标准文件_表格"/>
    <w:basedOn w:val="29"/>
    <w:qFormat/>
    <w:uiPriority w:val="0"/>
    <w:pPr>
      <w:jc w:val="center"/>
    </w:pPr>
    <w:rPr>
      <w:sz w:val="18"/>
    </w:rPr>
  </w:style>
  <w:style w:type="paragraph" w:customStyle="1" w:styleId="116">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17">
    <w:name w:val="标准文件_正文表标题"/>
    <w:next w:val="29"/>
    <w:autoRedefine/>
    <w:qFormat/>
    <w:uiPriority w:val="0"/>
    <w:pPr>
      <w:numPr>
        <w:ilvl w:val="0"/>
        <w:numId w:val="16"/>
      </w:numPr>
      <w:spacing w:before="157" w:beforeLines="50" w:after="157" w:afterLines="50"/>
      <w:jc w:val="center"/>
    </w:pPr>
    <w:rPr>
      <w:rFonts w:hint="eastAsia" w:ascii="黑体" w:hAnsi="黑体" w:eastAsia="黑体" w:cs="黑体"/>
      <w:sz w:val="21"/>
    </w:rPr>
  </w:style>
  <w:style w:type="paragraph" w:customStyle="1" w:styleId="118">
    <w:name w:val="标准文件_正文图标题"/>
    <w:next w:val="29"/>
    <w:autoRedefine/>
    <w:qFormat/>
    <w:uiPriority w:val="0"/>
    <w:pPr>
      <w:numPr>
        <w:ilvl w:val="0"/>
        <w:numId w:val="17"/>
      </w:numPr>
      <w:spacing w:before="157" w:beforeLines="50" w:after="157" w:afterLines="50"/>
      <w:jc w:val="center"/>
    </w:pPr>
    <w:rPr>
      <w:rFonts w:hint="eastAsia" w:ascii="黑体" w:hAnsi="黑体" w:eastAsia="黑体" w:cs="黑体"/>
      <w:sz w:val="21"/>
    </w:rPr>
  </w:style>
  <w:style w:type="paragraph" w:customStyle="1" w:styleId="119">
    <w:name w:val="标准文件_索引标题"/>
    <w:basedOn w:val="38"/>
    <w:next w:val="29"/>
    <w:qFormat/>
    <w:uiPriority w:val="0"/>
    <w:rPr>
      <w:rFonts w:hAnsi="黑体"/>
    </w:rPr>
  </w:style>
  <w:style w:type="paragraph" w:customStyle="1" w:styleId="120">
    <w:name w:val="标准文件_索引项"/>
    <w:basedOn w:val="29"/>
    <w:next w:val="29"/>
    <w:qFormat/>
    <w:uiPriority w:val="0"/>
    <w:pPr>
      <w:tabs>
        <w:tab w:val="right" w:leader="dot" w:pos="9355"/>
      </w:tabs>
      <w:autoSpaceDE w:val="0"/>
      <w:autoSpaceDN w:val="0"/>
      <w:ind w:left="177" w:hanging="177" w:hangingChars="37"/>
      <w:jc w:val="left"/>
    </w:pPr>
  </w:style>
  <w:style w:type="paragraph" w:customStyle="1" w:styleId="121">
    <w:name w:val="标准文件_索引字母"/>
    <w:next w:val="29"/>
    <w:qFormat/>
    <w:uiPriority w:val="0"/>
    <w:pPr>
      <w:jc w:val="center"/>
    </w:pPr>
    <w:rPr>
      <w:rFonts w:hint="eastAsia" w:ascii="宋体" w:hAnsi="宋体" w:eastAsia="宋体" w:cs="宋体"/>
      <w:b/>
      <w:kern w:val="2"/>
      <w:sz w:val="21"/>
    </w:rPr>
  </w:style>
  <w:style w:type="paragraph" w:customStyle="1" w:styleId="122">
    <w:name w:val="标准文件_提示"/>
    <w:basedOn w:val="1"/>
    <w:qFormat/>
    <w:uiPriority w:val="0"/>
    <w:pPr>
      <w:ind w:firstLine="960" w:firstLineChars="200"/>
    </w:pPr>
    <w:rPr>
      <w:rFonts w:ascii="黑体" w:hAnsi="黑体" w:eastAsia="黑体" w:cs="黑体"/>
    </w:rPr>
  </w:style>
  <w:style w:type="paragraph" w:customStyle="1" w:styleId="123">
    <w:name w:val="标准文件_参考文献编号"/>
    <w:basedOn w:val="29"/>
    <w:qFormat/>
    <w:uiPriority w:val="0"/>
    <w:pPr>
      <w:numPr>
        <w:ilvl w:val="0"/>
        <w:numId w:val="18"/>
      </w:numPr>
    </w:pPr>
  </w:style>
  <w:style w:type="character" w:customStyle="1" w:styleId="124">
    <w:name w:val="标准文件_正文标准名称 Char"/>
    <w:link w:val="65"/>
    <w:autoRedefine/>
    <w:qFormat/>
    <w:uiPriority w:val="0"/>
    <w:rPr>
      <w:rFonts w:ascii="黑体" w:hAnsi="黑体" w:eastAsia="黑体" w:cs="黑体"/>
      <w:sz w:val="32"/>
    </w:rPr>
  </w:style>
  <w:style w:type="paragraph" w:customStyle="1" w:styleId="125">
    <w:name w:val="Definition"/>
    <w:basedOn w:val="13"/>
    <w:autoRedefine/>
    <w:qFormat/>
    <w:uiPriority w:val="0"/>
    <w:pPr>
      <w:spacing w:line="230" w:lineRule="atLeast"/>
    </w:pPr>
  </w:style>
  <w:style w:type="paragraph" w:styleId="126">
    <w:name w:val="List Paragraph"/>
    <w:basedOn w:val="1"/>
    <w:autoRedefine/>
    <w:qFormat/>
    <w:uiPriority w:val="99"/>
    <w:pPr>
      <w:ind w:left="720"/>
      <w:contextualSpacing/>
    </w:pPr>
  </w:style>
  <w:style w:type="paragraph" w:customStyle="1" w:styleId="127">
    <w:name w:val="List Continue 1"/>
    <w:basedOn w:val="13"/>
    <w:autoRedefine/>
    <w:qFormat/>
    <w:uiPriority w:val="0"/>
    <w:pPr>
      <w:tabs>
        <w:tab w:val="clear" w:pos="397"/>
        <w:tab w:val="clear" w:pos="794"/>
        <w:tab w:val="clear" w:pos="1191"/>
        <w:tab w:val="clear" w:pos="1588"/>
        <w:tab w:val="clear" w:pos="1985"/>
        <w:tab w:val="clear" w:pos="2381"/>
        <w:tab w:val="clear" w:pos="2778"/>
        <w:tab w:val="clear" w:pos="3175"/>
        <w:tab w:val="clear" w:pos="3572"/>
        <w:tab w:val="clear" w:pos="3969"/>
      </w:tabs>
      <w:ind w:left="403" w:hanging="403"/>
    </w:pPr>
  </w:style>
  <w:style w:type="paragraph" w:customStyle="1" w:styleId="128">
    <w:name w:val="Biblio Entry"/>
    <w:basedOn w:val="13"/>
    <w:autoRedefine/>
    <w:qFormat/>
    <w:uiPriority w:val="0"/>
    <w:pPr>
      <w:ind w:left="662" w:hanging="662"/>
      <w:jc w:val="left"/>
    </w:pPr>
  </w:style>
  <w:style w:type="character" w:customStyle="1" w:styleId="129">
    <w:name w:val="bib_number"/>
    <w:autoRedefine/>
    <w:qFormat/>
    <w:uiPriority w:val="0"/>
    <w:rPr>
      <w:rFonts w:ascii="Cambria" w:hAnsi="Cambria"/>
      <w:shd w:val="clear" w:color="auto" w:fill="CCCCFF"/>
    </w:rPr>
  </w:style>
  <w:style w:type="character" w:customStyle="1" w:styleId="130">
    <w:name w:val="std_publisher"/>
    <w:autoRedefine/>
    <w:qFormat/>
    <w:uiPriority w:val="0"/>
    <w:rPr>
      <w:rFonts w:ascii="Cambria" w:hAnsi="Cambria"/>
      <w:shd w:val="clear" w:color="auto" w:fill="C6D9F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471050c-cc0d-4e00-9d29-104317b947f0}"/>
        <w:style w:val=""/>
        <w:category>
          <w:name w:val="常规"/>
          <w:gallery w:val="placeholder"/>
        </w:category>
        <w:types>
          <w:type w:val="bbPlcHdr"/>
        </w:types>
        <w:behaviors>
          <w:behavior w:val="content"/>
        </w:behaviors>
        <w:description w:val=""/>
        <w:guid w:val="{a471050c-cc0d-4e00-9d29-104317b947f0}"/>
      </w:docPartPr>
      <w:docPartBody>
        <w:p w14:paraId="28389A54">
          <w:r>
            <w:rPr>
              <w:color w:val="808080"/>
            </w:rPr>
            <w:t>选择一项。</w:t>
          </w:r>
        </w:p>
      </w:docPartBody>
    </w:docPart>
    <w:docPart>
      <w:docPartPr>
        <w:name w:val="{00611d0a-0db4-4b4e-a0ee-754ef9815f3c}"/>
        <w:style w:val=""/>
        <w:category>
          <w:name w:val="常规"/>
          <w:gallery w:val="placeholder"/>
        </w:category>
        <w:types>
          <w:type w:val="bbPlcHdr"/>
        </w:types>
        <w:behaviors>
          <w:behavior w:val="content"/>
        </w:behaviors>
        <w:description w:val=""/>
        <w:guid w:val="{00611d0a-0db4-4b4e-a0ee-754ef9815f3c}"/>
      </w:docPartPr>
      <w:docPartBody>
        <w:p w14:paraId="0BE5A5A0">
          <w:r>
            <w:rPr>
              <w:color w:val="808080"/>
            </w:rPr>
            <w:t>选择一项。</w:t>
          </w:r>
        </w:p>
      </w:docPartBody>
    </w:docPart>
    <w:docPart>
      <w:docPartPr>
        <w:name w:val="{3d408378-0043-4eae-be5b-8e0752c965f0}"/>
        <w:style w:val=""/>
        <w:category>
          <w:name w:val="常规"/>
          <w:gallery w:val="placeholder"/>
        </w:category>
        <w:types>
          <w:type w:val="bbPlcHdr"/>
        </w:types>
        <w:behaviors>
          <w:behavior w:val="content"/>
        </w:behaviors>
        <w:description w:val=""/>
        <w:guid w:val="{3d408378-0043-4eae-be5b-8e0752c965f0}"/>
      </w:docPartPr>
      <w:docPartBody>
        <w:p w14:paraId="127294E9">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15756</Words>
  <Characters>16094</Characters>
  <Lines>0</Lines>
  <Paragraphs>0</Paragraphs>
  <TotalTime>36</TotalTime>
  <ScaleCrop>false</ScaleCrop>
  <LinksUpToDate>false</LinksUpToDate>
  <CharactersWithSpaces>16393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2024-02-20T09:21:00Z</dcterms:created>
  <dc:creator>旺旺</dc:creator>
  <cp:lastModifiedBy>佳莹</cp:lastModifiedBy>
  <dcterms:modified xsi:type="dcterms:W3CDTF">2024-11-07T01:54:19Z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704EAF82378D46AD9F7FE1177CBDADD4_13</vt:lpwstr>
  </property>
</Properties>
</file>