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A9A6B3">
      <w:pPr>
        <w:framePr w:wrap="auto" w:vAnchor="margin" w:hAnchor="text" w:yAlign="inline"/>
        <w:spacing w:line="300" w:lineRule="auto"/>
        <w:jc w:val="center"/>
        <w:outlineLvl w:val="0"/>
        <w:rPr>
          <w:rFonts w:ascii="宋体" w:hAnsi="宋体" w:eastAsia="Arial Unicode MS" w:cs="宋体"/>
          <w:b/>
          <w:bCs/>
          <w:sz w:val="32"/>
          <w:szCs w:val="32"/>
          <w:lang w:val="zh-TW" w:eastAsia="zh-TW"/>
        </w:rPr>
      </w:pPr>
      <w:r>
        <w:rPr>
          <w:rFonts w:hint="cs" w:ascii="宋体" w:hAnsi="宋体" w:eastAsia="宋体" w:cs="宋体"/>
          <w:b/>
          <w:bCs/>
          <w:sz w:val="32"/>
          <w:szCs w:val="32"/>
          <w:lang w:val="zh-TW" w:eastAsia="zh-TW"/>
        </w:rPr>
        <w:t>《</w:t>
      </w:r>
      <w:r>
        <w:rPr>
          <w:rFonts w:hint="eastAsia" w:ascii="宋体" w:hAnsi="宋体" w:eastAsia="宋体" w:cs="宋体"/>
          <w:b/>
          <w:bCs/>
          <w:color w:val="auto"/>
          <w:sz w:val="32"/>
          <w:szCs w:val="32"/>
          <w:lang w:val="en-US" w:eastAsia="zh-CN"/>
        </w:rPr>
        <w:t>合作业务关系管理-知识产权（</w:t>
      </w:r>
      <w:r>
        <w:rPr>
          <w:rFonts w:hint="default" w:ascii="Times New Roman" w:hAnsi="Times New Roman" w:eastAsia="宋体" w:cs="Times New Roman"/>
          <w:b/>
          <w:bCs/>
          <w:color w:val="auto"/>
          <w:sz w:val="32"/>
          <w:szCs w:val="32"/>
          <w:lang w:val="en-US" w:eastAsia="zh-CN"/>
        </w:rPr>
        <w:t>IP</w:t>
      </w:r>
      <w:r>
        <w:rPr>
          <w:rFonts w:hint="eastAsia" w:ascii="宋体" w:hAnsi="宋体" w:eastAsia="宋体" w:cs="宋体"/>
          <w:b/>
          <w:bCs/>
          <w:color w:val="auto"/>
          <w:sz w:val="32"/>
          <w:szCs w:val="32"/>
          <w:lang w:val="en-US" w:eastAsia="zh-CN"/>
        </w:rPr>
        <w:t>）许可指南</w:t>
      </w:r>
      <w:r>
        <w:rPr>
          <w:rFonts w:hint="cs" w:ascii="宋体" w:hAnsi="宋体" w:eastAsia="宋体" w:cs="宋体"/>
          <w:b/>
          <w:bCs/>
          <w:sz w:val="32"/>
          <w:szCs w:val="32"/>
          <w:lang w:val="zh-TW" w:eastAsia="zh-TW"/>
        </w:rPr>
        <w:t>》</w:t>
      </w:r>
    </w:p>
    <w:p w14:paraId="03279499">
      <w:pPr>
        <w:framePr w:wrap="auto" w:vAnchor="margin" w:hAnchor="text" w:yAlign="inline"/>
        <w:spacing w:line="300" w:lineRule="auto"/>
        <w:jc w:val="center"/>
        <w:outlineLvl w:val="0"/>
        <w:rPr>
          <w:rFonts w:ascii="宋体" w:hAnsi="宋体" w:eastAsia="宋体" w:cs="宋体"/>
          <w:b/>
          <w:bCs/>
          <w:kern w:val="0"/>
          <w:sz w:val="24"/>
          <w:szCs w:val="24"/>
          <w:lang w:eastAsia="zh-TW"/>
        </w:rPr>
      </w:pPr>
      <w:r>
        <w:rPr>
          <w:rFonts w:ascii="宋体" w:hAnsi="宋体" w:eastAsia="宋体" w:cs="宋体"/>
          <w:b/>
          <w:bCs/>
          <w:sz w:val="32"/>
          <w:szCs w:val="32"/>
          <w:lang w:val="zh-TW" w:eastAsia="zh-TW"/>
        </w:rPr>
        <w:t>团体标准编制说明</w:t>
      </w:r>
    </w:p>
    <w:p w14:paraId="207C5447">
      <w:pPr>
        <w:pStyle w:val="13"/>
        <w:framePr w:wrap="auto" w:vAnchor="margin" w:hAnchor="text" w:yAlign="inline"/>
        <w:numPr>
          <w:ilvl w:val="0"/>
          <w:numId w:val="2"/>
        </w:numPr>
        <w:spacing w:line="360" w:lineRule="auto"/>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0FFAC140">
      <w:pPr>
        <w:framePr w:wrap="auto" w:vAnchor="margin" w:hAnchor="text" w:yAlign="inline"/>
        <w:spacing w:line="360" w:lineRule="auto"/>
        <w:ind w:firstLine="480"/>
        <w:rPr>
          <w:rFonts w:hint="default" w:ascii="Times New Roman" w:hAnsi="Times New Roman" w:eastAsia="宋体" w:cs="Times New Roman"/>
          <w:color w:val="auto"/>
          <w:sz w:val="24"/>
          <w:szCs w:val="24"/>
          <w:lang w:val="zh-TW" w:eastAsia="zh-TW"/>
        </w:rPr>
      </w:pPr>
      <w:r>
        <w:rPr>
          <w:rFonts w:hint="default" w:ascii="Times New Roman" w:hAnsi="Times New Roman" w:eastAsia="宋体" w:cs="Times New Roman"/>
          <w:color w:val="auto"/>
          <w:sz w:val="24"/>
          <w:szCs w:val="24"/>
          <w:lang w:val="zh-TW" w:eastAsia="zh-TW"/>
        </w:rPr>
        <w:t>党的二十大报告中提出：</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建设现代化产业体系，坚持把发展经济的着力点放在实体经济上</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。实体经济要实现建设现代化产业体系的目标，最重要的一条就是要不断创新。习近平总书记强调，</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创新是引领发展的第一动力，保护知识产权就是保护创新。</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在全球经济一体化条件下，作为国家发展战略性资源和国际竞争力的核心要素，知识产权对激励科技创新和保护创新成果具有重要作用。改革开放以来，我国技术创新成绩斐然，知识产权创造和保护能力显著提升，成功进入知识产权大国行列。截至2023年年底，我国国内（不含港澳台地区）发明专利拥有量达到401.5万件，成为世界上首个国内有效发明专利数量突破400万件的国家。其中，国内企业拥有有效发明专利290.9万件，占比首次超过7成，企业创新主体地位进一步凸显。</w:t>
      </w:r>
    </w:p>
    <w:p w14:paraId="28179FB4">
      <w:pPr>
        <w:framePr w:wrap="auto" w:vAnchor="margin" w:hAnchor="text" w:yAlign="inline"/>
        <w:spacing w:line="360" w:lineRule="auto"/>
        <w:ind w:firstLine="480"/>
        <w:rPr>
          <w:rFonts w:hint="default" w:ascii="Times New Roman" w:hAnsi="Times New Roman" w:eastAsia="宋体" w:cs="Times New Roman"/>
          <w:color w:val="auto"/>
          <w:sz w:val="24"/>
          <w:szCs w:val="24"/>
          <w:lang w:val="zh-TW" w:eastAsia="zh-TW"/>
        </w:rPr>
      </w:pPr>
      <w:r>
        <w:rPr>
          <w:rFonts w:hint="default" w:ascii="Times New Roman" w:hAnsi="Times New Roman" w:eastAsia="宋体" w:cs="Times New Roman"/>
          <w:color w:val="auto"/>
          <w:sz w:val="24"/>
          <w:szCs w:val="24"/>
          <w:lang w:val="zh-TW" w:eastAsia="zh-TW"/>
        </w:rPr>
        <w:t>在国家政策方面，党的十八届三中全会首次提出</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推进国家治理体系和治理能力现代化</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，这一重大命题，并把</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完善和发展中国特色社会主义制度、推进国家治理体系和治理能力现代化</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确定为全面深化改革的总目标。2008年，国务院印发《国家知识产权战略纲要（2008-2020）年》，标志着中国将知识产权工作上升到国家战略层面。2021年，中共中央、国务院印发《知识产权强国建设纲要（2021-2035年）》，这是中国在新时代背景下，为统筹推进知识产权强国建设，全面提升知识产权创造、运用、保护、管理和服务水平而制定的纲领性文件。</w:t>
      </w:r>
    </w:p>
    <w:p w14:paraId="63E07B37">
      <w:pPr>
        <w:framePr w:wrap="auto" w:vAnchor="margin" w:hAnchor="text" w:yAlign="inline"/>
        <w:spacing w:line="360" w:lineRule="auto"/>
        <w:ind w:firstLine="480"/>
        <w:rPr>
          <w:rFonts w:hint="default" w:ascii="Times New Roman" w:hAnsi="Times New Roman" w:eastAsia="宋体" w:cs="Times New Roman"/>
          <w:color w:val="auto"/>
          <w:sz w:val="24"/>
          <w:szCs w:val="24"/>
          <w:lang w:val="zh-TW" w:eastAsia="zh-TW"/>
        </w:rPr>
      </w:pPr>
      <w:r>
        <w:rPr>
          <w:rFonts w:hint="default" w:ascii="Times New Roman" w:hAnsi="Times New Roman" w:eastAsia="宋体" w:cs="Times New Roman"/>
          <w:color w:val="auto"/>
          <w:sz w:val="24"/>
          <w:szCs w:val="24"/>
          <w:lang w:val="zh-TW" w:eastAsia="zh-TW"/>
        </w:rPr>
        <w:t>其中，知识产权许可在知识产权体系中占据核心地位，它是知识产权商业化和保护的关键环节，通过授权使用协议，使得知识产权能够在不同主体间合法流转和利用，从而促进技术创新、增强市场竞争力，并为知识产权所有者带来经济利益，同时保障了知识产权的有效实施和法律保护。中国知识产权局积极推进知识产权许可工作，2022年备案的专利实施许可合同达到7781份，涉及专利17967件。在许可费支付方式上，按固定或可折算金额支付的许可合同占比58.2%，金额总计145.5亿元，单份合同平均金额为321.0万元。此外，中国还实施了专利开放许可试点工作，以促进专利技术的市场化运用。在《</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十四五</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国家知识产权保护和运用规划》中提到：</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我国的知识产权保护体系不断完善，保护能力持续提升，知识产权保护社会满意度提高到80.05分</w:t>
      </w:r>
      <w:r>
        <w:rPr>
          <w:rFonts w:hint="eastAsia"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eastAsia="zh-TW"/>
        </w:rPr>
        <w:t>。在国际层面，2022年PCT（专利合作条约）申请量小幅增长0.3%，总量达到278,100件，创下历史新高。中、美、日、韩等国在PCT申请量方面处于领先地位。其中，亚洲的申请总量从2012年的40.3%增长至2022年的54.7%。这表明知识产权许可在国际上正变得越来越重要，尤其是在亚洲地区。总之，无论是在国内还是国际层面，知识产权许可都显示出强劲的增长势头和日益增强的重要性，特别是在促进创新、保护知识产权和推动经济发展方面。</w:t>
      </w:r>
    </w:p>
    <w:p w14:paraId="49B879A0">
      <w:pPr>
        <w:framePr w:wrap="auto" w:vAnchor="margin" w:hAnchor="text" w:yAlign="inline"/>
        <w:spacing w:line="360" w:lineRule="auto"/>
        <w:ind w:firstLine="480"/>
        <w:rPr>
          <w:rFonts w:hint="default" w:ascii="Times New Roman" w:hAnsi="Times New Roman" w:eastAsia="宋体" w:cs="Times New Roman"/>
          <w:color w:val="auto"/>
          <w:sz w:val="24"/>
          <w:szCs w:val="24"/>
          <w:lang w:val="zh-TW" w:eastAsia="zh-TW"/>
        </w:rPr>
      </w:pPr>
      <w:r>
        <w:rPr>
          <w:rFonts w:hint="default" w:ascii="Times New Roman" w:hAnsi="Times New Roman" w:eastAsia="宋体" w:cs="Times New Roman"/>
          <w:color w:val="auto"/>
          <w:sz w:val="24"/>
          <w:szCs w:val="24"/>
          <w:lang w:val="zh-TW" w:eastAsia="zh-TW"/>
        </w:rPr>
        <w:t>然而，当前知识产权许可领域仍然面临一些挑战。首先，知识产权许可边界模糊，包括许可期限、对象、方式、地域和内容等方面的有时不明确，易引发争议，造成纠纷，严重阻碍了知识产权许可领域发展。此外，还存在收费计算约定不明确等问题，也容易引起争议。同时，授权条款若过于严苛，可能违反相关法律规定，如限制技术改进、强制技术转让等。滥用专利权的行为，如捆绑销售、限制购买、价格歧视等，可能违反反垄断法规。这些问题不仅增加了交易的复杂性，也限制了知识产权的有效运用和创新的推进。因此，需要制定对于至关重要。</w:t>
      </w:r>
    </w:p>
    <w:p w14:paraId="6BC05F11">
      <w:pPr>
        <w:framePr w:wrap="auto" w:vAnchor="margin" w:hAnchor="text" w:yAlign="inline"/>
        <w:spacing w:line="360" w:lineRule="auto"/>
        <w:ind w:firstLine="480"/>
        <w:rPr>
          <w:rFonts w:ascii="宋体" w:hAnsi="宋体" w:eastAsia="宋体" w:cs="宋体"/>
          <w:color w:val="auto"/>
          <w:sz w:val="24"/>
          <w:szCs w:val="24"/>
          <w:highlight w:val="none"/>
          <w:lang w:val="zh-TW" w:eastAsia="zh-TW"/>
        </w:rPr>
      </w:pPr>
      <w:r>
        <w:rPr>
          <w:rFonts w:hint="default" w:ascii="Times New Roman" w:hAnsi="Times New Roman" w:eastAsia="宋体" w:cs="Times New Roman"/>
          <w:color w:val="auto"/>
          <w:sz w:val="24"/>
          <w:szCs w:val="24"/>
          <w:lang w:val="zh-TW" w:eastAsia="zh-TW"/>
        </w:rPr>
        <w:t>本标准的制定，提供了清晰的知识产权许可指南，有利于规范授权流程、降低法律风险、保护创新成果，为提升我国知识产权发展提供有力支撑。该标准由中国贸促会商业行业委员会立项并管理的团体标准，项目编号</w:t>
      </w: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CCPIT-CSC-JH2024290</w:t>
      </w:r>
      <w:r>
        <w:rPr>
          <w:rFonts w:hint="default" w:ascii="Times New Roman" w:hAnsi="Times New Roman" w:eastAsia="宋体" w:cs="Times New Roman"/>
          <w:color w:val="auto"/>
          <w:sz w:val="24"/>
          <w:szCs w:val="24"/>
          <w:highlight w:val="none"/>
          <w:lang w:val="zh-TW" w:eastAsia="zh-TW"/>
        </w:rPr>
        <w:t>。</w:t>
      </w:r>
    </w:p>
    <w:p w14:paraId="1F9A3A65">
      <w:pPr>
        <w:pStyle w:val="13"/>
        <w:framePr w:wrap="auto" w:vAnchor="margin" w:hAnchor="text" w:yAlign="inline"/>
        <w:spacing w:line="360" w:lineRule="auto"/>
        <w:ind w:left="482" w:firstLine="0"/>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二、标准制定的目的和意义</w:t>
      </w:r>
    </w:p>
    <w:p w14:paraId="0CDA898A">
      <w:pPr>
        <w:pStyle w:val="13"/>
        <w:framePr w:wrap="auto" w:vAnchor="margin" w:hAnchor="text" w:yAlign="inline"/>
        <w:spacing w:line="360" w:lineRule="auto"/>
        <w:ind w:firstLine="566" w:firstLineChars="236"/>
        <w:rPr>
          <w:rFonts w:hint="cs" w:ascii="宋体" w:hAnsi="宋体" w:eastAsia="宋体" w:cs="宋体"/>
          <w:color w:val="auto"/>
          <w:sz w:val="24"/>
          <w:szCs w:val="24"/>
          <w:lang w:eastAsia="zh-TW"/>
        </w:rPr>
      </w:pPr>
      <w:r>
        <w:rPr>
          <w:rFonts w:hint="cs" w:ascii="宋体" w:hAnsi="宋体" w:eastAsia="宋体" w:cs="宋体"/>
          <w:color w:val="auto"/>
          <w:sz w:val="24"/>
          <w:szCs w:val="24"/>
          <w:lang w:eastAsia="zh-TW"/>
        </w:rPr>
        <w:t>制定本指南旨在构建一个全面、规范的知识产权许可管理体系，通过</w:t>
      </w:r>
      <w:r>
        <w:rPr>
          <w:rFonts w:hint="eastAsia" w:ascii="宋体" w:hAnsi="宋体" w:eastAsia="宋体" w:cs="宋体"/>
          <w:color w:val="auto"/>
          <w:sz w:val="24"/>
          <w:szCs w:val="24"/>
          <w:lang w:val="en-US" w:eastAsia="zh-CN"/>
        </w:rPr>
        <w:t>对</w:t>
      </w:r>
      <w:r>
        <w:rPr>
          <w:rFonts w:hint="cs" w:ascii="宋体" w:hAnsi="宋体" w:eastAsia="宋体" w:cs="宋体"/>
          <w:color w:val="auto"/>
          <w:sz w:val="24"/>
          <w:szCs w:val="24"/>
          <w:lang w:eastAsia="zh-TW"/>
        </w:rPr>
        <w:t xml:space="preserve">知识产权许可的主要阶段、流程以及 </w:t>
      </w:r>
      <w:r>
        <w:rPr>
          <w:rFonts w:hint="default" w:ascii="Times New Roman" w:hAnsi="Times New Roman" w:eastAsia="宋体" w:cs="Times New Roman"/>
          <w:color w:val="auto"/>
          <w:sz w:val="24"/>
          <w:szCs w:val="24"/>
          <w:lang w:eastAsia="zh-TW"/>
        </w:rPr>
        <w:t xml:space="preserve">ISO/TR 44000 </w:t>
      </w:r>
      <w:r>
        <w:rPr>
          <w:rFonts w:hint="cs" w:ascii="宋体" w:hAnsi="宋体" w:eastAsia="宋体" w:cs="宋体"/>
          <w:color w:val="auto"/>
          <w:sz w:val="24"/>
          <w:szCs w:val="24"/>
          <w:lang w:eastAsia="zh-TW"/>
        </w:rPr>
        <w:t xml:space="preserve">中规定的知识产权许可中合作业务关系 </w:t>
      </w:r>
      <w:r>
        <w:rPr>
          <w:rFonts w:hint="default" w:ascii="Times New Roman" w:hAnsi="Times New Roman" w:eastAsia="宋体" w:cs="Times New Roman"/>
          <w:color w:val="auto"/>
          <w:sz w:val="24"/>
          <w:szCs w:val="24"/>
          <w:lang w:eastAsia="zh-TW"/>
        </w:rPr>
        <w:t xml:space="preserve">12 </w:t>
      </w:r>
      <w:r>
        <w:rPr>
          <w:rFonts w:hint="cs" w:ascii="宋体" w:hAnsi="宋体" w:eastAsia="宋体" w:cs="宋体"/>
          <w:color w:val="auto"/>
          <w:sz w:val="24"/>
          <w:szCs w:val="24"/>
          <w:lang w:eastAsia="zh-TW"/>
        </w:rPr>
        <w:t>条原则的整合</w:t>
      </w:r>
      <w:r>
        <w:rPr>
          <w:rFonts w:hint="eastAsia" w:ascii="宋体" w:hAnsi="宋体" w:eastAsia="宋体" w:cs="宋体"/>
          <w:color w:val="auto"/>
          <w:sz w:val="24"/>
          <w:szCs w:val="24"/>
          <w:lang w:eastAsia="zh-CN"/>
        </w:rPr>
        <w:t>，</w:t>
      </w:r>
      <w:r>
        <w:rPr>
          <w:rFonts w:hint="cs" w:ascii="宋体" w:hAnsi="宋体" w:eastAsia="宋体" w:cs="宋体"/>
          <w:color w:val="auto"/>
          <w:sz w:val="24"/>
          <w:szCs w:val="24"/>
          <w:lang w:eastAsia="zh-TW"/>
        </w:rPr>
        <w:t>界定清晰的授权条款和执行标准，有效监控和管理知识产权的使用情况，及时发现并解决潜在的授权争议和侵权风险，提升知识产权管理部门对市场动态的监管效率和应对能力，从而保障知识产权所有者的合法权益和促进知识产权的合理流通。</w:t>
      </w:r>
    </w:p>
    <w:p w14:paraId="0D5B5791">
      <w:pPr>
        <w:pStyle w:val="13"/>
        <w:framePr w:wrap="auto" w:vAnchor="margin" w:hAnchor="text" w:yAlign="inline"/>
        <w:spacing w:line="360" w:lineRule="auto"/>
        <w:ind w:firstLine="566" w:firstLineChars="236"/>
        <w:rPr>
          <w:rFonts w:ascii="宋体" w:hAnsi="宋体" w:eastAsia="宋体" w:cs="宋体"/>
          <w:color w:val="auto"/>
          <w:sz w:val="24"/>
          <w:szCs w:val="24"/>
          <w:lang w:eastAsia="zh-TW"/>
        </w:rPr>
      </w:pPr>
      <w:r>
        <w:rPr>
          <w:rFonts w:hint="cs" w:ascii="宋体" w:hAnsi="宋体" w:eastAsia="宋体" w:cs="宋体"/>
          <w:color w:val="auto"/>
          <w:sz w:val="24"/>
          <w:szCs w:val="24"/>
          <w:lang w:eastAsia="zh-TW"/>
        </w:rPr>
        <w:t>该指南的制定填补了我国在知识产权许可管理领域的规范空白，为知识产权许可提供了明确的操作框架和执行标准，有助于实现知识产权许可的规范化和高效管理。</w:t>
      </w:r>
    </w:p>
    <w:p w14:paraId="043B0A0E">
      <w:pPr>
        <w:pStyle w:val="13"/>
        <w:framePr w:wrap="auto" w:vAnchor="margin" w:hAnchor="text" w:yAlign="inline"/>
        <w:spacing w:line="360" w:lineRule="auto"/>
        <w:ind w:left="482" w:firstLine="0"/>
        <w:rPr>
          <w:rFonts w:ascii="宋体" w:hAnsi="宋体" w:eastAsia="宋体"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三、标准起草的过程简述</w:t>
      </w:r>
    </w:p>
    <w:p w14:paraId="67FD6D49">
      <w:pPr>
        <w:framePr w:wrap="auto" w:vAnchor="margin" w:hAnchor="text" w:yAlign="inline"/>
        <w:spacing w:line="360" w:lineRule="auto"/>
        <w:ind w:firstLine="236" w:firstLineChars="98"/>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（一）预研阶段</w:t>
      </w:r>
    </w:p>
    <w:p w14:paraId="00567E30">
      <w:pPr>
        <w:framePr w:wrap="auto" w:vAnchor="margin" w:hAnchor="text" w:yAlign="inline"/>
        <w:topLinePunct/>
        <w:spacing w:line="360" w:lineRule="auto"/>
        <w:ind w:firstLine="482"/>
        <w:rPr>
          <w:rFonts w:ascii="宋体" w:hAnsi="宋体" w:eastAsia="宋体" w:cs="宋体"/>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月</w:t>
      </w:r>
      <w:r>
        <w:rPr>
          <w:rFonts w:hint="eastAsia" w:ascii="宋体" w:hAnsi="宋体" w:eastAsia="宋体" w:cs="宋体"/>
          <w:color w:val="auto"/>
          <w:sz w:val="24"/>
          <w:szCs w:val="24"/>
          <w:lang w:val="en-US" w:eastAsia="zh-CN"/>
        </w:rPr>
        <w:t>中</w:t>
      </w:r>
      <w:r>
        <w:rPr>
          <w:rFonts w:ascii="宋体" w:hAnsi="宋体" w:eastAsia="宋体" w:cs="宋体"/>
          <w:color w:val="auto"/>
          <w:sz w:val="24"/>
          <w:szCs w:val="24"/>
        </w:rPr>
        <w:t>旬，</w:t>
      </w:r>
      <w:r>
        <w:rPr>
          <w:rFonts w:hint="cs" w:ascii="宋体" w:hAnsi="宋体" w:eastAsia="宋体" w:cs="宋体"/>
          <w:color w:val="auto"/>
          <w:sz w:val="24"/>
          <w:szCs w:val="24"/>
        </w:rPr>
        <w:t>启动</w:t>
      </w:r>
      <w:r>
        <w:rPr>
          <w:rFonts w:hint="cs" w:ascii="宋体" w:hAnsi="宋体" w:eastAsia="宋体" w:cs="宋体"/>
          <w:color w:val="auto"/>
          <w:sz w:val="24"/>
          <w:szCs w:val="24"/>
          <w:lang w:val="zh-TW"/>
        </w:rPr>
        <w:t>《合作业务关系管理-知识产权（</w:t>
      </w:r>
      <w:r>
        <w:rPr>
          <w:rFonts w:hint="default" w:ascii="Times New Roman" w:hAnsi="Times New Roman" w:eastAsia="宋体" w:cs="Times New Roman"/>
          <w:color w:val="auto"/>
          <w:sz w:val="24"/>
          <w:szCs w:val="24"/>
          <w:lang w:val="zh-TW"/>
        </w:rPr>
        <w:t>IP</w:t>
      </w:r>
      <w:r>
        <w:rPr>
          <w:rFonts w:hint="cs" w:ascii="宋体" w:hAnsi="宋体" w:eastAsia="宋体" w:cs="宋体"/>
          <w:color w:val="auto"/>
          <w:sz w:val="24"/>
          <w:szCs w:val="24"/>
          <w:lang w:val="zh-TW"/>
        </w:rPr>
        <w:t>）许可指南》</w:t>
      </w:r>
      <w:r>
        <w:rPr>
          <w:rFonts w:hint="cs" w:ascii="宋体" w:hAnsi="宋体" w:eastAsia="宋体" w:cs="宋体"/>
          <w:color w:val="auto"/>
          <w:sz w:val="24"/>
          <w:szCs w:val="24"/>
        </w:rPr>
        <w:t>团体标准预研工</w:t>
      </w:r>
      <w:r>
        <w:rPr>
          <w:rFonts w:ascii="宋体" w:hAnsi="宋体" w:eastAsia="宋体" w:cs="宋体"/>
          <w:color w:val="auto"/>
          <w:sz w:val="24"/>
          <w:szCs w:val="24"/>
        </w:rPr>
        <w:t>作，</w:t>
      </w:r>
      <w:r>
        <w:rPr>
          <w:rFonts w:hint="cs" w:ascii="宋体" w:hAnsi="宋体" w:eastAsia="宋体" w:cs="宋体"/>
          <w:color w:val="auto"/>
          <w:sz w:val="24"/>
          <w:szCs w:val="24"/>
        </w:rPr>
        <w:t>开展内外部调研，收集和梳理基础素材。</w:t>
      </w:r>
    </w:p>
    <w:p w14:paraId="1133A3CC">
      <w:pPr>
        <w:framePr w:wrap="auto" w:vAnchor="margin" w:hAnchor="text" w:yAlign="inline"/>
        <w:spacing w:line="360" w:lineRule="auto"/>
        <w:ind w:firstLine="236" w:firstLineChars="98"/>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（二）立项阶段</w:t>
      </w:r>
    </w:p>
    <w:p w14:paraId="051F90F9">
      <w:pPr>
        <w:framePr w:wrap="auto" w:vAnchor="margin" w:hAnchor="text" w:yAlign="inline"/>
        <w:spacing w:line="360" w:lineRule="auto"/>
        <w:ind w:firstLine="480"/>
        <w:rPr>
          <w:rFonts w:ascii="宋体" w:hAnsi="宋体" w:eastAsia="宋体" w:cs="宋体"/>
          <w:color w:val="auto"/>
          <w:sz w:val="24"/>
          <w:szCs w:val="24"/>
        </w:rPr>
      </w:pPr>
      <w:r>
        <w:rPr>
          <w:rFonts w:hint="default" w:ascii="宋体" w:hAnsi="宋体" w:eastAsia="宋体" w:cs="宋体"/>
          <w:color w:val="auto"/>
          <w:sz w:val="24"/>
          <w:szCs w:val="24"/>
        </w:rPr>
        <w:t>20</w:t>
      </w: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default" w:ascii="宋体" w:hAnsi="宋体" w:eastAsia="宋体" w:cs="宋体"/>
          <w:color w:val="auto"/>
          <w:sz w:val="24"/>
          <w:szCs w:val="24"/>
        </w:rPr>
        <w:t>月</w:t>
      </w:r>
      <w:r>
        <w:rPr>
          <w:rFonts w:hint="eastAsia" w:ascii="宋体" w:hAnsi="宋体" w:eastAsia="宋体" w:cs="宋体"/>
          <w:color w:val="auto"/>
          <w:sz w:val="24"/>
          <w:szCs w:val="24"/>
          <w:lang w:val="en-US" w:eastAsia="zh-CN"/>
        </w:rPr>
        <w:t>下旬</w:t>
      </w:r>
      <w:r>
        <w:rPr>
          <w:rFonts w:hint="default" w:ascii="宋体" w:hAnsi="宋体" w:eastAsia="宋体" w:cs="宋体"/>
          <w:color w:val="auto"/>
          <w:sz w:val="24"/>
          <w:szCs w:val="24"/>
        </w:rPr>
        <w:t>，中国贸促会商业行业委员会立项</w:t>
      </w:r>
      <w:r>
        <w:rPr>
          <w:rFonts w:hint="cs" w:ascii="宋体" w:hAnsi="宋体" w:eastAsia="宋体" w:cs="宋体"/>
          <w:color w:val="auto"/>
          <w:sz w:val="24"/>
          <w:szCs w:val="24"/>
          <w:lang w:val="zh-TW"/>
        </w:rPr>
        <w:t>《合作业务关系管理-知识产权（</w:t>
      </w:r>
      <w:r>
        <w:rPr>
          <w:rFonts w:hint="default" w:ascii="Times New Roman" w:hAnsi="Times New Roman" w:eastAsia="宋体" w:cs="Times New Roman"/>
          <w:color w:val="auto"/>
          <w:sz w:val="24"/>
          <w:szCs w:val="24"/>
          <w:lang w:val="zh-TW"/>
        </w:rPr>
        <w:t>IP</w:t>
      </w:r>
      <w:r>
        <w:rPr>
          <w:rFonts w:hint="cs" w:ascii="宋体" w:hAnsi="宋体" w:eastAsia="宋体" w:cs="宋体"/>
          <w:color w:val="auto"/>
          <w:sz w:val="24"/>
          <w:szCs w:val="24"/>
          <w:lang w:val="zh-TW"/>
        </w:rPr>
        <w:t>）许可指南》</w:t>
      </w:r>
      <w:r>
        <w:rPr>
          <w:rFonts w:hint="default" w:ascii="宋体" w:hAnsi="宋体" w:eastAsia="宋体" w:cs="宋体"/>
          <w:color w:val="auto"/>
          <w:sz w:val="24"/>
          <w:szCs w:val="24"/>
        </w:rPr>
        <w:t>团体标准（项目编号</w:t>
      </w:r>
      <w:r>
        <w:rPr>
          <w:rFonts w:hint="eastAsia" w:ascii="宋体" w:hAnsi="宋体" w:eastAsia="宋体" w:cs="宋体"/>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CCPIT-CSC-JH2024290</w:t>
      </w:r>
      <w:r>
        <w:rPr>
          <w:rFonts w:hint="default" w:ascii="宋体" w:hAnsi="宋体" w:eastAsia="宋体" w:cs="宋体"/>
          <w:color w:val="auto"/>
          <w:sz w:val="24"/>
          <w:szCs w:val="24"/>
        </w:rPr>
        <w:t>）。</w:t>
      </w:r>
    </w:p>
    <w:p w14:paraId="2709435B">
      <w:pPr>
        <w:framePr w:wrap="auto" w:vAnchor="margin" w:hAnchor="text" w:yAlign="inline"/>
        <w:spacing w:line="360" w:lineRule="auto"/>
        <w:ind w:firstLine="236" w:firstLineChars="98"/>
        <w:rPr>
          <w:rFonts w:ascii="宋体" w:hAnsi="宋体" w:eastAsia="宋体" w:cs="宋体"/>
          <w:color w:val="auto"/>
          <w:sz w:val="24"/>
          <w:szCs w:val="24"/>
        </w:rPr>
      </w:pPr>
      <w:r>
        <w:rPr>
          <w:rFonts w:ascii="宋体" w:hAnsi="宋体" w:eastAsia="宋体" w:cs="宋体"/>
          <w:b/>
          <w:bCs/>
          <w:color w:val="auto"/>
          <w:sz w:val="24"/>
          <w:szCs w:val="24"/>
          <w:lang w:val="zh-TW" w:eastAsia="zh-TW"/>
        </w:rPr>
        <w:t>（三）起草阶段</w:t>
      </w:r>
    </w:p>
    <w:p w14:paraId="2969CE1C">
      <w:pPr>
        <w:framePr w:wrap="auto" w:vAnchor="margin" w:hAnchor="text" w:yAlign="inline"/>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上</w:t>
      </w:r>
      <w:r>
        <w:rPr>
          <w:rFonts w:hint="default" w:ascii="Times New Roman" w:hAnsi="Times New Roman" w:eastAsia="宋体" w:cs="Times New Roman"/>
          <w:color w:val="auto"/>
          <w:sz w:val="24"/>
          <w:szCs w:val="24"/>
        </w:rPr>
        <w:t>旬，项目组通过</w:t>
      </w:r>
      <w:r>
        <w:rPr>
          <w:rFonts w:hint="eastAsia" w:ascii="Times New Roman" w:hAnsi="Times New Roman" w:eastAsia="宋体" w:cs="Times New Roman"/>
          <w:color w:val="auto"/>
          <w:sz w:val="24"/>
          <w:szCs w:val="24"/>
          <w:lang w:val="en-US" w:eastAsia="zh-CN"/>
        </w:rPr>
        <w:t>对前期研究成果的整理，对最新</w:t>
      </w:r>
      <w:r>
        <w:rPr>
          <w:rFonts w:hint="default" w:ascii="Times New Roman" w:hAnsi="Times New Roman" w:eastAsia="宋体" w:cs="Times New Roman"/>
          <w:color w:val="auto"/>
          <w:sz w:val="24"/>
          <w:szCs w:val="24"/>
        </w:rPr>
        <w:t>文献</w:t>
      </w:r>
      <w:r>
        <w:rPr>
          <w:rFonts w:hint="eastAsia" w:ascii="Times New Roman" w:hAnsi="Times New Roman" w:eastAsia="宋体" w:cs="Times New Roman"/>
          <w:color w:val="auto"/>
          <w:sz w:val="24"/>
          <w:szCs w:val="24"/>
          <w:lang w:val="en-US" w:eastAsia="zh-CN"/>
        </w:rPr>
        <w:t>进行了进一步的</w:t>
      </w:r>
      <w:r>
        <w:rPr>
          <w:rFonts w:hint="default" w:ascii="Times New Roman" w:hAnsi="Times New Roman" w:eastAsia="宋体" w:cs="Times New Roman"/>
          <w:color w:val="auto"/>
          <w:sz w:val="24"/>
          <w:szCs w:val="24"/>
        </w:rPr>
        <w:t>搜集梳理。</w:t>
      </w:r>
    </w:p>
    <w:p w14:paraId="5B14E23C">
      <w:pPr>
        <w:framePr w:wrap="auto" w:vAnchor="margin" w:hAnchor="text" w:yAlign="inline"/>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上</w:t>
      </w:r>
      <w:r>
        <w:rPr>
          <w:rFonts w:hint="default" w:ascii="Times New Roman" w:hAnsi="Times New Roman" w:eastAsia="宋体" w:cs="Times New Roman"/>
          <w:color w:val="auto"/>
          <w:sz w:val="24"/>
          <w:szCs w:val="24"/>
        </w:rPr>
        <w:t>旬，召开起草工作启动会，就标准的内容框架、编写参考依据等内容进行讨论，并成立本标准研制工作组。</w:t>
      </w:r>
    </w:p>
    <w:p w14:paraId="4B37FE60">
      <w:pPr>
        <w:framePr w:wrap="auto" w:vAnchor="margin" w:hAnchor="text" w:yAlign="inline"/>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上</w:t>
      </w:r>
      <w:r>
        <w:rPr>
          <w:rFonts w:hint="default" w:ascii="Times New Roman" w:hAnsi="Times New Roman" w:eastAsia="宋体" w:cs="Times New Roman"/>
          <w:color w:val="auto"/>
          <w:sz w:val="24"/>
          <w:szCs w:val="24"/>
        </w:rPr>
        <w:t>旬，召开起草工作研讨会，就标准讨论稿一稿内容进行研讨交流，对标准讨论稿内容、结构进行调整，形成标准讨论稿二稿。</w:t>
      </w:r>
    </w:p>
    <w:p w14:paraId="3E2675E7">
      <w:pPr>
        <w:framePr w:wrap="auto" w:vAnchor="margin" w:hAnchor="text" w:yAlign="inline"/>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上</w:t>
      </w:r>
      <w:r>
        <w:rPr>
          <w:rFonts w:hint="default" w:ascii="Times New Roman" w:hAnsi="Times New Roman" w:eastAsia="宋体" w:cs="Times New Roman"/>
          <w:color w:val="auto"/>
          <w:sz w:val="24"/>
          <w:szCs w:val="24"/>
        </w:rPr>
        <w:t>旬，项目组对标准讨论稿二稿内容、结构和逻辑关系进行梳理和优化，在此基础上形成征求意见稿。</w:t>
      </w:r>
    </w:p>
    <w:p w14:paraId="6485EE44">
      <w:pPr>
        <w:framePr w:wrap="auto" w:vAnchor="margin" w:hAnchor="text" w:yAlign="inline"/>
        <w:spacing w:line="360" w:lineRule="auto"/>
        <w:ind w:left="420"/>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（四）征求意见阶段</w:t>
      </w:r>
    </w:p>
    <w:p w14:paraId="494CCB01">
      <w:pPr>
        <w:framePr w:wrap="auto" w:vAnchor="margin" w:hAnchor="text" w:yAlign="inline"/>
        <w:spacing w:line="360" w:lineRule="auto"/>
        <w:ind w:firstLine="480"/>
        <w:rPr>
          <w:rFonts w:ascii="宋体" w:hAnsi="宋体" w:eastAsia="宋体" w:cs="宋体"/>
          <w:color w:val="auto"/>
          <w:sz w:val="24"/>
          <w:szCs w:val="24"/>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年1</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月中旬</w:t>
      </w:r>
      <w:r>
        <w:rPr>
          <w:rFonts w:hint="default" w:ascii="宋体" w:hAnsi="宋体" w:eastAsia="宋体" w:cs="宋体"/>
          <w:color w:val="auto"/>
          <w:sz w:val="24"/>
          <w:szCs w:val="24"/>
        </w:rPr>
        <w:t>，通过</w:t>
      </w:r>
      <w:bookmarkStart w:id="0" w:name="_GoBack"/>
      <w:bookmarkEnd w:id="0"/>
      <w:r>
        <w:rPr>
          <w:rFonts w:hint="default" w:ascii="宋体" w:hAnsi="宋体" w:eastAsia="宋体" w:cs="宋体"/>
          <w:color w:val="auto"/>
          <w:sz w:val="24"/>
          <w:szCs w:val="24"/>
        </w:rPr>
        <w:t>官方网站、微信公众号的渠道进行网上公开发布，同时通过各类专业微信群组等进行反馈意见征集和汇总，开展征求意见工作。</w:t>
      </w:r>
    </w:p>
    <w:p w14:paraId="0FB8EDEC">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四、标准的主要内容和依据</w:t>
      </w:r>
    </w:p>
    <w:p w14:paraId="448C26D7">
      <w:pPr>
        <w:framePr w:wrap="auto" w:vAnchor="margin" w:hAnchor="text" w:yAlign="inline"/>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lang w:val="zh-TW" w:eastAsia="zh-TW"/>
        </w:rPr>
        <w:t>制定原则</w:t>
      </w:r>
    </w:p>
    <w:p w14:paraId="4FBAD11C">
      <w:pPr>
        <w:framePr w:wrap="auto" w:vAnchor="margin" w:hAnchor="text" w:yAlign="inline"/>
        <w:spacing w:line="360" w:lineRule="auto"/>
        <w:ind w:firstLine="480"/>
        <w:rPr>
          <w:rFonts w:ascii="宋体" w:hAnsi="宋体" w:eastAsia="PMingLiU" w:cs="宋体"/>
          <w:color w:val="auto"/>
          <w:sz w:val="24"/>
          <w:szCs w:val="24"/>
          <w:lang w:val="zh-TW" w:eastAsia="zh-TW"/>
        </w:rPr>
      </w:pPr>
      <w:r>
        <w:rPr>
          <w:rFonts w:ascii="宋体" w:hAnsi="宋体" w:eastAsia="宋体" w:cs="宋体"/>
          <w:color w:val="auto"/>
          <w:sz w:val="24"/>
          <w:szCs w:val="24"/>
          <w:lang w:val="zh-TW" w:eastAsia="zh-TW"/>
        </w:rPr>
        <w:t>遵循</w:t>
      </w:r>
      <w:r>
        <w:rPr>
          <w:rFonts w:hint="eastAsia" w:ascii="宋体" w:hAnsi="宋体" w:eastAsia="宋体" w:cs="宋体"/>
          <w:color w:val="auto"/>
          <w:sz w:val="24"/>
          <w:szCs w:val="24"/>
          <w:lang w:eastAsia="zh-CN"/>
        </w:rPr>
        <w:t>“</w:t>
      </w:r>
      <w:r>
        <w:rPr>
          <w:rFonts w:hint="cs" w:ascii="宋体" w:hAnsi="宋体" w:eastAsia="宋体" w:cs="宋体"/>
          <w:color w:val="auto"/>
          <w:sz w:val="24"/>
          <w:szCs w:val="24"/>
          <w:lang w:val="zh-TW" w:eastAsia="zh-TW"/>
        </w:rPr>
        <w:t>规范性、协调性、科学性、可操作性</w:t>
      </w:r>
      <w:r>
        <w:rPr>
          <w:rFonts w:hint="eastAsia" w:ascii="宋体" w:hAnsi="宋体" w:eastAsia="宋体" w:cs="宋体"/>
          <w:color w:val="auto"/>
          <w:sz w:val="24"/>
          <w:szCs w:val="24"/>
          <w:lang w:eastAsia="zh-CN"/>
        </w:rPr>
        <w:t>”</w:t>
      </w:r>
      <w:r>
        <w:rPr>
          <w:rFonts w:ascii="宋体" w:hAnsi="宋体" w:eastAsia="宋体" w:cs="宋体"/>
          <w:color w:val="auto"/>
          <w:sz w:val="24"/>
          <w:szCs w:val="24"/>
          <w:lang w:val="zh-TW" w:eastAsia="zh-TW"/>
        </w:rPr>
        <w:t>的原则制定本标准，</w:t>
      </w:r>
      <w:r>
        <w:rPr>
          <w:rFonts w:hint="cs" w:ascii="宋体" w:hAnsi="宋体" w:eastAsia="宋体" w:cs="宋体"/>
          <w:color w:val="auto"/>
          <w:sz w:val="24"/>
          <w:szCs w:val="24"/>
          <w:lang w:val="zh-TW" w:eastAsia="zh-TW"/>
        </w:rPr>
        <w:t>标准研制过程应符合标准化相关法律法规</w:t>
      </w:r>
      <w:r>
        <w:rPr>
          <w:rFonts w:ascii="宋体" w:hAnsi="宋体" w:eastAsia="宋体" w:cs="宋体"/>
          <w:color w:val="auto"/>
          <w:sz w:val="24"/>
          <w:szCs w:val="24"/>
          <w:lang w:val="zh-TW" w:eastAsia="zh-TW"/>
        </w:rPr>
        <w:t>。按照</w:t>
      </w:r>
      <w:r>
        <w:rPr>
          <w:rFonts w:hint="default" w:ascii="Times New Roman" w:hAnsi="Times New Roman" w:eastAsia="宋体" w:cs="Times New Roman"/>
          <w:color w:val="auto"/>
          <w:sz w:val="24"/>
          <w:szCs w:val="24"/>
        </w:rPr>
        <w:t>GB/T 1.1-2020</w:t>
      </w:r>
      <w:r>
        <w:rPr>
          <w:rFonts w:ascii="宋体" w:hAnsi="宋体" w:eastAsia="宋体" w:cs="宋体"/>
          <w:color w:val="auto"/>
          <w:sz w:val="24"/>
          <w:szCs w:val="24"/>
          <w:lang w:val="zh-TW" w:eastAsia="zh-TW"/>
        </w:rPr>
        <w:t>《标准化工作导则 第</w:t>
      </w:r>
      <w:r>
        <w:rPr>
          <w:rFonts w:ascii="宋体" w:hAnsi="宋体" w:eastAsia="宋体" w:cs="宋体"/>
          <w:color w:val="auto"/>
          <w:sz w:val="24"/>
          <w:szCs w:val="24"/>
        </w:rPr>
        <w:t>1</w:t>
      </w:r>
      <w:r>
        <w:rPr>
          <w:rFonts w:ascii="宋体" w:hAnsi="宋体" w:eastAsia="宋体" w:cs="宋体"/>
          <w:color w:val="auto"/>
          <w:sz w:val="24"/>
          <w:szCs w:val="24"/>
          <w:lang w:val="zh-TW" w:eastAsia="zh-TW"/>
        </w:rPr>
        <w:t>部分：标准的结构和编写规则》进行编制。</w:t>
      </w:r>
    </w:p>
    <w:p w14:paraId="4CF4F231">
      <w:pPr>
        <w:pStyle w:val="9"/>
        <w:numPr>
          <w:ilvl w:val="0"/>
          <w:numId w:val="0"/>
        </w:numPr>
        <w:tabs>
          <w:tab w:val="left" w:pos="312"/>
        </w:tabs>
        <w:spacing w:before="240" w:after="240"/>
      </w:pPr>
      <w:r>
        <w:rPr>
          <w:rFonts w:hint="eastAsia" w:ascii="宋体" w:hAnsi="宋体" w:eastAsia="宋体" w:cs="宋体"/>
          <w:color w:val="FF0000"/>
          <w:sz w:val="24"/>
          <w:szCs w:val="24"/>
          <w:lang w:val="zh-TW"/>
        </w:rPr>
        <w:t xml:space="preserve">   </w:t>
      </w:r>
      <w:r>
        <w:rPr>
          <w:rFonts w:hint="eastAsia" w:ascii="宋体" w:hAnsi="宋体" w:eastAsia="宋体" w:cs="宋体"/>
          <w:sz w:val="24"/>
          <w:szCs w:val="24"/>
          <w:lang w:val="zh-TW"/>
        </w:rPr>
        <w:t xml:space="preserve"> 2．</w:t>
      </w:r>
      <w:r>
        <w:rPr>
          <w:rFonts w:ascii="宋体" w:hAnsi="宋体" w:eastAsia="宋体" w:cs="宋体"/>
          <w:sz w:val="24"/>
          <w:szCs w:val="24"/>
          <w:lang w:val="zh-TW" w:eastAsia="zh-TW"/>
        </w:rPr>
        <w:t>主要技术内容的说</w:t>
      </w:r>
      <w:r>
        <w:rPr>
          <w:rFonts w:hint="eastAsia" w:ascii="宋体" w:hAnsi="宋体" w:eastAsia="宋体" w:cs="宋体"/>
          <w:sz w:val="24"/>
          <w:szCs w:val="24"/>
          <w:lang w:val="zh-TW"/>
        </w:rPr>
        <w:t>明</w:t>
      </w:r>
    </w:p>
    <w:p w14:paraId="7252059B">
      <w:pPr>
        <w:pStyle w:val="10"/>
        <w:topLinePunct/>
        <w:autoSpaceDN/>
        <w:spacing w:line="360" w:lineRule="auto"/>
        <w:ind w:firstLine="480"/>
        <w:rPr>
          <w:rFonts w:hint="default" w:ascii="Times New Roman" w:hAnsi="Times New Roman" w:cs="Times New Roman"/>
          <w:kern w:val="2"/>
          <w:sz w:val="24"/>
          <w:szCs w:val="24"/>
          <w:u w:color="000000"/>
          <w:lang w:val="zh-TW"/>
        </w:rPr>
      </w:pPr>
      <w:r>
        <w:rPr>
          <w:rFonts w:hint="default" w:ascii="Times New Roman" w:hAnsi="Times New Roman" w:cs="Times New Roman"/>
          <w:kern w:val="2"/>
          <w:sz w:val="24"/>
          <w:szCs w:val="24"/>
          <w:u w:color="000000"/>
          <w:lang w:val="zh-TW"/>
        </w:rPr>
        <w:t xml:space="preserve">本文件给出了知识产权 </w:t>
      </w:r>
      <w:r>
        <w:rPr>
          <w:rFonts w:hint="eastAsia" w:ascii="Times New Roman" w:hAnsi="Times New Roman" w:cs="Times New Roman"/>
          <w:kern w:val="2"/>
          <w:sz w:val="24"/>
          <w:szCs w:val="24"/>
          <w:u w:color="000000"/>
          <w:lang w:val="zh-TW" w:eastAsia="zh-CN"/>
        </w:rPr>
        <w:t>（</w:t>
      </w:r>
      <w:r>
        <w:rPr>
          <w:rFonts w:hint="default" w:ascii="Times New Roman" w:hAnsi="Times New Roman" w:cs="Times New Roman"/>
          <w:kern w:val="2"/>
          <w:sz w:val="24"/>
          <w:szCs w:val="24"/>
          <w:u w:color="000000"/>
          <w:lang w:val="zh-TW"/>
        </w:rPr>
        <w:t>IP</w:t>
      </w:r>
      <w:r>
        <w:rPr>
          <w:rFonts w:hint="eastAsia" w:ascii="Times New Roman" w:hAnsi="Times New Roman" w:cs="Times New Roman"/>
          <w:kern w:val="2"/>
          <w:sz w:val="24"/>
          <w:szCs w:val="24"/>
          <w:u w:color="000000"/>
          <w:lang w:val="zh-TW" w:eastAsia="zh-CN"/>
        </w:rPr>
        <w:t>）</w:t>
      </w:r>
      <w:r>
        <w:rPr>
          <w:rFonts w:hint="default" w:ascii="Times New Roman" w:hAnsi="Times New Roman" w:cs="Times New Roman"/>
          <w:kern w:val="2"/>
          <w:sz w:val="24"/>
          <w:szCs w:val="24"/>
          <w:u w:color="000000"/>
          <w:lang w:val="zh-TW"/>
        </w:rPr>
        <w:t>许可的主要阶段、流程以及 ISO/TR 44000 中规定的 IP 许可中合作业务关系 12 条原则的整合。</w:t>
      </w:r>
    </w:p>
    <w:p w14:paraId="6ACF6234">
      <w:pPr>
        <w:pStyle w:val="10"/>
        <w:topLinePunct/>
        <w:autoSpaceDN/>
        <w:spacing w:line="360" w:lineRule="auto"/>
        <w:ind w:firstLine="480"/>
        <w:rPr>
          <w:rFonts w:hint="eastAsia" w:hAnsi="宋体" w:cs="宋体"/>
          <w:kern w:val="2"/>
          <w:sz w:val="24"/>
          <w:szCs w:val="24"/>
          <w:u w:color="000000"/>
        </w:rPr>
      </w:pPr>
      <w:r>
        <w:rPr>
          <w:rFonts w:hint="default" w:ascii="Times New Roman" w:hAnsi="Times New Roman" w:cs="Times New Roman"/>
          <w:kern w:val="2"/>
          <w:sz w:val="24"/>
          <w:szCs w:val="24"/>
          <w:u w:color="000000"/>
          <w:lang w:val="zh-TW"/>
        </w:rPr>
        <w:t>本文件提供了良好的基础，使组织能够在整个合同期内达成并继续维持成功的知识产权许可安排，以实现成功的合作业务关系。</w:t>
      </w:r>
    </w:p>
    <w:p w14:paraId="6ED8EE5B">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五、标准的水平</w:t>
      </w:r>
    </w:p>
    <w:p w14:paraId="133D0050">
      <w:pPr>
        <w:framePr w:wrap="auto" w:vAnchor="margin" w:hAnchor="text" w:yAlign="inline"/>
        <w:spacing w:line="360" w:lineRule="auto"/>
        <w:ind w:firstLine="480"/>
        <w:rPr>
          <w:rFonts w:ascii="宋体" w:hAnsi="宋体" w:eastAsia="宋体" w:cs="宋体"/>
          <w:sz w:val="24"/>
          <w:szCs w:val="24"/>
          <w:lang w:val="zh-TW" w:eastAsia="zh-TW"/>
        </w:rPr>
      </w:pPr>
      <w:r>
        <w:rPr>
          <w:rFonts w:hint="cs" w:ascii="宋体" w:hAnsi="宋体" w:eastAsia="宋体" w:cs="宋体"/>
          <w:sz w:val="24"/>
          <w:szCs w:val="24"/>
          <w:lang w:val="zh-TW" w:eastAsia="zh-TW"/>
        </w:rPr>
        <w:t>本标准系自主制定项目，居国内领先水平。</w:t>
      </w:r>
    </w:p>
    <w:p w14:paraId="2641BC3B">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六、与有关的现行法律、法规和强制性国家标准的关系</w:t>
      </w:r>
    </w:p>
    <w:p w14:paraId="42DEDBA1">
      <w:pPr>
        <w:framePr w:wrap="auto" w:vAnchor="margin" w:hAnchor="text" w:yAlign="inline"/>
        <w:spacing w:line="360" w:lineRule="auto"/>
        <w:ind w:firstLine="480"/>
        <w:rPr>
          <w:rFonts w:ascii="宋体" w:hAnsi="宋体" w:eastAsia="宋体" w:cs="宋体"/>
          <w:color w:val="auto"/>
          <w:sz w:val="24"/>
          <w:szCs w:val="24"/>
        </w:rPr>
      </w:pPr>
      <w:r>
        <w:rPr>
          <w:rFonts w:hint="cs" w:ascii="宋体" w:hAnsi="宋体" w:eastAsia="宋体" w:cs="宋体"/>
          <w:color w:val="auto"/>
          <w:sz w:val="24"/>
          <w:szCs w:val="24"/>
          <w:lang w:val="zh-TW" w:eastAsia="zh-TW"/>
        </w:rPr>
        <w:t>本标准符合国家现行法律、法规、规章和强制性国家标准的要求。按</w:t>
      </w:r>
      <w:r>
        <w:rPr>
          <w:rFonts w:hint="default" w:ascii="Times New Roman" w:hAnsi="Times New Roman" w:eastAsia="宋体" w:cs="Times New Roman"/>
          <w:color w:val="auto"/>
          <w:sz w:val="24"/>
          <w:szCs w:val="24"/>
          <w:lang w:val="zh-TW" w:eastAsia="zh-TW"/>
        </w:rPr>
        <w:t>GB/T</w:t>
      </w:r>
      <w:r>
        <w:rPr>
          <w:rFonts w:hint="default" w:ascii="Times New Roman" w:hAnsi="Times New Roman" w:eastAsia="PMingLiU" w:cs="Times New Roman"/>
          <w:color w:val="auto"/>
          <w:sz w:val="24"/>
          <w:szCs w:val="24"/>
          <w:lang w:val="zh-TW" w:eastAsia="zh-TW"/>
        </w:rPr>
        <w:t xml:space="preserve"> </w:t>
      </w:r>
      <w:r>
        <w:rPr>
          <w:rFonts w:hint="default" w:ascii="Times New Roman" w:hAnsi="Times New Roman" w:eastAsia="宋体" w:cs="Times New Roman"/>
          <w:color w:val="auto"/>
          <w:sz w:val="24"/>
          <w:szCs w:val="24"/>
          <w:lang w:val="zh-TW" w:eastAsia="zh-TW"/>
        </w:rPr>
        <w:t>1.1-20</w:t>
      </w:r>
      <w:r>
        <w:rPr>
          <w:rFonts w:hint="default" w:ascii="Times New Roman" w:hAnsi="Times New Roman" w:eastAsia="PMingLiU" w:cs="Times New Roman"/>
          <w:color w:val="auto"/>
          <w:sz w:val="24"/>
          <w:szCs w:val="24"/>
          <w:lang w:val="zh-TW" w:eastAsia="zh-TW"/>
        </w:rPr>
        <w:t>20</w:t>
      </w:r>
      <w:r>
        <w:rPr>
          <w:rFonts w:hint="default" w:ascii="宋体" w:hAnsi="宋体" w:eastAsia="宋体" w:cs="宋体"/>
          <w:color w:val="auto"/>
          <w:sz w:val="24"/>
          <w:szCs w:val="24"/>
          <w:lang w:val="zh-TW" w:eastAsia="zh-TW"/>
        </w:rPr>
        <w:t>规定进行编写，与其它相关标准没有矛盾和抵触。</w:t>
      </w:r>
    </w:p>
    <w:p w14:paraId="7A9C922A">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七、贯彻标准的要求和措施建议</w:t>
      </w:r>
    </w:p>
    <w:p w14:paraId="2BEE822B">
      <w:pPr>
        <w:framePr w:wrap="auto" w:vAnchor="margin" w:hAnchor="text" w:yAlign="inline"/>
        <w:spacing w:line="360" w:lineRule="auto"/>
        <w:ind w:firstLine="482"/>
        <w:rPr>
          <w:rFonts w:ascii="宋体" w:hAnsi="宋体" w:eastAsia="Arial Unicode MS" w:cs="宋体"/>
          <w:color w:val="auto"/>
          <w:sz w:val="24"/>
          <w:szCs w:val="24"/>
          <w:lang w:val="zh-TW" w:eastAsia="zh-TW"/>
        </w:rPr>
      </w:pPr>
      <w:r>
        <w:rPr>
          <w:rFonts w:hint="cs" w:ascii="宋体" w:hAnsi="宋体" w:eastAsia="宋体" w:cs="宋体"/>
          <w:color w:val="auto"/>
          <w:sz w:val="24"/>
          <w:szCs w:val="24"/>
          <w:lang w:val="zh-TW" w:eastAsia="zh-TW"/>
        </w:rPr>
        <w:t>建议主要起草单位应通过组织论坛、研讨会、培训班等多种形式，向知识产权管理部门、企业、科研机构及知识产权代理机构等广泛宣传《</w:t>
      </w:r>
      <w:r>
        <w:rPr>
          <w:rFonts w:hint="cs" w:ascii="宋体" w:hAnsi="宋体" w:eastAsia="宋体" w:cs="宋体"/>
          <w:color w:val="auto"/>
          <w:sz w:val="24"/>
          <w:szCs w:val="24"/>
          <w:lang w:val="zh-TW"/>
        </w:rPr>
        <w:t>合作业务关系管理-知识产权（</w:t>
      </w:r>
      <w:r>
        <w:rPr>
          <w:rFonts w:hint="default" w:ascii="Times New Roman" w:hAnsi="Times New Roman" w:eastAsia="宋体" w:cs="Times New Roman"/>
          <w:color w:val="auto"/>
          <w:sz w:val="24"/>
          <w:szCs w:val="24"/>
          <w:lang w:val="zh-TW"/>
        </w:rPr>
        <w:t>IP</w:t>
      </w:r>
      <w:r>
        <w:rPr>
          <w:rFonts w:hint="cs" w:ascii="宋体" w:hAnsi="宋体" w:eastAsia="宋体" w:cs="宋体"/>
          <w:color w:val="auto"/>
          <w:sz w:val="24"/>
          <w:szCs w:val="24"/>
          <w:lang w:val="zh-TW"/>
        </w:rPr>
        <w:t>）许可指南</w:t>
      </w:r>
      <w:r>
        <w:rPr>
          <w:rFonts w:hint="cs" w:ascii="宋体" w:hAnsi="宋体" w:eastAsia="宋体" w:cs="宋体"/>
          <w:color w:val="auto"/>
          <w:sz w:val="24"/>
          <w:szCs w:val="24"/>
          <w:lang w:val="zh-TW" w:eastAsia="zh-TW"/>
        </w:rPr>
        <w:t>》的重要性和实用性。通过标准解读和案例分享，提高行业从业人员对指南的理解和应用能力，形成共识，推动指南的广泛实施。在指南实施过程中，各相关单位应严格按照指南要求，建立健全知识产权许可管理体系，确保指南的有效执行。同时，应积极收集指南应用过程中出现的问题和好的改进建议，及时反馈给指南起草工作组。指南起草工作组应根据反馈的问题和改进建议，定期对指南进行修订和完善，以适应知识产权保护发展的新趋势和新要求。通过持续改进，确保指南的科学性、先进性和实用性，为我国知识产权许可管理提供有力支撑。</w:t>
      </w:r>
    </w:p>
    <w:p w14:paraId="78047DD0">
      <w:pPr>
        <w:framePr w:wrap="auto" w:vAnchor="margin" w:hAnchor="text" w:yAlign="inline"/>
        <w:spacing w:line="360" w:lineRule="auto"/>
        <w:ind w:firstLine="482"/>
        <w:rPr>
          <w:rFonts w:ascii="宋体" w:hAnsi="宋体" w:eastAsia="宋体" w:cs="宋体"/>
          <w:b/>
          <w:bCs/>
          <w:kern w:val="0"/>
          <w:sz w:val="24"/>
          <w:szCs w:val="24"/>
          <w:lang w:val="zh-TW" w:eastAsia="zh-TW"/>
        </w:rPr>
      </w:pPr>
      <w:r>
        <w:rPr>
          <w:rFonts w:ascii="宋体" w:hAnsi="宋体" w:eastAsia="宋体" w:cs="宋体"/>
          <w:b/>
          <w:bCs/>
          <w:kern w:val="0"/>
          <w:sz w:val="24"/>
          <w:szCs w:val="24"/>
          <w:lang w:val="zh-TW" w:eastAsia="zh-TW"/>
        </w:rPr>
        <w:t>八、标准实施的预期效果</w:t>
      </w:r>
    </w:p>
    <w:p w14:paraId="28413ACE">
      <w:pPr>
        <w:framePr w:wrap="auto" w:vAnchor="margin" w:hAnchor="text" w:yAlign="inline"/>
        <w:spacing w:line="360" w:lineRule="auto"/>
        <w:ind w:firstLine="480"/>
        <w:rPr>
          <w:rFonts w:hint="cs" w:ascii="宋体" w:hAnsi="宋体" w:eastAsia="宋体" w:cs="宋体"/>
          <w:color w:val="auto"/>
          <w:sz w:val="24"/>
          <w:szCs w:val="24"/>
          <w:lang w:val="zh-TW" w:eastAsia="zh-TW"/>
        </w:rPr>
      </w:pPr>
      <w:r>
        <w:rPr>
          <w:rFonts w:hint="cs" w:ascii="宋体" w:hAnsi="宋体" w:eastAsia="宋体" w:cs="宋体"/>
          <w:color w:val="auto"/>
          <w:sz w:val="24"/>
          <w:szCs w:val="24"/>
          <w:lang w:val="zh-TW" w:eastAsia="zh-TW"/>
        </w:rPr>
        <w:t>本</w:t>
      </w:r>
      <w:r>
        <w:rPr>
          <w:rFonts w:hint="eastAsia" w:ascii="宋体" w:hAnsi="宋体" w:eastAsia="宋体" w:cs="宋体"/>
          <w:color w:val="auto"/>
          <w:sz w:val="24"/>
          <w:szCs w:val="24"/>
          <w:lang w:val="en-US" w:eastAsia="zh-CN"/>
        </w:rPr>
        <w:t>标准</w:t>
      </w:r>
      <w:r>
        <w:rPr>
          <w:rFonts w:hint="cs" w:ascii="宋体" w:hAnsi="宋体" w:eastAsia="宋体" w:cs="宋体"/>
          <w:color w:val="auto"/>
          <w:sz w:val="24"/>
          <w:szCs w:val="24"/>
          <w:lang w:val="zh-TW" w:eastAsia="zh-TW"/>
        </w:rPr>
        <w:t>将规范知识产权许可的管理和运用工作，提升知识产权管理部门的工作效率和准确性，确保数据的可靠性和一致性。通过实时监测和预测知识产权许可动态，管理部门能够及时发现并应对潜在的侵权风险和市场滥用，采取有效的监管和调控措施，保障知识产权所有者的合法权益和市场秩序的稳定，从而提升知识产权保护和管理水平。</w:t>
      </w:r>
    </w:p>
    <w:p w14:paraId="5F5B9EBB">
      <w:pPr>
        <w:framePr w:wrap="auto" w:vAnchor="margin" w:hAnchor="text" w:yAlign="inline"/>
        <w:spacing w:line="360" w:lineRule="auto"/>
        <w:ind w:firstLine="480"/>
        <w:rPr>
          <w:rFonts w:ascii="宋体" w:hAnsi="宋体" w:eastAsia="宋体" w:cs="宋体"/>
          <w:color w:val="auto"/>
          <w:sz w:val="24"/>
          <w:szCs w:val="24"/>
          <w:lang w:val="zh-TW" w:eastAsia="zh-TW"/>
        </w:rPr>
      </w:pPr>
      <w:r>
        <w:rPr>
          <w:rFonts w:hint="cs" w:ascii="宋体" w:hAnsi="宋体" w:eastAsia="宋体" w:cs="宋体"/>
          <w:color w:val="auto"/>
          <w:sz w:val="24"/>
          <w:szCs w:val="24"/>
          <w:lang w:val="zh-TW" w:eastAsia="zh-TW"/>
        </w:rPr>
        <w:t>基于</w:t>
      </w:r>
      <w:r>
        <w:rPr>
          <w:rFonts w:hint="eastAsia" w:ascii="宋体" w:hAnsi="宋体" w:eastAsia="宋体" w:cs="宋体"/>
          <w:color w:val="auto"/>
          <w:sz w:val="24"/>
          <w:szCs w:val="24"/>
          <w:lang w:val="en-US" w:eastAsia="zh-CN"/>
        </w:rPr>
        <w:t>本标准，有关</w:t>
      </w:r>
      <w:r>
        <w:rPr>
          <w:rFonts w:hint="cs" w:ascii="宋体" w:hAnsi="宋体" w:eastAsia="宋体" w:cs="宋体"/>
          <w:color w:val="auto"/>
          <w:sz w:val="24"/>
          <w:szCs w:val="24"/>
          <w:lang w:val="zh-TW" w:eastAsia="zh-TW"/>
        </w:rPr>
        <w:t>管理部门可以更加合理地规划和调整知识产权</w:t>
      </w:r>
      <w:r>
        <w:rPr>
          <w:rFonts w:hint="eastAsia" w:ascii="宋体" w:hAnsi="宋体" w:eastAsia="宋体" w:cs="宋体"/>
          <w:color w:val="auto"/>
          <w:sz w:val="24"/>
          <w:szCs w:val="24"/>
          <w:lang w:val="en-US" w:eastAsia="zh-CN"/>
        </w:rPr>
        <w:t>许可</w:t>
      </w:r>
      <w:r>
        <w:rPr>
          <w:rFonts w:hint="cs" w:ascii="宋体" w:hAnsi="宋体" w:eastAsia="宋体" w:cs="宋体"/>
          <w:color w:val="auto"/>
          <w:sz w:val="24"/>
          <w:szCs w:val="24"/>
          <w:lang w:val="zh-TW" w:eastAsia="zh-TW"/>
        </w:rPr>
        <w:t>政策和资源分配，包括法律、经济、科技等，以满足市场需求，提升知识产权服务质量，同时避免资源浪费和市场失衡。通过及时、准确的提供许可信息和</w:t>
      </w:r>
      <w:r>
        <w:rPr>
          <w:rFonts w:hint="eastAsia" w:ascii="宋体" w:hAnsi="宋体" w:eastAsia="宋体" w:cs="宋体"/>
          <w:color w:val="auto"/>
          <w:sz w:val="24"/>
          <w:szCs w:val="24"/>
          <w:lang w:val="en-US" w:eastAsia="zh-CN"/>
        </w:rPr>
        <w:t>实施</w:t>
      </w:r>
      <w:r>
        <w:rPr>
          <w:rFonts w:hint="cs" w:ascii="宋体" w:hAnsi="宋体" w:eastAsia="宋体" w:cs="宋体"/>
          <w:color w:val="auto"/>
          <w:sz w:val="24"/>
          <w:szCs w:val="24"/>
          <w:lang w:val="zh-TW" w:eastAsia="zh-TW"/>
        </w:rPr>
        <w:t>有效的监管措施，</w:t>
      </w:r>
      <w:r>
        <w:rPr>
          <w:rFonts w:hint="eastAsia" w:ascii="宋体" w:hAnsi="宋体" w:eastAsia="宋体" w:cs="宋体"/>
          <w:color w:val="auto"/>
          <w:sz w:val="24"/>
          <w:szCs w:val="24"/>
          <w:lang w:val="en-US" w:eastAsia="zh-CN"/>
        </w:rPr>
        <w:t>有助于</w:t>
      </w:r>
      <w:r>
        <w:rPr>
          <w:rFonts w:hint="cs" w:ascii="宋体" w:hAnsi="宋体" w:eastAsia="宋体" w:cs="宋体"/>
          <w:color w:val="auto"/>
          <w:sz w:val="24"/>
          <w:szCs w:val="24"/>
          <w:lang w:val="zh-TW" w:eastAsia="zh-TW"/>
        </w:rPr>
        <w:t>提升公众对知识产权管理部门的信任度和满意度，进而促进知识产权</w:t>
      </w:r>
      <w:r>
        <w:rPr>
          <w:rFonts w:hint="eastAsia" w:ascii="宋体" w:hAnsi="宋体" w:eastAsia="宋体" w:cs="宋体"/>
          <w:color w:val="auto"/>
          <w:sz w:val="24"/>
          <w:szCs w:val="24"/>
          <w:lang w:val="en-US" w:eastAsia="zh-CN"/>
        </w:rPr>
        <w:t>领域</w:t>
      </w:r>
      <w:r>
        <w:rPr>
          <w:rFonts w:hint="cs" w:ascii="宋体" w:hAnsi="宋体" w:eastAsia="宋体" w:cs="宋体"/>
          <w:color w:val="auto"/>
          <w:sz w:val="24"/>
          <w:szCs w:val="24"/>
          <w:lang w:val="zh-TW" w:eastAsia="zh-TW"/>
        </w:rPr>
        <w:t>的良性发展。</w:t>
      </w:r>
    </w:p>
    <w:p w14:paraId="58E543AC">
      <w:pPr>
        <w:framePr w:wrap="auto" w:vAnchor="margin" w:hAnchor="text" w:yAlign="inline"/>
        <w:spacing w:line="360" w:lineRule="auto"/>
        <w:ind w:firstLine="480"/>
        <w:rPr>
          <w:rFonts w:ascii="宋体" w:hAnsi="宋体" w:eastAsia="Arial Unicode MS" w:cs="宋体"/>
          <w:color w:val="auto"/>
          <w:sz w:val="24"/>
          <w:szCs w:val="24"/>
          <w:lang w:val="zh-TW" w:eastAsia="zh-TW"/>
        </w:rPr>
      </w:pP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Arial"/>
    <w:panose1 w:val="00000000000000000000"/>
    <w:charset w:val="00"/>
    <w:family w:val="auto"/>
    <w:pitch w:val="default"/>
    <w:sig w:usb0="00000000" w:usb1="00000000" w:usb2="0000001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20CD">
    <w:pPr>
      <w:pStyle w:val="3"/>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CBCC">
    <w:pPr>
      <w:pStyle w:val="12"/>
      <w:framePr w:wrap="auto" w:vAnchor="margin" w:hAnchor="text" w:yAlign="inline"/>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18008C3A">
                          <w:pPr>
                            <w:pStyle w:val="3"/>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18008C3A">
                    <w:pPr>
                      <w:pStyle w:val="3"/>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zOGNjNjMyYmRlNDM5MjcwMGUyNjNkYTIxYTA3Y2IifQ=="/>
  </w:docVars>
  <w:rsids>
    <w:rsidRoot w:val="001C1971"/>
    <w:rsid w:val="00001B5B"/>
    <w:rsid w:val="00010B53"/>
    <w:rsid w:val="000117FA"/>
    <w:rsid w:val="00023AB0"/>
    <w:rsid w:val="00050AEC"/>
    <w:rsid w:val="00065802"/>
    <w:rsid w:val="00082FF1"/>
    <w:rsid w:val="000905AB"/>
    <w:rsid w:val="00094129"/>
    <w:rsid w:val="000951F4"/>
    <w:rsid w:val="000C006E"/>
    <w:rsid w:val="000F34CE"/>
    <w:rsid w:val="000F45D3"/>
    <w:rsid w:val="000F4D43"/>
    <w:rsid w:val="000F71FA"/>
    <w:rsid w:val="00102875"/>
    <w:rsid w:val="00136DC2"/>
    <w:rsid w:val="001445DA"/>
    <w:rsid w:val="001C1971"/>
    <w:rsid w:val="00215DD7"/>
    <w:rsid w:val="00226735"/>
    <w:rsid w:val="002512F2"/>
    <w:rsid w:val="00264B72"/>
    <w:rsid w:val="002663D9"/>
    <w:rsid w:val="002665EC"/>
    <w:rsid w:val="0028709D"/>
    <w:rsid w:val="002949DD"/>
    <w:rsid w:val="00295751"/>
    <w:rsid w:val="002D4343"/>
    <w:rsid w:val="002F0550"/>
    <w:rsid w:val="002F0B8B"/>
    <w:rsid w:val="002F3AA6"/>
    <w:rsid w:val="002F3F3E"/>
    <w:rsid w:val="0030564F"/>
    <w:rsid w:val="0031319C"/>
    <w:rsid w:val="003737B4"/>
    <w:rsid w:val="00377697"/>
    <w:rsid w:val="00385D80"/>
    <w:rsid w:val="00391E44"/>
    <w:rsid w:val="00392AF6"/>
    <w:rsid w:val="0039677A"/>
    <w:rsid w:val="003B30F9"/>
    <w:rsid w:val="003D652D"/>
    <w:rsid w:val="004005B0"/>
    <w:rsid w:val="004124EA"/>
    <w:rsid w:val="004178EB"/>
    <w:rsid w:val="004240F0"/>
    <w:rsid w:val="00433554"/>
    <w:rsid w:val="00435909"/>
    <w:rsid w:val="00451318"/>
    <w:rsid w:val="004521B4"/>
    <w:rsid w:val="00453F8D"/>
    <w:rsid w:val="00454885"/>
    <w:rsid w:val="004B46F1"/>
    <w:rsid w:val="004D05EE"/>
    <w:rsid w:val="004D285A"/>
    <w:rsid w:val="004D69E2"/>
    <w:rsid w:val="00504297"/>
    <w:rsid w:val="00525B9B"/>
    <w:rsid w:val="00540A22"/>
    <w:rsid w:val="00546C9F"/>
    <w:rsid w:val="00550AA3"/>
    <w:rsid w:val="00555768"/>
    <w:rsid w:val="0059365C"/>
    <w:rsid w:val="00596DEE"/>
    <w:rsid w:val="005A1418"/>
    <w:rsid w:val="005A6EF5"/>
    <w:rsid w:val="005D27A7"/>
    <w:rsid w:val="005D5F2A"/>
    <w:rsid w:val="00601BF5"/>
    <w:rsid w:val="00617F5B"/>
    <w:rsid w:val="00647AAD"/>
    <w:rsid w:val="00654A01"/>
    <w:rsid w:val="00654B15"/>
    <w:rsid w:val="00686F8A"/>
    <w:rsid w:val="00690041"/>
    <w:rsid w:val="00695C8A"/>
    <w:rsid w:val="006A4054"/>
    <w:rsid w:val="006A5904"/>
    <w:rsid w:val="006A7B9F"/>
    <w:rsid w:val="006C7DCF"/>
    <w:rsid w:val="006D28E6"/>
    <w:rsid w:val="006E4EB5"/>
    <w:rsid w:val="006E4FE8"/>
    <w:rsid w:val="00713B38"/>
    <w:rsid w:val="00716D2A"/>
    <w:rsid w:val="00720891"/>
    <w:rsid w:val="00753EC9"/>
    <w:rsid w:val="007A2BC0"/>
    <w:rsid w:val="007A6EC1"/>
    <w:rsid w:val="007B09D2"/>
    <w:rsid w:val="007C78B9"/>
    <w:rsid w:val="007D7840"/>
    <w:rsid w:val="007F2E1F"/>
    <w:rsid w:val="007F7367"/>
    <w:rsid w:val="00800312"/>
    <w:rsid w:val="00852083"/>
    <w:rsid w:val="00872310"/>
    <w:rsid w:val="00873104"/>
    <w:rsid w:val="008843C7"/>
    <w:rsid w:val="008850BF"/>
    <w:rsid w:val="008A1E38"/>
    <w:rsid w:val="008E73B2"/>
    <w:rsid w:val="00903D18"/>
    <w:rsid w:val="009078BB"/>
    <w:rsid w:val="0092426D"/>
    <w:rsid w:val="0092709E"/>
    <w:rsid w:val="00951C47"/>
    <w:rsid w:val="009618BF"/>
    <w:rsid w:val="0096218D"/>
    <w:rsid w:val="00964B16"/>
    <w:rsid w:val="009936AB"/>
    <w:rsid w:val="00996E92"/>
    <w:rsid w:val="009A07B6"/>
    <w:rsid w:val="009A2906"/>
    <w:rsid w:val="009B4725"/>
    <w:rsid w:val="009C08DA"/>
    <w:rsid w:val="009C333D"/>
    <w:rsid w:val="009C543D"/>
    <w:rsid w:val="009F00BE"/>
    <w:rsid w:val="009F19C0"/>
    <w:rsid w:val="00A14861"/>
    <w:rsid w:val="00A329F7"/>
    <w:rsid w:val="00A369F1"/>
    <w:rsid w:val="00A5039D"/>
    <w:rsid w:val="00A527EA"/>
    <w:rsid w:val="00A61EAA"/>
    <w:rsid w:val="00A7221A"/>
    <w:rsid w:val="00A72D65"/>
    <w:rsid w:val="00A75259"/>
    <w:rsid w:val="00A76DB0"/>
    <w:rsid w:val="00AA10C0"/>
    <w:rsid w:val="00AE5E92"/>
    <w:rsid w:val="00AF5B22"/>
    <w:rsid w:val="00B0520A"/>
    <w:rsid w:val="00B154D0"/>
    <w:rsid w:val="00B1775C"/>
    <w:rsid w:val="00B17C1E"/>
    <w:rsid w:val="00B33BF1"/>
    <w:rsid w:val="00B3497B"/>
    <w:rsid w:val="00B45AE7"/>
    <w:rsid w:val="00B5017B"/>
    <w:rsid w:val="00B516C6"/>
    <w:rsid w:val="00B809D9"/>
    <w:rsid w:val="00B821C3"/>
    <w:rsid w:val="00B84999"/>
    <w:rsid w:val="00B93182"/>
    <w:rsid w:val="00BA0E1B"/>
    <w:rsid w:val="00BA5F93"/>
    <w:rsid w:val="00BE4100"/>
    <w:rsid w:val="00BE44F1"/>
    <w:rsid w:val="00C01246"/>
    <w:rsid w:val="00C223EE"/>
    <w:rsid w:val="00C37A21"/>
    <w:rsid w:val="00C50B12"/>
    <w:rsid w:val="00C731C6"/>
    <w:rsid w:val="00C870A4"/>
    <w:rsid w:val="00C923B3"/>
    <w:rsid w:val="00CC57BB"/>
    <w:rsid w:val="00CC7D25"/>
    <w:rsid w:val="00CD3464"/>
    <w:rsid w:val="00CE046D"/>
    <w:rsid w:val="00CE51C9"/>
    <w:rsid w:val="00CE5FCF"/>
    <w:rsid w:val="00D20D5B"/>
    <w:rsid w:val="00D31C61"/>
    <w:rsid w:val="00D418D7"/>
    <w:rsid w:val="00D42091"/>
    <w:rsid w:val="00D8744D"/>
    <w:rsid w:val="00D92B72"/>
    <w:rsid w:val="00D92D8A"/>
    <w:rsid w:val="00DA1793"/>
    <w:rsid w:val="00DB3344"/>
    <w:rsid w:val="00DC0655"/>
    <w:rsid w:val="00DD1545"/>
    <w:rsid w:val="00DF045C"/>
    <w:rsid w:val="00DF5A59"/>
    <w:rsid w:val="00E045F4"/>
    <w:rsid w:val="00E20101"/>
    <w:rsid w:val="00E21072"/>
    <w:rsid w:val="00E223F5"/>
    <w:rsid w:val="00E42EA4"/>
    <w:rsid w:val="00E476F5"/>
    <w:rsid w:val="00E66352"/>
    <w:rsid w:val="00E86919"/>
    <w:rsid w:val="00E95A59"/>
    <w:rsid w:val="00EA0E6F"/>
    <w:rsid w:val="00EB7D2E"/>
    <w:rsid w:val="00ED4542"/>
    <w:rsid w:val="00ED6663"/>
    <w:rsid w:val="00EE0D56"/>
    <w:rsid w:val="00EE2BFC"/>
    <w:rsid w:val="00EE4186"/>
    <w:rsid w:val="00EF578C"/>
    <w:rsid w:val="00EF79F7"/>
    <w:rsid w:val="00F17D51"/>
    <w:rsid w:val="00F379DE"/>
    <w:rsid w:val="00F4411B"/>
    <w:rsid w:val="00F50968"/>
    <w:rsid w:val="00F609D4"/>
    <w:rsid w:val="00F60ACD"/>
    <w:rsid w:val="00F770A2"/>
    <w:rsid w:val="00F91175"/>
    <w:rsid w:val="00F92653"/>
    <w:rsid w:val="00FB0713"/>
    <w:rsid w:val="00FB455B"/>
    <w:rsid w:val="00FB5D7E"/>
    <w:rsid w:val="00FF4CDC"/>
    <w:rsid w:val="00FF6099"/>
    <w:rsid w:val="062D0592"/>
    <w:rsid w:val="06907B34"/>
    <w:rsid w:val="0C6B2020"/>
    <w:rsid w:val="0CEF76F2"/>
    <w:rsid w:val="139727CB"/>
    <w:rsid w:val="1E8D27EC"/>
    <w:rsid w:val="1F4D5E38"/>
    <w:rsid w:val="24AC5E86"/>
    <w:rsid w:val="25215D4A"/>
    <w:rsid w:val="2DD66AA1"/>
    <w:rsid w:val="3D9910E3"/>
    <w:rsid w:val="48580610"/>
    <w:rsid w:val="488A4EC3"/>
    <w:rsid w:val="4C534625"/>
    <w:rsid w:val="4C5F21E2"/>
    <w:rsid w:val="536C2A87"/>
    <w:rsid w:val="556E3DBC"/>
    <w:rsid w:val="5BCD355F"/>
    <w:rsid w:val="6DFA59B9"/>
    <w:rsid w:val="791974F6"/>
    <w:rsid w:val="7DDB6D31"/>
    <w:rsid w:val="7F55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pPr>
      <w:framePr w:wrap="around"/>
    </w:pPr>
    <w:rPr>
      <w:sz w:val="18"/>
      <w:szCs w:val="18"/>
    </w:rPr>
  </w:style>
  <w:style w:type="paragraph" w:styleId="3">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4">
    <w:name w:val="header"/>
    <w:basedOn w:val="1"/>
    <w:link w:val="14"/>
    <w:qFormat/>
    <w:uiPriority w:val="0"/>
    <w:pPr>
      <w:framePr w:wrap="around"/>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framePr w:wrap="around"/>
    </w:pPr>
    <w:rPr>
      <w:sz w:val="24"/>
    </w:rPr>
  </w:style>
  <w:style w:type="character" w:styleId="8">
    <w:name w:val="Hyperlink"/>
    <w:qFormat/>
    <w:uiPriority w:val="0"/>
    <w:rPr>
      <w:u w:val="single"/>
    </w:rPr>
  </w:style>
  <w:style w:type="paragraph" w:customStyle="1" w:styleId="9">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3">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4">
    <w:name w:val="页眉 字符"/>
    <w:basedOn w:val="7"/>
    <w:link w:val="4"/>
    <w:qFormat/>
    <w:uiPriority w:val="0"/>
    <w:rPr>
      <w:rFonts w:ascii="Arial Unicode MS" w:hAnsi="Arial Unicode MS" w:eastAsia="Times New Roman" w:cs="Arial Unicode MS"/>
      <w:color w:val="000000"/>
      <w:kern w:val="2"/>
      <w:sz w:val="18"/>
      <w:szCs w:val="18"/>
      <w:u w:color="000000"/>
    </w:rPr>
  </w:style>
  <w:style w:type="paragraph" w:customStyle="1" w:styleId="15">
    <w:name w:val="列表段落1"/>
    <w:basedOn w:val="1"/>
    <w:qFormat/>
    <w:uiPriority w:val="99"/>
    <w:pPr>
      <w:framePr w:wrap="around"/>
      <w:ind w:firstLine="420" w:firstLineChars="200"/>
    </w:pPr>
  </w:style>
  <w:style w:type="character" w:customStyle="1" w:styleId="16">
    <w:name w:val="批注框文本 字符"/>
    <w:basedOn w:val="7"/>
    <w:link w:val="2"/>
    <w:qFormat/>
    <w:uiPriority w:val="0"/>
    <w:rPr>
      <w:rFonts w:ascii="Arial Unicode MS" w:hAnsi="Arial Unicode MS" w:eastAsia="Times New Roman" w:cs="Arial Unicode MS"/>
      <w:color w:val="000000"/>
      <w:kern w:val="2"/>
      <w:sz w:val="18"/>
      <w:szCs w:val="18"/>
      <w:u w:color="000000"/>
    </w:rPr>
  </w:style>
  <w:style w:type="paragraph" w:customStyle="1" w:styleId="17">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18">
    <w:name w:val="标准文件_段"/>
    <w:qFormat/>
    <w:uiPriority w:val="0"/>
    <w:pPr>
      <w:ind w:firstLine="960" w:firstLineChars="200"/>
      <w:jc w:val="both"/>
    </w:pPr>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3094</Words>
  <Characters>3293</Characters>
  <Lines>17</Lines>
  <Paragraphs>5</Paragraphs>
  <TotalTime>13</TotalTime>
  <ScaleCrop>false</ScaleCrop>
  <LinksUpToDate>false</LinksUpToDate>
  <CharactersWithSpaces>3313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2024-10-21T07:41:00Z</dcterms:created>
  <dc:creator>HP</dc:creator>
  <cp:lastModifiedBy>佳莹</cp:lastModifiedBy>
  <cp:lastPrinted>2019-06-17T03:57:00Z</cp:lastPrinted>
  <dcterms:modified xsi:type="dcterms:W3CDTF">2024-11-07T01:21:25Z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F1E37955DFF04977A57EA8884B367B08_13</vt:lpwstr>
  </property>
</Properties>
</file>