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90762" w14:textId="77777777" w:rsidR="0093014A" w:rsidRPr="00DE1F5B" w:rsidRDefault="0093014A" w:rsidP="0093014A">
      <w:pPr>
        <w:tabs>
          <w:tab w:val="left" w:pos="7371"/>
        </w:tabs>
        <w:jc w:val="left"/>
      </w:pPr>
      <w:bookmarkStart w:id="0" w:name="_Hlk175905260"/>
      <w:bookmarkStart w:id="1" w:name="_Toc175908325"/>
      <w:bookmarkStart w:id="2" w:name="_Toc32084"/>
      <w:r w:rsidRPr="00DE1F5B">
        <w:t>ICS 6</w:t>
      </w:r>
      <w:r w:rsidRPr="00DE1F5B">
        <w:rPr>
          <w:rFonts w:hint="eastAsia"/>
        </w:rPr>
        <w:t>5</w:t>
      </w:r>
      <w:r w:rsidRPr="00DE1F5B">
        <w:t>.120</w:t>
      </w:r>
    </w:p>
    <w:p w14:paraId="739D0A53" w14:textId="77777777" w:rsidR="0093014A" w:rsidRDefault="0093014A" w:rsidP="0093014A">
      <w:pPr>
        <w:jc w:val="left"/>
      </w:pPr>
      <w:r w:rsidRPr="00DE1F5B">
        <w:t xml:space="preserve">B </w:t>
      </w:r>
      <w:r w:rsidRPr="00DE1F5B">
        <w:rPr>
          <w:rFonts w:hint="eastAsia"/>
        </w:rPr>
        <w:t>20</w:t>
      </w:r>
    </w:p>
    <w:p w14:paraId="6AA1F62E" w14:textId="77777777" w:rsidR="0093014A" w:rsidRDefault="0093014A" w:rsidP="0093014A">
      <w:pPr>
        <w:jc w:val="center"/>
      </w:pPr>
    </w:p>
    <w:p w14:paraId="626E2F6E" w14:textId="77777777" w:rsidR="0093014A" w:rsidRDefault="0093014A" w:rsidP="0093014A">
      <w:pPr>
        <w:jc w:val="center"/>
      </w:pPr>
    </w:p>
    <w:p w14:paraId="381E7E4E" w14:textId="77777777" w:rsidR="0093014A" w:rsidRDefault="0093014A" w:rsidP="0093014A">
      <w:pPr>
        <w:jc w:val="center"/>
        <w:rPr>
          <w:rFonts w:eastAsia="黑体"/>
          <w:sz w:val="84"/>
          <w:szCs w:val="84"/>
        </w:rPr>
      </w:pPr>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04E04D08" w14:textId="77777777" w:rsidR="0093014A" w:rsidRDefault="0093014A" w:rsidP="0093014A">
      <w:pPr>
        <w:jc w:val="center"/>
        <w:rPr>
          <w:sz w:val="84"/>
          <w:szCs w:val="84"/>
        </w:rPr>
      </w:pPr>
    </w:p>
    <w:p w14:paraId="2BF7E574" w14:textId="77777777" w:rsidR="0093014A" w:rsidRDefault="0093014A" w:rsidP="0093014A">
      <w:pPr>
        <w:jc w:val="right"/>
        <w:rPr>
          <w:b/>
          <w:bCs/>
        </w:rPr>
      </w:pPr>
      <w:r>
        <w:rPr>
          <w:b/>
          <w:bCs/>
        </w:rPr>
        <w:t>T/HXCY XXX-</w:t>
      </w:r>
      <w:r>
        <w:rPr>
          <w:rFonts w:hint="eastAsia"/>
          <w:b/>
          <w:bCs/>
        </w:rPr>
        <w:t>2024</w:t>
      </w:r>
    </w:p>
    <w:p w14:paraId="602A59CC" w14:textId="77777777" w:rsidR="0093014A" w:rsidRDefault="0093014A" w:rsidP="0093014A">
      <w:pPr>
        <w:jc w:val="left"/>
        <w:rPr>
          <w:u w:val="single"/>
        </w:rPr>
      </w:pPr>
      <w:r>
        <w:rPr>
          <w:u w:val="single"/>
        </w:rPr>
        <w:t xml:space="preserve">                                                                               </w:t>
      </w:r>
    </w:p>
    <w:p w14:paraId="53C3CBF6" w14:textId="77777777" w:rsidR="0093014A" w:rsidRDefault="0093014A" w:rsidP="0093014A">
      <w:pPr>
        <w:jc w:val="right"/>
        <w:rPr>
          <w:b/>
          <w:bCs/>
        </w:rPr>
      </w:pPr>
    </w:p>
    <w:p w14:paraId="197488F1" w14:textId="77777777" w:rsidR="0093014A" w:rsidRPr="002951D4" w:rsidRDefault="0093014A" w:rsidP="0093014A">
      <w:pPr>
        <w:spacing w:line="360" w:lineRule="auto"/>
        <w:jc w:val="center"/>
        <w:outlineLvl w:val="0"/>
        <w:rPr>
          <w:rFonts w:asciiTheme="minorHAnsi" w:eastAsia="黑体" w:hAnsiTheme="minorHAnsi" w:cstheme="minorBidi" w:hint="eastAsia"/>
          <w:sz w:val="52"/>
          <w:szCs w:val="52"/>
        </w:rPr>
      </w:pPr>
      <w:bookmarkStart w:id="3" w:name="_Toc6042"/>
      <w:bookmarkStart w:id="4" w:name="_Toc2878"/>
      <w:bookmarkStart w:id="5" w:name="OLE_LINK1"/>
      <w:bookmarkStart w:id="6" w:name="_Toc181727904"/>
      <w:bookmarkStart w:id="7" w:name="OLE_LINK8"/>
      <w:bookmarkEnd w:id="0"/>
      <w:r w:rsidRPr="002951D4">
        <w:rPr>
          <w:rFonts w:asciiTheme="minorHAnsi" w:eastAsia="黑体" w:hAnsiTheme="minorHAnsi" w:cstheme="minorBidi" w:hint="eastAsia"/>
          <w:sz w:val="52"/>
          <w:szCs w:val="52"/>
        </w:rPr>
        <w:t>呼伦贝尔岭西林草过渡带苜蓿旱作种植技术规程</w:t>
      </w:r>
      <w:bookmarkEnd w:id="3"/>
      <w:bookmarkEnd w:id="4"/>
      <w:bookmarkEnd w:id="5"/>
      <w:bookmarkEnd w:id="6"/>
    </w:p>
    <w:bookmarkEnd w:id="7"/>
    <w:p w14:paraId="26B64099" w14:textId="77777777" w:rsidR="0093014A" w:rsidRDefault="0093014A" w:rsidP="0093014A">
      <w:pPr>
        <w:spacing w:line="440" w:lineRule="exact"/>
        <w:jc w:val="center"/>
        <w:rPr>
          <w:rFonts w:eastAsia="黑体"/>
          <w:b/>
          <w:bCs/>
          <w:sz w:val="28"/>
          <w:szCs w:val="28"/>
        </w:rPr>
      </w:pPr>
      <w:r w:rsidRPr="00906499">
        <w:rPr>
          <w:rFonts w:asciiTheme="minorHAnsi" w:eastAsia="黑体" w:hAnsiTheme="minorHAnsi" w:cstheme="minorBidi" w:hint="eastAsia"/>
          <w:b/>
          <w:bCs/>
          <w:sz w:val="28"/>
          <w:szCs w:val="28"/>
        </w:rPr>
        <w:t xml:space="preserve">Technical Regulations </w:t>
      </w:r>
      <w:proofErr w:type="gramStart"/>
      <w:r w:rsidRPr="00906499">
        <w:rPr>
          <w:rFonts w:asciiTheme="minorHAnsi" w:eastAsia="黑体" w:hAnsiTheme="minorHAnsi" w:cstheme="minorBidi" w:hint="eastAsia"/>
          <w:b/>
          <w:bCs/>
          <w:sz w:val="28"/>
          <w:szCs w:val="28"/>
        </w:rPr>
        <w:t>For</w:t>
      </w:r>
      <w:proofErr w:type="gramEnd"/>
      <w:r w:rsidRPr="00906499">
        <w:rPr>
          <w:rFonts w:asciiTheme="minorHAnsi" w:eastAsia="黑体" w:hAnsiTheme="minorHAnsi" w:cstheme="minorBidi" w:hint="eastAsia"/>
          <w:b/>
          <w:bCs/>
          <w:sz w:val="28"/>
          <w:szCs w:val="28"/>
        </w:rPr>
        <w:t xml:space="preserve"> Planting Alfalfa Under Dryland in The Transition Zone of The Western Foot of The Great Khingan Mountains in The </w:t>
      </w:r>
      <w:proofErr w:type="spellStart"/>
      <w:r w:rsidRPr="00906499">
        <w:rPr>
          <w:rFonts w:asciiTheme="minorHAnsi" w:eastAsia="黑体" w:hAnsiTheme="minorHAnsi" w:cstheme="minorBidi" w:hint="eastAsia"/>
          <w:b/>
          <w:bCs/>
          <w:sz w:val="28"/>
          <w:szCs w:val="28"/>
        </w:rPr>
        <w:t>Hulunbuir</w:t>
      </w:r>
      <w:proofErr w:type="spellEnd"/>
    </w:p>
    <w:p w14:paraId="38D8E627" w14:textId="77777777" w:rsidR="0093014A" w:rsidRPr="00906499" w:rsidRDefault="0093014A" w:rsidP="0093014A">
      <w:pPr>
        <w:spacing w:line="440" w:lineRule="exact"/>
        <w:jc w:val="center"/>
        <w:rPr>
          <w:rFonts w:asciiTheme="minorHAnsi" w:eastAsia="黑体" w:hAnsiTheme="minorHAnsi" w:cstheme="minorBidi" w:hint="eastAsia"/>
          <w:b/>
          <w:bCs/>
          <w:sz w:val="28"/>
          <w:szCs w:val="28"/>
        </w:rPr>
      </w:pPr>
    </w:p>
    <w:p w14:paraId="74024553" w14:textId="77777777" w:rsidR="0093014A" w:rsidRPr="00906499" w:rsidRDefault="0093014A" w:rsidP="0093014A">
      <w:pPr>
        <w:jc w:val="center"/>
        <w:rPr>
          <w:rFonts w:eastAsia="黑体"/>
          <w:sz w:val="48"/>
          <w:szCs w:val="48"/>
        </w:rPr>
      </w:pPr>
      <w:r w:rsidRPr="00BB44E5">
        <w:rPr>
          <w:rFonts w:eastAsia="黑体" w:hint="eastAsia"/>
          <w:sz w:val="24"/>
          <w:szCs w:val="24"/>
        </w:rPr>
        <w:t>（征求意见稿）</w:t>
      </w:r>
    </w:p>
    <w:p w14:paraId="162A7538" w14:textId="77777777" w:rsidR="0093014A" w:rsidRDefault="0093014A" w:rsidP="0093014A">
      <w:pPr>
        <w:jc w:val="center"/>
        <w:rPr>
          <w:rFonts w:eastAsia="黑体"/>
          <w:sz w:val="48"/>
          <w:szCs w:val="48"/>
        </w:rPr>
      </w:pPr>
    </w:p>
    <w:p w14:paraId="75DFA6C1" w14:textId="77777777" w:rsidR="0093014A" w:rsidRDefault="0093014A" w:rsidP="0093014A">
      <w:pPr>
        <w:jc w:val="center"/>
        <w:rPr>
          <w:rFonts w:eastAsia="黑体"/>
          <w:sz w:val="48"/>
          <w:szCs w:val="48"/>
        </w:rPr>
      </w:pPr>
    </w:p>
    <w:p w14:paraId="200D29E9" w14:textId="77777777" w:rsidR="0093014A" w:rsidRDefault="0093014A" w:rsidP="0093014A">
      <w:pPr>
        <w:jc w:val="center"/>
        <w:rPr>
          <w:rFonts w:eastAsia="黑体"/>
          <w:sz w:val="48"/>
          <w:szCs w:val="48"/>
        </w:rPr>
      </w:pPr>
    </w:p>
    <w:p w14:paraId="340D836C" w14:textId="77777777" w:rsidR="0093014A" w:rsidRDefault="0093014A" w:rsidP="0093014A">
      <w:pPr>
        <w:jc w:val="center"/>
        <w:rPr>
          <w:rFonts w:eastAsia="黑体"/>
          <w:sz w:val="48"/>
          <w:szCs w:val="48"/>
        </w:rPr>
      </w:pPr>
    </w:p>
    <w:p w14:paraId="05778D6C" w14:textId="77777777" w:rsidR="0093014A" w:rsidRDefault="0093014A" w:rsidP="0093014A">
      <w:pPr>
        <w:jc w:val="center"/>
        <w:rPr>
          <w:rFonts w:eastAsia="黑体"/>
          <w:sz w:val="48"/>
          <w:szCs w:val="48"/>
        </w:rPr>
      </w:pPr>
    </w:p>
    <w:p w14:paraId="56790AC6" w14:textId="77777777" w:rsidR="0093014A" w:rsidRDefault="0093014A" w:rsidP="0093014A">
      <w:pPr>
        <w:jc w:val="center"/>
        <w:rPr>
          <w:rFonts w:eastAsia="黑体"/>
          <w:sz w:val="48"/>
          <w:szCs w:val="48"/>
        </w:rPr>
      </w:pPr>
    </w:p>
    <w:p w14:paraId="2BDE0DFB" w14:textId="77777777" w:rsidR="00E63FFA" w:rsidRDefault="00E63FFA" w:rsidP="0093014A">
      <w:pPr>
        <w:jc w:val="center"/>
        <w:rPr>
          <w:rFonts w:eastAsia="黑体"/>
          <w:sz w:val="48"/>
          <w:szCs w:val="48"/>
        </w:rPr>
      </w:pPr>
    </w:p>
    <w:p w14:paraId="0501317C" w14:textId="77777777" w:rsidR="0093014A" w:rsidRPr="00BB44E5" w:rsidRDefault="0093014A" w:rsidP="0093014A">
      <w:pPr>
        <w:jc w:val="left"/>
        <w:rPr>
          <w:rFonts w:ascii="黑体" w:eastAsia="黑体" w:hAnsi="黑体" w:hint="eastAsia"/>
          <w:u w:val="single"/>
        </w:rPr>
      </w:pPr>
      <w:r w:rsidRPr="00BB44E5">
        <w:rPr>
          <w:rFonts w:ascii="黑体" w:eastAsia="黑体" w:hAnsi="黑体" w:hint="eastAsia"/>
          <w:u w:val="single"/>
        </w:rPr>
        <w:t>2024</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 xml:space="preserve">发布                                              </w:t>
      </w:r>
      <w:r>
        <w:rPr>
          <w:rFonts w:ascii="黑体" w:eastAsia="黑体" w:hAnsi="黑体" w:cs="黑体" w:hint="eastAsia"/>
          <w:u w:val="single"/>
        </w:rPr>
        <w:t xml:space="preserve">  </w:t>
      </w:r>
      <w:r w:rsidRPr="00BB44E5">
        <w:rPr>
          <w:rFonts w:ascii="黑体" w:eastAsia="黑体" w:hAnsi="黑体" w:cs="黑体" w:hint="eastAsia"/>
          <w:u w:val="single"/>
        </w:rPr>
        <w:t xml:space="preserve">  </w:t>
      </w:r>
      <w:r w:rsidRPr="00BB44E5">
        <w:rPr>
          <w:rFonts w:ascii="黑体" w:eastAsia="黑体" w:hAnsi="黑体"/>
          <w:u w:val="single"/>
        </w:rPr>
        <w:t>202</w:t>
      </w:r>
      <w:r w:rsidRPr="00BB44E5">
        <w:rPr>
          <w:rFonts w:ascii="黑体" w:eastAsia="黑体" w:hAnsi="黑体" w:hint="eastAsia"/>
          <w:u w:val="single"/>
        </w:rPr>
        <w:t>4</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实施</w:t>
      </w:r>
    </w:p>
    <w:p w14:paraId="19D42868" w14:textId="77777777" w:rsidR="0093014A" w:rsidRDefault="0093014A" w:rsidP="0093014A">
      <w:pPr>
        <w:spacing w:beforeLines="100" w:before="312"/>
        <w:jc w:val="center"/>
        <w:sectPr w:rsidR="0093014A" w:rsidSect="0093014A">
          <w:pgSz w:w="11906" w:h="16838"/>
          <w:pgMar w:top="1440" w:right="1800" w:bottom="1440" w:left="1800" w:header="851" w:footer="992" w:gutter="0"/>
          <w:pgNumType w:fmt="upperRoman" w:start="1"/>
          <w:cols w:space="720"/>
          <w:docGrid w:type="lines" w:linePitch="312"/>
        </w:sectPr>
      </w:pPr>
      <w:r w:rsidRPr="00BB44E5">
        <w:rPr>
          <w:rFonts w:ascii="黑体" w:eastAsia="黑体" w:hAnsi="黑体" w:cs="黑体" w:hint="eastAsia"/>
        </w:rPr>
        <w:t>北京华夏草业产业技术创新战略联盟发布</w:t>
      </w:r>
    </w:p>
    <w:p w14:paraId="2B46F376" w14:textId="77777777" w:rsidR="008A1E2C" w:rsidRDefault="00000000">
      <w:pPr>
        <w:pStyle w:val="a7"/>
      </w:pPr>
      <w:bookmarkStart w:id="8" w:name="_Toc181727905"/>
      <w:r>
        <w:lastRenderedPageBreak/>
        <w:t>目</w:t>
      </w:r>
      <w:r>
        <w:rPr>
          <w:rFonts w:hint="eastAsia"/>
        </w:rPr>
        <w:t xml:space="preserve">  </w:t>
      </w:r>
      <w:bookmarkEnd w:id="1"/>
      <w:r>
        <w:rPr>
          <w:rFonts w:hint="eastAsia"/>
        </w:rPr>
        <w:t>次</w:t>
      </w:r>
      <w:bookmarkEnd w:id="2"/>
      <w:bookmarkEnd w:id="8"/>
    </w:p>
    <w:p w14:paraId="6B03A136" w14:textId="5E42D557" w:rsidR="0093014A" w:rsidRDefault="00000000" w:rsidP="0093014A">
      <w:pPr>
        <w:pStyle w:val="TOC1"/>
        <w:tabs>
          <w:tab w:val="right" w:leader="dot" w:pos="8296"/>
        </w:tabs>
        <w:spacing w:line="360" w:lineRule="auto"/>
        <w:rPr>
          <w:rFonts w:asciiTheme="minorHAnsi" w:eastAsiaTheme="minorEastAsia" w:hAnsiTheme="minorHAnsi" w:cstheme="minorBidi" w:hint="eastAsia"/>
          <w:noProof/>
          <w:szCs w:val="22"/>
          <w14:ligatures w14:val="standardContextual"/>
        </w:rPr>
      </w:pPr>
      <w:r>
        <w:fldChar w:fldCharType="begin"/>
      </w:r>
      <w:r>
        <w:instrText xml:space="preserve"> TOC \o "1-3" \h \z \u </w:instrText>
      </w:r>
      <w:r>
        <w:fldChar w:fldCharType="separate"/>
      </w:r>
      <w:hyperlink w:anchor="_Toc181727906" w:history="1">
        <w:r w:rsidR="0093014A" w:rsidRPr="00F84F12">
          <w:rPr>
            <w:rStyle w:val="a9"/>
            <w:rFonts w:ascii="黑体" w:hAnsi="黑体" w:hint="eastAsia"/>
            <w:noProof/>
          </w:rPr>
          <w:t>前</w:t>
        </w:r>
        <w:r w:rsidR="0093014A" w:rsidRPr="00F84F12">
          <w:rPr>
            <w:rStyle w:val="a9"/>
            <w:rFonts w:ascii="黑体" w:hAnsi="黑体" w:hint="eastAsia"/>
            <w:noProof/>
          </w:rPr>
          <w:t xml:space="preserve">  </w:t>
        </w:r>
        <w:r w:rsidR="0093014A" w:rsidRPr="00F84F12">
          <w:rPr>
            <w:rStyle w:val="a9"/>
            <w:rFonts w:ascii="黑体" w:hAnsi="黑体" w:hint="eastAsia"/>
            <w:noProof/>
          </w:rPr>
          <w:t>言</w:t>
        </w:r>
        <w:r w:rsidR="0093014A">
          <w:rPr>
            <w:rFonts w:hint="eastAsia"/>
            <w:noProof/>
            <w:webHidden/>
          </w:rPr>
          <w:tab/>
        </w:r>
        <w:r w:rsidR="0093014A">
          <w:rPr>
            <w:rFonts w:hint="eastAsia"/>
            <w:noProof/>
            <w:webHidden/>
          </w:rPr>
          <w:fldChar w:fldCharType="begin"/>
        </w:r>
        <w:r w:rsidR="0093014A">
          <w:rPr>
            <w:rFonts w:hint="eastAsia"/>
            <w:noProof/>
            <w:webHidden/>
          </w:rPr>
          <w:instrText xml:space="preserve"> </w:instrText>
        </w:r>
        <w:r w:rsidR="0093014A">
          <w:rPr>
            <w:noProof/>
            <w:webHidden/>
          </w:rPr>
          <w:instrText>PAGEREF _Toc181727906 \h</w:instrText>
        </w:r>
        <w:r w:rsidR="0093014A">
          <w:rPr>
            <w:rFonts w:hint="eastAsia"/>
            <w:noProof/>
            <w:webHidden/>
          </w:rPr>
          <w:instrText xml:space="preserve"> </w:instrText>
        </w:r>
        <w:r w:rsidR="0093014A">
          <w:rPr>
            <w:rFonts w:hint="eastAsia"/>
            <w:noProof/>
            <w:webHidden/>
          </w:rPr>
        </w:r>
        <w:r w:rsidR="0093014A">
          <w:rPr>
            <w:rFonts w:hint="eastAsia"/>
            <w:noProof/>
            <w:webHidden/>
          </w:rPr>
          <w:fldChar w:fldCharType="separate"/>
        </w:r>
        <w:r w:rsidR="00E63FFA">
          <w:rPr>
            <w:noProof/>
            <w:webHidden/>
          </w:rPr>
          <w:t>II</w:t>
        </w:r>
        <w:r w:rsidR="0093014A">
          <w:rPr>
            <w:rFonts w:hint="eastAsia"/>
            <w:noProof/>
            <w:webHidden/>
          </w:rPr>
          <w:fldChar w:fldCharType="end"/>
        </w:r>
      </w:hyperlink>
    </w:p>
    <w:p w14:paraId="054C7727" w14:textId="1327B61A" w:rsidR="0093014A" w:rsidRDefault="0093014A" w:rsidP="0093014A">
      <w:pPr>
        <w:pStyle w:val="TOC1"/>
        <w:tabs>
          <w:tab w:val="right" w:leader="dot" w:pos="8296"/>
        </w:tabs>
        <w:spacing w:line="360" w:lineRule="auto"/>
        <w:rPr>
          <w:rFonts w:asciiTheme="minorHAnsi" w:eastAsiaTheme="minorEastAsia" w:hAnsiTheme="minorHAnsi" w:cstheme="minorBidi" w:hint="eastAsia"/>
          <w:noProof/>
          <w:szCs w:val="22"/>
          <w14:ligatures w14:val="standardContextual"/>
        </w:rPr>
      </w:pPr>
      <w:hyperlink w:anchor="_Toc181727907" w:history="1">
        <w:r w:rsidRPr="00F84F12">
          <w:rPr>
            <w:rStyle w:val="a9"/>
            <w:rFonts w:hint="eastAsia"/>
            <w:noProof/>
            <w:shd w:val="clear" w:color="auto" w:fill="FFFFFF"/>
          </w:rPr>
          <w:t xml:space="preserve">1 </w:t>
        </w:r>
        <w:r w:rsidRPr="00F84F12">
          <w:rPr>
            <w:rStyle w:val="a9"/>
            <w:rFonts w:hint="eastAsia"/>
            <w:noProof/>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_Toc181727907 \h</w:instrText>
        </w:r>
        <w:r>
          <w:rPr>
            <w:rFonts w:hint="eastAsia"/>
            <w:noProof/>
            <w:webHidden/>
          </w:rPr>
          <w:instrText xml:space="preserve"> </w:instrText>
        </w:r>
        <w:r>
          <w:rPr>
            <w:rFonts w:hint="eastAsia"/>
            <w:noProof/>
            <w:webHidden/>
          </w:rPr>
        </w:r>
        <w:r>
          <w:rPr>
            <w:rFonts w:hint="eastAsia"/>
            <w:noProof/>
            <w:webHidden/>
          </w:rPr>
          <w:fldChar w:fldCharType="separate"/>
        </w:r>
        <w:r w:rsidR="00E63FFA">
          <w:rPr>
            <w:noProof/>
            <w:webHidden/>
          </w:rPr>
          <w:t>1</w:t>
        </w:r>
        <w:r>
          <w:rPr>
            <w:rFonts w:hint="eastAsia"/>
            <w:noProof/>
            <w:webHidden/>
          </w:rPr>
          <w:fldChar w:fldCharType="end"/>
        </w:r>
      </w:hyperlink>
    </w:p>
    <w:p w14:paraId="6183CCC9" w14:textId="0DDA3BD2" w:rsidR="0093014A" w:rsidRDefault="0093014A" w:rsidP="0093014A">
      <w:pPr>
        <w:pStyle w:val="TOC1"/>
        <w:tabs>
          <w:tab w:val="right" w:leader="dot" w:pos="8296"/>
        </w:tabs>
        <w:spacing w:line="360" w:lineRule="auto"/>
        <w:rPr>
          <w:rFonts w:asciiTheme="minorHAnsi" w:eastAsiaTheme="minorEastAsia" w:hAnsiTheme="minorHAnsi" w:cstheme="minorBidi" w:hint="eastAsia"/>
          <w:noProof/>
          <w:szCs w:val="22"/>
          <w14:ligatures w14:val="standardContextual"/>
        </w:rPr>
      </w:pPr>
      <w:hyperlink w:anchor="_Toc181727908" w:history="1">
        <w:r w:rsidRPr="00F84F12">
          <w:rPr>
            <w:rStyle w:val="a9"/>
            <w:rFonts w:hint="eastAsia"/>
            <w:noProof/>
            <w:shd w:val="clear" w:color="auto" w:fill="FFFFFF"/>
          </w:rPr>
          <w:t xml:space="preserve">2 </w:t>
        </w:r>
        <w:r w:rsidRPr="00F84F12">
          <w:rPr>
            <w:rStyle w:val="a9"/>
            <w:rFonts w:hint="eastAsia"/>
            <w:noProof/>
          </w:rPr>
          <w:t>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_Toc181727908 \h</w:instrText>
        </w:r>
        <w:r>
          <w:rPr>
            <w:rFonts w:hint="eastAsia"/>
            <w:noProof/>
            <w:webHidden/>
          </w:rPr>
          <w:instrText xml:space="preserve"> </w:instrText>
        </w:r>
        <w:r>
          <w:rPr>
            <w:rFonts w:hint="eastAsia"/>
            <w:noProof/>
            <w:webHidden/>
          </w:rPr>
        </w:r>
        <w:r>
          <w:rPr>
            <w:rFonts w:hint="eastAsia"/>
            <w:noProof/>
            <w:webHidden/>
          </w:rPr>
          <w:fldChar w:fldCharType="separate"/>
        </w:r>
        <w:r w:rsidR="00E63FFA">
          <w:rPr>
            <w:noProof/>
            <w:webHidden/>
          </w:rPr>
          <w:t>1</w:t>
        </w:r>
        <w:r>
          <w:rPr>
            <w:rFonts w:hint="eastAsia"/>
            <w:noProof/>
            <w:webHidden/>
          </w:rPr>
          <w:fldChar w:fldCharType="end"/>
        </w:r>
      </w:hyperlink>
    </w:p>
    <w:p w14:paraId="18542F03" w14:textId="0DB28988" w:rsidR="0093014A" w:rsidRDefault="0093014A" w:rsidP="0093014A">
      <w:pPr>
        <w:pStyle w:val="TOC1"/>
        <w:tabs>
          <w:tab w:val="right" w:leader="dot" w:pos="8296"/>
        </w:tabs>
        <w:spacing w:line="360" w:lineRule="auto"/>
        <w:rPr>
          <w:rFonts w:asciiTheme="minorHAnsi" w:eastAsiaTheme="minorEastAsia" w:hAnsiTheme="minorHAnsi" w:cstheme="minorBidi" w:hint="eastAsia"/>
          <w:noProof/>
          <w:szCs w:val="22"/>
          <w14:ligatures w14:val="standardContextual"/>
        </w:rPr>
      </w:pPr>
      <w:hyperlink w:anchor="_Toc181727909" w:history="1">
        <w:r w:rsidRPr="00F84F12">
          <w:rPr>
            <w:rStyle w:val="a9"/>
            <w:rFonts w:hint="eastAsia"/>
            <w:noProof/>
          </w:rPr>
          <w:t xml:space="preserve">3 </w:t>
        </w:r>
        <w:r w:rsidRPr="00F84F12">
          <w:rPr>
            <w:rStyle w:val="a9"/>
            <w:rFonts w:hint="eastAsia"/>
            <w:noProof/>
          </w:rPr>
          <w:t>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_Toc181727909 \h</w:instrText>
        </w:r>
        <w:r>
          <w:rPr>
            <w:rFonts w:hint="eastAsia"/>
            <w:noProof/>
            <w:webHidden/>
          </w:rPr>
          <w:instrText xml:space="preserve"> </w:instrText>
        </w:r>
        <w:r>
          <w:rPr>
            <w:rFonts w:hint="eastAsia"/>
            <w:noProof/>
            <w:webHidden/>
          </w:rPr>
        </w:r>
        <w:r>
          <w:rPr>
            <w:rFonts w:hint="eastAsia"/>
            <w:noProof/>
            <w:webHidden/>
          </w:rPr>
          <w:fldChar w:fldCharType="separate"/>
        </w:r>
        <w:r w:rsidR="00E63FFA">
          <w:rPr>
            <w:noProof/>
            <w:webHidden/>
          </w:rPr>
          <w:t>1</w:t>
        </w:r>
        <w:r>
          <w:rPr>
            <w:rFonts w:hint="eastAsia"/>
            <w:noProof/>
            <w:webHidden/>
          </w:rPr>
          <w:fldChar w:fldCharType="end"/>
        </w:r>
      </w:hyperlink>
    </w:p>
    <w:p w14:paraId="709C4075" w14:textId="261BC92C" w:rsidR="0093014A" w:rsidRDefault="0093014A" w:rsidP="0093014A">
      <w:pPr>
        <w:pStyle w:val="TOC1"/>
        <w:tabs>
          <w:tab w:val="right" w:leader="dot" w:pos="8296"/>
        </w:tabs>
        <w:spacing w:line="360" w:lineRule="auto"/>
        <w:rPr>
          <w:rFonts w:asciiTheme="minorHAnsi" w:eastAsiaTheme="minorEastAsia" w:hAnsiTheme="minorHAnsi" w:cstheme="minorBidi" w:hint="eastAsia"/>
          <w:noProof/>
          <w:szCs w:val="22"/>
          <w14:ligatures w14:val="standardContextual"/>
        </w:rPr>
      </w:pPr>
      <w:hyperlink w:anchor="_Toc181727910" w:history="1">
        <w:r w:rsidRPr="00F84F12">
          <w:rPr>
            <w:rStyle w:val="a9"/>
            <w:rFonts w:hint="eastAsia"/>
            <w:noProof/>
            <w:shd w:val="clear" w:color="auto" w:fill="FFFFFF"/>
          </w:rPr>
          <w:t xml:space="preserve">4 </w:t>
        </w:r>
        <w:r w:rsidRPr="00F84F12">
          <w:rPr>
            <w:rStyle w:val="a9"/>
            <w:rFonts w:hint="eastAsia"/>
            <w:noProof/>
          </w:rPr>
          <w:t>选地整地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_Toc181727910 \h</w:instrText>
        </w:r>
        <w:r>
          <w:rPr>
            <w:rFonts w:hint="eastAsia"/>
            <w:noProof/>
            <w:webHidden/>
          </w:rPr>
          <w:instrText xml:space="preserve"> </w:instrText>
        </w:r>
        <w:r>
          <w:rPr>
            <w:rFonts w:hint="eastAsia"/>
            <w:noProof/>
            <w:webHidden/>
          </w:rPr>
        </w:r>
        <w:r>
          <w:rPr>
            <w:rFonts w:hint="eastAsia"/>
            <w:noProof/>
            <w:webHidden/>
          </w:rPr>
          <w:fldChar w:fldCharType="separate"/>
        </w:r>
        <w:r w:rsidR="00E63FFA">
          <w:rPr>
            <w:noProof/>
            <w:webHidden/>
          </w:rPr>
          <w:t>1</w:t>
        </w:r>
        <w:r>
          <w:rPr>
            <w:rFonts w:hint="eastAsia"/>
            <w:noProof/>
            <w:webHidden/>
          </w:rPr>
          <w:fldChar w:fldCharType="end"/>
        </w:r>
      </w:hyperlink>
    </w:p>
    <w:p w14:paraId="3561B573" w14:textId="3827661F" w:rsidR="0093014A" w:rsidRDefault="0093014A" w:rsidP="0093014A">
      <w:pPr>
        <w:pStyle w:val="TOC1"/>
        <w:tabs>
          <w:tab w:val="right" w:leader="dot" w:pos="8296"/>
        </w:tabs>
        <w:spacing w:line="360" w:lineRule="auto"/>
        <w:rPr>
          <w:rFonts w:asciiTheme="minorHAnsi" w:eastAsiaTheme="minorEastAsia" w:hAnsiTheme="minorHAnsi" w:cstheme="minorBidi" w:hint="eastAsia"/>
          <w:noProof/>
          <w:szCs w:val="22"/>
          <w14:ligatures w14:val="standardContextual"/>
        </w:rPr>
      </w:pPr>
      <w:hyperlink w:anchor="_Toc181727911" w:history="1">
        <w:r w:rsidRPr="00F84F12">
          <w:rPr>
            <w:rStyle w:val="a9"/>
            <w:rFonts w:hint="eastAsia"/>
            <w:noProof/>
          </w:rPr>
          <w:t xml:space="preserve">5 </w:t>
        </w:r>
        <w:r w:rsidRPr="00F84F12">
          <w:rPr>
            <w:rStyle w:val="a9"/>
            <w:rFonts w:hint="eastAsia"/>
            <w:noProof/>
          </w:rPr>
          <w:t>选种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_Toc181727911 \h</w:instrText>
        </w:r>
        <w:r>
          <w:rPr>
            <w:rFonts w:hint="eastAsia"/>
            <w:noProof/>
            <w:webHidden/>
          </w:rPr>
          <w:instrText xml:space="preserve"> </w:instrText>
        </w:r>
        <w:r>
          <w:rPr>
            <w:rFonts w:hint="eastAsia"/>
            <w:noProof/>
            <w:webHidden/>
          </w:rPr>
        </w:r>
        <w:r>
          <w:rPr>
            <w:rFonts w:hint="eastAsia"/>
            <w:noProof/>
            <w:webHidden/>
          </w:rPr>
          <w:fldChar w:fldCharType="separate"/>
        </w:r>
        <w:r w:rsidR="00E63FFA">
          <w:rPr>
            <w:noProof/>
            <w:webHidden/>
          </w:rPr>
          <w:t>2</w:t>
        </w:r>
        <w:r>
          <w:rPr>
            <w:rFonts w:hint="eastAsia"/>
            <w:noProof/>
            <w:webHidden/>
          </w:rPr>
          <w:fldChar w:fldCharType="end"/>
        </w:r>
      </w:hyperlink>
    </w:p>
    <w:p w14:paraId="007ADAD1" w14:textId="4F18C069" w:rsidR="0093014A" w:rsidRDefault="0093014A" w:rsidP="0093014A">
      <w:pPr>
        <w:pStyle w:val="TOC1"/>
        <w:tabs>
          <w:tab w:val="right" w:leader="dot" w:pos="8296"/>
        </w:tabs>
        <w:spacing w:line="360" w:lineRule="auto"/>
        <w:rPr>
          <w:rFonts w:asciiTheme="minorHAnsi" w:eastAsiaTheme="minorEastAsia" w:hAnsiTheme="minorHAnsi" w:cstheme="minorBidi" w:hint="eastAsia"/>
          <w:noProof/>
          <w:szCs w:val="22"/>
          <w14:ligatures w14:val="standardContextual"/>
        </w:rPr>
      </w:pPr>
      <w:hyperlink w:anchor="_Toc181727912" w:history="1">
        <w:r w:rsidRPr="00F84F12">
          <w:rPr>
            <w:rStyle w:val="a9"/>
            <w:rFonts w:hint="eastAsia"/>
            <w:noProof/>
          </w:rPr>
          <w:t xml:space="preserve">6 </w:t>
        </w:r>
        <w:r w:rsidRPr="00F84F12">
          <w:rPr>
            <w:rStyle w:val="a9"/>
            <w:rFonts w:hint="eastAsia"/>
            <w:noProof/>
          </w:rPr>
          <w:t>播种技术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_Toc181727912 \h</w:instrText>
        </w:r>
        <w:r>
          <w:rPr>
            <w:rFonts w:hint="eastAsia"/>
            <w:noProof/>
            <w:webHidden/>
          </w:rPr>
          <w:instrText xml:space="preserve"> </w:instrText>
        </w:r>
        <w:r>
          <w:rPr>
            <w:rFonts w:hint="eastAsia"/>
            <w:noProof/>
            <w:webHidden/>
          </w:rPr>
        </w:r>
        <w:r>
          <w:rPr>
            <w:rFonts w:hint="eastAsia"/>
            <w:noProof/>
            <w:webHidden/>
          </w:rPr>
          <w:fldChar w:fldCharType="separate"/>
        </w:r>
        <w:r w:rsidR="00E63FFA">
          <w:rPr>
            <w:noProof/>
            <w:webHidden/>
          </w:rPr>
          <w:t>2</w:t>
        </w:r>
        <w:r>
          <w:rPr>
            <w:rFonts w:hint="eastAsia"/>
            <w:noProof/>
            <w:webHidden/>
          </w:rPr>
          <w:fldChar w:fldCharType="end"/>
        </w:r>
      </w:hyperlink>
    </w:p>
    <w:p w14:paraId="042935D5" w14:textId="55E3D38F" w:rsidR="0093014A" w:rsidRDefault="0093014A" w:rsidP="0093014A">
      <w:pPr>
        <w:pStyle w:val="TOC1"/>
        <w:tabs>
          <w:tab w:val="right" w:leader="dot" w:pos="8296"/>
        </w:tabs>
        <w:spacing w:line="360" w:lineRule="auto"/>
        <w:rPr>
          <w:rFonts w:asciiTheme="minorHAnsi" w:eastAsiaTheme="minorEastAsia" w:hAnsiTheme="minorHAnsi" w:cstheme="minorBidi" w:hint="eastAsia"/>
          <w:noProof/>
          <w:szCs w:val="22"/>
          <w14:ligatures w14:val="standardContextual"/>
        </w:rPr>
      </w:pPr>
      <w:hyperlink w:anchor="_Toc181727913" w:history="1">
        <w:r w:rsidRPr="00F84F12">
          <w:rPr>
            <w:rStyle w:val="a9"/>
            <w:rFonts w:hint="eastAsia"/>
            <w:noProof/>
          </w:rPr>
          <w:t xml:space="preserve">7 </w:t>
        </w:r>
        <w:r w:rsidRPr="00F84F12">
          <w:rPr>
            <w:rStyle w:val="a9"/>
            <w:rFonts w:hint="eastAsia"/>
            <w:noProof/>
          </w:rPr>
          <w:t>施肥技术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_Toc181727913 \h</w:instrText>
        </w:r>
        <w:r>
          <w:rPr>
            <w:rFonts w:hint="eastAsia"/>
            <w:noProof/>
            <w:webHidden/>
          </w:rPr>
          <w:instrText xml:space="preserve"> </w:instrText>
        </w:r>
        <w:r>
          <w:rPr>
            <w:rFonts w:hint="eastAsia"/>
            <w:noProof/>
            <w:webHidden/>
          </w:rPr>
        </w:r>
        <w:r>
          <w:rPr>
            <w:rFonts w:hint="eastAsia"/>
            <w:noProof/>
            <w:webHidden/>
          </w:rPr>
          <w:fldChar w:fldCharType="separate"/>
        </w:r>
        <w:r w:rsidR="00E63FFA">
          <w:rPr>
            <w:noProof/>
            <w:webHidden/>
          </w:rPr>
          <w:t>2</w:t>
        </w:r>
        <w:r>
          <w:rPr>
            <w:rFonts w:hint="eastAsia"/>
            <w:noProof/>
            <w:webHidden/>
          </w:rPr>
          <w:fldChar w:fldCharType="end"/>
        </w:r>
      </w:hyperlink>
    </w:p>
    <w:p w14:paraId="3C02DECF" w14:textId="1DF5BFDE" w:rsidR="0093014A" w:rsidRDefault="0093014A" w:rsidP="0093014A">
      <w:pPr>
        <w:pStyle w:val="TOC1"/>
        <w:tabs>
          <w:tab w:val="right" w:leader="dot" w:pos="8296"/>
        </w:tabs>
        <w:spacing w:line="360" w:lineRule="auto"/>
        <w:rPr>
          <w:rFonts w:asciiTheme="minorHAnsi" w:eastAsiaTheme="minorEastAsia" w:hAnsiTheme="minorHAnsi" w:cstheme="minorBidi" w:hint="eastAsia"/>
          <w:noProof/>
          <w:szCs w:val="22"/>
          <w14:ligatures w14:val="standardContextual"/>
        </w:rPr>
      </w:pPr>
      <w:hyperlink w:anchor="_Toc181727914" w:history="1">
        <w:r w:rsidRPr="00F84F12">
          <w:rPr>
            <w:rStyle w:val="a9"/>
            <w:rFonts w:hint="eastAsia"/>
            <w:noProof/>
          </w:rPr>
          <w:t xml:space="preserve">8 </w:t>
        </w:r>
        <w:r w:rsidRPr="00F84F12">
          <w:rPr>
            <w:rStyle w:val="a9"/>
            <w:rFonts w:hint="eastAsia"/>
            <w:noProof/>
          </w:rPr>
          <w:t>杂草控制技术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_Toc181727914 \h</w:instrText>
        </w:r>
        <w:r>
          <w:rPr>
            <w:rFonts w:hint="eastAsia"/>
            <w:noProof/>
            <w:webHidden/>
          </w:rPr>
          <w:instrText xml:space="preserve"> </w:instrText>
        </w:r>
        <w:r>
          <w:rPr>
            <w:rFonts w:hint="eastAsia"/>
            <w:noProof/>
            <w:webHidden/>
          </w:rPr>
        </w:r>
        <w:r>
          <w:rPr>
            <w:rFonts w:hint="eastAsia"/>
            <w:noProof/>
            <w:webHidden/>
          </w:rPr>
          <w:fldChar w:fldCharType="separate"/>
        </w:r>
        <w:r w:rsidR="00E63FFA">
          <w:rPr>
            <w:noProof/>
            <w:webHidden/>
          </w:rPr>
          <w:t>3</w:t>
        </w:r>
        <w:r>
          <w:rPr>
            <w:rFonts w:hint="eastAsia"/>
            <w:noProof/>
            <w:webHidden/>
          </w:rPr>
          <w:fldChar w:fldCharType="end"/>
        </w:r>
      </w:hyperlink>
    </w:p>
    <w:p w14:paraId="552A7389" w14:textId="42B8AA3A" w:rsidR="0093014A" w:rsidRDefault="0093014A" w:rsidP="0093014A">
      <w:pPr>
        <w:pStyle w:val="TOC1"/>
        <w:tabs>
          <w:tab w:val="right" w:leader="dot" w:pos="8296"/>
        </w:tabs>
        <w:spacing w:line="360" w:lineRule="auto"/>
        <w:rPr>
          <w:rFonts w:asciiTheme="minorHAnsi" w:eastAsiaTheme="minorEastAsia" w:hAnsiTheme="minorHAnsi" w:cstheme="minorBidi" w:hint="eastAsia"/>
          <w:noProof/>
          <w:szCs w:val="22"/>
          <w14:ligatures w14:val="standardContextual"/>
        </w:rPr>
      </w:pPr>
      <w:hyperlink w:anchor="_Toc181727915" w:history="1">
        <w:r w:rsidRPr="00F84F12">
          <w:rPr>
            <w:rStyle w:val="a9"/>
            <w:rFonts w:hint="eastAsia"/>
            <w:noProof/>
          </w:rPr>
          <w:t xml:space="preserve">9 </w:t>
        </w:r>
        <w:r w:rsidRPr="00F84F12">
          <w:rPr>
            <w:rStyle w:val="a9"/>
            <w:rFonts w:hint="eastAsia"/>
            <w:noProof/>
          </w:rPr>
          <w:t>收获技术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_Toc181727915 \h</w:instrText>
        </w:r>
        <w:r>
          <w:rPr>
            <w:rFonts w:hint="eastAsia"/>
            <w:noProof/>
            <w:webHidden/>
          </w:rPr>
          <w:instrText xml:space="preserve"> </w:instrText>
        </w:r>
        <w:r>
          <w:rPr>
            <w:rFonts w:hint="eastAsia"/>
            <w:noProof/>
            <w:webHidden/>
          </w:rPr>
        </w:r>
        <w:r>
          <w:rPr>
            <w:rFonts w:hint="eastAsia"/>
            <w:noProof/>
            <w:webHidden/>
          </w:rPr>
          <w:fldChar w:fldCharType="separate"/>
        </w:r>
        <w:r w:rsidR="00E63FFA">
          <w:rPr>
            <w:noProof/>
            <w:webHidden/>
          </w:rPr>
          <w:t>3</w:t>
        </w:r>
        <w:r>
          <w:rPr>
            <w:rFonts w:hint="eastAsia"/>
            <w:noProof/>
            <w:webHidden/>
          </w:rPr>
          <w:fldChar w:fldCharType="end"/>
        </w:r>
      </w:hyperlink>
    </w:p>
    <w:p w14:paraId="4B9D0759" w14:textId="589F4288" w:rsidR="008A1E2C" w:rsidRDefault="00000000" w:rsidP="0093014A">
      <w:pPr>
        <w:spacing w:line="360" w:lineRule="auto"/>
      </w:pPr>
      <w:r>
        <w:rPr>
          <w:b/>
          <w:bCs/>
          <w:lang w:val="zh-CN"/>
        </w:rPr>
        <w:fldChar w:fldCharType="end"/>
      </w:r>
    </w:p>
    <w:p w14:paraId="2E79CF1A" w14:textId="77777777" w:rsidR="00D13638" w:rsidRDefault="00D13638" w:rsidP="00D13638">
      <w:pPr>
        <w:pStyle w:val="a7"/>
        <w:jc w:val="right"/>
      </w:pPr>
    </w:p>
    <w:p w14:paraId="35EA37BD" w14:textId="77777777" w:rsidR="0093014A" w:rsidRPr="00906499" w:rsidRDefault="00000000" w:rsidP="0093014A">
      <w:pPr>
        <w:pStyle w:val="1"/>
        <w:spacing w:line="360" w:lineRule="auto"/>
        <w:rPr>
          <w:rFonts w:ascii="黑体" w:hAnsi="黑体" w:hint="eastAsia"/>
          <w:szCs w:val="32"/>
        </w:rPr>
      </w:pPr>
      <w:r w:rsidRPr="00D13638">
        <w:br w:type="page"/>
      </w:r>
      <w:bookmarkStart w:id="9" w:name="_Toc2561"/>
      <w:bookmarkStart w:id="10" w:name="_Toc13912"/>
      <w:bookmarkStart w:id="11" w:name="_Toc181727906"/>
      <w:r w:rsidR="0093014A" w:rsidRPr="00906499">
        <w:rPr>
          <w:rFonts w:ascii="黑体" w:hAnsi="黑体" w:hint="eastAsia"/>
          <w:szCs w:val="32"/>
        </w:rPr>
        <w:t>前  言</w:t>
      </w:r>
      <w:bookmarkEnd w:id="9"/>
      <w:bookmarkEnd w:id="10"/>
      <w:bookmarkEnd w:id="11"/>
    </w:p>
    <w:p w14:paraId="756911B1" w14:textId="026D7039" w:rsidR="0093014A" w:rsidRDefault="0093014A" w:rsidP="0093014A">
      <w:pPr>
        <w:spacing w:line="360" w:lineRule="auto"/>
        <w:ind w:firstLine="420"/>
        <w:jc w:val="left"/>
      </w:pPr>
      <w:r>
        <w:t>本文件按照</w:t>
      </w:r>
      <w:r>
        <w:t>GB/T 1.1—2020</w:t>
      </w:r>
      <w:r>
        <w:t>《标准化工作导则</w:t>
      </w:r>
      <w:r>
        <w:t xml:space="preserve">  </w:t>
      </w:r>
      <w:r>
        <w:t>第</w:t>
      </w:r>
      <w:r>
        <w:t>1</w:t>
      </w:r>
      <w:r>
        <w:t>部分：标准化文件的结构和起草规则》的规定起草。</w:t>
      </w:r>
    </w:p>
    <w:p w14:paraId="5AD8B0CE" w14:textId="77777777" w:rsidR="0093014A" w:rsidRDefault="0093014A" w:rsidP="0093014A">
      <w:pPr>
        <w:spacing w:line="360" w:lineRule="auto"/>
        <w:ind w:firstLine="420"/>
        <w:jc w:val="left"/>
      </w:pPr>
      <w:r>
        <w:t>本文件由北京华夏草业产业技术创新战略联盟团体标准委员会提出并归口。</w:t>
      </w:r>
    </w:p>
    <w:p w14:paraId="4603B244" w14:textId="77777777" w:rsidR="0093014A" w:rsidRDefault="0093014A" w:rsidP="0093014A">
      <w:pPr>
        <w:spacing w:line="360" w:lineRule="auto"/>
        <w:ind w:firstLine="420"/>
        <w:jc w:val="left"/>
      </w:pPr>
      <w:r>
        <w:t>本文件起草单位：呼伦贝尔学院农学院、中国科学院微生物研究所和</w:t>
      </w:r>
      <w:r>
        <w:rPr>
          <w:lang w:bidi="ar"/>
        </w:rPr>
        <w:t>唐山科</w:t>
      </w:r>
      <w:proofErr w:type="gramStart"/>
      <w:r>
        <w:rPr>
          <w:lang w:bidi="ar"/>
        </w:rPr>
        <w:t>博兰谷</w:t>
      </w:r>
      <w:proofErr w:type="gramEnd"/>
      <w:r>
        <w:rPr>
          <w:lang w:bidi="ar"/>
        </w:rPr>
        <w:t>饲料检测技术服务有限公司</w:t>
      </w:r>
      <w:r>
        <w:t>。</w:t>
      </w:r>
    </w:p>
    <w:p w14:paraId="16DAB5F8" w14:textId="77777777" w:rsidR="0093014A" w:rsidRDefault="0093014A" w:rsidP="0093014A">
      <w:pPr>
        <w:spacing w:line="360" w:lineRule="auto"/>
        <w:ind w:firstLine="420"/>
        <w:jc w:val="left"/>
      </w:pPr>
      <w:r>
        <w:t>本文件主要起草人：</w:t>
      </w:r>
      <w:proofErr w:type="gramStart"/>
      <w:r>
        <w:t>辛忠民</w:t>
      </w:r>
      <w:proofErr w:type="gramEnd"/>
      <w:r>
        <w:t>、金晓明、姜超、于志远、王天威、巴德日胡、杨立霞、刘福芳、陈晓林、贾楠、董文静、姚宪涛、李雪颖、田芳、马永、戴旭坤。</w:t>
      </w:r>
    </w:p>
    <w:p w14:paraId="5F83A7B6" w14:textId="77777777" w:rsidR="0093014A" w:rsidRDefault="0093014A" w:rsidP="0093014A">
      <w:pPr>
        <w:spacing w:line="360" w:lineRule="auto"/>
        <w:ind w:firstLine="420"/>
        <w:jc w:val="left"/>
      </w:pPr>
      <w:r>
        <w:t>本文件为首次发布。</w:t>
      </w:r>
      <w:r>
        <w:t xml:space="preserve"> </w:t>
      </w:r>
    </w:p>
    <w:p w14:paraId="58C5C8EF" w14:textId="77777777" w:rsidR="0093014A" w:rsidRDefault="0093014A" w:rsidP="0093014A">
      <w:pPr>
        <w:spacing w:line="360" w:lineRule="auto"/>
        <w:ind w:firstLine="420"/>
        <w:jc w:val="left"/>
      </w:pPr>
      <w:r>
        <w:t>本文件的某些内容可能涉及专利。本文件的发布机构不承担识别这些专利的责任。</w:t>
      </w:r>
    </w:p>
    <w:p w14:paraId="36BA4E2B" w14:textId="77777777" w:rsidR="0093014A" w:rsidRDefault="0093014A" w:rsidP="0093014A">
      <w:pPr>
        <w:spacing w:line="360" w:lineRule="auto"/>
        <w:jc w:val="center"/>
        <w:rPr>
          <w:rFonts w:ascii="宋体" w:hAnsi="宋体" w:cs="宋体" w:hint="eastAsia"/>
          <w:b/>
          <w:sz w:val="44"/>
          <w:szCs w:val="44"/>
        </w:rPr>
      </w:pPr>
    </w:p>
    <w:p w14:paraId="24559D31" w14:textId="77777777" w:rsidR="0093014A" w:rsidRDefault="0093014A" w:rsidP="0093014A">
      <w:pPr>
        <w:spacing w:line="360" w:lineRule="auto"/>
        <w:jc w:val="center"/>
        <w:rPr>
          <w:rFonts w:ascii="宋体" w:hAnsi="宋体" w:cs="宋体" w:hint="eastAsia"/>
          <w:b/>
          <w:sz w:val="44"/>
          <w:szCs w:val="44"/>
        </w:rPr>
      </w:pPr>
      <w:r>
        <w:rPr>
          <w:rFonts w:ascii="宋体" w:hAnsi="宋体" w:cs="宋体" w:hint="eastAsia"/>
          <w:b/>
          <w:sz w:val="44"/>
          <w:szCs w:val="44"/>
        </w:rPr>
        <w:br w:type="page"/>
      </w:r>
    </w:p>
    <w:p w14:paraId="037C24EA" w14:textId="77777777" w:rsidR="0093014A" w:rsidRDefault="0093014A" w:rsidP="0093014A">
      <w:pPr>
        <w:spacing w:line="360" w:lineRule="auto"/>
        <w:jc w:val="center"/>
        <w:rPr>
          <w:rFonts w:ascii="宋体" w:hAnsi="宋体" w:cs="宋体" w:hint="eastAsia"/>
          <w:b/>
          <w:sz w:val="44"/>
          <w:szCs w:val="44"/>
        </w:rPr>
        <w:sectPr w:rsidR="0093014A" w:rsidSect="00E63FFA">
          <w:headerReference w:type="default" r:id="rId7"/>
          <w:footerReference w:type="default" r:id="rId8"/>
          <w:footerReference w:type="first" r:id="rId9"/>
          <w:pgSz w:w="11906" w:h="16838"/>
          <w:pgMar w:top="1440" w:right="1800" w:bottom="1440" w:left="1800" w:header="851" w:footer="902" w:gutter="0"/>
          <w:pgNumType w:fmt="upperRoman" w:start="1"/>
          <w:cols w:space="425"/>
          <w:docGrid w:type="lines" w:linePitch="312"/>
        </w:sectPr>
      </w:pPr>
    </w:p>
    <w:p w14:paraId="4CA0DCC1" w14:textId="77777777" w:rsidR="0093014A" w:rsidRPr="0093014A" w:rsidRDefault="0093014A" w:rsidP="0093014A">
      <w:pPr>
        <w:spacing w:afterLines="100" w:after="312" w:line="360" w:lineRule="auto"/>
        <w:jc w:val="center"/>
        <w:rPr>
          <w:rFonts w:ascii="黑体" w:eastAsia="黑体" w:hAnsi="黑体" w:hint="eastAsia"/>
          <w:sz w:val="32"/>
          <w:szCs w:val="24"/>
        </w:rPr>
      </w:pPr>
      <w:bookmarkStart w:id="12" w:name="_Toc30002"/>
      <w:bookmarkStart w:id="13" w:name="_Toc18789"/>
      <w:r w:rsidRPr="0093014A">
        <w:rPr>
          <w:rFonts w:ascii="黑体" w:eastAsia="黑体" w:hAnsi="黑体" w:hint="eastAsia"/>
          <w:sz w:val="32"/>
          <w:szCs w:val="24"/>
        </w:rPr>
        <w:t>呼伦贝尔岭西林草过渡带苜蓿旱作种植技术规程</w:t>
      </w:r>
      <w:bookmarkEnd w:id="12"/>
      <w:bookmarkEnd w:id="13"/>
    </w:p>
    <w:p w14:paraId="2E21000D" w14:textId="4C701AD0" w:rsidR="00683A4C" w:rsidRDefault="0093014A" w:rsidP="00683A4C">
      <w:pPr>
        <w:pStyle w:val="af2"/>
        <w:spacing w:before="312" w:after="312"/>
        <w:rPr>
          <w:rFonts w:ascii="Times New Roman"/>
          <w:b/>
        </w:rPr>
      </w:pPr>
      <w:bookmarkStart w:id="14" w:name="_Toc28734"/>
      <w:bookmarkStart w:id="15" w:name="_Toc16778"/>
      <w:bookmarkStart w:id="16" w:name="_Toc181727907"/>
      <w:r w:rsidRPr="0093014A">
        <w:rPr>
          <w:rFonts w:eastAsia="宋体" w:hint="eastAsia"/>
          <w:color w:val="000000" w:themeColor="text1"/>
          <w:szCs w:val="21"/>
          <w:shd w:val="clear" w:color="auto" w:fill="FFFFFF"/>
        </w:rPr>
        <w:t xml:space="preserve">1 </w:t>
      </w:r>
      <w:bookmarkStart w:id="17" w:name="_Toc649"/>
      <w:bookmarkEnd w:id="14"/>
      <w:bookmarkEnd w:id="15"/>
      <w:bookmarkEnd w:id="16"/>
      <w:r w:rsidR="00683A4C">
        <w:rPr>
          <w:rFonts w:ascii="Times New Roman"/>
          <w:b/>
        </w:rPr>
        <w:t>范围</w:t>
      </w:r>
      <w:bookmarkEnd w:id="17"/>
    </w:p>
    <w:p w14:paraId="78A43194" w14:textId="77777777" w:rsidR="0093014A" w:rsidRDefault="0093014A" w:rsidP="0093014A">
      <w:pPr>
        <w:spacing w:line="360" w:lineRule="auto"/>
        <w:ind w:firstLineChars="200" w:firstLine="420"/>
        <w:rPr>
          <w:rFonts w:ascii="宋体" w:hAnsi="宋体" w:cs="宋体" w:hint="eastAsia"/>
        </w:rPr>
      </w:pPr>
      <w:r>
        <w:rPr>
          <w:rFonts w:ascii="宋体" w:hAnsi="宋体" w:cs="宋体" w:hint="eastAsia"/>
        </w:rPr>
        <w:t>本标准规定了苜蓿</w:t>
      </w:r>
      <w:r>
        <w:rPr>
          <w:rStyle w:val="texth038s"/>
          <w:rFonts w:ascii="宋体" w:hAnsi="宋体" w:cs="宋体" w:hint="eastAsia"/>
          <w:color w:val="333333"/>
          <w:shd w:val="clear" w:color="auto" w:fill="FFFFFF"/>
        </w:rPr>
        <w:t>（</w:t>
      </w:r>
      <w:r>
        <w:rPr>
          <w:rStyle w:val="texth038s"/>
          <w:rFonts w:ascii="宋体" w:hAnsi="宋体" w:cs="宋体" w:hint="eastAsia"/>
          <w:i/>
          <w:iCs/>
          <w:color w:val="333333"/>
          <w:shd w:val="clear" w:color="auto" w:fill="FFFFFF"/>
        </w:rPr>
        <w:t>Medicago</w:t>
      </w:r>
      <w:r>
        <w:rPr>
          <w:rStyle w:val="texth038s"/>
          <w:rFonts w:ascii="宋体" w:hAnsi="宋体" w:cs="宋体" w:hint="eastAsia"/>
          <w:color w:val="333333"/>
          <w:shd w:val="clear" w:color="auto" w:fill="FFFFFF"/>
        </w:rPr>
        <w:t> L.）种植的环境条件、选地、整地、品种选择、播种、施肥、田间管理及收获技术</w:t>
      </w:r>
      <w:r>
        <w:rPr>
          <w:rFonts w:ascii="宋体" w:hAnsi="宋体" w:cs="宋体" w:hint="eastAsia"/>
        </w:rPr>
        <w:t>。</w:t>
      </w:r>
    </w:p>
    <w:p w14:paraId="4E0EE3F7" w14:textId="61D15DC4" w:rsidR="0093014A" w:rsidRDefault="0093014A" w:rsidP="0093014A">
      <w:pPr>
        <w:spacing w:line="360" w:lineRule="auto"/>
        <w:ind w:firstLineChars="200" w:firstLine="420"/>
      </w:pPr>
      <w:r>
        <w:t>本文件适用于呼伦贝尔大兴安岭岭西林草过渡带地区，年极端低温不低于</w:t>
      </w:r>
      <w:r>
        <w:t>-45℃</w:t>
      </w:r>
      <w:r>
        <w:t>，年均气温</w:t>
      </w:r>
      <w:r>
        <w:rPr>
          <w:color w:val="000000" w:themeColor="text1"/>
        </w:rPr>
        <w:t>-2.7</w:t>
      </w:r>
      <w:r>
        <w:t>℃</w:t>
      </w:r>
      <w:r>
        <w:t>～</w:t>
      </w:r>
      <w:r>
        <w:t>1.2℃</w:t>
      </w:r>
      <w:r>
        <w:t>，无霜期</w:t>
      </w:r>
      <w:r>
        <w:rPr>
          <w:color w:val="000000" w:themeColor="text1"/>
        </w:rPr>
        <w:t>104</w:t>
      </w:r>
      <w:r>
        <w:t>d</w:t>
      </w:r>
      <w:r>
        <w:t>～</w:t>
      </w:r>
      <w:r>
        <w:t>145d</w:t>
      </w:r>
      <w:r>
        <w:t>，</w:t>
      </w:r>
      <w:r>
        <w:t>≥10℃</w:t>
      </w:r>
      <w:r>
        <w:t>有效积温不小于</w:t>
      </w:r>
      <w:r>
        <w:rPr>
          <w:color w:val="000000" w:themeColor="text1"/>
        </w:rPr>
        <w:t>1700</w:t>
      </w:r>
      <w:r>
        <w:t>℃</w:t>
      </w:r>
      <w:r>
        <w:t>，年均降雨量不低于</w:t>
      </w:r>
      <w:r>
        <w:t>350mm</w:t>
      </w:r>
      <w:r>
        <w:t>，冬季积雪厚度不低于</w:t>
      </w:r>
      <w:r>
        <w:t>20cm</w:t>
      </w:r>
      <w:r>
        <w:t>的地区。</w:t>
      </w:r>
    </w:p>
    <w:p w14:paraId="2C4C5578" w14:textId="38C928E6" w:rsidR="0093014A" w:rsidRPr="00683A4C" w:rsidRDefault="0093014A" w:rsidP="00683A4C">
      <w:pPr>
        <w:pStyle w:val="af2"/>
        <w:spacing w:before="312" w:after="312"/>
        <w:rPr>
          <w:rFonts w:hAnsi="黑体" w:hint="eastAsia"/>
          <w:color w:val="000000" w:themeColor="text1"/>
          <w:szCs w:val="21"/>
          <w:shd w:val="clear" w:color="auto" w:fill="FFFFFF"/>
        </w:rPr>
      </w:pPr>
      <w:bookmarkStart w:id="18" w:name="_Toc256"/>
      <w:bookmarkStart w:id="19" w:name="_Toc10328"/>
      <w:bookmarkStart w:id="20" w:name="_Toc181727908"/>
      <w:r w:rsidRPr="00683A4C">
        <w:rPr>
          <w:rFonts w:hAnsi="黑体"/>
          <w:color w:val="000000" w:themeColor="text1"/>
          <w:szCs w:val="21"/>
          <w:shd w:val="clear" w:color="auto" w:fill="FFFFFF"/>
        </w:rPr>
        <w:t>2 规范性引用文件</w:t>
      </w:r>
      <w:bookmarkEnd w:id="18"/>
      <w:bookmarkEnd w:id="19"/>
      <w:bookmarkEnd w:id="20"/>
    </w:p>
    <w:p w14:paraId="0777B52A" w14:textId="77777777" w:rsidR="0093014A" w:rsidRDefault="0093014A" w:rsidP="0093014A">
      <w:pPr>
        <w:spacing w:line="360" w:lineRule="auto"/>
        <w:ind w:firstLineChars="200" w:firstLine="420"/>
      </w:pPr>
      <w:r>
        <w:t>下列文件对于本文件的应用是必不可少的。凡是注日期的引用文件，仅所注的日期适用于本文件。凡是不注日期的引用文件，其最新版本（包括所有的修改单）适用于本文件。</w:t>
      </w:r>
    </w:p>
    <w:p w14:paraId="166DB433" w14:textId="77777777" w:rsidR="0093014A" w:rsidRDefault="0093014A" w:rsidP="0093014A">
      <w:pPr>
        <w:spacing w:line="360" w:lineRule="auto"/>
        <w:ind w:firstLineChars="200" w:firstLine="420"/>
      </w:pPr>
      <w:r>
        <w:t>GB</w:t>
      </w:r>
      <w:bookmarkStart w:id="21" w:name="OLE_LINK7"/>
      <w:r>
        <w:t>/T</w:t>
      </w:r>
      <w:bookmarkEnd w:id="21"/>
      <w:r>
        <w:t xml:space="preserve"> 2930.6  </w:t>
      </w:r>
      <w:r>
        <w:t>草种子检验规程</w:t>
      </w:r>
      <w:r>
        <w:t xml:space="preserve">  </w:t>
      </w:r>
      <w:r>
        <w:t>健康测定</w:t>
      </w:r>
    </w:p>
    <w:p w14:paraId="09A6B4E3" w14:textId="77777777" w:rsidR="0093014A" w:rsidRDefault="0093014A" w:rsidP="0093014A">
      <w:pPr>
        <w:spacing w:line="360" w:lineRule="auto"/>
        <w:ind w:firstLineChars="200" w:firstLine="420"/>
      </w:pPr>
      <w:r>
        <w:t xml:space="preserve">GB/T 6141-2008  </w:t>
      </w:r>
      <w:r>
        <w:t>豆科草种子质量分级</w:t>
      </w:r>
    </w:p>
    <w:p w14:paraId="5B763052" w14:textId="77777777" w:rsidR="0093014A" w:rsidRDefault="0093014A" w:rsidP="0093014A">
      <w:pPr>
        <w:spacing w:line="360" w:lineRule="auto"/>
        <w:ind w:firstLineChars="200" w:firstLine="420"/>
        <w:rPr>
          <w:rFonts w:ascii="宋体" w:hAnsi="宋体" w:cs="宋体" w:hint="eastAsia"/>
        </w:rPr>
      </w:pPr>
      <w:r>
        <w:t xml:space="preserve">GB/T 6142-2008  </w:t>
      </w:r>
      <w:r>
        <w:t>禾本科草种子质量</w:t>
      </w:r>
      <w:r>
        <w:rPr>
          <w:rFonts w:ascii="宋体" w:hAnsi="宋体" w:cs="宋体" w:hint="eastAsia"/>
        </w:rPr>
        <w:t>分级</w:t>
      </w:r>
    </w:p>
    <w:p w14:paraId="60289B0B" w14:textId="46F71A93" w:rsidR="0093014A" w:rsidRPr="00683A4C" w:rsidRDefault="0093014A" w:rsidP="00683A4C">
      <w:pPr>
        <w:pStyle w:val="af2"/>
        <w:spacing w:before="312" w:after="312"/>
        <w:rPr>
          <w:rFonts w:hAnsi="黑体" w:hint="eastAsia"/>
          <w:color w:val="000000" w:themeColor="text1"/>
          <w:szCs w:val="21"/>
          <w:shd w:val="clear" w:color="auto" w:fill="FFFFFF"/>
        </w:rPr>
      </w:pPr>
      <w:bookmarkStart w:id="22" w:name="_Toc9992"/>
      <w:bookmarkStart w:id="23" w:name="_Toc22420"/>
      <w:bookmarkStart w:id="24" w:name="_Toc181727909"/>
      <w:r w:rsidRPr="00683A4C">
        <w:rPr>
          <w:rFonts w:hAnsi="黑体" w:hint="eastAsia"/>
          <w:color w:val="000000" w:themeColor="text1"/>
          <w:szCs w:val="21"/>
          <w:shd w:val="clear" w:color="auto" w:fill="FFFFFF"/>
        </w:rPr>
        <w:t>3 术语和定义</w:t>
      </w:r>
      <w:bookmarkEnd w:id="22"/>
      <w:bookmarkEnd w:id="23"/>
      <w:bookmarkEnd w:id="24"/>
    </w:p>
    <w:p w14:paraId="10D0EC5C" w14:textId="77777777" w:rsidR="0093014A" w:rsidRDefault="0093014A" w:rsidP="0093014A">
      <w:pPr>
        <w:spacing w:line="360" w:lineRule="auto"/>
        <w:ind w:firstLine="420"/>
        <w:rPr>
          <w:rFonts w:ascii="宋体" w:hAnsi="宋体" w:cs="宋体" w:hint="eastAsia"/>
        </w:rPr>
      </w:pPr>
      <w:r>
        <w:rPr>
          <w:rFonts w:ascii="宋体" w:hAnsi="宋体" w:cs="宋体" w:hint="eastAsia"/>
        </w:rPr>
        <w:t>下列术语和定义适用于本文件。</w:t>
      </w:r>
    </w:p>
    <w:p w14:paraId="3A084676" w14:textId="10C34F46"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hint="eastAsia"/>
          <w:color w:val="000000" w:themeColor="text1"/>
          <w:szCs w:val="21"/>
          <w:shd w:val="clear" w:color="auto" w:fill="FFFFFF"/>
        </w:rPr>
        <w:t xml:space="preserve">3.1 </w:t>
      </w:r>
      <w:r w:rsidRPr="00683A4C">
        <w:rPr>
          <w:rFonts w:hAnsi="黑体"/>
          <w:color w:val="000000" w:themeColor="text1"/>
          <w:szCs w:val="21"/>
          <w:shd w:val="clear" w:color="auto" w:fill="FFFFFF"/>
        </w:rPr>
        <w:t>苜蓿</w:t>
      </w:r>
      <w:r w:rsidRPr="00683A4C">
        <w:rPr>
          <w:rFonts w:hAnsi="黑体"/>
          <w:color w:val="000000" w:themeColor="text1"/>
          <w:szCs w:val="21"/>
        </w:rPr>
        <w:t xml:space="preserve"> </w:t>
      </w:r>
      <w:r w:rsidRPr="00683A4C">
        <w:rPr>
          <w:rFonts w:hAnsi="黑体"/>
          <w:color w:val="000000" w:themeColor="text1"/>
          <w:szCs w:val="21"/>
          <w:shd w:val="clear" w:color="auto" w:fill="FFFFFF"/>
        </w:rPr>
        <w:t>alfalfa</w:t>
      </w:r>
    </w:p>
    <w:p w14:paraId="6A83E9D1" w14:textId="77777777" w:rsidR="0093014A" w:rsidRDefault="0093014A" w:rsidP="0093014A">
      <w:pPr>
        <w:spacing w:line="360" w:lineRule="auto"/>
        <w:ind w:firstLine="420"/>
        <w:rPr>
          <w:color w:val="000000" w:themeColor="text1"/>
          <w:shd w:val="clear" w:color="auto" w:fill="FFFFFF"/>
        </w:rPr>
      </w:pPr>
      <w:r>
        <w:rPr>
          <w:color w:val="000000" w:themeColor="text1"/>
          <w:shd w:val="clear" w:color="auto" w:fill="FFFFFF"/>
        </w:rPr>
        <w:t>豆科苜蓿属多年生草本植物。</w:t>
      </w:r>
    </w:p>
    <w:p w14:paraId="61ADE5AB" w14:textId="2FC4EA0D"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3.2 单播monocropping</w:t>
      </w:r>
    </w:p>
    <w:p w14:paraId="6750BCCA" w14:textId="77777777" w:rsidR="0093014A" w:rsidRDefault="0093014A" w:rsidP="0093014A">
      <w:pPr>
        <w:spacing w:line="360" w:lineRule="auto"/>
        <w:ind w:firstLine="420"/>
        <w:rPr>
          <w:color w:val="000000" w:themeColor="text1"/>
          <w:shd w:val="clear" w:color="auto" w:fill="FFFFFF"/>
        </w:rPr>
      </w:pPr>
      <w:r>
        <w:rPr>
          <w:color w:val="000000" w:themeColor="text1"/>
          <w:shd w:val="clear" w:color="auto" w:fill="FFFFFF"/>
        </w:rPr>
        <w:t>专指苜蓿以条播的方式种植单一牧草。</w:t>
      </w:r>
    </w:p>
    <w:p w14:paraId="1F679243" w14:textId="3053C25A"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3.3 混播 mixed cropping</w:t>
      </w:r>
    </w:p>
    <w:p w14:paraId="6362D800" w14:textId="41FC41A8" w:rsidR="0093014A" w:rsidRDefault="0093014A" w:rsidP="0093014A">
      <w:pPr>
        <w:spacing w:line="360" w:lineRule="auto"/>
        <w:ind w:firstLine="420"/>
        <w:rPr>
          <w:color w:val="000000" w:themeColor="text1"/>
          <w:shd w:val="clear" w:color="auto" w:fill="FFFFFF"/>
        </w:rPr>
      </w:pPr>
      <w:r>
        <w:rPr>
          <w:color w:val="000000" w:themeColor="text1"/>
          <w:shd w:val="clear" w:color="auto" w:fill="FFFFFF"/>
        </w:rPr>
        <w:t>专指苜蓿和禾本科牧草以同行条播的方式种植在同一块地里的种植方式。</w:t>
      </w:r>
    </w:p>
    <w:p w14:paraId="620552A9" w14:textId="1853B111"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 xml:space="preserve">3.4 旱作 </w:t>
      </w:r>
      <w:proofErr w:type="spellStart"/>
      <w:r w:rsidRPr="00683A4C">
        <w:rPr>
          <w:rFonts w:hAnsi="黑体"/>
          <w:color w:val="000000" w:themeColor="text1"/>
          <w:szCs w:val="21"/>
          <w:shd w:val="clear" w:color="auto" w:fill="FFFFFF"/>
        </w:rPr>
        <w:t>dyrland</w:t>
      </w:r>
      <w:proofErr w:type="spellEnd"/>
    </w:p>
    <w:p w14:paraId="0141155C" w14:textId="77777777" w:rsidR="0093014A" w:rsidRDefault="0093014A" w:rsidP="0093014A">
      <w:pPr>
        <w:spacing w:line="360" w:lineRule="auto"/>
        <w:ind w:firstLine="420"/>
        <w:rPr>
          <w:rFonts w:ascii="宋体" w:hAnsi="宋体" w:cs="宋体" w:hint="eastAsia"/>
          <w:color w:val="000000" w:themeColor="text1"/>
          <w:sz w:val="20"/>
          <w:szCs w:val="20"/>
          <w:shd w:val="clear" w:color="auto" w:fill="FFFFFF"/>
        </w:rPr>
      </w:pPr>
      <w:r>
        <w:rPr>
          <w:rFonts w:ascii="宋体" w:hAnsi="宋体" w:cs="宋体" w:hint="eastAsia"/>
          <w:color w:val="000000" w:themeColor="text1"/>
          <w:sz w:val="20"/>
          <w:szCs w:val="20"/>
          <w:shd w:val="clear" w:color="auto" w:fill="FFFFFF"/>
        </w:rPr>
        <w:t>无灌溉条件下，靠自然降雨维持苜蓿和禾本科牧草生长和生产的栽培耕作方式。</w:t>
      </w:r>
    </w:p>
    <w:p w14:paraId="38DD167B" w14:textId="5DBC9FC2"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hint="eastAsia"/>
          <w:color w:val="000000" w:themeColor="text1"/>
          <w:szCs w:val="21"/>
          <w:shd w:val="clear" w:color="auto" w:fill="FFFFFF"/>
        </w:rPr>
        <w:t xml:space="preserve">3.5 宜农荒地 </w:t>
      </w:r>
      <w:r w:rsidRPr="00683A4C">
        <w:rPr>
          <w:rFonts w:hAnsi="黑体"/>
          <w:color w:val="000000" w:themeColor="text1"/>
          <w:szCs w:val="21"/>
          <w:shd w:val="clear" w:color="auto" w:fill="FFFFFF"/>
        </w:rPr>
        <w:t xml:space="preserve"> arable land suitable for farmland</w:t>
      </w:r>
    </w:p>
    <w:p w14:paraId="14B43F09" w14:textId="772DEAC1" w:rsidR="0093014A" w:rsidRDefault="0093014A" w:rsidP="0093014A">
      <w:pPr>
        <w:spacing w:line="360" w:lineRule="auto"/>
        <w:rPr>
          <w:rFonts w:ascii="宋体" w:hAnsi="宋体" w:cs="宋体" w:hint="eastAsia"/>
        </w:rPr>
      </w:pPr>
      <w:r>
        <w:rPr>
          <w:rFonts w:ascii="宋体" w:hAnsi="宋体" w:cs="宋体" w:hint="eastAsia"/>
        </w:rPr>
        <w:t xml:space="preserve">    气温、土壤和水文等自然条件适宜种植苜蓿和禾本科牧草，但尚未开垦利用（称生荒地）或者曾经</w:t>
      </w:r>
      <w:proofErr w:type="gramStart"/>
      <w:r>
        <w:rPr>
          <w:rFonts w:ascii="宋体" w:hAnsi="宋体" w:cs="宋体" w:hint="eastAsia"/>
        </w:rPr>
        <w:t>垦殖但</w:t>
      </w:r>
      <w:proofErr w:type="gramEnd"/>
      <w:r>
        <w:rPr>
          <w:rFonts w:ascii="宋体" w:hAnsi="宋体" w:cs="宋体" w:hint="eastAsia"/>
        </w:rPr>
        <w:t>现已弃耕的土地（称熟荒地）。</w:t>
      </w:r>
    </w:p>
    <w:p w14:paraId="61E2ECBF" w14:textId="77777777" w:rsidR="0093014A" w:rsidRPr="00683A4C" w:rsidRDefault="0093014A" w:rsidP="00683A4C">
      <w:pPr>
        <w:pStyle w:val="af2"/>
        <w:spacing w:before="312" w:after="312"/>
        <w:rPr>
          <w:rFonts w:hAnsi="黑体" w:hint="eastAsia"/>
          <w:color w:val="000000" w:themeColor="text1"/>
          <w:szCs w:val="21"/>
          <w:shd w:val="clear" w:color="auto" w:fill="FFFFFF"/>
        </w:rPr>
      </w:pPr>
      <w:bookmarkStart w:id="25" w:name="_Toc28467"/>
      <w:bookmarkStart w:id="26" w:name="_Toc19876"/>
      <w:bookmarkStart w:id="27" w:name="_Toc181727910"/>
      <w:r w:rsidRPr="00683A4C">
        <w:rPr>
          <w:rFonts w:hAnsi="黑体"/>
          <w:color w:val="000000" w:themeColor="text1"/>
          <w:szCs w:val="21"/>
          <w:shd w:val="clear" w:color="auto" w:fill="FFFFFF"/>
        </w:rPr>
        <w:t>4  选地整地</w:t>
      </w:r>
      <w:bookmarkEnd w:id="25"/>
      <w:bookmarkEnd w:id="26"/>
      <w:bookmarkEnd w:id="27"/>
    </w:p>
    <w:p w14:paraId="59A1493B" w14:textId="1832DC65"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4.1 选地</w:t>
      </w:r>
    </w:p>
    <w:p w14:paraId="1B834137" w14:textId="77777777" w:rsidR="0093014A" w:rsidRDefault="0093014A" w:rsidP="0093014A">
      <w:pPr>
        <w:spacing w:line="360" w:lineRule="auto"/>
        <w:ind w:firstLineChars="200" w:firstLine="420"/>
        <w:rPr>
          <w:color w:val="000000"/>
        </w:rPr>
      </w:pPr>
      <w:r>
        <w:t>宜选择地势平坦、土层深厚疏松、排水条件良好、集中连片、</w:t>
      </w:r>
      <w:r>
        <w:t>pH=6.8</w:t>
      </w:r>
      <w:r>
        <w:rPr>
          <w:color w:val="000000"/>
        </w:rPr>
        <w:t>～</w:t>
      </w:r>
      <w:r>
        <w:rPr>
          <w:color w:val="000000"/>
        </w:rPr>
        <w:t>8.5</w:t>
      </w:r>
      <w:r>
        <w:rPr>
          <w:color w:val="000000"/>
        </w:rPr>
        <w:t>的</w:t>
      </w:r>
      <w:r>
        <w:t>暗棕壤、黑土、黑钙土、草甸土和沼泽土</w:t>
      </w:r>
      <w:r>
        <w:rPr>
          <w:color w:val="000000"/>
        </w:rPr>
        <w:t>。</w:t>
      </w:r>
    </w:p>
    <w:p w14:paraId="15699A39" w14:textId="056FA97E"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4.2 整地</w:t>
      </w:r>
    </w:p>
    <w:p w14:paraId="0F4E3BE0" w14:textId="36EF1402" w:rsidR="0093014A" w:rsidRDefault="0093014A" w:rsidP="0093014A">
      <w:pPr>
        <w:spacing w:line="360" w:lineRule="auto"/>
        <w:ind w:firstLineChars="200" w:firstLine="420"/>
      </w:pPr>
      <w:r>
        <w:t>进行翻耕、旋耕、深松、耙</w:t>
      </w:r>
      <w:proofErr w:type="gramStart"/>
      <w:r>
        <w:t>耢</w:t>
      </w:r>
      <w:proofErr w:type="gramEnd"/>
      <w:r>
        <w:t>作业，</w:t>
      </w:r>
      <w:proofErr w:type="gramStart"/>
      <w:r>
        <w:t>耕深</w:t>
      </w:r>
      <w:proofErr w:type="gramEnd"/>
      <w:r>
        <w:t>20</w:t>
      </w:r>
      <w:r>
        <w:t>㎝，</w:t>
      </w:r>
      <w:proofErr w:type="gramStart"/>
      <w:r>
        <w:t>耙深</w:t>
      </w:r>
      <w:proofErr w:type="gramEnd"/>
      <w:r>
        <w:t>12</w:t>
      </w:r>
      <w:r w:rsidR="00683A4C">
        <w:rPr>
          <w:rFonts w:hint="eastAsia"/>
        </w:rPr>
        <w:t>cm</w:t>
      </w:r>
      <w:r>
        <w:rPr>
          <w:color w:val="000000"/>
        </w:rPr>
        <w:t>～</w:t>
      </w:r>
      <w:r>
        <w:rPr>
          <w:color w:val="000000"/>
        </w:rPr>
        <w:t>15</w:t>
      </w:r>
      <w:r>
        <w:t>㎝。播前耕层土壤结构良好，播种层土壤疏松细碎、地表平整干净无大土坷垃植物残留物。</w:t>
      </w:r>
    </w:p>
    <w:p w14:paraId="475BB892" w14:textId="258A262A" w:rsidR="0093014A" w:rsidRPr="00683A4C" w:rsidRDefault="0093014A" w:rsidP="00683A4C">
      <w:pPr>
        <w:pStyle w:val="af2"/>
        <w:spacing w:before="312" w:after="312"/>
        <w:rPr>
          <w:rFonts w:hAnsi="黑体" w:hint="eastAsia"/>
          <w:color w:val="000000" w:themeColor="text1"/>
          <w:szCs w:val="21"/>
          <w:shd w:val="clear" w:color="auto" w:fill="FFFFFF"/>
        </w:rPr>
      </w:pPr>
      <w:bookmarkStart w:id="28" w:name="_Toc24178"/>
      <w:bookmarkStart w:id="29" w:name="_Toc5117"/>
      <w:bookmarkStart w:id="30" w:name="_Toc181727911"/>
      <w:r w:rsidRPr="00683A4C">
        <w:rPr>
          <w:rFonts w:hAnsi="黑体"/>
          <w:color w:val="000000" w:themeColor="text1"/>
          <w:szCs w:val="21"/>
          <w:shd w:val="clear" w:color="auto" w:fill="FFFFFF"/>
        </w:rPr>
        <w:t>5 选种</w:t>
      </w:r>
      <w:bookmarkEnd w:id="28"/>
      <w:bookmarkEnd w:id="29"/>
      <w:bookmarkEnd w:id="30"/>
    </w:p>
    <w:p w14:paraId="24C49BB9" w14:textId="3FE6E982"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5.1 苜蓿品种选择</w:t>
      </w:r>
    </w:p>
    <w:p w14:paraId="2596C427" w14:textId="77777777" w:rsidR="0093014A" w:rsidRDefault="0093014A" w:rsidP="0093014A">
      <w:pPr>
        <w:spacing w:line="360" w:lineRule="auto"/>
        <w:ind w:firstLineChars="200" w:firstLine="420"/>
      </w:pPr>
      <w:r>
        <w:t>选择在当地引种试验越冬率</w:t>
      </w:r>
      <w:r>
        <w:t>≥70%</w:t>
      </w:r>
      <w:r>
        <w:t>的高产、优质苜蓿品种。一般选择</w:t>
      </w:r>
      <w:proofErr w:type="gramStart"/>
      <w:r>
        <w:t>低秋眠级</w:t>
      </w:r>
      <w:proofErr w:type="gramEnd"/>
      <w:r>
        <w:t>三级及以下的苜蓿品种。</w:t>
      </w:r>
    </w:p>
    <w:p w14:paraId="23EFCBA2" w14:textId="77777777" w:rsidR="0093014A" w:rsidRDefault="0093014A" w:rsidP="0093014A">
      <w:pPr>
        <w:spacing w:line="360" w:lineRule="auto"/>
        <w:ind w:firstLineChars="200" w:firstLine="420"/>
      </w:pPr>
      <w:r>
        <w:t>苜蓿种子质量应符合</w:t>
      </w:r>
      <w:r>
        <w:t>GB/T 6141-2008</w:t>
      </w:r>
      <w:r>
        <w:t>规定。</w:t>
      </w:r>
    </w:p>
    <w:p w14:paraId="4163D9EC" w14:textId="1898E84F"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 xml:space="preserve">5.2 </w:t>
      </w:r>
      <w:bookmarkStart w:id="31" w:name="OLE_LINK5"/>
      <w:r w:rsidRPr="00683A4C">
        <w:rPr>
          <w:rFonts w:hAnsi="黑体"/>
          <w:color w:val="000000" w:themeColor="text1"/>
          <w:szCs w:val="21"/>
          <w:shd w:val="clear" w:color="auto" w:fill="FFFFFF"/>
        </w:rPr>
        <w:t>混播多年生禾本科牧草</w:t>
      </w:r>
      <w:bookmarkEnd w:id="31"/>
      <w:r w:rsidRPr="00683A4C">
        <w:rPr>
          <w:rFonts w:hAnsi="黑体"/>
          <w:color w:val="000000" w:themeColor="text1"/>
          <w:szCs w:val="21"/>
          <w:shd w:val="clear" w:color="auto" w:fill="FFFFFF"/>
        </w:rPr>
        <w:t>品种选择</w:t>
      </w:r>
    </w:p>
    <w:p w14:paraId="2EAC04EF" w14:textId="77777777" w:rsidR="0093014A" w:rsidRDefault="0093014A" w:rsidP="0093014A">
      <w:pPr>
        <w:spacing w:line="360" w:lineRule="auto"/>
        <w:ind w:firstLineChars="200" w:firstLine="420"/>
        <w:rPr>
          <w:bCs/>
        </w:rPr>
      </w:pPr>
      <w:proofErr w:type="gramStart"/>
      <w:r>
        <w:t>选择叶量丰富</w:t>
      </w:r>
      <w:proofErr w:type="gramEnd"/>
      <w:r>
        <w:t>、分蘖多、再生性强、产量高、草质优及耐寒的</w:t>
      </w:r>
      <w:r>
        <w:rPr>
          <w:bCs/>
        </w:rPr>
        <w:t>多年生禾本科牧草品种，包括：披碱草、无芒雀麦或羊草</w:t>
      </w:r>
      <w:r>
        <w:t>。</w:t>
      </w:r>
    </w:p>
    <w:p w14:paraId="18460245" w14:textId="77777777" w:rsidR="0093014A" w:rsidRDefault="0093014A" w:rsidP="0093014A">
      <w:pPr>
        <w:spacing w:line="360" w:lineRule="auto"/>
        <w:ind w:firstLineChars="200" w:firstLine="420"/>
      </w:pPr>
      <w:r>
        <w:t>禾本科牧草</w:t>
      </w:r>
      <w:bookmarkStart w:id="32" w:name="OLE_LINK2"/>
      <w:r>
        <w:t>种子质量应符合</w:t>
      </w:r>
      <w:r>
        <w:t>GB/T 6142-2008</w:t>
      </w:r>
      <w:r>
        <w:t>规定。</w:t>
      </w:r>
      <w:bookmarkEnd w:id="32"/>
    </w:p>
    <w:p w14:paraId="50D1C272" w14:textId="38070052" w:rsidR="0093014A" w:rsidRPr="00683A4C" w:rsidRDefault="0093014A" w:rsidP="00683A4C">
      <w:pPr>
        <w:pStyle w:val="af2"/>
        <w:spacing w:before="312" w:after="312"/>
        <w:rPr>
          <w:rFonts w:hAnsi="黑体" w:hint="eastAsia"/>
          <w:color w:val="000000" w:themeColor="text1"/>
          <w:szCs w:val="21"/>
          <w:shd w:val="clear" w:color="auto" w:fill="FFFFFF"/>
        </w:rPr>
      </w:pPr>
      <w:bookmarkStart w:id="33" w:name="_Toc17796"/>
      <w:bookmarkStart w:id="34" w:name="_Toc15394"/>
      <w:bookmarkStart w:id="35" w:name="_Toc181727912"/>
      <w:r w:rsidRPr="00683A4C">
        <w:rPr>
          <w:rFonts w:hAnsi="黑体"/>
          <w:color w:val="000000" w:themeColor="text1"/>
          <w:szCs w:val="21"/>
          <w:shd w:val="clear" w:color="auto" w:fill="FFFFFF"/>
        </w:rPr>
        <w:t>6 播种技术</w:t>
      </w:r>
      <w:bookmarkEnd w:id="33"/>
      <w:bookmarkEnd w:id="34"/>
      <w:bookmarkEnd w:id="35"/>
    </w:p>
    <w:p w14:paraId="1A1D5DCB" w14:textId="2EE425E1" w:rsidR="0093014A" w:rsidRPr="00683A4C" w:rsidRDefault="0093014A" w:rsidP="00683A4C">
      <w:pPr>
        <w:pStyle w:val="af2"/>
        <w:spacing w:before="312" w:after="312"/>
        <w:rPr>
          <w:rFonts w:hAnsi="黑体" w:hint="eastAsia"/>
          <w:color w:val="000000" w:themeColor="text1"/>
          <w:szCs w:val="21"/>
          <w:shd w:val="clear" w:color="auto" w:fill="FFFFFF"/>
        </w:rPr>
      </w:pPr>
      <w:bookmarkStart w:id="36" w:name="OLE_LINK4"/>
      <w:bookmarkStart w:id="37" w:name="OLE_LINK3"/>
      <w:r w:rsidRPr="00683A4C">
        <w:rPr>
          <w:rFonts w:hAnsi="黑体"/>
          <w:color w:val="000000" w:themeColor="text1"/>
          <w:szCs w:val="21"/>
          <w:shd w:val="clear" w:color="auto" w:fill="FFFFFF"/>
        </w:rPr>
        <w:t>6.1 播种时间</w:t>
      </w:r>
    </w:p>
    <w:p w14:paraId="73A3E812" w14:textId="77777777" w:rsidR="0093014A" w:rsidRDefault="0093014A" w:rsidP="0093014A">
      <w:pPr>
        <w:spacing w:line="360" w:lineRule="auto"/>
        <w:rPr>
          <w:bCs/>
        </w:rPr>
      </w:pPr>
      <w:r>
        <w:rPr>
          <w:bCs/>
        </w:rPr>
        <w:t xml:space="preserve">    5</w:t>
      </w:r>
      <w:r>
        <w:rPr>
          <w:bCs/>
        </w:rPr>
        <w:t>月上旬至</w:t>
      </w:r>
      <w:r>
        <w:rPr>
          <w:bCs/>
        </w:rPr>
        <w:t>7</w:t>
      </w:r>
      <w:r>
        <w:rPr>
          <w:bCs/>
        </w:rPr>
        <w:t>月中旬均可播种，具体播种时间可根据土壤墒情确定。</w:t>
      </w:r>
    </w:p>
    <w:p w14:paraId="720AE4A3" w14:textId="7FA414A4"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6.2 播种方式</w:t>
      </w:r>
    </w:p>
    <w:p w14:paraId="26F222D9" w14:textId="018DEB21"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6.2.1 苜蓿单播</w:t>
      </w:r>
    </w:p>
    <w:p w14:paraId="322FAC62" w14:textId="53FEDD1C" w:rsidR="0093014A" w:rsidRDefault="0093014A" w:rsidP="0093014A">
      <w:pPr>
        <w:spacing w:line="360" w:lineRule="auto"/>
        <w:ind w:firstLineChars="200" w:firstLine="420"/>
      </w:pPr>
      <w:r>
        <w:t>种植密度</w:t>
      </w:r>
      <w:r>
        <w:t>19</w:t>
      </w:r>
      <w:r>
        <w:t>万株</w:t>
      </w:r>
      <w:r>
        <w:t>/hm</w:t>
      </w:r>
      <w:r>
        <w:rPr>
          <w:vertAlign w:val="superscript"/>
        </w:rPr>
        <w:t>2</w:t>
      </w:r>
      <w:r>
        <w:rPr>
          <w:color w:val="000000"/>
        </w:rPr>
        <w:t>～</w:t>
      </w:r>
      <w:r>
        <w:t>30</w:t>
      </w:r>
      <w:r>
        <w:t>万株</w:t>
      </w:r>
      <w:r>
        <w:t>/hm</w:t>
      </w:r>
      <w:r>
        <w:rPr>
          <w:vertAlign w:val="superscript"/>
        </w:rPr>
        <w:t>2</w:t>
      </w:r>
      <w:r>
        <w:t>，</w:t>
      </w:r>
      <w:bookmarkStart w:id="38" w:name="OLE_LINK11"/>
      <w:r>
        <w:t>播种量</w:t>
      </w:r>
      <w:r>
        <w:t>22</w:t>
      </w:r>
      <w:r w:rsidRPr="0093014A">
        <w:t xml:space="preserve"> </w:t>
      </w:r>
      <w:r>
        <w:t>kg/hm</w:t>
      </w:r>
      <w:r>
        <w:rPr>
          <w:vertAlign w:val="superscript"/>
        </w:rPr>
        <w:t>2</w:t>
      </w:r>
      <w:r>
        <w:rPr>
          <w:color w:val="000000"/>
        </w:rPr>
        <w:t>～</w:t>
      </w:r>
      <w:r>
        <w:t>26kg/hm</w:t>
      </w:r>
      <w:r>
        <w:rPr>
          <w:vertAlign w:val="superscript"/>
        </w:rPr>
        <w:t>2</w:t>
      </w:r>
      <w:r>
        <w:t>。条播，播种行距</w:t>
      </w:r>
      <w:r>
        <w:t>30</w:t>
      </w:r>
      <w:r>
        <w:t>㎝、播种深度</w:t>
      </w:r>
      <w:r>
        <w:t>1</w:t>
      </w:r>
      <w:r>
        <w:t>㎝</w:t>
      </w:r>
      <w:r>
        <w:rPr>
          <w:color w:val="000000"/>
        </w:rPr>
        <w:t>～</w:t>
      </w:r>
      <w:r>
        <w:rPr>
          <w:color w:val="000000"/>
        </w:rPr>
        <w:t>1.5</w:t>
      </w:r>
      <w:r>
        <w:t>㎝。</w:t>
      </w:r>
      <w:bookmarkEnd w:id="36"/>
      <w:bookmarkEnd w:id="37"/>
    </w:p>
    <w:bookmarkEnd w:id="38"/>
    <w:p w14:paraId="69F5055D" w14:textId="3C8201EB"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 xml:space="preserve">6.2.2 </w:t>
      </w:r>
      <w:bookmarkStart w:id="39" w:name="OLE_LINK6"/>
      <w:r w:rsidRPr="00683A4C">
        <w:rPr>
          <w:rFonts w:hAnsi="黑体"/>
          <w:color w:val="000000" w:themeColor="text1"/>
          <w:szCs w:val="21"/>
          <w:shd w:val="clear" w:color="auto" w:fill="FFFFFF"/>
        </w:rPr>
        <w:t>苜蓿与多年生禾本科牧草</w:t>
      </w:r>
      <w:bookmarkEnd w:id="39"/>
      <w:r w:rsidRPr="00683A4C">
        <w:rPr>
          <w:rFonts w:hAnsi="黑体"/>
          <w:color w:val="000000" w:themeColor="text1"/>
          <w:szCs w:val="21"/>
          <w:shd w:val="clear" w:color="auto" w:fill="FFFFFF"/>
        </w:rPr>
        <w:t>混播</w:t>
      </w:r>
    </w:p>
    <w:p w14:paraId="77DBB1D9" w14:textId="7B3098E2" w:rsidR="0093014A" w:rsidRDefault="0093014A" w:rsidP="0093014A">
      <w:pPr>
        <w:widowControl/>
        <w:spacing w:line="360" w:lineRule="auto"/>
        <w:ind w:firstLineChars="200" w:firstLine="420"/>
        <w:jc w:val="left"/>
      </w:pPr>
      <w:bookmarkStart w:id="40" w:name="OLE_LINK12"/>
      <w:r>
        <w:t>苜蓿与一种多年生禾本科牧草</w:t>
      </w:r>
      <w:r>
        <w:rPr>
          <w:b/>
          <w:bCs/>
        </w:rPr>
        <w:t>（</w:t>
      </w:r>
      <w:r>
        <w:rPr>
          <w:bCs/>
        </w:rPr>
        <w:t>披碱草、无芒雀麦或羊草</w:t>
      </w:r>
      <w:r>
        <w:rPr>
          <w:b/>
          <w:bCs/>
        </w:rPr>
        <w:t>）</w:t>
      </w:r>
      <w:r>
        <w:t>混播播种量共计</w:t>
      </w:r>
      <w:r>
        <w:t>22.5</w:t>
      </w:r>
      <w:r>
        <w:rPr>
          <w:color w:val="000000"/>
          <w:kern w:val="0"/>
          <w:lang w:bidi="ar"/>
        </w:rPr>
        <w:t>kg/hm</w:t>
      </w:r>
      <w:r>
        <w:rPr>
          <w:color w:val="000000"/>
          <w:kern w:val="0"/>
          <w:vertAlign w:val="superscript"/>
          <w:lang w:bidi="ar"/>
        </w:rPr>
        <w:t>2</w:t>
      </w:r>
      <w:r>
        <w:rPr>
          <w:color w:val="000000"/>
          <w:kern w:val="0"/>
          <w:lang w:bidi="ar"/>
        </w:rPr>
        <w:t>，其中</w:t>
      </w:r>
      <w:r>
        <w:t>苜蓿种子占</w:t>
      </w:r>
      <w:r>
        <w:rPr>
          <w:color w:val="000000"/>
          <w:kern w:val="0"/>
        </w:rPr>
        <w:t>75%</w:t>
      </w:r>
      <w:r>
        <w:rPr>
          <w:color w:val="000000"/>
          <w:kern w:val="0"/>
        </w:rPr>
        <w:t>，</w:t>
      </w:r>
      <w:r>
        <w:t>禾本科牧草种子占</w:t>
      </w:r>
      <w:r>
        <w:rPr>
          <w:color w:val="000000"/>
          <w:kern w:val="0"/>
        </w:rPr>
        <w:t>25%</w:t>
      </w:r>
      <w:r>
        <w:rPr>
          <w:color w:val="000000"/>
          <w:kern w:val="0"/>
        </w:rPr>
        <w:t>。</w:t>
      </w:r>
      <w:r>
        <w:t>两种牧草混合均匀后，同行条播，行距</w:t>
      </w:r>
      <w:r>
        <w:t>30</w:t>
      </w:r>
      <w:r>
        <w:t>㎝。播种深度</w:t>
      </w:r>
      <w:r>
        <w:rPr>
          <w:color w:val="000000"/>
        </w:rPr>
        <w:t>1.0</w:t>
      </w:r>
      <w:r>
        <w:t>㎝</w:t>
      </w:r>
      <w:r>
        <w:rPr>
          <w:color w:val="000000"/>
        </w:rPr>
        <w:t>～</w:t>
      </w:r>
      <w:r>
        <w:t>1.5</w:t>
      </w:r>
      <w:r>
        <w:t>㎝。</w:t>
      </w:r>
    </w:p>
    <w:p w14:paraId="4242D5B5" w14:textId="73756F02" w:rsidR="0093014A" w:rsidRPr="00683A4C" w:rsidRDefault="0093014A" w:rsidP="00683A4C">
      <w:pPr>
        <w:pStyle w:val="af2"/>
        <w:spacing w:before="312" w:after="312"/>
        <w:rPr>
          <w:rFonts w:hAnsi="黑体" w:hint="eastAsia"/>
          <w:color w:val="000000" w:themeColor="text1"/>
          <w:szCs w:val="21"/>
          <w:shd w:val="clear" w:color="auto" w:fill="FFFFFF"/>
        </w:rPr>
      </w:pPr>
      <w:bookmarkStart w:id="41" w:name="_Toc26793"/>
      <w:bookmarkStart w:id="42" w:name="_Toc22715"/>
      <w:bookmarkStart w:id="43" w:name="_Toc181727913"/>
      <w:bookmarkEnd w:id="40"/>
      <w:r w:rsidRPr="00683A4C">
        <w:rPr>
          <w:rFonts w:hAnsi="黑体"/>
          <w:color w:val="000000" w:themeColor="text1"/>
          <w:szCs w:val="21"/>
          <w:shd w:val="clear" w:color="auto" w:fill="FFFFFF"/>
        </w:rPr>
        <w:t>7 施肥技术</w:t>
      </w:r>
      <w:bookmarkEnd w:id="41"/>
      <w:bookmarkEnd w:id="42"/>
      <w:bookmarkEnd w:id="43"/>
    </w:p>
    <w:p w14:paraId="190D4E9B" w14:textId="50E72CCF"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7.1 颗粒肥料施用</w:t>
      </w:r>
    </w:p>
    <w:p w14:paraId="2E8D5F96" w14:textId="4D9C7E4A" w:rsidR="0093014A" w:rsidRDefault="0093014A" w:rsidP="0093014A">
      <w:pPr>
        <w:widowControl/>
        <w:spacing w:line="360" w:lineRule="auto"/>
        <w:ind w:firstLineChars="200" w:firstLine="420"/>
        <w:jc w:val="left"/>
      </w:pPr>
      <w:bookmarkStart w:id="44" w:name="OLE_LINK13"/>
      <w:r>
        <w:t>播种时，施用</w:t>
      </w:r>
      <w:r>
        <w:rPr>
          <w:color w:val="000000"/>
          <w:kern w:val="0"/>
          <w:lang w:bidi="ar"/>
        </w:rPr>
        <w:t>底</w:t>
      </w:r>
      <w:r>
        <w:t>肥尿素</w:t>
      </w:r>
      <w:r>
        <w:rPr>
          <w:color w:val="000000"/>
          <w:kern w:val="0"/>
          <w:lang w:bidi="ar"/>
        </w:rPr>
        <w:t>40</w:t>
      </w:r>
      <w:r w:rsidRPr="0093014A">
        <w:rPr>
          <w:color w:val="000000"/>
          <w:kern w:val="0"/>
          <w:lang w:bidi="ar"/>
        </w:rPr>
        <w:t xml:space="preserve"> </w:t>
      </w:r>
      <w:r>
        <w:rPr>
          <w:color w:val="000000"/>
          <w:kern w:val="0"/>
          <w:lang w:bidi="ar"/>
        </w:rPr>
        <w:t>kg</w:t>
      </w:r>
      <w:r>
        <w:t>/hm</w:t>
      </w:r>
      <w:r>
        <w:rPr>
          <w:vertAlign w:val="superscript"/>
        </w:rPr>
        <w:t>2</w:t>
      </w:r>
      <w:r>
        <w:rPr>
          <w:color w:val="000000"/>
          <w:kern w:val="0"/>
          <w:lang w:bidi="ar"/>
        </w:rPr>
        <w:t>～</w:t>
      </w:r>
      <w:r>
        <w:rPr>
          <w:color w:val="000000"/>
          <w:kern w:val="0"/>
          <w:lang w:bidi="ar"/>
        </w:rPr>
        <w:t>66kg</w:t>
      </w:r>
      <w:r>
        <w:t>/hm</w:t>
      </w:r>
      <w:r>
        <w:rPr>
          <w:vertAlign w:val="superscript"/>
        </w:rPr>
        <w:t>2</w:t>
      </w:r>
      <w:r>
        <w:rPr>
          <w:color w:val="000000"/>
          <w:kern w:val="0"/>
          <w:lang w:bidi="ar"/>
        </w:rPr>
        <w:t>＋磷酸二铵</w:t>
      </w:r>
      <w:r>
        <w:rPr>
          <w:color w:val="000000"/>
          <w:kern w:val="0"/>
          <w:lang w:bidi="ar"/>
        </w:rPr>
        <w:t>60</w:t>
      </w:r>
      <w:r w:rsidRPr="0093014A">
        <w:rPr>
          <w:color w:val="000000"/>
          <w:kern w:val="0"/>
          <w:lang w:bidi="ar"/>
        </w:rPr>
        <w:t xml:space="preserve"> </w:t>
      </w:r>
      <w:r>
        <w:rPr>
          <w:color w:val="000000"/>
          <w:kern w:val="0"/>
          <w:lang w:bidi="ar"/>
        </w:rPr>
        <w:t>kg</w:t>
      </w:r>
      <w:r>
        <w:t>/hm</w:t>
      </w:r>
      <w:r>
        <w:rPr>
          <w:vertAlign w:val="superscript"/>
        </w:rPr>
        <w:t>2</w:t>
      </w:r>
      <w:r>
        <w:rPr>
          <w:color w:val="000000"/>
          <w:kern w:val="0"/>
          <w:lang w:bidi="ar"/>
        </w:rPr>
        <w:t>～</w:t>
      </w:r>
      <w:r>
        <w:rPr>
          <w:color w:val="000000"/>
          <w:kern w:val="0"/>
          <w:lang w:bidi="ar"/>
        </w:rPr>
        <w:t>80kg</w:t>
      </w:r>
      <w:r>
        <w:t>/hm</w:t>
      </w:r>
      <w:r>
        <w:rPr>
          <w:vertAlign w:val="superscript"/>
        </w:rPr>
        <w:t>2</w:t>
      </w:r>
      <w:r>
        <w:rPr>
          <w:color w:val="000000"/>
          <w:kern w:val="0"/>
          <w:lang w:bidi="ar"/>
        </w:rPr>
        <w:t>＋硫酸钾</w:t>
      </w:r>
      <w:r>
        <w:rPr>
          <w:color w:val="000000"/>
          <w:kern w:val="0"/>
          <w:lang w:bidi="ar"/>
        </w:rPr>
        <w:t>108</w:t>
      </w:r>
      <w:r w:rsidRPr="0093014A">
        <w:rPr>
          <w:color w:val="000000"/>
          <w:kern w:val="0"/>
          <w:lang w:bidi="ar"/>
        </w:rPr>
        <w:t xml:space="preserve"> </w:t>
      </w:r>
      <w:r>
        <w:rPr>
          <w:color w:val="000000"/>
          <w:kern w:val="0"/>
          <w:lang w:bidi="ar"/>
        </w:rPr>
        <w:t>kg</w:t>
      </w:r>
      <w:r>
        <w:t>/hm</w:t>
      </w:r>
      <w:r>
        <w:rPr>
          <w:vertAlign w:val="superscript"/>
        </w:rPr>
        <w:t>2</w:t>
      </w:r>
      <w:r>
        <w:rPr>
          <w:color w:val="000000"/>
          <w:kern w:val="0"/>
          <w:lang w:bidi="ar"/>
        </w:rPr>
        <w:t>～</w:t>
      </w:r>
      <w:r>
        <w:rPr>
          <w:color w:val="000000"/>
          <w:kern w:val="0"/>
          <w:lang w:bidi="ar"/>
        </w:rPr>
        <w:t>144kg</w:t>
      </w:r>
      <w:r>
        <w:t>/hm</w:t>
      </w:r>
      <w:r>
        <w:rPr>
          <w:vertAlign w:val="superscript"/>
        </w:rPr>
        <w:t>2</w:t>
      </w:r>
      <w:r>
        <w:t>。</w:t>
      </w:r>
    </w:p>
    <w:p w14:paraId="0098B7B7" w14:textId="5E507D63" w:rsidR="0093014A" w:rsidRDefault="0093014A" w:rsidP="0093014A">
      <w:pPr>
        <w:widowControl/>
        <w:spacing w:line="360" w:lineRule="auto"/>
        <w:ind w:firstLineChars="200" w:firstLine="420"/>
        <w:jc w:val="left"/>
      </w:pPr>
      <w:r>
        <w:t>每年在苜蓿的分枝期及第一茬刈割后进行追肥。追肥施肥量为：</w:t>
      </w:r>
      <w:r>
        <w:rPr>
          <w:color w:val="000000"/>
          <w:kern w:val="0"/>
          <w:lang w:bidi="ar"/>
        </w:rPr>
        <w:t>纯氮</w:t>
      </w:r>
      <w:r>
        <w:rPr>
          <w:color w:val="000000"/>
          <w:kern w:val="0"/>
          <w:lang w:bidi="ar"/>
        </w:rPr>
        <w:t>30</w:t>
      </w:r>
      <w:r w:rsidRPr="0093014A">
        <w:rPr>
          <w:color w:val="000000"/>
          <w:kern w:val="0"/>
          <w:lang w:bidi="ar"/>
        </w:rPr>
        <w:t xml:space="preserve"> </w:t>
      </w:r>
      <w:r>
        <w:rPr>
          <w:color w:val="000000"/>
          <w:kern w:val="0"/>
          <w:lang w:bidi="ar"/>
        </w:rPr>
        <w:t>kg</w:t>
      </w:r>
      <w:r>
        <w:t>/hm</w:t>
      </w:r>
      <w:r>
        <w:rPr>
          <w:vertAlign w:val="superscript"/>
        </w:rPr>
        <w:t>2</w:t>
      </w:r>
      <w:r>
        <w:rPr>
          <w:color w:val="000000"/>
          <w:kern w:val="0"/>
          <w:lang w:bidi="ar"/>
        </w:rPr>
        <w:t>～</w:t>
      </w:r>
      <w:r>
        <w:rPr>
          <w:color w:val="000000"/>
          <w:kern w:val="0"/>
          <w:lang w:bidi="ar"/>
        </w:rPr>
        <w:t>45kg</w:t>
      </w:r>
      <w:r>
        <w:t>/hm</w:t>
      </w:r>
      <w:r>
        <w:rPr>
          <w:vertAlign w:val="superscript"/>
        </w:rPr>
        <w:t>2</w:t>
      </w:r>
      <w:r>
        <w:rPr>
          <w:color w:val="000000"/>
          <w:kern w:val="0"/>
          <w:lang w:bidi="ar"/>
        </w:rPr>
        <w:t>、</w:t>
      </w:r>
      <w:proofErr w:type="gramStart"/>
      <w:r>
        <w:rPr>
          <w:color w:val="000000"/>
          <w:kern w:val="0"/>
          <w:lang w:bidi="ar"/>
        </w:rPr>
        <w:t>纯磷</w:t>
      </w:r>
      <w:proofErr w:type="gramEnd"/>
      <w:r>
        <w:rPr>
          <w:color w:val="000000"/>
          <w:kern w:val="0"/>
          <w:lang w:bidi="ar"/>
        </w:rPr>
        <w:t>27</w:t>
      </w:r>
      <w:r w:rsidRPr="0093014A">
        <w:rPr>
          <w:color w:val="000000"/>
          <w:kern w:val="0"/>
          <w:lang w:bidi="ar"/>
        </w:rPr>
        <w:t xml:space="preserve"> </w:t>
      </w:r>
      <w:r>
        <w:rPr>
          <w:color w:val="000000"/>
          <w:kern w:val="0"/>
          <w:lang w:bidi="ar"/>
        </w:rPr>
        <w:t>kg</w:t>
      </w:r>
      <w:r>
        <w:t>/hm</w:t>
      </w:r>
      <w:r>
        <w:rPr>
          <w:vertAlign w:val="superscript"/>
        </w:rPr>
        <w:t>2</w:t>
      </w:r>
      <w:r>
        <w:rPr>
          <w:color w:val="000000"/>
          <w:kern w:val="0"/>
          <w:lang w:bidi="ar"/>
        </w:rPr>
        <w:t>～</w:t>
      </w:r>
      <w:r>
        <w:rPr>
          <w:color w:val="000000"/>
          <w:kern w:val="0"/>
          <w:lang w:bidi="ar"/>
        </w:rPr>
        <w:t>36kg</w:t>
      </w:r>
      <w:r>
        <w:t>/hm</w:t>
      </w:r>
      <w:r>
        <w:rPr>
          <w:vertAlign w:val="superscript"/>
        </w:rPr>
        <w:t>2</w:t>
      </w:r>
      <w:r>
        <w:rPr>
          <w:color w:val="000000"/>
          <w:kern w:val="0"/>
          <w:lang w:bidi="ar"/>
        </w:rPr>
        <w:t>、</w:t>
      </w:r>
      <w:proofErr w:type="gramStart"/>
      <w:r>
        <w:rPr>
          <w:color w:val="000000"/>
          <w:kern w:val="0"/>
          <w:lang w:bidi="ar"/>
        </w:rPr>
        <w:t>纯钾</w:t>
      </w:r>
      <w:proofErr w:type="gramEnd"/>
      <w:r>
        <w:rPr>
          <w:color w:val="000000"/>
          <w:kern w:val="0"/>
          <w:lang w:bidi="ar"/>
        </w:rPr>
        <w:t>54</w:t>
      </w:r>
      <w:r w:rsidRPr="0093014A">
        <w:rPr>
          <w:color w:val="000000"/>
          <w:kern w:val="0"/>
          <w:lang w:bidi="ar"/>
        </w:rPr>
        <w:t xml:space="preserve"> </w:t>
      </w:r>
      <w:r>
        <w:rPr>
          <w:color w:val="000000"/>
          <w:kern w:val="0"/>
          <w:lang w:bidi="ar"/>
        </w:rPr>
        <w:t>kg</w:t>
      </w:r>
      <w:r>
        <w:t>/hm</w:t>
      </w:r>
      <w:r>
        <w:rPr>
          <w:vertAlign w:val="superscript"/>
        </w:rPr>
        <w:t>2</w:t>
      </w:r>
      <w:r>
        <w:rPr>
          <w:color w:val="000000"/>
          <w:kern w:val="0"/>
          <w:lang w:bidi="ar"/>
        </w:rPr>
        <w:t>～</w:t>
      </w:r>
      <w:r>
        <w:rPr>
          <w:color w:val="000000"/>
          <w:kern w:val="0"/>
          <w:lang w:bidi="ar"/>
        </w:rPr>
        <w:t>72kg</w:t>
      </w:r>
      <w:r>
        <w:t>/hm</w:t>
      </w:r>
      <w:r>
        <w:rPr>
          <w:vertAlign w:val="superscript"/>
        </w:rPr>
        <w:t>2</w:t>
      </w:r>
      <w:r>
        <w:rPr>
          <w:color w:val="000000"/>
          <w:kern w:val="0"/>
          <w:lang w:bidi="ar"/>
        </w:rPr>
        <w:t>。</w:t>
      </w:r>
    </w:p>
    <w:bookmarkEnd w:id="44"/>
    <w:p w14:paraId="7DCCA01F" w14:textId="6BDE6F3E"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7.2 叶面肥料施用</w:t>
      </w:r>
    </w:p>
    <w:p w14:paraId="2E27D1C1" w14:textId="77777777" w:rsidR="0093014A" w:rsidRDefault="0093014A" w:rsidP="0093014A">
      <w:pPr>
        <w:numPr>
          <w:ilvl w:val="255"/>
          <w:numId w:val="0"/>
        </w:numPr>
        <w:tabs>
          <w:tab w:val="left" w:pos="5013"/>
        </w:tabs>
        <w:spacing w:line="360" w:lineRule="auto"/>
        <w:ind w:firstLine="420"/>
      </w:pPr>
      <w:r>
        <w:t>第一茬苜蓿刈割后，</w:t>
      </w:r>
      <w:bookmarkStart w:id="45" w:name="OLE_LINK14"/>
      <w:r>
        <w:t>再生苜蓿长到展叶封垄时，根据苜蓿的长势情况，单独或混合施用一种或几种叶面肥</w:t>
      </w:r>
      <w:bookmarkEnd w:id="45"/>
      <w:r>
        <w:t>，</w:t>
      </w:r>
      <w:bookmarkStart w:id="46" w:name="OLE_LINK15"/>
      <w:bookmarkStart w:id="47" w:name="OLE_LINK16"/>
      <w:r>
        <w:t>叶面肥种类及用量参考如下：</w:t>
      </w:r>
      <w:bookmarkEnd w:id="46"/>
    </w:p>
    <w:bookmarkEnd w:id="47"/>
    <w:p w14:paraId="48A6AE4E" w14:textId="77777777" w:rsidR="0093014A" w:rsidRDefault="0093014A" w:rsidP="0093014A">
      <w:pPr>
        <w:numPr>
          <w:ilvl w:val="255"/>
          <w:numId w:val="0"/>
        </w:numPr>
        <w:tabs>
          <w:tab w:val="left" w:pos="5013"/>
        </w:tabs>
        <w:spacing w:line="360" w:lineRule="auto"/>
        <w:ind w:firstLine="420"/>
        <w:rPr>
          <w:color w:val="000000" w:themeColor="text1"/>
        </w:rPr>
      </w:pPr>
      <w:r>
        <w:t>黄腐酸生物菌肥（黄腐酸</w:t>
      </w:r>
      <w:r>
        <w:t>≥20%</w:t>
      </w:r>
      <w:r>
        <w:t>、有机质</w:t>
      </w:r>
      <w:r>
        <w:t>≥45%</w:t>
      </w:r>
      <w:r>
        <w:t>、枯草芽孢杆菌＋地衣芽孢杆菌</w:t>
      </w:r>
      <w:r>
        <w:t>1</w:t>
      </w:r>
      <w:r>
        <w:t>亿</w:t>
      </w:r>
      <w:r>
        <w:t>/</w:t>
      </w:r>
      <w:r>
        <w:t>克）</w:t>
      </w:r>
      <w:r>
        <w:rPr>
          <w:color w:val="000000" w:themeColor="text1"/>
        </w:rPr>
        <w:t>300kg</w:t>
      </w:r>
      <w:r>
        <w:t>/hm</w:t>
      </w:r>
      <w:r>
        <w:rPr>
          <w:vertAlign w:val="superscript"/>
        </w:rPr>
        <w:t>2</w:t>
      </w:r>
      <w:r>
        <w:rPr>
          <w:color w:val="000000" w:themeColor="text1"/>
        </w:rPr>
        <w:t>；</w:t>
      </w:r>
    </w:p>
    <w:p w14:paraId="3D79D455" w14:textId="77777777" w:rsidR="0093014A" w:rsidRDefault="0093014A" w:rsidP="0093014A">
      <w:pPr>
        <w:numPr>
          <w:ilvl w:val="255"/>
          <w:numId w:val="0"/>
        </w:numPr>
        <w:tabs>
          <w:tab w:val="left" w:pos="5013"/>
        </w:tabs>
        <w:spacing w:line="360" w:lineRule="auto"/>
        <w:ind w:firstLine="420"/>
      </w:pPr>
      <w:proofErr w:type="gramStart"/>
      <w:r>
        <w:t>水溶型复合肥</w:t>
      </w:r>
      <w:proofErr w:type="gramEnd"/>
      <w:r>
        <w:t>（氮</w:t>
      </w:r>
      <w:r>
        <w:t>≥12%</w:t>
      </w:r>
      <w:r>
        <w:t>、磷</w:t>
      </w:r>
      <w:r>
        <w:t>≥61%</w:t>
      </w:r>
      <w:r>
        <w:t>）</w:t>
      </w:r>
      <w:r>
        <w:rPr>
          <w:color w:val="000000" w:themeColor="text1"/>
        </w:rPr>
        <w:t>150kg</w:t>
      </w:r>
      <w:r>
        <w:t>/hm</w:t>
      </w:r>
      <w:r>
        <w:rPr>
          <w:vertAlign w:val="superscript"/>
        </w:rPr>
        <w:t>2</w:t>
      </w:r>
      <w:r>
        <w:t>；</w:t>
      </w:r>
    </w:p>
    <w:p w14:paraId="05D38D3C" w14:textId="77777777" w:rsidR="0093014A" w:rsidRDefault="0093014A" w:rsidP="0093014A">
      <w:pPr>
        <w:numPr>
          <w:ilvl w:val="255"/>
          <w:numId w:val="0"/>
        </w:numPr>
        <w:tabs>
          <w:tab w:val="left" w:pos="5013"/>
        </w:tabs>
        <w:spacing w:line="360" w:lineRule="auto"/>
        <w:ind w:firstLine="420"/>
        <w:rPr>
          <w:color w:val="000000" w:themeColor="text1"/>
        </w:rPr>
      </w:pPr>
      <w:r>
        <w:t>0.01%</w:t>
      </w:r>
      <w:r>
        <w:t>芸苔素内酯乳油型生长调节剂</w:t>
      </w:r>
      <w:r>
        <w:rPr>
          <w:color w:val="000000" w:themeColor="text1"/>
        </w:rPr>
        <w:t>345ml</w:t>
      </w:r>
      <w:r>
        <w:t>/hm</w:t>
      </w:r>
      <w:r>
        <w:rPr>
          <w:vertAlign w:val="superscript"/>
        </w:rPr>
        <w:t>2</w:t>
      </w:r>
      <w:r>
        <w:rPr>
          <w:color w:val="000000" w:themeColor="text1"/>
        </w:rPr>
        <w:t>；</w:t>
      </w:r>
    </w:p>
    <w:p w14:paraId="1FDDEDCC" w14:textId="77777777" w:rsidR="0093014A" w:rsidRDefault="0093014A" w:rsidP="0093014A">
      <w:pPr>
        <w:numPr>
          <w:ilvl w:val="255"/>
          <w:numId w:val="0"/>
        </w:numPr>
        <w:tabs>
          <w:tab w:val="left" w:pos="5013"/>
        </w:tabs>
        <w:spacing w:line="360" w:lineRule="auto"/>
        <w:ind w:firstLine="420"/>
      </w:pPr>
      <w:r>
        <w:t>99%</w:t>
      </w:r>
      <w:r>
        <w:t>钼酸铵微量元素肥料</w:t>
      </w:r>
      <w:r>
        <w:rPr>
          <w:color w:val="000000" w:themeColor="text1"/>
        </w:rPr>
        <w:t>0.4kg</w:t>
      </w:r>
      <w:r>
        <w:t>/hm</w:t>
      </w:r>
      <w:r>
        <w:rPr>
          <w:vertAlign w:val="superscript"/>
        </w:rPr>
        <w:t>2</w:t>
      </w:r>
      <w:r>
        <w:t>；</w:t>
      </w:r>
    </w:p>
    <w:p w14:paraId="1FF86B07" w14:textId="77777777" w:rsidR="0093014A" w:rsidRDefault="0093014A" w:rsidP="0093014A">
      <w:pPr>
        <w:numPr>
          <w:ilvl w:val="255"/>
          <w:numId w:val="0"/>
        </w:numPr>
        <w:tabs>
          <w:tab w:val="left" w:pos="5013"/>
        </w:tabs>
        <w:spacing w:line="360" w:lineRule="auto"/>
        <w:ind w:firstLine="420"/>
        <w:rPr>
          <w:color w:val="000000" w:themeColor="text1"/>
        </w:rPr>
      </w:pPr>
      <w:r>
        <w:t>硫酸亚铁（铁</w:t>
      </w:r>
      <w:r>
        <w:t>20%+</w:t>
      </w:r>
      <w:r>
        <w:t>硫</w:t>
      </w:r>
      <w:r>
        <w:t>11%</w:t>
      </w:r>
      <w:r>
        <w:t>）</w:t>
      </w:r>
      <w:r>
        <w:rPr>
          <w:color w:val="000000" w:themeColor="text1"/>
        </w:rPr>
        <w:t>0.1kg</w:t>
      </w:r>
      <w:r>
        <w:t>/hm</w:t>
      </w:r>
      <w:r>
        <w:rPr>
          <w:vertAlign w:val="superscript"/>
        </w:rPr>
        <w:t>2</w:t>
      </w:r>
      <w:r>
        <w:rPr>
          <w:color w:val="000000" w:themeColor="text1"/>
        </w:rPr>
        <w:t>；</w:t>
      </w:r>
    </w:p>
    <w:p w14:paraId="182E9CB3" w14:textId="77777777" w:rsidR="0093014A" w:rsidRDefault="0093014A" w:rsidP="0093014A">
      <w:pPr>
        <w:widowControl/>
        <w:numPr>
          <w:ilvl w:val="255"/>
          <w:numId w:val="0"/>
        </w:numPr>
        <w:spacing w:line="360" w:lineRule="auto"/>
        <w:ind w:firstLineChars="200" w:firstLine="420"/>
        <w:jc w:val="left"/>
      </w:pPr>
      <w:r>
        <w:t>微量元素水溶肥（铁</w:t>
      </w:r>
      <w:r>
        <w:t>4.5%+</w:t>
      </w:r>
      <w:r>
        <w:t>硼</w:t>
      </w:r>
      <w:r>
        <w:t>3.5%+</w:t>
      </w:r>
      <w:r>
        <w:t>锌</w:t>
      </w:r>
      <w:r>
        <w:t>3.5%+</w:t>
      </w:r>
      <w:r>
        <w:t>锰</w:t>
      </w:r>
      <w:r>
        <w:t>1.5%</w:t>
      </w:r>
      <w:r>
        <w:t>）</w:t>
      </w:r>
      <w:r>
        <w:rPr>
          <w:color w:val="000000" w:themeColor="text1"/>
        </w:rPr>
        <w:t>0.3kg</w:t>
      </w:r>
      <w:r>
        <w:t>/hm</w:t>
      </w:r>
      <w:r>
        <w:rPr>
          <w:vertAlign w:val="superscript"/>
        </w:rPr>
        <w:t>2</w:t>
      </w:r>
      <w:r>
        <w:t>。</w:t>
      </w:r>
    </w:p>
    <w:p w14:paraId="4F3E387F" w14:textId="77777777" w:rsidR="0093014A" w:rsidRDefault="0093014A" w:rsidP="0093014A">
      <w:pPr>
        <w:numPr>
          <w:ilvl w:val="255"/>
          <w:numId w:val="0"/>
        </w:numPr>
        <w:tabs>
          <w:tab w:val="left" w:pos="5013"/>
        </w:tabs>
        <w:spacing w:line="360" w:lineRule="auto"/>
        <w:ind w:firstLine="420"/>
      </w:pPr>
      <w:r>
        <w:t>施用肥料应符合</w:t>
      </w:r>
      <w:r>
        <w:t xml:space="preserve"> NY/T 496</w:t>
      </w:r>
      <w:r>
        <w:t>《肥料合理使用准则通则》的规定。</w:t>
      </w:r>
    </w:p>
    <w:p w14:paraId="210A4631" w14:textId="64111D66" w:rsidR="0093014A" w:rsidRPr="00683A4C" w:rsidRDefault="0093014A" w:rsidP="00683A4C">
      <w:pPr>
        <w:pStyle w:val="af2"/>
        <w:spacing w:before="312" w:after="312"/>
        <w:rPr>
          <w:rFonts w:hAnsi="黑体" w:hint="eastAsia"/>
          <w:color w:val="000000" w:themeColor="text1"/>
          <w:szCs w:val="21"/>
          <w:shd w:val="clear" w:color="auto" w:fill="FFFFFF"/>
        </w:rPr>
      </w:pPr>
      <w:bookmarkStart w:id="48" w:name="_Toc31271"/>
      <w:bookmarkStart w:id="49" w:name="_Toc18369"/>
      <w:bookmarkStart w:id="50" w:name="_Toc181727914"/>
      <w:r w:rsidRPr="00683A4C">
        <w:rPr>
          <w:rFonts w:hAnsi="黑体"/>
          <w:color w:val="000000" w:themeColor="text1"/>
          <w:szCs w:val="21"/>
          <w:shd w:val="clear" w:color="auto" w:fill="FFFFFF"/>
        </w:rPr>
        <w:t>8 杂草控制技术</w:t>
      </w:r>
      <w:bookmarkEnd w:id="48"/>
      <w:bookmarkEnd w:id="49"/>
      <w:bookmarkEnd w:id="50"/>
    </w:p>
    <w:p w14:paraId="2233886A" w14:textId="7B5E19CF"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8.1 苜蓿田杂草控制</w:t>
      </w:r>
    </w:p>
    <w:p w14:paraId="2E051058" w14:textId="77777777" w:rsidR="0093014A" w:rsidRDefault="0093014A" w:rsidP="0093014A">
      <w:pPr>
        <w:spacing w:line="360" w:lineRule="auto"/>
        <w:ind w:firstLine="420"/>
      </w:pPr>
      <w:bookmarkStart w:id="51" w:name="OLE_LINK17"/>
      <w:r>
        <w:t>苜蓿苗期，根据田间杂草种类及发生时间采用相应的除草剂进行杂草防除。具体如下，</w:t>
      </w:r>
    </w:p>
    <w:p w14:paraId="1350BE89" w14:textId="63382462" w:rsidR="0093014A" w:rsidRDefault="0093014A" w:rsidP="0093014A">
      <w:pPr>
        <w:spacing w:line="360" w:lineRule="auto"/>
        <w:ind w:firstLine="420"/>
      </w:pPr>
      <w:bookmarkStart w:id="52" w:name="OLE_LINK9"/>
      <w:r>
        <w:t>田间杂草</w:t>
      </w:r>
      <w:proofErr w:type="gramStart"/>
      <w:r>
        <w:t>主要为</w:t>
      </w:r>
      <w:bookmarkEnd w:id="52"/>
      <w:r>
        <w:t>阔叶型</w:t>
      </w:r>
      <w:proofErr w:type="gramEnd"/>
      <w:r>
        <w:t>杂草，如十字花科（</w:t>
      </w:r>
      <w:proofErr w:type="gramStart"/>
      <w:r>
        <w:t>葶苈</w:t>
      </w:r>
      <w:proofErr w:type="gramEnd"/>
      <w:r>
        <w:t>、荠菜）、</w:t>
      </w:r>
      <w:proofErr w:type="gramStart"/>
      <w:r>
        <w:t>藜</w:t>
      </w:r>
      <w:proofErr w:type="gramEnd"/>
      <w:r>
        <w:t>科（灰绿</w:t>
      </w:r>
      <w:proofErr w:type="gramStart"/>
      <w:r>
        <w:t>藜</w:t>
      </w:r>
      <w:proofErr w:type="gramEnd"/>
      <w:r>
        <w:t>）、菊科（大籽蒿、黄花蒿、</w:t>
      </w:r>
      <w:proofErr w:type="gramStart"/>
      <w:r>
        <w:t>屋根草</w:t>
      </w:r>
      <w:proofErr w:type="gramEnd"/>
      <w:r>
        <w:t>、鹤虱）、</w:t>
      </w:r>
      <w:proofErr w:type="gramStart"/>
      <w:r>
        <w:t>苋</w:t>
      </w:r>
      <w:proofErr w:type="gramEnd"/>
      <w:r>
        <w:t>科（苋菜）、</w:t>
      </w:r>
      <w:proofErr w:type="gramStart"/>
      <w:r>
        <w:t>蓟</w:t>
      </w:r>
      <w:proofErr w:type="gramEnd"/>
      <w:r>
        <w:t>科（大蓟、小蓟）时，施用</w:t>
      </w:r>
      <w:r>
        <w:t>25%</w:t>
      </w:r>
      <w:r>
        <w:t>氟磺胺草醚水剂</w:t>
      </w:r>
      <w:r>
        <w:t>1350ml/ hm</w:t>
      </w:r>
      <w:r>
        <w:rPr>
          <w:vertAlign w:val="superscript"/>
        </w:rPr>
        <w:t>2</w:t>
      </w:r>
      <w:r>
        <w:t>或</w:t>
      </w:r>
      <w:r>
        <w:t>30%2.4-</w:t>
      </w:r>
      <w:r>
        <w:t>滴丁酸钠盐</w:t>
      </w:r>
      <w:r>
        <w:t>1500</w:t>
      </w:r>
      <w:r w:rsidRPr="0093014A">
        <w:t xml:space="preserve"> </w:t>
      </w:r>
      <w:r>
        <w:t>ml/hm</w:t>
      </w:r>
      <w:r>
        <w:rPr>
          <w:vertAlign w:val="superscript"/>
        </w:rPr>
        <w:t>2</w:t>
      </w:r>
      <w:r>
        <w:rPr>
          <w:color w:val="000000"/>
        </w:rPr>
        <w:t>～</w:t>
      </w:r>
      <w:r>
        <w:t>2250ml/hm</w:t>
      </w:r>
      <w:r>
        <w:rPr>
          <w:vertAlign w:val="superscript"/>
        </w:rPr>
        <w:t>2</w:t>
      </w:r>
      <w:r>
        <w:t>。</w:t>
      </w:r>
    </w:p>
    <w:p w14:paraId="1BAA5AF3" w14:textId="7B003B7B" w:rsidR="0093014A" w:rsidRDefault="0093014A" w:rsidP="0093014A">
      <w:pPr>
        <w:spacing w:line="360" w:lineRule="auto"/>
        <w:ind w:firstLine="420"/>
      </w:pPr>
      <w:bookmarkStart w:id="53" w:name="OLE_LINK10"/>
      <w:r>
        <w:t>田间杂草主要</w:t>
      </w:r>
      <w:bookmarkEnd w:id="53"/>
      <w:r>
        <w:t>为禾本科（如狗尾草、稗草）和阔叶杂草时，施用</w:t>
      </w:r>
      <w:r>
        <w:t>10%</w:t>
      </w:r>
      <w:r>
        <w:t>咪唑乙烟酸</w:t>
      </w:r>
      <w:r>
        <w:t>900ml/hm</w:t>
      </w:r>
      <w:r>
        <w:rPr>
          <w:vertAlign w:val="superscript"/>
        </w:rPr>
        <w:t>2</w:t>
      </w:r>
      <w:r>
        <w:t>+30%2.4-</w:t>
      </w:r>
      <w:r>
        <w:t>滴丁酸钠盐</w:t>
      </w:r>
      <w:r>
        <w:t>1500ml/hm</w:t>
      </w:r>
      <w:r>
        <w:rPr>
          <w:vertAlign w:val="superscript"/>
        </w:rPr>
        <w:t>2</w:t>
      </w:r>
      <w:r>
        <w:t>或</w:t>
      </w:r>
      <w:r>
        <w:t>10%</w:t>
      </w:r>
      <w:r>
        <w:t>咪唑乙烟酸</w:t>
      </w:r>
      <w:r>
        <w:t>1500</w:t>
      </w:r>
      <w:r w:rsidRPr="0093014A">
        <w:t xml:space="preserve"> </w:t>
      </w:r>
      <w:r>
        <w:t>ml/hm</w:t>
      </w:r>
      <w:r>
        <w:rPr>
          <w:vertAlign w:val="superscript"/>
        </w:rPr>
        <w:t>2</w:t>
      </w:r>
      <w:r>
        <w:rPr>
          <w:color w:val="000000"/>
        </w:rPr>
        <w:t>～</w:t>
      </w:r>
      <w:r>
        <w:t>2250ml/hm</w:t>
      </w:r>
      <w:r>
        <w:rPr>
          <w:vertAlign w:val="superscript"/>
        </w:rPr>
        <w:t>2</w:t>
      </w:r>
      <w:r>
        <w:t>。</w:t>
      </w:r>
    </w:p>
    <w:p w14:paraId="716FD332" w14:textId="77777777" w:rsidR="0093014A" w:rsidRDefault="0093014A" w:rsidP="0093014A">
      <w:pPr>
        <w:spacing w:line="360" w:lineRule="auto"/>
        <w:ind w:firstLine="420"/>
      </w:pPr>
      <w:r>
        <w:t>田间杂草主要为莎草科、禾本科和阔叶杂草时，施用</w:t>
      </w:r>
      <w:r>
        <w:t>48%</w:t>
      </w:r>
      <w:r>
        <w:t>灭草松</w:t>
      </w:r>
      <w:r>
        <w:t>2250ml/hm</w:t>
      </w:r>
      <w:r>
        <w:rPr>
          <w:vertAlign w:val="superscript"/>
        </w:rPr>
        <w:t>2</w:t>
      </w:r>
      <w:r>
        <w:t>+10%</w:t>
      </w:r>
      <w:r>
        <w:t>咪唑乙烟酸</w:t>
      </w:r>
      <w:r>
        <w:t>900ml/hm</w:t>
      </w:r>
      <w:r>
        <w:rPr>
          <w:vertAlign w:val="superscript"/>
        </w:rPr>
        <w:t>2</w:t>
      </w:r>
      <w:r>
        <w:t>+10.8%</w:t>
      </w:r>
      <w:r>
        <w:t>高效氟</w:t>
      </w:r>
      <w:proofErr w:type="gramStart"/>
      <w:r>
        <w:t>吡甲禾灵</w:t>
      </w:r>
      <w:proofErr w:type="gramEnd"/>
      <w:r>
        <w:t>450ml/hm</w:t>
      </w:r>
      <w:r>
        <w:rPr>
          <w:vertAlign w:val="superscript"/>
        </w:rPr>
        <w:t>2</w:t>
      </w:r>
      <w:r>
        <w:t>。</w:t>
      </w:r>
      <w:r>
        <w:t xml:space="preserve"> </w:t>
      </w:r>
    </w:p>
    <w:bookmarkEnd w:id="51"/>
    <w:p w14:paraId="6A062AD5" w14:textId="65B599E2" w:rsidR="0093014A" w:rsidRPr="00683A4C" w:rsidRDefault="0093014A" w:rsidP="00683A4C">
      <w:pPr>
        <w:pStyle w:val="af2"/>
        <w:spacing w:before="312" w:after="312"/>
        <w:rPr>
          <w:rFonts w:hAnsi="黑体" w:hint="eastAsia"/>
          <w:color w:val="000000" w:themeColor="text1"/>
          <w:szCs w:val="21"/>
          <w:shd w:val="clear" w:color="auto" w:fill="FFFFFF"/>
        </w:rPr>
      </w:pPr>
      <w:r w:rsidRPr="00683A4C">
        <w:rPr>
          <w:rFonts w:hAnsi="黑体"/>
          <w:color w:val="000000" w:themeColor="text1"/>
          <w:szCs w:val="21"/>
          <w:shd w:val="clear" w:color="auto" w:fill="FFFFFF"/>
        </w:rPr>
        <w:t>8.2 苜蓿+多年生禾本科牧草人工草地杂草控制</w:t>
      </w:r>
    </w:p>
    <w:p w14:paraId="09A62F62" w14:textId="77777777" w:rsidR="0093014A" w:rsidRDefault="0093014A" w:rsidP="0093014A">
      <w:pPr>
        <w:spacing w:line="360" w:lineRule="auto"/>
        <w:ind w:firstLine="420"/>
      </w:pPr>
      <w:r>
        <w:t>利用苜蓿和禾本科牧草的种间互利共生优势，对杂草进行自然防控。</w:t>
      </w:r>
    </w:p>
    <w:p w14:paraId="47747BB2" w14:textId="02DD617A" w:rsidR="0093014A" w:rsidRPr="00683A4C" w:rsidRDefault="0093014A" w:rsidP="00683A4C">
      <w:pPr>
        <w:pStyle w:val="af2"/>
        <w:spacing w:before="312" w:after="312"/>
        <w:rPr>
          <w:rFonts w:hAnsi="黑体" w:hint="eastAsia"/>
          <w:color w:val="000000" w:themeColor="text1"/>
          <w:szCs w:val="21"/>
          <w:shd w:val="clear" w:color="auto" w:fill="FFFFFF"/>
        </w:rPr>
      </w:pPr>
      <w:bookmarkStart w:id="54" w:name="_Toc16850"/>
      <w:bookmarkStart w:id="55" w:name="_Toc10156"/>
      <w:bookmarkStart w:id="56" w:name="_Toc181727915"/>
      <w:r w:rsidRPr="00683A4C">
        <w:rPr>
          <w:rFonts w:hAnsi="黑体"/>
          <w:color w:val="000000" w:themeColor="text1"/>
          <w:szCs w:val="21"/>
          <w:shd w:val="clear" w:color="auto" w:fill="FFFFFF"/>
        </w:rPr>
        <w:t>9 收获技术</w:t>
      </w:r>
      <w:bookmarkEnd w:id="54"/>
      <w:bookmarkEnd w:id="55"/>
      <w:bookmarkEnd w:id="56"/>
    </w:p>
    <w:p w14:paraId="5ABA453D" w14:textId="1B903925" w:rsidR="0093014A" w:rsidRDefault="0093014A" w:rsidP="0093014A">
      <w:pPr>
        <w:spacing w:line="360" w:lineRule="auto"/>
        <w:rPr>
          <w:color w:val="44546A" w:themeColor="text2"/>
        </w:rPr>
      </w:pPr>
      <w:r>
        <w:t xml:space="preserve">    </w:t>
      </w:r>
      <w:bookmarkStart w:id="57" w:name="OLE_LINK18"/>
      <w:r>
        <w:t>一年刈割两次，第一次刈割在苜蓿初花期，第二次刈割在苜蓿现蕾期或初花期，留茬高度</w:t>
      </w:r>
      <w:r>
        <w:t>8</w:t>
      </w:r>
      <w:r>
        <w:t>㎝</w:t>
      </w:r>
      <w:r>
        <w:rPr>
          <w:color w:val="000000"/>
        </w:rPr>
        <w:t>～</w:t>
      </w:r>
      <w:r>
        <w:t>10</w:t>
      </w:r>
      <w:r>
        <w:t>㎝。</w:t>
      </w:r>
      <w:bookmarkEnd w:id="57"/>
    </w:p>
    <w:p w14:paraId="3F829F0C" w14:textId="77777777" w:rsidR="00766462" w:rsidRPr="00BB44E5" w:rsidRDefault="00000000">
      <w:pPr>
        <w:spacing w:line="360" w:lineRule="auto"/>
        <w:ind w:firstLineChars="900" w:firstLine="1890"/>
        <w:jc w:val="left"/>
        <w:rPr>
          <w:u w:val="single"/>
        </w:rPr>
      </w:pPr>
      <w:r w:rsidRPr="00BB44E5">
        <w:rPr>
          <w:rFonts w:hint="eastAsia"/>
          <w:u w:val="single"/>
        </w:rPr>
        <w:t xml:space="preserve">                                    </w:t>
      </w:r>
    </w:p>
    <w:sectPr w:rsidR="00766462" w:rsidRPr="00BB44E5">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0E196" w14:textId="77777777" w:rsidR="007B0E66" w:rsidRDefault="007B0E66">
      <w:r>
        <w:separator/>
      </w:r>
    </w:p>
  </w:endnote>
  <w:endnote w:type="continuationSeparator" w:id="0">
    <w:p w14:paraId="7ED5B8A2" w14:textId="77777777" w:rsidR="007B0E66" w:rsidRDefault="007B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591027"/>
      <w:docPartObj>
        <w:docPartGallery w:val="Page Numbers (Bottom of Page)"/>
        <w:docPartUnique/>
      </w:docPartObj>
    </w:sdtPr>
    <w:sdtContent>
      <w:p w14:paraId="05CBD713" w14:textId="30E8B614" w:rsidR="00E63FFA" w:rsidRDefault="00E63FFA">
        <w:pPr>
          <w:pStyle w:val="a3"/>
          <w:jc w:val="right"/>
          <w:rPr>
            <w:rFonts w:hint="eastAsia"/>
          </w:rPr>
        </w:pPr>
        <w:r>
          <w:fldChar w:fldCharType="begin"/>
        </w:r>
        <w:r>
          <w:instrText>PAGE   \* MERGEFORMAT</w:instrText>
        </w:r>
        <w:r>
          <w:fldChar w:fldCharType="separate"/>
        </w:r>
        <w:r>
          <w:rPr>
            <w:lang w:val="zh-CN"/>
          </w:rPr>
          <w:t>2</w:t>
        </w:r>
        <w:r>
          <w:fldChar w:fldCharType="end"/>
        </w:r>
      </w:p>
    </w:sdtContent>
  </w:sdt>
  <w:p w14:paraId="42E5E330" w14:textId="77777777" w:rsidR="00E63FFA" w:rsidRDefault="00E63FFA">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76626"/>
      <w:showingPlcHdr/>
    </w:sdtPr>
    <w:sdtContent>
      <w:p w14:paraId="718AA932" w14:textId="77777777" w:rsidR="0093014A" w:rsidRDefault="00000000">
        <w:pPr>
          <w:pStyle w:val="a3"/>
          <w:ind w:right="360"/>
          <w:jc w:val="right"/>
          <w:rPr>
            <w:rFonts w:hint="eastAsia"/>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EBCCA" w14:textId="77777777" w:rsidR="008A1E2C" w:rsidRDefault="00000000">
    <w:pPr>
      <w:pStyle w:val="a3"/>
      <w:jc w:val="right"/>
      <w:rPr>
        <w:rFonts w:hint="eastAsia"/>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14:paraId="185D34E7" w14:textId="77777777" w:rsidR="008A1E2C" w:rsidRDefault="008A1E2C">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EFE6E" w14:textId="77777777" w:rsidR="007B0E66" w:rsidRDefault="007B0E66">
      <w:r>
        <w:separator/>
      </w:r>
    </w:p>
  </w:footnote>
  <w:footnote w:type="continuationSeparator" w:id="0">
    <w:p w14:paraId="240EB5DB" w14:textId="77777777" w:rsidR="007B0E66" w:rsidRDefault="007B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634" w14:textId="64BCEA3F" w:rsidR="004E0F7F" w:rsidRPr="004E0F7F" w:rsidRDefault="004E0F7F" w:rsidP="004E0F7F">
    <w:pPr>
      <w:pStyle w:val="a5"/>
      <w:jc w:val="right"/>
      <w:rPr>
        <w:rFonts w:ascii="黑体" w:eastAsia="黑体" w:hAnsi="黑体" w:hint="eastAsia"/>
        <w:b/>
        <w:sz w:val="21"/>
        <w:szCs w:val="21"/>
      </w:rPr>
    </w:pPr>
    <w:r w:rsidRPr="004E0F7F">
      <w:rPr>
        <w:rFonts w:ascii="黑体" w:eastAsia="黑体" w:hAnsi="黑体"/>
        <w:b/>
        <w:sz w:val="21"/>
        <w:szCs w:val="21"/>
      </w:rPr>
      <w:t>T/HXCY xxx—2024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s>
  <w:rsids>
    <w:rsidRoot w:val="000E21A2"/>
    <w:rsid w:val="000B507C"/>
    <w:rsid w:val="000C0178"/>
    <w:rsid w:val="000D0210"/>
    <w:rsid w:val="000E21A2"/>
    <w:rsid w:val="001760B7"/>
    <w:rsid w:val="001A678E"/>
    <w:rsid w:val="00221E78"/>
    <w:rsid w:val="00235211"/>
    <w:rsid w:val="00240CC7"/>
    <w:rsid w:val="0026591D"/>
    <w:rsid w:val="002951D4"/>
    <w:rsid w:val="002B1B5F"/>
    <w:rsid w:val="002B20B3"/>
    <w:rsid w:val="002C20A3"/>
    <w:rsid w:val="002F7826"/>
    <w:rsid w:val="00314DC3"/>
    <w:rsid w:val="0036166E"/>
    <w:rsid w:val="003B591D"/>
    <w:rsid w:val="003C2DAC"/>
    <w:rsid w:val="0048222D"/>
    <w:rsid w:val="004A1BCC"/>
    <w:rsid w:val="004E0F7F"/>
    <w:rsid w:val="005D71B4"/>
    <w:rsid w:val="005E1A60"/>
    <w:rsid w:val="00642F4D"/>
    <w:rsid w:val="006603BF"/>
    <w:rsid w:val="00683A4C"/>
    <w:rsid w:val="006C6DB6"/>
    <w:rsid w:val="007016E5"/>
    <w:rsid w:val="0072339B"/>
    <w:rsid w:val="00766462"/>
    <w:rsid w:val="00796CFC"/>
    <w:rsid w:val="007B0E66"/>
    <w:rsid w:val="007B60E4"/>
    <w:rsid w:val="00800B21"/>
    <w:rsid w:val="0089788F"/>
    <w:rsid w:val="008A1E2C"/>
    <w:rsid w:val="008A2566"/>
    <w:rsid w:val="008C06AD"/>
    <w:rsid w:val="0093014A"/>
    <w:rsid w:val="0098674A"/>
    <w:rsid w:val="009F72EF"/>
    <w:rsid w:val="00A20224"/>
    <w:rsid w:val="00A3136A"/>
    <w:rsid w:val="00A46C32"/>
    <w:rsid w:val="00A7461F"/>
    <w:rsid w:val="00A8031A"/>
    <w:rsid w:val="00AE1D8B"/>
    <w:rsid w:val="00B260D1"/>
    <w:rsid w:val="00B431A5"/>
    <w:rsid w:val="00B85ABD"/>
    <w:rsid w:val="00BA6411"/>
    <w:rsid w:val="00BB44E5"/>
    <w:rsid w:val="00C94D66"/>
    <w:rsid w:val="00D05E45"/>
    <w:rsid w:val="00D13638"/>
    <w:rsid w:val="00DC7CC1"/>
    <w:rsid w:val="00DE1F5B"/>
    <w:rsid w:val="00E0543C"/>
    <w:rsid w:val="00E54DE3"/>
    <w:rsid w:val="00E63FFA"/>
    <w:rsid w:val="00E86C0A"/>
    <w:rsid w:val="00EF65D7"/>
    <w:rsid w:val="00EF6BA8"/>
    <w:rsid w:val="00F2607D"/>
    <w:rsid w:val="00F32177"/>
    <w:rsid w:val="00F7785F"/>
    <w:rsid w:val="00FD7B68"/>
    <w:rsid w:val="09C3065B"/>
    <w:rsid w:val="1A745A40"/>
    <w:rsid w:val="21D87D59"/>
    <w:rsid w:val="23FE79FB"/>
    <w:rsid w:val="34F07BA1"/>
    <w:rsid w:val="36D44B3E"/>
    <w:rsid w:val="39A05497"/>
    <w:rsid w:val="3A0045B7"/>
    <w:rsid w:val="53C2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DAD8B6"/>
  <w15:chartTrackingRefBased/>
  <w15:docId w15:val="{424BD56F-AFC0-4E44-B59B-13B3DA7C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0"/>
    <w:uiPriority w:val="9"/>
    <w:semiHidden/>
    <w:unhideWhenUsed/>
    <w:qFormat/>
    <w:rsid w:val="007016E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Times New Roman" w:eastAsia="黑体" w:hAnsi="Times New Roman" w:cs="Times New Roman"/>
      <w:b/>
      <w:bCs/>
      <w:kern w:val="44"/>
      <w:sz w:val="32"/>
      <w:szCs w:val="44"/>
    </w:rPr>
  </w:style>
  <w:style w:type="paragraph" w:styleId="a3">
    <w:name w:val="footer"/>
    <w:basedOn w:val="a"/>
    <w:link w:val="a4"/>
    <w:uiPriority w:val="99"/>
    <w:unhideWhenUsed/>
    <w:qFormat/>
    <w:pPr>
      <w:tabs>
        <w:tab w:val="center" w:pos="4153"/>
        <w:tab w:val="right" w:pos="8306"/>
      </w:tabs>
      <w:snapToGrid w:val="0"/>
      <w:jc w:val="left"/>
    </w:pPr>
    <w:rPr>
      <w:rFonts w:ascii="等线" w:eastAsia="等线" w:hAnsi="等线"/>
      <w:sz w:val="18"/>
      <w:szCs w:val="18"/>
    </w:rPr>
  </w:style>
  <w:style w:type="character" w:customStyle="1" w:styleId="a4">
    <w:name w:val="页脚 字符"/>
    <w:link w:val="a3"/>
    <w:uiPriority w:val="99"/>
    <w:qFormat/>
    <w:rPr>
      <w:sz w:val="18"/>
      <w:szCs w:val="18"/>
    </w:rPr>
  </w:style>
  <w:style w:type="paragraph" w:styleId="a5">
    <w:name w:val="header"/>
    <w:basedOn w:val="a"/>
    <w:link w:val="a6"/>
    <w:uiPriority w:val="99"/>
    <w:unhideWhenUsed/>
    <w:pPr>
      <w:tabs>
        <w:tab w:val="center" w:pos="4153"/>
        <w:tab w:val="right" w:pos="8306"/>
      </w:tabs>
      <w:snapToGrid w:val="0"/>
      <w:jc w:val="center"/>
    </w:pPr>
    <w:rPr>
      <w:rFonts w:ascii="等线" w:eastAsia="等线" w:hAnsi="等线"/>
      <w:sz w:val="18"/>
      <w:szCs w:val="18"/>
    </w:rPr>
  </w:style>
  <w:style w:type="character" w:customStyle="1" w:styleId="a6">
    <w:name w:val="页眉 字符"/>
    <w:link w:val="a5"/>
    <w:uiPriority w:val="99"/>
    <w:rPr>
      <w:sz w:val="18"/>
      <w:szCs w:val="18"/>
    </w:rPr>
  </w:style>
  <w:style w:type="paragraph" w:styleId="TOC1">
    <w:name w:val="toc 1"/>
    <w:basedOn w:val="a"/>
    <w:next w:val="a"/>
    <w:uiPriority w:val="39"/>
    <w:unhideWhenUsed/>
  </w:style>
  <w:style w:type="paragraph" w:styleId="a7">
    <w:name w:val="Title"/>
    <w:basedOn w:val="a"/>
    <w:next w:val="a"/>
    <w:link w:val="a8"/>
    <w:uiPriority w:val="10"/>
    <w:qFormat/>
    <w:pPr>
      <w:spacing w:before="240" w:after="60"/>
      <w:jc w:val="center"/>
      <w:outlineLvl w:val="0"/>
    </w:pPr>
    <w:rPr>
      <w:rFonts w:eastAsia="黑体"/>
      <w:b/>
      <w:bCs/>
      <w:sz w:val="32"/>
      <w:szCs w:val="32"/>
    </w:rPr>
  </w:style>
  <w:style w:type="character" w:customStyle="1" w:styleId="a8">
    <w:name w:val="标题 字符"/>
    <w:link w:val="a7"/>
    <w:uiPriority w:val="10"/>
    <w:rPr>
      <w:rFonts w:ascii="Times New Roman" w:eastAsia="黑体" w:hAnsi="Times New Roman" w:cs="Times New Roman"/>
      <w:b/>
      <w:bCs/>
      <w:sz w:val="32"/>
      <w:szCs w:val="32"/>
    </w:rPr>
  </w:style>
  <w:style w:type="character" w:styleId="a9">
    <w:name w:val="Hyperlink"/>
    <w:uiPriority w:val="99"/>
    <w:unhideWhenUsed/>
    <w:rPr>
      <w:color w:val="467886"/>
      <w:u w:val="single"/>
    </w:rPr>
  </w:style>
  <w:style w:type="paragraph" w:customStyle="1" w:styleId="11">
    <w:name w:val="样式1"/>
    <w:basedOn w:val="1"/>
    <w:link w:val="12"/>
    <w:qFormat/>
  </w:style>
  <w:style w:type="character" w:customStyle="1" w:styleId="12">
    <w:name w:val="样式1 字符"/>
    <w:link w:val="11"/>
    <w:rPr>
      <w:rFonts w:ascii="Times New Roman" w:eastAsia="黑体" w:hAnsi="Times New Roman" w:cs="Times New Roman"/>
      <w:b/>
      <w:bCs/>
      <w:kern w:val="44"/>
      <w:sz w:val="32"/>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0F4761"/>
      <w:kern w:val="0"/>
      <w:szCs w:val="32"/>
    </w:rPr>
  </w:style>
  <w:style w:type="paragraph" w:styleId="aa">
    <w:name w:val="Revision"/>
    <w:hidden/>
    <w:uiPriority w:val="99"/>
    <w:unhideWhenUsed/>
    <w:rsid w:val="00BB44E5"/>
    <w:rPr>
      <w:kern w:val="2"/>
      <w:sz w:val="21"/>
      <w:szCs w:val="21"/>
    </w:rPr>
  </w:style>
  <w:style w:type="character" w:customStyle="1" w:styleId="20">
    <w:name w:val="标题 2 字符"/>
    <w:basedOn w:val="a0"/>
    <w:link w:val="2"/>
    <w:uiPriority w:val="9"/>
    <w:semiHidden/>
    <w:rsid w:val="007016E5"/>
    <w:rPr>
      <w:rFonts w:asciiTheme="majorHAnsi" w:eastAsiaTheme="majorEastAsia" w:hAnsiTheme="majorHAnsi" w:cstheme="majorBidi"/>
      <w:b/>
      <w:bCs/>
      <w:kern w:val="2"/>
      <w:sz w:val="32"/>
      <w:szCs w:val="32"/>
    </w:rPr>
  </w:style>
  <w:style w:type="paragraph" w:customStyle="1" w:styleId="Bodytext1">
    <w:name w:val="Body text|1"/>
    <w:basedOn w:val="a"/>
    <w:qFormat/>
    <w:rsid w:val="007016E5"/>
    <w:pPr>
      <w:spacing w:after="310" w:line="326" w:lineRule="auto"/>
      <w:ind w:firstLine="400"/>
    </w:pPr>
    <w:rPr>
      <w:rFonts w:ascii="宋体" w:hAnsi="宋体" w:cs="宋体"/>
      <w:sz w:val="40"/>
      <w:szCs w:val="40"/>
      <w:lang w:val="zh-TW" w:eastAsia="zh-TW" w:bidi="zh-TW"/>
    </w:rPr>
  </w:style>
  <w:style w:type="paragraph" w:customStyle="1" w:styleId="Bodytext2">
    <w:name w:val="Body text|2"/>
    <w:basedOn w:val="a"/>
    <w:qFormat/>
    <w:rsid w:val="007016E5"/>
    <w:pPr>
      <w:spacing w:after="200" w:line="620" w:lineRule="exact"/>
    </w:pPr>
    <w:rPr>
      <w:rFonts w:ascii="Calibri" w:hAnsi="Calibri"/>
      <w:sz w:val="42"/>
      <w:szCs w:val="42"/>
    </w:rPr>
  </w:style>
  <w:style w:type="paragraph" w:customStyle="1" w:styleId="ab">
    <w:name w:val="标准文件_段"/>
    <w:link w:val="Char"/>
    <w:autoRedefine/>
    <w:qFormat/>
    <w:rsid w:val="007016E5"/>
    <w:pPr>
      <w:autoSpaceDE w:val="0"/>
      <w:autoSpaceDN w:val="0"/>
      <w:ind w:firstLineChars="200" w:firstLine="200"/>
      <w:jc w:val="both"/>
    </w:pPr>
    <w:rPr>
      <w:rFonts w:ascii="宋体"/>
      <w:sz w:val="21"/>
    </w:rPr>
  </w:style>
  <w:style w:type="paragraph" w:customStyle="1" w:styleId="ac">
    <w:name w:val="段"/>
    <w:link w:val="Char0"/>
    <w:autoRedefine/>
    <w:qFormat/>
    <w:rsid w:val="007016E5"/>
    <w:pPr>
      <w:tabs>
        <w:tab w:val="center" w:pos="4201"/>
        <w:tab w:val="right" w:leader="dot" w:pos="9298"/>
      </w:tabs>
      <w:autoSpaceDE w:val="0"/>
      <w:autoSpaceDN w:val="0"/>
      <w:ind w:firstLineChars="200" w:firstLine="560"/>
      <w:jc w:val="both"/>
    </w:pPr>
    <w:rPr>
      <w:sz w:val="28"/>
      <w:szCs w:val="28"/>
    </w:rPr>
  </w:style>
  <w:style w:type="character" w:customStyle="1" w:styleId="Char0">
    <w:name w:val="段 Char"/>
    <w:link w:val="ac"/>
    <w:autoRedefine/>
    <w:qFormat/>
    <w:rsid w:val="007016E5"/>
    <w:rPr>
      <w:sz w:val="28"/>
      <w:szCs w:val="28"/>
    </w:rPr>
  </w:style>
  <w:style w:type="paragraph" w:customStyle="1" w:styleId="ad">
    <w:name w:val="一级条标题"/>
    <w:next w:val="ac"/>
    <w:autoRedefine/>
    <w:qFormat/>
    <w:rsid w:val="007016E5"/>
    <w:pPr>
      <w:ind w:firstLineChars="200" w:firstLine="560"/>
    </w:pPr>
    <w:rPr>
      <w:sz w:val="28"/>
      <w:szCs w:val="28"/>
    </w:rPr>
  </w:style>
  <w:style w:type="paragraph" w:customStyle="1" w:styleId="ae">
    <w:name w:val="标准文件_三级无标题"/>
    <w:basedOn w:val="a"/>
    <w:autoRedefine/>
    <w:qFormat/>
    <w:rsid w:val="007016E5"/>
    <w:pPr>
      <w:widowControl/>
      <w:ind w:firstLineChars="200" w:firstLine="560"/>
    </w:pPr>
    <w:rPr>
      <w:kern w:val="0"/>
      <w:sz w:val="28"/>
      <w:szCs w:val="28"/>
    </w:rPr>
  </w:style>
  <w:style w:type="paragraph" w:customStyle="1" w:styleId="af">
    <w:name w:val="二级条标题"/>
    <w:basedOn w:val="ad"/>
    <w:next w:val="ac"/>
    <w:autoRedefine/>
    <w:qFormat/>
    <w:rsid w:val="007016E5"/>
    <w:pPr>
      <w:spacing w:beforeLines="50" w:before="50" w:afterLines="50" w:after="50"/>
      <w:outlineLvl w:val="3"/>
    </w:pPr>
    <w:rPr>
      <w:rFonts w:ascii="黑体" w:eastAsia="黑体"/>
      <w:sz w:val="21"/>
      <w:szCs w:val="21"/>
    </w:rPr>
  </w:style>
  <w:style w:type="paragraph" w:customStyle="1" w:styleId="af0">
    <w:name w:val="标准文件_标准正文"/>
    <w:basedOn w:val="a"/>
    <w:next w:val="ab"/>
    <w:autoRedefine/>
    <w:qFormat/>
    <w:rsid w:val="007016E5"/>
    <w:pPr>
      <w:adjustRightInd w:val="0"/>
      <w:snapToGrid w:val="0"/>
      <w:spacing w:line="400" w:lineRule="exact"/>
      <w:ind w:firstLineChars="200" w:firstLine="200"/>
    </w:pPr>
    <w:rPr>
      <w:rFonts w:ascii="Calibri" w:hAnsi="Calibri"/>
      <w:kern w:val="0"/>
    </w:rPr>
  </w:style>
  <w:style w:type="paragraph" w:customStyle="1" w:styleId="af1">
    <w:name w:val="标准文件_正文公式"/>
    <w:basedOn w:val="a"/>
    <w:next w:val="af0"/>
    <w:autoRedefine/>
    <w:qFormat/>
    <w:rsid w:val="007016E5"/>
    <w:pPr>
      <w:tabs>
        <w:tab w:val="center" w:pos="4678"/>
        <w:tab w:val="right" w:leader="middleDot" w:pos="9356"/>
      </w:tabs>
      <w:adjustRightInd w:val="0"/>
    </w:pPr>
    <w:rPr>
      <w:rFonts w:ascii="宋体" w:hAnsi="宋体"/>
    </w:rPr>
  </w:style>
  <w:style w:type="character" w:customStyle="1" w:styleId="Char">
    <w:name w:val="标准文件_段 Char"/>
    <w:link w:val="ab"/>
    <w:autoRedefine/>
    <w:qFormat/>
    <w:rsid w:val="007016E5"/>
    <w:rPr>
      <w:rFonts w:ascii="宋体"/>
      <w:sz w:val="21"/>
    </w:rPr>
  </w:style>
  <w:style w:type="character" w:customStyle="1" w:styleId="texth038s">
    <w:name w:val="text_h038s"/>
    <w:basedOn w:val="a0"/>
    <w:qFormat/>
    <w:rsid w:val="0093014A"/>
  </w:style>
  <w:style w:type="paragraph" w:customStyle="1" w:styleId="af2">
    <w:name w:val="章标题"/>
    <w:next w:val="ac"/>
    <w:qFormat/>
    <w:rsid w:val="00683A4C"/>
    <w:pPr>
      <w:spacing w:beforeLines="100" w:afterLines="100"/>
      <w:jc w:val="both"/>
      <w:outlineLvl w:val="1"/>
    </w:pPr>
    <w:rPr>
      <w:rFonts w:ascii="黑体" w:eastAsia="黑体"/>
      <w:sz w:val="21"/>
    </w:rPr>
  </w:style>
  <w:style w:type="paragraph" w:customStyle="1" w:styleId="af3">
    <w:name w:val="四级条标题"/>
    <w:basedOn w:val="a"/>
    <w:next w:val="ac"/>
    <w:qFormat/>
    <w:rsid w:val="00683A4C"/>
    <w:pPr>
      <w:widowControl/>
      <w:spacing w:beforeLines="50" w:afterLines="50"/>
      <w:jc w:val="left"/>
      <w:outlineLvl w:val="5"/>
    </w:pPr>
    <w:rPr>
      <w:rFonts w:ascii="黑体" w:eastAsia="黑体"/>
      <w:kern w:val="0"/>
    </w:rPr>
  </w:style>
  <w:style w:type="paragraph" w:customStyle="1" w:styleId="af4">
    <w:name w:val="五级条标题"/>
    <w:basedOn w:val="af3"/>
    <w:next w:val="ac"/>
    <w:qFormat/>
    <w:rsid w:val="00683A4C"/>
    <w:p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9A00-F121-4738-94B1-01EB095A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Links>
    <vt:vector size="66" baseType="variant">
      <vt:variant>
        <vt:i4>6291573</vt:i4>
      </vt:variant>
      <vt:variant>
        <vt:i4>60</vt:i4>
      </vt:variant>
      <vt:variant>
        <vt:i4>0</vt:i4>
      </vt:variant>
      <vt:variant>
        <vt:i4>5</vt:i4>
      </vt:variant>
      <vt:variant>
        <vt:lpwstr>http://www.syfj.net/qiye/42166832.html</vt:lpwstr>
      </vt:variant>
      <vt:variant>
        <vt:lpwstr/>
      </vt:variant>
      <vt:variant>
        <vt:i4>2031668</vt:i4>
      </vt:variant>
      <vt:variant>
        <vt:i4>53</vt:i4>
      </vt:variant>
      <vt:variant>
        <vt:i4>0</vt:i4>
      </vt:variant>
      <vt:variant>
        <vt:i4>5</vt:i4>
      </vt:variant>
      <vt:variant>
        <vt:lpwstr/>
      </vt:variant>
      <vt:variant>
        <vt:lpwstr>_Toc176548720</vt:lpwstr>
      </vt:variant>
      <vt:variant>
        <vt:i4>1835060</vt:i4>
      </vt:variant>
      <vt:variant>
        <vt:i4>47</vt:i4>
      </vt:variant>
      <vt:variant>
        <vt:i4>0</vt:i4>
      </vt:variant>
      <vt:variant>
        <vt:i4>5</vt:i4>
      </vt:variant>
      <vt:variant>
        <vt:lpwstr/>
      </vt:variant>
      <vt:variant>
        <vt:lpwstr>_Toc176548719</vt:lpwstr>
      </vt:variant>
      <vt:variant>
        <vt:i4>1835060</vt:i4>
      </vt:variant>
      <vt:variant>
        <vt:i4>41</vt:i4>
      </vt:variant>
      <vt:variant>
        <vt:i4>0</vt:i4>
      </vt:variant>
      <vt:variant>
        <vt:i4>5</vt:i4>
      </vt:variant>
      <vt:variant>
        <vt:lpwstr/>
      </vt:variant>
      <vt:variant>
        <vt:lpwstr>_Toc176548718</vt:lpwstr>
      </vt:variant>
      <vt:variant>
        <vt:i4>1835060</vt:i4>
      </vt:variant>
      <vt:variant>
        <vt:i4>35</vt:i4>
      </vt:variant>
      <vt:variant>
        <vt:i4>0</vt:i4>
      </vt:variant>
      <vt:variant>
        <vt:i4>5</vt:i4>
      </vt:variant>
      <vt:variant>
        <vt:lpwstr/>
      </vt:variant>
      <vt:variant>
        <vt:lpwstr>_Toc176548717</vt:lpwstr>
      </vt:variant>
      <vt:variant>
        <vt:i4>1835060</vt:i4>
      </vt:variant>
      <vt:variant>
        <vt:i4>29</vt:i4>
      </vt:variant>
      <vt:variant>
        <vt:i4>0</vt:i4>
      </vt:variant>
      <vt:variant>
        <vt:i4>5</vt:i4>
      </vt:variant>
      <vt:variant>
        <vt:lpwstr/>
      </vt:variant>
      <vt:variant>
        <vt:lpwstr>_Toc176548716</vt:lpwstr>
      </vt:variant>
      <vt:variant>
        <vt:i4>1835060</vt:i4>
      </vt:variant>
      <vt:variant>
        <vt:i4>23</vt:i4>
      </vt:variant>
      <vt:variant>
        <vt:i4>0</vt:i4>
      </vt:variant>
      <vt:variant>
        <vt:i4>5</vt:i4>
      </vt:variant>
      <vt:variant>
        <vt:lpwstr/>
      </vt:variant>
      <vt:variant>
        <vt:lpwstr>_Toc176548712</vt:lpwstr>
      </vt:variant>
      <vt:variant>
        <vt:i4>1835060</vt:i4>
      </vt:variant>
      <vt:variant>
        <vt:i4>17</vt:i4>
      </vt:variant>
      <vt:variant>
        <vt:i4>0</vt:i4>
      </vt:variant>
      <vt:variant>
        <vt:i4>5</vt:i4>
      </vt:variant>
      <vt:variant>
        <vt:lpwstr/>
      </vt:variant>
      <vt:variant>
        <vt:lpwstr>_Toc176548711</vt:lpwstr>
      </vt:variant>
      <vt:variant>
        <vt:i4>1835060</vt:i4>
      </vt:variant>
      <vt:variant>
        <vt:i4>11</vt:i4>
      </vt:variant>
      <vt:variant>
        <vt:i4>0</vt:i4>
      </vt:variant>
      <vt:variant>
        <vt:i4>5</vt:i4>
      </vt:variant>
      <vt:variant>
        <vt:lpwstr/>
      </vt:variant>
      <vt:variant>
        <vt:lpwstr>_Toc176548710</vt:lpwstr>
      </vt:variant>
      <vt:variant>
        <vt:i4>1900596</vt:i4>
      </vt:variant>
      <vt:variant>
        <vt:i4>5</vt:i4>
      </vt:variant>
      <vt:variant>
        <vt:i4>0</vt:i4>
      </vt:variant>
      <vt:variant>
        <vt:i4>5</vt:i4>
      </vt:variant>
      <vt:variant>
        <vt:lpwstr/>
      </vt:variant>
      <vt:variant>
        <vt:lpwstr>_Toc176548709</vt:lpwstr>
      </vt:variant>
      <vt:variant>
        <vt:i4>1900596</vt:i4>
      </vt:variant>
      <vt:variant>
        <vt:i4>2</vt:i4>
      </vt:variant>
      <vt:variant>
        <vt:i4>0</vt:i4>
      </vt:variant>
      <vt:variant>
        <vt:i4>5</vt:i4>
      </vt:variant>
      <vt:variant>
        <vt:lpwstr/>
      </vt:variant>
      <vt:variant>
        <vt:lpwstr>_Toc176548708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jiamin zhang</dc:creator>
  <cp:keywords/>
  <cp:lastModifiedBy>ThinkPad</cp:lastModifiedBy>
  <cp:revision>13</cp:revision>
  <dcterms:created xsi:type="dcterms:W3CDTF">2024-09-06T12:59:00Z</dcterms:created>
  <dcterms:modified xsi:type="dcterms:W3CDTF">2024-11-05T12:21:00Z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8F734C49F7974B6DA2608BD0EDC123A2_13</vt:lpwstr>
  </property>
</Properties>
</file>