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522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32574B5">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hint="eastAsia" w:ascii="黑体" w:hAnsi="黑体" w:eastAsia="黑体" w:cs="黑体"/>
                <w:sz w:val="21"/>
                <w:szCs w:val="21"/>
              </w:rPr>
              <w:t>ICS</w:t>
            </w:r>
          </w:p>
        </w:tc>
        <w:tc>
          <w:tcPr>
            <w:tcW w:w="8855" w:type="dxa"/>
          </w:tcPr>
          <w:p w14:paraId="5CA86A28">
            <w:pPr>
              <w:pStyle w:val="19"/>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rPr>
              <w:t>35.</w:t>
            </w:r>
            <w:r>
              <w:rPr>
                <w:rFonts w:hint="eastAsia" w:ascii="黑体" w:hAnsi="黑体" w:eastAsia="黑体"/>
                <w:sz w:val="21"/>
                <w:szCs w:val="21"/>
                <w:lang w:val="en-US" w:eastAsia="zh-CN"/>
              </w:rPr>
              <w:t>110</w:t>
            </w:r>
          </w:p>
        </w:tc>
      </w:tr>
      <w:tr w14:paraId="16F7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9F05431">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0D4917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154F413">
                  <w:pPr>
                    <w:pStyle w:val="51"/>
                    <w:framePr w:wrap="notBeside" w:vAnchor="page" w:hAnchor="page" w:x="1372" w:y="568"/>
                    <w:ind w:left="420" w:right="624"/>
                    <w:rPr>
                      <w:rFonts w:ascii="宋体" w:hAnsi="宋体"/>
                      <w:sz w:val="28"/>
                      <w:szCs w:val="28"/>
                    </w:rPr>
                  </w:pPr>
                </w:p>
              </w:tc>
            </w:tr>
          </w:tbl>
          <w:p w14:paraId="0EAFCCA2">
            <w:pPr>
              <w:pStyle w:val="19"/>
              <w:framePr w:wrap="notBeside" w:vAnchor="page" w:hAnchor="page" w:x="1372" w:y="568"/>
              <w:tabs>
                <w:tab w:val="left" w:pos="8137"/>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lang w:val="en-US" w:eastAsia="zh-CN"/>
              </w:rPr>
              <w:t>L</w:t>
            </w:r>
            <w:r>
              <w:rPr>
                <w:rFonts w:hint="eastAsia" w:ascii="黑体" w:hAnsi="黑体" w:eastAsia="黑体"/>
                <w:sz w:val="21"/>
                <w:szCs w:val="21"/>
              </w:rPr>
              <w:t xml:space="preserve"> </w:t>
            </w:r>
            <w:r>
              <w:rPr>
                <w:rFonts w:hint="eastAsia" w:ascii="黑体" w:hAnsi="黑体" w:eastAsia="黑体"/>
                <w:sz w:val="21"/>
                <w:szCs w:val="21"/>
                <w:lang w:val="en-US" w:eastAsia="zh-CN"/>
              </w:rPr>
              <w:t>80</w:t>
            </w:r>
            <w:r>
              <w:rPr>
                <w:rFonts w:hint="eastAsia" w:ascii="黑体" w:hAnsi="黑体" w:eastAsia="黑体"/>
                <w:sz w:val="21"/>
                <w:szCs w:val="21"/>
              </w:rPr>
              <w:tab/>
            </w:r>
          </w:p>
        </w:tc>
      </w:tr>
    </w:tbl>
    <w:p w14:paraId="1E7C68F4">
      <w:pPr>
        <w:pStyle w:val="52"/>
        <w:framePr w:w="10105" w:h="964" w:hRule="exact" w:hSpace="181" w:vSpace="181" w:wrap="around" w:hAnchor="page" w:x="1372" w:y="2180"/>
        <w:ind w:right="844" w:rightChars="402"/>
        <w:jc w:val="both"/>
        <w:rPr>
          <w:rFonts w:ascii="黑体" w:hAnsi="黑体" w:eastAsia="黑体"/>
          <w:b w:val="0"/>
          <w:bCs w:val="0"/>
          <w:w w:val="100"/>
          <w:sz w:val="84"/>
          <w:szCs w:val="84"/>
        </w:rPr>
      </w:pPr>
      <w:bookmarkStart w:id="0" w:name="_Hlk26473981"/>
      <w:r>
        <w:rPr>
          <w:rFonts w:hint="eastAsia" w:ascii="黑体" w:eastAsia="黑体"/>
          <w:b w:val="0"/>
          <w:spacing w:val="960"/>
          <w:w w:val="100"/>
          <w:sz w:val="84"/>
          <w:szCs w:val="84"/>
        </w:rPr>
        <w:t>团体</w:t>
      </w:r>
      <w:r>
        <w:rPr>
          <w:rFonts w:hint="eastAsia" w:ascii="黑体" w:hAnsi="黑体" w:eastAsia="黑体"/>
          <w:b w:val="0"/>
          <w:bCs w:val="0"/>
          <w:spacing w:val="960"/>
          <w:w w:val="100"/>
          <w:sz w:val="84"/>
          <w:szCs w:val="84"/>
        </w:rPr>
        <w:t>标</w:t>
      </w:r>
      <w:r>
        <w:rPr>
          <w:rFonts w:hint="eastAsia" w:ascii="黑体" w:hAnsi="黑体" w:eastAsia="黑体"/>
          <w:b w:val="0"/>
          <w:bCs w:val="0"/>
          <w:w w:val="100"/>
          <w:sz w:val="84"/>
          <w:szCs w:val="84"/>
        </w:rPr>
        <w:t>准</w:t>
      </w:r>
    </w:p>
    <w:bookmarkEnd w:id="0"/>
    <w:p w14:paraId="4A8984F6">
      <w:pPr>
        <w:pStyle w:val="197"/>
        <w:framePr w:w="8954" w:h="840" w:hRule="exact" w:x="1305" w:y="3507"/>
        <w:rPr>
          <w:rFonts w:hint="default" w:eastAsia="黑体"/>
          <w:lang w:val="en-US" w:eastAsia="zh-CN"/>
        </w:rPr>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rPr>
          <w:rFonts w:hint="eastAsia"/>
        </w:rPr>
        <w:t>Z</w:t>
      </w:r>
      <w:r>
        <w:t>S</w:t>
      </w:r>
      <w:r>
        <w:rPr>
          <w:rFonts w:hint="eastAsia"/>
        </w:rPr>
        <w:t xml:space="preserve"> </w:t>
      </w:r>
      <w:r>
        <w:fldChar w:fldCharType="end"/>
      </w:r>
      <w:bookmarkEnd w:id="1"/>
      <w:r>
        <w:rPr>
          <w:rFonts w:hint="eastAsia"/>
        </w:rPr>
        <w:t>XXXX</w:t>
      </w:r>
      <w:r>
        <w:rPr>
          <w:rFonts w:hAnsi="黑体"/>
        </w:rPr>
        <w:t>—</w:t>
      </w:r>
      <w:r>
        <w:rPr>
          <w:rFonts w:hint="eastAsia" w:hAnsi="黑体"/>
          <w:lang w:val="en-US" w:eastAsia="zh-CN"/>
        </w:rPr>
        <w:t>20</w:t>
      </w:r>
      <w:r>
        <w:rPr>
          <w:rFonts w:hint="eastAsia" w:hAnsi="黑体"/>
          <w:color w:val="auto"/>
          <w:lang w:val="en-US" w:eastAsia="zh-CN"/>
        </w:rPr>
        <w:t>24</w:t>
      </w:r>
    </w:p>
    <w:p w14:paraId="2A20BA3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899160</wp:posOffset>
                </wp:positionH>
                <wp:positionV relativeFrom="page">
                  <wp:posOffset>2560320</wp:posOffset>
                </wp:positionV>
                <wp:extent cx="5763895"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flipV="1">
                          <a:off x="0" y="0"/>
                          <a:ext cx="576407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0.8pt;margin-top:201.6pt;height:0pt;width:453.85pt;mso-position-horizontal-relative:page;mso-position-vertical-relative:page;z-index:251661312;mso-width-relative:page;mso-height-relative:page;" filled="f" stroked="t" coordsize="21600,21600" o:allowoverlap="f" o:gfxdata="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qOU/1wAAAAwBAAAPAAAAAAAAAAEAIAAAACIAAABkcnMvZG93bnJldi54bWxQSwECFAAUAAAACACH&#10;TuJALW9yCewBAAC2AwAADgAAAAAAAAABACAAAAAmAQAAZHJzL2Uyb0RvYy54bWxQSwUGAAAAAAYA&#10;BgBZAQAAhAUAAAAA&#10;">
                <v:fill on="f" focussize="0,0"/>
                <v:stroke color="#000000" joinstyle="round"/>
                <v:imagedata o:title=""/>
                <o:lock v:ext="edit" aspectratio="f"/>
              </v:line>
            </w:pict>
          </mc:Fallback>
        </mc:AlternateContent>
      </w:r>
    </w:p>
    <w:p w14:paraId="26FEF1A5">
      <w:pPr>
        <w:pStyle w:val="52"/>
        <w:framePr w:w="9639" w:h="6976" w:hRule="exact" w:hSpace="0" w:vSpace="0" w:wrap="around" w:hAnchor="page" w:y="6408"/>
        <w:jc w:val="center"/>
        <w:rPr>
          <w:rFonts w:ascii="黑体" w:hAnsi="黑体" w:eastAsia="黑体"/>
          <w:b w:val="0"/>
          <w:bCs w:val="0"/>
          <w:w w:val="100"/>
        </w:rPr>
      </w:pPr>
    </w:p>
    <w:p w14:paraId="64150DA4">
      <w:pPr>
        <w:pStyle w:val="199"/>
        <w:framePr w:h="6974" w:hRule="exact" w:wrap="around" w:x="1419" w:anchorLock="1"/>
        <w:rPr>
          <w:rFonts w:hint="default" w:eastAsia="黑体"/>
          <w:lang w:val="en-US" w:eastAsia="zh-CN"/>
        </w:rPr>
      </w:pPr>
      <w:r>
        <w:rPr>
          <w:rFonts w:hint="eastAsia"/>
          <w:lang w:val="en-US" w:eastAsia="zh-CN"/>
        </w:rPr>
        <w:t>网络支付服务数据安全规范</w:t>
      </w:r>
    </w:p>
    <w:p w14:paraId="563A7E5C">
      <w:pPr>
        <w:framePr w:w="9639" w:h="6974" w:hRule="exact" w:wrap="around" w:vAnchor="page" w:hAnchor="page" w:x="1419" w:y="6408" w:anchorLock="1"/>
        <w:ind w:left="-1418"/>
      </w:pPr>
    </w:p>
    <w:p w14:paraId="74E4E4B2">
      <w:pPr>
        <w:pStyle w:val="127"/>
        <w:framePr w:w="9639" w:h="6974" w:hRule="exact" w:wrap="around" w:vAnchor="page" w:hAnchor="page" w:x="1419" w:y="6408" w:anchorLock="1"/>
        <w:textAlignment w:val="bottom"/>
        <w:rPr>
          <w:rFonts w:eastAsia="黑体"/>
          <w:szCs w:val="28"/>
        </w:rPr>
      </w:pPr>
      <w:r>
        <w:rPr>
          <w:rFonts w:hint="eastAsia" w:ascii="黑体" w:hAnsi="黑体" w:eastAsia="黑体" w:cs="黑体"/>
          <w:sz w:val="28"/>
          <w:szCs w:val="28"/>
        </w:rPr>
        <w:t xml:space="preserve">Data Security Specification for </w:t>
      </w:r>
      <w:r>
        <w:rPr>
          <w:rFonts w:hint="eastAsia" w:ascii="黑体" w:hAnsi="黑体" w:eastAsia="黑体" w:cs="黑体"/>
          <w:sz w:val="28"/>
          <w:szCs w:val="28"/>
          <w:lang w:val="en-US" w:eastAsia="zh-CN"/>
        </w:rPr>
        <w:t>Internet</w:t>
      </w:r>
      <w:r>
        <w:rPr>
          <w:rFonts w:hint="eastAsia" w:ascii="黑体" w:hAnsi="黑体" w:eastAsia="黑体" w:cs="黑体"/>
          <w:sz w:val="28"/>
          <w:szCs w:val="28"/>
        </w:rPr>
        <w:t xml:space="preserve"> Payment Services</w:t>
      </w:r>
    </w:p>
    <w:p w14:paraId="44EF7F95">
      <w:pPr>
        <w:pStyle w:val="127"/>
        <w:framePr w:w="9639" w:h="6974" w:hRule="exact" w:wrap="around" w:vAnchor="page" w:hAnchor="page" w:x="1419" w:y="6408" w:anchorLock="1"/>
        <w:spacing w:before="440" w:after="160"/>
        <w:textAlignment w:val="bottom"/>
        <w:rPr>
          <w:sz w:val="24"/>
          <w:szCs w:val="28"/>
        </w:rPr>
      </w:pPr>
      <w:bookmarkStart w:id="2"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2"/>
    </w:p>
    <w:p w14:paraId="5D507C34">
      <w:pPr>
        <w:pStyle w:val="127"/>
        <w:framePr w:w="9639" w:h="6974" w:hRule="exact" w:wrap="around" w:vAnchor="page" w:hAnchor="page" w:x="1419" w:y="6408" w:anchorLock="1"/>
        <w:spacing w:before="180" w:line="240" w:lineRule="atLeast"/>
        <w:textAlignment w:val="bottom"/>
        <w:rPr>
          <w:sz w:val="21"/>
          <w:szCs w:val="28"/>
        </w:rPr>
      </w:pPr>
      <w:bookmarkStart w:id="3" w:name="CMPLSH_DATE"/>
      <w:r>
        <w:rPr>
          <w:rFonts w:ascii="Times New Roman" w:hAnsi="Times New Roman" w:eastAsia="宋体" w:cs="Times New Roman"/>
          <w:sz w:val="21"/>
          <w:szCs w:val="28"/>
          <w:lang w:val="en-US" w:eastAsia="zh-CN" w:bidi="ar-SA"/>
        </w:rPr>
        <w:fldChar w:fldCharType="begin">
          <w:ffData>
            <w:name w:val="CMPLSH_DATE"/>
            <w:enabled/>
            <w:calcOnExit w:val="0"/>
            <w:textInput>
              <w:default w:val="（征求意见稿）"/>
            </w:textInput>
          </w:ffData>
        </w:fldChar>
      </w:r>
      <w:r>
        <w:rPr>
          <w:rFonts w:ascii="Times New Roman" w:hAnsi="Times New Roman" w:eastAsia="宋体" w:cs="Times New Roman"/>
          <w:sz w:val="21"/>
          <w:szCs w:val="28"/>
          <w:lang w:val="en-US" w:eastAsia="zh-CN" w:bidi="ar-SA"/>
        </w:rPr>
        <w:instrText xml:space="preserve">FORMTEXT</w:instrText>
      </w:r>
      <w:r>
        <w:rPr>
          <w:rFonts w:ascii="Times New Roman" w:hAnsi="Times New Roman" w:eastAsia="宋体" w:cs="Times New Roman"/>
          <w:sz w:val="21"/>
          <w:szCs w:val="28"/>
          <w:lang w:val="en-US" w:eastAsia="zh-CN" w:bidi="ar-SA"/>
        </w:rPr>
        <w:fldChar w:fldCharType="separate"/>
      </w:r>
      <w:r>
        <w:rPr>
          <w:rFonts w:ascii="Times New Roman" w:hAnsi="Times New Roman" w:eastAsia="宋体" w:cs="Times New Roman"/>
          <w:sz w:val="21"/>
          <w:szCs w:val="28"/>
          <w:lang w:val="en-US" w:eastAsia="zh-CN" w:bidi="ar-SA"/>
        </w:rPr>
        <w:t>（征求意见稿）</w:t>
      </w:r>
      <w:r>
        <w:rPr>
          <w:rFonts w:ascii="Times New Roman" w:hAnsi="Times New Roman" w:eastAsia="宋体" w:cs="Times New Roman"/>
          <w:sz w:val="21"/>
          <w:szCs w:val="28"/>
          <w:lang w:val="en-US" w:eastAsia="zh-CN" w:bidi="ar-SA"/>
        </w:rPr>
        <w:fldChar w:fldCharType="end"/>
      </w:r>
      <w:bookmarkEnd w:id="3"/>
    </w:p>
    <w:p w14:paraId="6A7E5483">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4" w:name="下拉2"/>
      <w:r>
        <w:rPr>
          <w:b/>
          <w:sz w:val="21"/>
          <w:szCs w:val="28"/>
        </w:rPr>
        <w:instrText xml:space="preserve"> FORMDROPDOWN </w:instrText>
      </w:r>
      <w:r>
        <w:rPr>
          <w:b/>
          <w:sz w:val="21"/>
          <w:szCs w:val="28"/>
        </w:rPr>
        <w:fldChar w:fldCharType="separate"/>
      </w:r>
      <w:r>
        <w:rPr>
          <w:b/>
          <w:sz w:val="21"/>
          <w:szCs w:val="28"/>
        </w:rPr>
        <w:fldChar w:fldCharType="end"/>
      </w:r>
      <w:bookmarkEnd w:id="4"/>
    </w:p>
    <w:p w14:paraId="351911D0">
      <w:pPr>
        <w:pStyle w:val="195"/>
        <w:framePr w:w="3849" w:wrap="around" w:x="1487" w:y="14176"/>
      </w:pPr>
      <w:r>
        <w:rPr>
          <w:rFonts w:hint="eastAsia" w:ascii="黑体"/>
        </w:rPr>
        <w:t>202</w:t>
      </w:r>
      <w:r>
        <w:rPr>
          <w:rFonts w:hint="eastAsia" w:ascii="黑体"/>
          <w:lang w:val="en-US" w:eastAsia="zh-CN"/>
        </w:rPr>
        <w:t>4</w:t>
      </w:r>
      <w:r>
        <w:rPr>
          <w:rFonts w:ascii="黑体"/>
        </w:rPr>
        <w:t>-</w:t>
      </w:r>
      <w:r>
        <w:rPr>
          <w:rFonts w:hint="eastAsia" w:ascii="黑体"/>
        </w:rPr>
        <w:t>xx</w:t>
      </w:r>
      <w:r>
        <w:rPr>
          <w:rFonts w:ascii="黑体"/>
        </w:rPr>
        <w:t>-</w:t>
      </w:r>
      <w:r>
        <w:rPr>
          <w:rFonts w:hint="eastAsia" w:ascii="黑体"/>
        </w:rPr>
        <w:t>xx</w:t>
      </w:r>
      <w:r>
        <w:rPr>
          <w:rFonts w:hint="eastAsia"/>
        </w:rPr>
        <w:t>发布</w:t>
      </w:r>
    </w:p>
    <w:p w14:paraId="7D6A68D3">
      <w:pPr>
        <w:pStyle w:val="196"/>
        <w:framePr w:w="3411" w:wrap="around" w:y="14176"/>
      </w:pPr>
      <w:r>
        <w:rPr>
          <w:rFonts w:hint="eastAsia" w:ascii="黑体"/>
        </w:rPr>
        <w:t>202</w:t>
      </w:r>
      <w:r>
        <w:rPr>
          <w:rFonts w:hint="eastAsia" w:ascii="黑体"/>
          <w:lang w:val="en-US" w:eastAsia="zh-CN"/>
        </w:rPr>
        <w:t>4</w:t>
      </w:r>
      <w:r>
        <w:rPr>
          <w:rFonts w:ascii="黑体"/>
        </w:rPr>
        <w:t>-</w:t>
      </w:r>
      <w:r>
        <w:rPr>
          <w:rFonts w:hint="eastAsia" w:ascii="黑体"/>
        </w:rPr>
        <w:t>xx</w:t>
      </w:r>
      <w:r>
        <w:rPr>
          <w:rFonts w:ascii="黑体"/>
        </w:rPr>
        <w:t>-</w:t>
      </w:r>
      <w:r>
        <w:rPr>
          <w:rFonts w:hint="eastAsia" w:ascii="黑体"/>
        </w:rPr>
        <w:t>xx</w:t>
      </w:r>
      <w:r>
        <w:rPr>
          <w:rFonts w:hint="eastAsia"/>
        </w:rPr>
        <w:t>实施</w:t>
      </w:r>
    </w:p>
    <w:p w14:paraId="1D4C2D52">
      <w:pPr>
        <w:pStyle w:val="153"/>
        <w:framePr w:h="584" w:hRule="exact" w:hSpace="181" w:vSpace="181" w:wrap="around" w:vAnchor="page" w:hAnchor="page" w:x="2415" w:y="14986"/>
        <w:rPr>
          <w:rFonts w:hAnsi="黑体"/>
        </w:rPr>
      </w:pPr>
      <w:r>
        <w:rPr>
          <w:rFonts w:hAnsi="黑体"/>
          <w:w w:val="100"/>
          <w:sz w:val="28"/>
        </w:rPr>
        <w:fldChar w:fldCharType="begin">
          <w:ffData>
            <w:name w:val="fm"/>
            <w:enabled/>
            <w:calcOnExit w:val="0"/>
            <w:textInput/>
          </w:ffData>
        </w:fldChar>
      </w:r>
      <w:bookmarkStart w:id="5"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5"/>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22696ECA">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418"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4384" behindDoc="0" locked="1" layoutInCell="1" allowOverlap="1">
                <wp:simplePos x="0" y="0"/>
                <wp:positionH relativeFrom="page">
                  <wp:posOffset>943610</wp:posOffset>
                </wp:positionH>
                <wp:positionV relativeFrom="page">
                  <wp:posOffset>9246235</wp:posOffset>
                </wp:positionV>
                <wp:extent cx="57188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3pt;margin-top:728.05pt;height:0pt;width:450.3pt;mso-position-horizontal-relative:page;mso-position-vertical-relative:page;z-index:251664384;mso-width-relative:page;mso-height-relative:page;" filled="f" stroked="t" coordsize="21600,21600" o:gfxdata="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R40HYAAAA&#10;DgEAAA8AAAAAAAAAAQAgAAAAIgAAAGRycy9kb3ducmV2LnhtbFBLAQIUABQAAAAIAIdO4kCROOOX&#10;5AEAAKoDAAAOAAAAAAAAAAEAIAAAACcBAABkcnMvZTJvRG9jLnhtbFBLBQYAAAAABgAGAFkBAAB9&#10;BQAAAAA=&#10;">
                <v:fill on="f" focussize="0,0"/>
                <v:stroke color="#000000" joinstyle="round"/>
                <v:imagedata o:title=""/>
                <o:lock v:ext="edit" aspectratio="f"/>
                <w10:anchorlock/>
              </v:line>
            </w:pict>
          </mc:Fallback>
        </mc:AlternateContent>
      </w:r>
    </w:p>
    <w:p w14:paraId="4E4BB343">
      <w:pPr>
        <w:pStyle w:val="93"/>
        <w:shd w:val="clear"/>
        <w:spacing w:after="360"/>
        <w:rPr>
          <w:highlight w:val="none"/>
        </w:rPr>
      </w:pPr>
      <w:bookmarkStart w:id="6" w:name="BookMark1"/>
      <w:bookmarkStart w:id="7" w:name="_Toc103708420"/>
      <w:bookmarkStart w:id="8" w:name="_Toc111995097"/>
      <w:bookmarkStart w:id="9" w:name="_Toc99350761"/>
      <w:bookmarkStart w:id="10" w:name="_Toc104214126"/>
      <w:bookmarkStart w:id="11" w:name="_Toc115259516"/>
      <w:bookmarkStart w:id="12" w:name="_Toc104273484"/>
      <w:bookmarkStart w:id="13" w:name="_Toc71201056"/>
      <w:r>
        <w:rPr>
          <w:rFonts w:hint="eastAsia"/>
          <w:spacing w:val="320"/>
          <w:highlight w:val="none"/>
        </w:rPr>
        <w:t>目</w:t>
      </w:r>
      <w:r>
        <w:rPr>
          <w:rFonts w:hint="eastAsia"/>
          <w:highlight w:val="none"/>
        </w:rPr>
        <w:t>次</w:t>
      </w:r>
    </w:p>
    <w:p w14:paraId="09354746">
      <w:pPr>
        <w:pStyle w:val="20"/>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_Toc10283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前</w:t>
      </w:r>
      <w:r>
        <w:rPr>
          <w:rFonts w:hint="eastAsia" w:ascii="宋体" w:hAnsi="宋体" w:eastAsia="宋体" w:cs="宋体"/>
          <w:sz w:val="21"/>
          <w:szCs w:val="21"/>
        </w:rPr>
        <w:t>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_Toc10283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4BBA69D">
      <w:pPr>
        <w:pStyle w:val="20"/>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_Toc27857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_Toc27857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BFC7889">
      <w:pPr>
        <w:pStyle w:val="20"/>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5CFE35D">
      <w:pPr>
        <w:pStyle w:val="20"/>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_Toc28508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3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_Toc28508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6DBDD8E">
      <w:pPr>
        <w:pStyle w:val="20"/>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4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lang w:val="en-US" w:eastAsia="zh-CN"/>
        </w:rPr>
        <w:t>概述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_Toc298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B14F837">
      <w:pPr>
        <w:pStyle w:val="20"/>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_Toc23632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lang w:val="en-US" w:eastAsia="zh-CN"/>
        </w:rPr>
        <w:t>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_Toc23632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6ABCBEB">
      <w:pPr>
        <w:pStyle w:val="20"/>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_Toc18786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lang w:val="en-US" w:eastAsia="zh-CN"/>
        </w:rPr>
        <w:t>数据安全服务内容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_Toc18786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FD7025D">
      <w:pPr>
        <w:pStyle w:val="20"/>
        <w:keepNext w:val="0"/>
        <w:keepLines w:val="0"/>
        <w:pageBreakBefore w:val="0"/>
        <w:widowControl w:val="0"/>
        <w:tabs>
          <w:tab w:val="right" w:leader="dot" w:pos="9070"/>
        </w:tabs>
        <w:kinsoku/>
        <w:wordWrap/>
        <w:overflowPunct/>
        <w:topLinePunct w:val="0"/>
        <w:autoSpaceDE/>
        <w:autoSpaceDN/>
        <w:bidi w:val="0"/>
        <w:adjustRightInd w:val="0"/>
        <w:snapToGrid/>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_Toc13836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参考文献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_Toc13836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216FA06">
      <w:pPr>
        <w:pStyle w:val="93"/>
        <w:keepNext w:val="0"/>
        <w:keepLines w:val="0"/>
        <w:pageBreakBefore w:val="0"/>
        <w:widowControl w:val="0"/>
        <w:kinsoku/>
        <w:wordWrap/>
        <w:overflowPunct/>
        <w:topLinePunct w:val="0"/>
        <w:autoSpaceDE/>
        <w:autoSpaceDN/>
        <w:bidi w:val="0"/>
        <w:adjustRightInd w:val="0"/>
        <w:snapToGrid/>
        <w:spacing w:afterLines="0" w:line="400" w:lineRule="exact"/>
        <w:textAlignment w:val="auto"/>
        <w:sectPr>
          <w:headerReference r:id="rId11" w:type="first"/>
          <w:footerReference r:id="rId14" w:type="first"/>
          <w:headerReference r:id="rId9" w:type="default"/>
          <w:footerReference r:id="rId12" w:type="default"/>
          <w:headerReference r:id="rId10" w:type="even"/>
          <w:footerReference r:id="rId13" w:type="even"/>
          <w:pgSz w:w="11906" w:h="16838"/>
          <w:pgMar w:top="1985" w:right="1134" w:bottom="1134" w:left="1418" w:header="1418" w:footer="1134" w:gutter="284"/>
          <w:pgNumType w:fmt="upperRoman" w:start="1"/>
          <w:cols w:space="425" w:num="1"/>
          <w:formProt w:val="0"/>
          <w:titlePg/>
          <w:docGrid w:linePitch="312" w:charSpace="0"/>
        </w:sectPr>
      </w:pPr>
      <w:r>
        <w:rPr>
          <w:rFonts w:hint="eastAsia" w:ascii="宋体" w:hAnsi="宋体" w:eastAsia="宋体" w:cs="宋体"/>
          <w:sz w:val="21"/>
          <w:szCs w:val="21"/>
        </w:rPr>
        <w:fldChar w:fldCharType="end"/>
      </w:r>
      <w:bookmarkStart w:id="95" w:name="_GoBack"/>
      <w:bookmarkEnd w:id="95"/>
    </w:p>
    <w:bookmarkEnd w:id="6"/>
    <w:p w14:paraId="6B2E32F7">
      <w:pPr>
        <w:pStyle w:val="91"/>
        <w:spacing w:after="360"/>
      </w:pPr>
      <w:bookmarkStart w:id="14" w:name="_Toc20959"/>
      <w:bookmarkStart w:id="15" w:name="_Toc26192"/>
      <w:bookmarkStart w:id="16" w:name="_Toc30554"/>
      <w:bookmarkStart w:id="17" w:name="_Toc10283"/>
      <w:bookmarkStart w:id="18" w:name="BookMark2"/>
      <w:r>
        <w:rPr>
          <w:spacing w:val="320"/>
        </w:rPr>
        <w:t>前</w:t>
      </w:r>
      <w:r>
        <w:t>言</w:t>
      </w:r>
      <w:bookmarkEnd w:id="7"/>
      <w:bookmarkEnd w:id="8"/>
      <w:bookmarkEnd w:id="9"/>
      <w:bookmarkEnd w:id="10"/>
      <w:bookmarkEnd w:id="11"/>
      <w:bookmarkEnd w:id="12"/>
      <w:bookmarkEnd w:id="13"/>
      <w:bookmarkEnd w:id="14"/>
      <w:bookmarkEnd w:id="15"/>
      <w:bookmarkEnd w:id="16"/>
      <w:bookmarkEnd w:id="17"/>
    </w:p>
    <w:p w14:paraId="1DA83B59">
      <w:pPr>
        <w:pStyle w:val="58"/>
        <w:ind w:firstLine="420"/>
      </w:pPr>
      <w:r>
        <w:rPr>
          <w:rFonts w:hint="eastAsia"/>
        </w:rPr>
        <w:t>本文件按照GB/T 1.1—2020《标准化工作导则  第1部分：标准化文件的结构和起草规则》的规定起草。</w:t>
      </w:r>
    </w:p>
    <w:p w14:paraId="20C4E736">
      <w:pPr>
        <w:widowControl/>
        <w:spacing w:line="240" w:lineRule="auto"/>
        <w:ind w:firstLine="420" w:firstLineChars="200"/>
        <w:jc w:val="left"/>
      </w:pPr>
      <w:r>
        <w:rPr>
          <w:rFonts w:hint="eastAsia" w:ascii="宋体" w:hAnsi="宋体" w:cs="宋体"/>
          <w:color w:val="000000"/>
          <w:kern w:val="0"/>
          <w:lang w:bidi="ar"/>
        </w:rPr>
        <w:t>请注意本文件的某些内容可能涉及专利。本文件的发布机构不承担识别专利的责任。</w:t>
      </w:r>
    </w:p>
    <w:p w14:paraId="1C4A0F85">
      <w:pPr>
        <w:pStyle w:val="58"/>
        <w:ind w:firstLine="420"/>
        <w:rPr>
          <w:rFonts w:hint="eastAsia" w:eastAsia="宋体"/>
          <w:lang w:eastAsia="zh-CN"/>
        </w:rPr>
      </w:pPr>
      <w:r>
        <w:rPr>
          <w:rFonts w:hint="eastAsia"/>
        </w:rPr>
        <w:t>本文</w:t>
      </w:r>
      <w:r>
        <w:rPr>
          <w:rFonts w:hint="eastAsia" w:ascii="宋体" w:hAnsi="宋体" w:eastAsia="宋体" w:cs="宋体"/>
          <w:color w:val="000000"/>
          <w:kern w:val="0"/>
          <w:sz w:val="21"/>
          <w:szCs w:val="21"/>
          <w:lang w:val="en-US" w:eastAsia="zh-CN" w:bidi="ar"/>
        </w:rPr>
        <w:t>件起草单位：</w:t>
      </w:r>
      <w:r>
        <w:rPr>
          <w:rFonts w:hint="eastAsia" w:hAnsi="宋体" w:cs="宋体"/>
          <w:color w:val="000000"/>
          <w:kern w:val="0"/>
          <w:sz w:val="21"/>
          <w:szCs w:val="21"/>
          <w:lang w:val="en-US" w:eastAsia="zh-CN" w:bidi="ar"/>
        </w:rPr>
        <w:t>杭州乒乓智能技术有限公司。</w:t>
      </w:r>
    </w:p>
    <w:p w14:paraId="7E8A54EA">
      <w:pPr>
        <w:pStyle w:val="58"/>
        <w:ind w:firstLine="420"/>
      </w:pPr>
      <w:r>
        <w:rPr>
          <w:rFonts w:hint="eastAsia"/>
        </w:rPr>
        <w:t>本文件主要起草人：</w:t>
      </w:r>
      <w:r>
        <w:rPr>
          <w:rFonts w:hint="eastAsia"/>
          <w:lang w:val="en-US" w:eastAsia="zh-CN"/>
        </w:rPr>
        <w:t>XXX</w:t>
      </w:r>
      <w:r>
        <w:rPr>
          <w:rFonts w:hint="eastAsia"/>
        </w:rPr>
        <w:t>。</w:t>
      </w:r>
    </w:p>
    <w:p w14:paraId="2AE12468">
      <w:pPr>
        <w:pStyle w:val="58"/>
        <w:ind w:firstLine="420"/>
      </w:pPr>
    </w:p>
    <w:p w14:paraId="3D2C0C2D">
      <w:pPr>
        <w:pStyle w:val="58"/>
        <w:ind w:firstLine="420"/>
        <w:sectPr>
          <w:pgSz w:w="11906" w:h="16838"/>
          <w:pgMar w:top="1985" w:right="1134" w:bottom="1134" w:left="1418" w:header="1418" w:footer="1134" w:gutter="284"/>
          <w:pgNumType w:fmt="upperRoman"/>
          <w:cols w:space="425" w:num="1"/>
          <w:formProt w:val="0"/>
          <w:docGrid w:linePitch="312" w:charSpace="0"/>
        </w:sectPr>
      </w:pPr>
    </w:p>
    <w:bookmarkEnd w:id="18"/>
    <w:p w14:paraId="6298BC4C">
      <w:pPr>
        <w:spacing w:line="20" w:lineRule="exact"/>
        <w:jc w:val="center"/>
        <w:rPr>
          <w:rFonts w:ascii="黑体" w:hAnsi="黑体" w:eastAsia="黑体"/>
          <w:sz w:val="32"/>
          <w:szCs w:val="32"/>
        </w:rPr>
      </w:pPr>
      <w:bookmarkStart w:id="19" w:name="BookMark4"/>
    </w:p>
    <w:p w14:paraId="248112EE">
      <w:pPr>
        <w:spacing w:line="20" w:lineRule="exact"/>
        <w:jc w:val="center"/>
        <w:rPr>
          <w:rFonts w:ascii="黑体" w:hAnsi="黑体" w:eastAsia="黑体"/>
          <w:sz w:val="32"/>
          <w:szCs w:val="32"/>
        </w:rPr>
      </w:pPr>
    </w:p>
    <w:sdt>
      <w:sdtPr>
        <w:tag w:val="NEW_STAND_NAME"/>
        <w:id w:val="595910757"/>
        <w:lock w:val="sdtLocked"/>
        <w:placeholder>
          <w:docPart w:val="7F78032B88594E32A3B39E62F7A4F8CD"/>
        </w:placeholder>
      </w:sdtPr>
      <w:sdtEndPr>
        <w:rPr>
          <w:color w:val="FF0000"/>
        </w:rPr>
      </w:sdtEndPr>
      <w:sdtContent>
        <w:p w14:paraId="63BF132E">
          <w:pPr>
            <w:pStyle w:val="179"/>
            <w:spacing w:before="240" w:beforeLines="100" w:after="528" w:afterLines="220"/>
          </w:pPr>
          <w:bookmarkStart w:id="20" w:name="NEW_STAND_NAME"/>
          <w:r>
            <w:rPr>
              <w:rFonts w:hint="eastAsia"/>
              <w:lang w:val="en-US" w:eastAsia="zh-CN"/>
            </w:rPr>
            <w:t>网络支付服务数据安全规范</w:t>
          </w:r>
        </w:p>
      </w:sdtContent>
    </w:sdt>
    <w:bookmarkEnd w:id="19"/>
    <w:bookmarkEnd w:id="20"/>
    <w:p w14:paraId="27F0FF5E">
      <w:pPr>
        <w:pStyle w:val="106"/>
        <w:spacing w:before="240" w:after="240"/>
      </w:pPr>
      <w:bookmarkStart w:id="21" w:name="_Toc71201057"/>
      <w:bookmarkStart w:id="22" w:name="_Toc17233333"/>
      <w:bookmarkStart w:id="23" w:name="_Toc24884218"/>
      <w:bookmarkStart w:id="24" w:name="_Toc103708421"/>
      <w:bookmarkStart w:id="25" w:name="_Toc21228"/>
      <w:bookmarkStart w:id="26" w:name="_Toc99350762"/>
      <w:bookmarkStart w:id="27" w:name="_Toc104273485"/>
      <w:bookmarkStart w:id="28" w:name="_Toc17233325"/>
      <w:bookmarkStart w:id="29" w:name="_Toc4872"/>
      <w:bookmarkStart w:id="30" w:name="_Toc26986771"/>
      <w:bookmarkStart w:id="31" w:name="_Toc24884211"/>
      <w:bookmarkStart w:id="32" w:name="_Toc115259517"/>
      <w:bookmarkStart w:id="33" w:name="_Toc26648465"/>
      <w:bookmarkStart w:id="34" w:name="_Toc111995098"/>
      <w:bookmarkStart w:id="35" w:name="_Toc104214127"/>
      <w:bookmarkStart w:id="36" w:name="_Toc26986530"/>
      <w:bookmarkStart w:id="37" w:name="_Toc14346"/>
      <w:bookmarkStart w:id="38" w:name="_Toc26718930"/>
      <w:bookmarkStart w:id="39" w:name="_Toc27857"/>
      <w:bookmarkStart w:id="40" w:name="BookMark8"/>
      <w:r>
        <w:rPr>
          <w:rFonts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8D69A8A">
      <w:pPr>
        <w:pStyle w:val="58"/>
        <w:ind w:firstLine="420"/>
        <w:rPr>
          <w:color w:val="auto"/>
          <w:highlight w:val="none"/>
        </w:rPr>
      </w:pPr>
      <w:bookmarkStart w:id="41" w:name="_Toc17233334"/>
      <w:bookmarkStart w:id="42" w:name="_Toc24884212"/>
      <w:bookmarkStart w:id="43" w:name="_Toc17233326"/>
      <w:bookmarkStart w:id="44" w:name="_Toc24884219"/>
      <w:bookmarkStart w:id="45" w:name="_Toc26648466"/>
      <w:r>
        <w:rPr>
          <w:rFonts w:hint="eastAsia"/>
          <w:highlight w:val="none"/>
        </w:rPr>
        <w:t>本文件规定了</w:t>
      </w:r>
      <w:r>
        <w:rPr>
          <w:rFonts w:hint="eastAsia"/>
          <w:color w:val="auto"/>
          <w:highlight w:val="none"/>
          <w:lang w:val="en-US" w:eastAsia="zh-CN"/>
        </w:rPr>
        <w:t>网络支付服务数据安全的概述、基本要求、服务内容</w:t>
      </w:r>
      <w:r>
        <w:rPr>
          <w:rFonts w:hint="eastAsia"/>
          <w:color w:val="auto"/>
          <w:highlight w:val="none"/>
        </w:rPr>
        <w:t>等</w:t>
      </w:r>
      <w:r>
        <w:rPr>
          <w:rFonts w:hint="eastAsia"/>
          <w:color w:val="auto"/>
          <w:highlight w:val="none"/>
          <w:lang w:val="en-US" w:eastAsia="zh-CN"/>
        </w:rPr>
        <w:t>内容</w:t>
      </w:r>
      <w:r>
        <w:rPr>
          <w:rFonts w:hint="eastAsia"/>
          <w:color w:val="auto"/>
          <w:highlight w:val="none"/>
        </w:rPr>
        <w:t>。</w:t>
      </w:r>
    </w:p>
    <w:p w14:paraId="2DF20552">
      <w:pPr>
        <w:pStyle w:val="58"/>
        <w:ind w:firstLine="420"/>
        <w:rPr>
          <w:color w:val="auto"/>
        </w:rPr>
      </w:pPr>
      <w:r>
        <w:rPr>
          <w:rFonts w:hint="eastAsia"/>
          <w:color w:val="auto"/>
        </w:rPr>
        <w:t>本文件适用于</w:t>
      </w:r>
      <w:r>
        <w:rPr>
          <w:rFonts w:hint="eastAsia"/>
          <w:color w:val="auto"/>
          <w:lang w:val="en-US" w:eastAsia="zh-CN"/>
        </w:rPr>
        <w:t>网络支付服务数据的安全管理</w:t>
      </w:r>
      <w:r>
        <w:rPr>
          <w:rFonts w:hint="eastAsia"/>
          <w:color w:val="auto"/>
        </w:rPr>
        <w:t>。</w:t>
      </w:r>
    </w:p>
    <w:p w14:paraId="5199A779">
      <w:pPr>
        <w:pStyle w:val="106"/>
        <w:spacing w:before="240" w:after="240"/>
      </w:pPr>
      <w:bookmarkStart w:id="46" w:name="_Toc99350763"/>
      <w:bookmarkStart w:id="47" w:name="_Toc26718931"/>
      <w:bookmarkStart w:id="48" w:name="_Toc103708422"/>
      <w:bookmarkStart w:id="49" w:name="_Toc30452"/>
      <w:bookmarkStart w:id="50" w:name="_Toc26986531"/>
      <w:bookmarkStart w:id="51" w:name="_Toc104214128"/>
      <w:bookmarkStart w:id="52" w:name="_Toc115259518"/>
      <w:bookmarkStart w:id="53" w:name="_Toc104273486"/>
      <w:bookmarkStart w:id="54" w:name="_Toc71201058"/>
      <w:bookmarkStart w:id="55" w:name="_Toc30936"/>
      <w:bookmarkStart w:id="56" w:name="_Toc30410"/>
      <w:bookmarkStart w:id="57" w:name="_Toc111995099"/>
      <w:bookmarkStart w:id="58" w:name="_Toc26986772"/>
      <w:bookmarkStart w:id="59" w:name="_Toc8"/>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90d10fd0-b6fe-4b3e-9817-b8f5a5e0b69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0CFC717">
          <w:pPr>
            <w:pStyle w:val="58"/>
            <w:ind w:firstLine="420"/>
            <w:rPr>
              <w:rFonts w:hint="eastAsia"/>
            </w:rPr>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16EC03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宋体" w:hAnsi="宋体" w:eastAsia="宋体" w:cs="宋体"/>
          <w:color w:val="000000"/>
          <w:kern w:val="0"/>
          <w:sz w:val="21"/>
          <w:szCs w:val="20"/>
          <w:lang w:val="en-US" w:eastAsia="zh-CN" w:bidi="ar-SA"/>
        </w:rPr>
      </w:pPr>
      <w:bookmarkStart w:id="60" w:name="_Toc71201059"/>
      <w:bookmarkStart w:id="61" w:name="_Toc99350764"/>
      <w:r>
        <w:rPr>
          <w:rFonts w:hint="eastAsia" w:ascii="宋体" w:hAnsi="宋体" w:eastAsia="宋体" w:cs="宋体"/>
          <w:color w:val="auto"/>
          <w:lang w:val="en-US" w:eastAsia="zh-CN"/>
        </w:rPr>
        <w:t>GB/T 22239  信息安全技术  网络安全等级保护基本要求</w:t>
      </w:r>
    </w:p>
    <w:p w14:paraId="4D60131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GB/T 35273-2020</w:t>
      </w:r>
      <w:r>
        <w:rPr>
          <w:rFonts w:hint="eastAsia" w:ascii="宋体" w:hAnsi="Times New Roman" w:cs="Times New Roman"/>
          <w:color w:val="000000"/>
          <w:kern w:val="0"/>
          <w:sz w:val="21"/>
          <w:szCs w:val="20"/>
          <w:lang w:val="en-US" w:eastAsia="zh-CN" w:bidi="ar-SA"/>
        </w:rPr>
        <w:t xml:space="preserve">  信息安全技术  个人信息安全规范</w:t>
      </w:r>
    </w:p>
    <w:p w14:paraId="3ABF698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Times New Roman"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GB/T 37988</w:t>
      </w:r>
      <w:r>
        <w:rPr>
          <w:rFonts w:hint="eastAsia" w:ascii="宋体" w:hAnsi="Times New Roman" w:cs="Times New Roman"/>
          <w:color w:val="000000"/>
          <w:kern w:val="0"/>
          <w:sz w:val="21"/>
          <w:szCs w:val="20"/>
          <w:lang w:val="en-US" w:eastAsia="zh-CN" w:bidi="ar-SA"/>
        </w:rPr>
        <w:t xml:space="preserve">  信息安全技术  数据安全能力成熟度模型</w:t>
      </w:r>
    </w:p>
    <w:p w14:paraId="3A4DC52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GB/T 41391</w:t>
      </w:r>
      <w:r>
        <w:rPr>
          <w:rFonts w:hint="eastAsia" w:ascii="宋体" w:hAnsi="Times New Roman" w:cs="Times New Roman"/>
          <w:color w:val="000000"/>
          <w:kern w:val="0"/>
          <w:sz w:val="21"/>
          <w:szCs w:val="20"/>
          <w:lang w:val="en-US" w:eastAsia="zh-CN" w:bidi="ar-SA"/>
        </w:rPr>
        <w:t xml:space="preserve">  信息安全技术  移动互联网应用（App）收集个人信息基本规范</w:t>
      </w:r>
    </w:p>
    <w:p w14:paraId="6FDFAFA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GB/T 41460</w:t>
      </w:r>
      <w:r>
        <w:rPr>
          <w:rFonts w:hint="eastAsia" w:ascii="宋体" w:hAnsi="Times New Roman" w:cs="Times New Roman"/>
          <w:color w:val="000000"/>
          <w:kern w:val="0"/>
          <w:sz w:val="21"/>
          <w:szCs w:val="20"/>
          <w:lang w:val="en-US" w:eastAsia="zh-CN" w:bidi="ar-SA"/>
        </w:rPr>
        <w:t xml:space="preserve">  非银行支付机构支付业务设施技术要求</w:t>
      </w:r>
    </w:p>
    <w:p w14:paraId="5767B214">
      <w:pPr>
        <w:pStyle w:val="58"/>
        <w:keepNext w:val="0"/>
        <w:keepLines w:val="0"/>
        <w:pageBreakBefore w:val="0"/>
        <w:widowControl/>
        <w:kinsoku/>
        <w:wordWrap/>
        <w:overflowPunct/>
        <w:topLinePunct w:val="0"/>
        <w:autoSpaceDE w:val="0"/>
        <w:autoSpaceDN w:val="0"/>
        <w:bidi w:val="0"/>
        <w:adjustRightInd/>
        <w:snapToGrid/>
        <w:ind w:firstLine="420"/>
        <w:textAlignment w:val="auto"/>
        <w:rPr>
          <w:rFonts w:hint="eastAsia"/>
          <w:color w:val="auto"/>
          <w:lang w:val="en-US" w:eastAsia="zh-CN"/>
        </w:rPr>
      </w:pPr>
      <w:r>
        <w:rPr>
          <w:rFonts w:hint="eastAsia"/>
          <w:color w:val="auto"/>
          <w:lang w:val="en-US" w:eastAsia="zh-CN"/>
        </w:rPr>
        <w:t>GB/T 41479  信息安全技术  网络数据处理安全规范</w:t>
      </w:r>
    </w:p>
    <w:p w14:paraId="359380C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color w:val="auto"/>
          <w:lang w:val="en-US" w:eastAsia="zh-CN"/>
        </w:rPr>
      </w:pPr>
      <w:r>
        <w:rPr>
          <w:rFonts w:hint="eastAsia" w:ascii="宋体" w:hAnsi="Times New Roman" w:cs="Times New Roman"/>
          <w:color w:val="000000"/>
          <w:sz w:val="21"/>
          <w:lang w:val="en-US" w:eastAsia="zh-CN" w:bidi="ar-SA"/>
        </w:rPr>
        <w:t>GB</w:t>
      </w:r>
      <w:r>
        <w:rPr>
          <w:rFonts w:hint="eastAsia" w:ascii="宋体" w:hAnsi="Times New Roman" w:eastAsia="宋体" w:cs="Times New Roman"/>
          <w:color w:val="000000"/>
          <w:sz w:val="21"/>
          <w:lang w:val="en-US" w:eastAsia="zh-CN" w:bidi="ar-SA"/>
        </w:rPr>
        <w:t xml:space="preserve">/T </w:t>
      </w:r>
      <w:r>
        <w:rPr>
          <w:rFonts w:hint="eastAsia" w:ascii="宋体" w:hAnsi="Times New Roman" w:cs="Times New Roman"/>
          <w:color w:val="000000"/>
          <w:sz w:val="21"/>
          <w:lang w:val="en-US" w:eastAsia="zh-CN" w:bidi="ar-SA"/>
        </w:rPr>
        <w:t>42015  信息安全技术  网络支付服务数据安全要求</w:t>
      </w:r>
    </w:p>
    <w:p w14:paraId="5F48484F">
      <w:pPr>
        <w:pStyle w:val="58"/>
        <w:keepNext w:val="0"/>
        <w:keepLines w:val="0"/>
        <w:pageBreakBefore w:val="0"/>
        <w:widowControl/>
        <w:kinsoku/>
        <w:wordWrap/>
        <w:overflowPunct/>
        <w:topLinePunct w:val="0"/>
        <w:autoSpaceDE w:val="0"/>
        <w:autoSpaceDN w:val="0"/>
        <w:bidi w:val="0"/>
        <w:adjustRightInd/>
        <w:snapToGrid/>
        <w:ind w:firstLine="420"/>
        <w:textAlignment w:val="auto"/>
        <w:rPr>
          <w:rFonts w:hint="default"/>
          <w:color w:val="auto"/>
          <w:lang w:val="en-US" w:eastAsia="zh-CN"/>
        </w:rPr>
      </w:pPr>
      <w:r>
        <w:rPr>
          <w:rFonts w:hint="eastAsia"/>
          <w:color w:val="auto"/>
          <w:lang w:val="en-US" w:eastAsia="zh-CN"/>
        </w:rPr>
        <w:t>JR/T 0171  个人金融信息保护技术规范</w:t>
      </w:r>
    </w:p>
    <w:p w14:paraId="4FD5F546">
      <w:pPr>
        <w:pStyle w:val="106"/>
        <w:keepNext w:val="0"/>
        <w:keepLines w:val="0"/>
        <w:pageBreakBefore w:val="0"/>
        <w:widowControl/>
        <w:kinsoku/>
        <w:wordWrap/>
        <w:overflowPunct/>
        <w:topLinePunct w:val="0"/>
        <w:autoSpaceDE/>
        <w:autoSpaceDN/>
        <w:bidi w:val="0"/>
        <w:adjustRightInd/>
        <w:snapToGrid/>
        <w:spacing w:before="240" w:after="240"/>
        <w:textAlignment w:val="auto"/>
      </w:pPr>
      <w:bookmarkStart w:id="62" w:name="_Toc111995100"/>
      <w:bookmarkStart w:id="63" w:name="_Toc22481"/>
      <w:bookmarkStart w:id="64" w:name="_Toc115259519"/>
      <w:bookmarkStart w:id="65" w:name="_Toc104273487"/>
      <w:bookmarkStart w:id="66" w:name="_Toc103708423"/>
      <w:bookmarkStart w:id="67" w:name="_Toc30773"/>
      <w:bookmarkStart w:id="68" w:name="_Toc104214129"/>
      <w:bookmarkStart w:id="69" w:name="_Toc6765"/>
      <w:bookmarkStart w:id="70" w:name="_Toc28508"/>
      <w:r>
        <w:rPr>
          <w:rFonts w:hint="eastAsia"/>
          <w:szCs w:val="21"/>
        </w:rPr>
        <w:t>术语和定义</w:t>
      </w:r>
      <w:bookmarkEnd w:id="60"/>
      <w:bookmarkEnd w:id="61"/>
      <w:bookmarkEnd w:id="62"/>
      <w:bookmarkEnd w:id="63"/>
      <w:bookmarkEnd w:id="64"/>
      <w:bookmarkEnd w:id="65"/>
      <w:bookmarkEnd w:id="66"/>
      <w:bookmarkEnd w:id="67"/>
      <w:bookmarkEnd w:id="68"/>
      <w:bookmarkEnd w:id="69"/>
      <w:bookmarkEnd w:id="70"/>
    </w:p>
    <w:p w14:paraId="0BCF13D4">
      <w:pPr>
        <w:pStyle w:val="58"/>
        <w:ind w:firstLine="420"/>
        <w:rPr>
          <w:rFonts w:hint="eastAsia"/>
        </w:rPr>
      </w:pPr>
      <w:bookmarkStart w:id="71" w:name="_Toc26986532"/>
      <w:bookmarkEnd w:id="71"/>
      <w:r>
        <w:rPr>
          <w:rFonts w:hint="eastAsia" w:ascii="宋体" w:hAnsi="Times New Roman" w:cs="Times New Roman"/>
          <w:color w:val="000000"/>
          <w:sz w:val="21"/>
          <w:lang w:val="en-US" w:eastAsia="zh-CN" w:bidi="ar-SA"/>
        </w:rPr>
        <w:t>GB</w:t>
      </w:r>
      <w:r>
        <w:rPr>
          <w:rFonts w:hint="eastAsia" w:ascii="宋体" w:hAnsi="Times New Roman" w:eastAsia="宋体" w:cs="Times New Roman"/>
          <w:color w:val="000000"/>
          <w:sz w:val="21"/>
          <w:lang w:val="en-US" w:eastAsia="zh-CN" w:bidi="ar-SA"/>
        </w:rPr>
        <w:t xml:space="preserve">/T </w:t>
      </w:r>
      <w:r>
        <w:rPr>
          <w:rFonts w:hint="eastAsia" w:ascii="宋体" w:hAnsi="Times New Roman" w:cs="Times New Roman"/>
          <w:color w:val="000000"/>
          <w:sz w:val="21"/>
          <w:lang w:val="en-US" w:eastAsia="zh-CN" w:bidi="ar-SA"/>
        </w:rPr>
        <w:t>42015</w:t>
      </w:r>
      <w:r>
        <w:rPr>
          <w:rFonts w:hint="eastAsia" w:hAnsi="Times New Roman" w:cs="Times New Roman"/>
          <w:color w:val="000000"/>
          <w:sz w:val="21"/>
          <w:lang w:val="en-US" w:eastAsia="zh-CN" w:bidi="ar-SA"/>
        </w:rPr>
        <w:t>界定的以及</w:t>
      </w:r>
      <w:r>
        <w:rPr>
          <w:rFonts w:hint="eastAsia"/>
        </w:rPr>
        <w:t>下列术语和定义适用于本文件。</w:t>
      </w:r>
    </w:p>
    <w:p w14:paraId="366A2B76">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网络支付服务</w:t>
      </w:r>
      <w:r>
        <w:rPr>
          <w:rFonts w:hint="eastAsia" w:ascii="黑体" w:hAnsi="黑体" w:eastAsia="黑体"/>
        </w:rPr>
        <w:t xml:space="preserve">  </w:t>
      </w:r>
      <w:r>
        <w:rPr>
          <w:rFonts w:hint="eastAsia" w:ascii="黑体" w:hAnsi="黑体" w:eastAsia="黑体"/>
          <w:highlight w:val="none"/>
          <w:lang w:val="en-US" w:eastAsia="zh-CN"/>
        </w:rPr>
        <w:t>internet</w:t>
      </w:r>
      <w:r>
        <w:rPr>
          <w:rFonts w:hint="eastAsia" w:ascii="黑体" w:hAnsi="黑体" w:eastAsia="黑体"/>
          <w:lang w:val="en-US" w:eastAsia="zh-CN"/>
        </w:rPr>
        <w:t xml:space="preserve"> payment service</w:t>
      </w:r>
    </w:p>
    <w:p w14:paraId="270D2FB5">
      <w:pPr>
        <w:pStyle w:val="58"/>
        <w:ind w:firstLine="420"/>
        <w:rPr>
          <w:rFonts w:hint="eastAsia"/>
        </w:rPr>
      </w:pPr>
      <w:r>
        <w:rPr>
          <w:rFonts w:hint="eastAsia"/>
          <w:lang w:val="en-US" w:eastAsia="zh-CN"/>
        </w:rPr>
        <w:t>收款方或付款方通过计算机、移动终端等电子设备，依托互联网远程传输支付指令完成直接或间接货币资金转移的经营活动</w:t>
      </w:r>
      <w:r>
        <w:rPr>
          <w:rFonts w:hint="eastAsia"/>
        </w:rPr>
        <w:t>。</w:t>
      </w:r>
    </w:p>
    <w:p w14:paraId="4A9DE366">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网络支付服务平台</w:t>
      </w:r>
      <w:r>
        <w:rPr>
          <w:rFonts w:hint="eastAsia" w:ascii="黑体" w:hAnsi="黑体" w:eastAsia="黑体"/>
        </w:rPr>
        <w:t xml:space="preserve"> </w:t>
      </w:r>
      <w:r>
        <w:rPr>
          <w:rFonts w:hint="eastAsia" w:ascii="黑体" w:hAnsi="黑体" w:eastAsia="黑体"/>
          <w:lang w:val="en-US" w:eastAsia="zh-CN"/>
        </w:rPr>
        <w:t xml:space="preserve"> internet payment service platform</w:t>
      </w:r>
    </w:p>
    <w:p w14:paraId="79536C7F">
      <w:pPr>
        <w:pStyle w:val="58"/>
        <w:ind w:firstLine="420"/>
        <w:rPr>
          <w:rFonts w:hint="eastAsia"/>
        </w:rPr>
      </w:pPr>
      <w:r>
        <w:rPr>
          <w:rFonts w:hint="eastAsia"/>
          <w:lang w:val="en-US" w:eastAsia="zh-CN"/>
        </w:rPr>
        <w:t>通过互联网网络为收款方和付款方提供网络支付服务，同网络支付服务账务平台交互完成资金划拨的信息系统</w:t>
      </w:r>
      <w:r>
        <w:rPr>
          <w:rFonts w:hint="eastAsia"/>
        </w:rPr>
        <w:t>。</w:t>
      </w:r>
    </w:p>
    <w:p w14:paraId="52BC548F">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网络支付服务账务平台</w:t>
      </w:r>
      <w:r>
        <w:rPr>
          <w:rFonts w:hint="eastAsia" w:ascii="黑体" w:hAnsi="黑体" w:eastAsia="黑体"/>
        </w:rPr>
        <w:t xml:space="preserve">  </w:t>
      </w:r>
      <w:r>
        <w:rPr>
          <w:rFonts w:hint="eastAsia" w:ascii="黑体" w:hAnsi="黑体" w:eastAsia="黑体"/>
          <w:lang w:val="en-US" w:eastAsia="zh-CN"/>
        </w:rPr>
        <w:t>internet payment service accounting platform</w:t>
      </w:r>
    </w:p>
    <w:p w14:paraId="62D37085">
      <w:pPr>
        <w:pStyle w:val="58"/>
        <w:ind w:firstLine="420"/>
        <w:rPr>
          <w:color w:val="auto"/>
        </w:rPr>
      </w:pPr>
      <w:r>
        <w:rPr>
          <w:rFonts w:hint="eastAsia"/>
          <w:color w:val="auto"/>
          <w:lang w:val="en-US" w:eastAsia="zh-CN"/>
        </w:rPr>
        <w:t>为网络支付服务提供账户管理、资金划拨、账务核算等服务的信息系统。</w:t>
      </w:r>
    </w:p>
    <w:p w14:paraId="571E4956">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网络支付服务提供者</w:t>
      </w:r>
      <w:r>
        <w:rPr>
          <w:rFonts w:hint="eastAsia" w:ascii="黑体" w:hAnsi="黑体" w:eastAsia="黑体"/>
        </w:rPr>
        <w:t xml:space="preserve">  </w:t>
      </w:r>
      <w:r>
        <w:rPr>
          <w:rFonts w:hint="eastAsia" w:ascii="黑体" w:hAnsi="黑体" w:eastAsia="黑体"/>
          <w:lang w:val="en-US" w:eastAsia="zh-CN"/>
        </w:rPr>
        <w:t>internet payment service provider</w:t>
      </w:r>
    </w:p>
    <w:p w14:paraId="785FC0BC">
      <w:pPr>
        <w:pStyle w:val="58"/>
        <w:ind w:firstLine="420"/>
        <w:rPr>
          <w:rFonts w:hint="default"/>
          <w:color w:val="auto"/>
          <w:lang w:val="en-US"/>
        </w:rPr>
      </w:pPr>
      <w:r>
        <w:rPr>
          <w:rFonts w:hint="eastAsia"/>
          <w:lang w:val="en-US" w:eastAsia="zh-CN"/>
        </w:rPr>
        <w:t>通过网络支付服务平台，提供网络支付服务的组织。</w:t>
      </w:r>
    </w:p>
    <w:p w14:paraId="5907D53E">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网络支付服务数据</w:t>
      </w:r>
      <w:r>
        <w:rPr>
          <w:rFonts w:hint="eastAsia" w:ascii="黑体" w:hAnsi="黑体" w:eastAsia="黑体"/>
        </w:rPr>
        <w:t xml:space="preserve"> </w:t>
      </w:r>
      <w:r>
        <w:rPr>
          <w:rFonts w:hint="eastAsia" w:ascii="黑体" w:hAnsi="黑体" w:eastAsia="黑体"/>
          <w:lang w:val="en-US" w:eastAsia="zh-CN"/>
        </w:rPr>
        <w:t xml:space="preserve"> internet payment service data</w:t>
      </w:r>
    </w:p>
    <w:p w14:paraId="4F34C37B">
      <w:pPr>
        <w:pStyle w:val="58"/>
        <w:rPr>
          <w:rFonts w:hint="eastAsia"/>
          <w:lang w:val="en-US" w:eastAsia="zh-CN"/>
        </w:rPr>
      </w:pPr>
      <w:r>
        <w:rPr>
          <w:rFonts w:hint="eastAsia"/>
          <w:lang w:val="en-US" w:eastAsia="zh-CN"/>
        </w:rPr>
        <w:t>网络支付服务提供者在开展网络支付服务过程中收集和产生的数据。</w:t>
      </w:r>
    </w:p>
    <w:p w14:paraId="5D95DFAE">
      <w:pPr>
        <w:pStyle w:val="58"/>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网络支付服务数据包括用户数据和业务数据，不包括网络支付服务提供者内部管理数据。</w:t>
      </w:r>
    </w:p>
    <w:p w14:paraId="2541252E">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网络支付服务用户</w:t>
      </w:r>
      <w:r>
        <w:rPr>
          <w:rFonts w:hint="eastAsia" w:ascii="黑体" w:hAnsi="黑体" w:eastAsia="黑体"/>
        </w:rPr>
        <w:t xml:space="preserve">  </w:t>
      </w:r>
      <w:r>
        <w:rPr>
          <w:rFonts w:hint="eastAsia" w:ascii="黑体" w:hAnsi="黑体" w:eastAsia="黑体"/>
          <w:lang w:val="en-US" w:eastAsia="zh-CN"/>
        </w:rPr>
        <w:t>internet payment service user</w:t>
      </w:r>
    </w:p>
    <w:p w14:paraId="6E8E190A">
      <w:pPr>
        <w:pStyle w:val="58"/>
        <w:rPr>
          <w:rFonts w:hint="eastAsia"/>
          <w:lang w:val="en-US" w:eastAsia="zh-CN"/>
        </w:rPr>
      </w:pPr>
      <w:r>
        <w:rPr>
          <w:rFonts w:hint="eastAsia"/>
          <w:lang w:val="en-US" w:eastAsia="zh-CN"/>
        </w:rPr>
        <w:t>使用网络支付服务的个人或组织，包括收款方和付款方。</w:t>
      </w:r>
    </w:p>
    <w:p w14:paraId="5CFC6685">
      <w:pPr>
        <w:pStyle w:val="58"/>
        <w:rPr>
          <w:rFonts w:hint="default"/>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本文件中简称用户。</w:t>
      </w:r>
    </w:p>
    <w:p w14:paraId="2194ABE1">
      <w:pPr>
        <w:pStyle w:val="106"/>
        <w:keepNext w:val="0"/>
        <w:keepLines w:val="0"/>
        <w:pageBreakBefore w:val="0"/>
        <w:widowControl/>
        <w:kinsoku/>
        <w:wordWrap/>
        <w:overflowPunct/>
        <w:topLinePunct w:val="0"/>
        <w:autoSpaceDE/>
        <w:autoSpaceDN/>
        <w:bidi w:val="0"/>
        <w:adjustRightInd/>
        <w:snapToGrid/>
        <w:spacing w:before="312" w:after="312"/>
        <w:textAlignment w:val="auto"/>
        <w:rPr>
          <w:color w:val="auto"/>
        </w:rPr>
      </w:pPr>
      <w:bookmarkStart w:id="72" w:name="_Toc298"/>
      <w:bookmarkStart w:id="73" w:name="_Toc115259520"/>
      <w:bookmarkStart w:id="74" w:name="_Toc104214130"/>
      <w:bookmarkStart w:id="75" w:name="_Toc104273488"/>
      <w:bookmarkStart w:id="76" w:name="_Toc111995101"/>
      <w:r>
        <w:rPr>
          <w:rFonts w:hint="eastAsia"/>
          <w:color w:val="auto"/>
          <w:lang w:val="en-US" w:eastAsia="zh-CN"/>
        </w:rPr>
        <w:t>概述</w:t>
      </w:r>
      <w:bookmarkEnd w:id="72"/>
    </w:p>
    <w:p w14:paraId="1F3DF946">
      <w:pPr>
        <w:pStyle w:val="164"/>
        <w:rPr>
          <w:rFonts w:hint="eastAsia"/>
          <w:color w:val="auto"/>
        </w:rPr>
      </w:pPr>
      <w:r>
        <w:rPr>
          <w:rFonts w:hint="eastAsia"/>
          <w:color w:val="auto"/>
          <w:lang w:val="en-US" w:eastAsia="zh-CN"/>
        </w:rPr>
        <w:t>网络支付服务业务功能主要包括用户注册/登录/注销、绑定银行卡、充值/提现、实名认证、生成支付订单、购汇/结汇、支付和对账结算等。</w:t>
      </w:r>
    </w:p>
    <w:p w14:paraId="120D29D8">
      <w:pPr>
        <w:pStyle w:val="164"/>
        <w:rPr>
          <w:rFonts w:hint="eastAsia" w:ascii="黑体" w:hAnsi="黑体" w:eastAsia="黑体" w:cs="黑体"/>
          <w:color w:val="auto"/>
        </w:rPr>
      </w:pPr>
      <w:r>
        <w:rPr>
          <w:rFonts w:hint="eastAsia"/>
          <w:color w:val="auto"/>
          <w:lang w:val="en-US" w:eastAsia="zh-CN"/>
        </w:rPr>
        <w:t>网络支付服务的相关方包括收款方、付款方、网络支付服务平台和网络支付服务提供者。其中，网络支付服务提供者运营网络支付服务平台，网络支付服务平台接收付款方的支付请求，将支付结果返回收款方，并与网络支付服务账务平台安全交互实现账务处理、完成网络支付服务。</w:t>
      </w:r>
    </w:p>
    <w:p w14:paraId="6A6565C8">
      <w:pPr>
        <w:pStyle w:val="164"/>
        <w:rPr>
          <w:rFonts w:hint="eastAsia"/>
          <w:color w:val="auto"/>
          <w:lang w:val="en-US" w:eastAsia="zh-CN"/>
        </w:rPr>
      </w:pPr>
      <w:r>
        <w:rPr>
          <w:rFonts w:hint="eastAsia"/>
          <w:color w:val="auto"/>
          <w:lang w:val="en-US" w:eastAsia="zh-CN"/>
        </w:rPr>
        <w:t>网络支付服务数据应包括以下内容：</w:t>
      </w:r>
    </w:p>
    <w:p w14:paraId="67D3B882">
      <w:pPr>
        <w:pStyle w:val="176"/>
        <w:numPr>
          <w:ilvl w:val="0"/>
          <w:numId w:val="32"/>
        </w:numPr>
        <w:rPr>
          <w:rFonts w:hint="eastAsia"/>
          <w:lang w:val="en-US" w:eastAsia="zh-CN"/>
        </w:rPr>
      </w:pPr>
      <w:r>
        <w:rPr>
          <w:rFonts w:hint="eastAsia"/>
          <w:lang w:val="en-US" w:eastAsia="zh-CN"/>
        </w:rPr>
        <w:t>用户数据：网络支付服务提供者在提供网络支付服务过程中收集和产生的个人及组织用户数据，如个人自然信息、个人身份鉴别信息等；</w:t>
      </w:r>
    </w:p>
    <w:p w14:paraId="0498F6D4">
      <w:pPr>
        <w:pStyle w:val="176"/>
        <w:numPr>
          <w:ilvl w:val="0"/>
          <w:numId w:val="32"/>
        </w:numPr>
        <w:rPr>
          <w:rFonts w:hint="eastAsia" w:ascii="黑体" w:hAnsi="黑体" w:eastAsia="黑体" w:cs="黑体"/>
          <w:color w:val="auto"/>
          <w:lang w:val="en-US" w:eastAsia="zh-CN"/>
        </w:rPr>
      </w:pPr>
      <w:r>
        <w:rPr>
          <w:rFonts w:hint="eastAsia"/>
          <w:lang w:val="en-US" w:eastAsia="zh-CN"/>
        </w:rPr>
        <w:t>业务数据：在网络支付服务业务开展过程中处理的用于保障业务正常运行的数据，如商户签约信息、支付结算信息等。</w:t>
      </w:r>
    </w:p>
    <w:p w14:paraId="42E191DC">
      <w:pPr>
        <w:pStyle w:val="106"/>
        <w:keepNext w:val="0"/>
        <w:keepLines w:val="0"/>
        <w:pageBreakBefore w:val="0"/>
        <w:widowControl/>
        <w:kinsoku/>
        <w:wordWrap/>
        <w:overflowPunct/>
        <w:topLinePunct w:val="0"/>
        <w:autoSpaceDE/>
        <w:autoSpaceDN/>
        <w:bidi w:val="0"/>
        <w:adjustRightInd/>
        <w:snapToGrid/>
        <w:spacing w:before="312" w:after="312"/>
        <w:textAlignment w:val="auto"/>
        <w:rPr>
          <w:color w:val="auto"/>
        </w:rPr>
      </w:pPr>
      <w:bookmarkStart w:id="77" w:name="_Toc8475"/>
      <w:bookmarkStart w:id="78" w:name="_Toc30624"/>
      <w:bookmarkStart w:id="79" w:name="_Toc23632"/>
      <w:r>
        <w:rPr>
          <w:rFonts w:hint="eastAsia"/>
          <w:color w:val="auto"/>
          <w:lang w:val="en-US" w:eastAsia="zh-CN"/>
        </w:rPr>
        <w:t>基本要求</w:t>
      </w:r>
      <w:bookmarkEnd w:id="77"/>
      <w:bookmarkEnd w:id="78"/>
      <w:bookmarkEnd w:id="79"/>
    </w:p>
    <w:p w14:paraId="4F79943B">
      <w:pPr>
        <w:pStyle w:val="107"/>
        <w:keepNext w:val="0"/>
        <w:keepLines w:val="0"/>
        <w:pageBreakBefore w:val="0"/>
        <w:widowControl/>
        <w:kinsoku/>
        <w:wordWrap/>
        <w:overflowPunct/>
        <w:topLinePunct w:val="0"/>
        <w:autoSpaceDE/>
        <w:autoSpaceDN/>
        <w:bidi w:val="0"/>
        <w:adjustRightInd/>
        <w:snapToGrid/>
        <w:spacing w:before="156" w:after="156"/>
        <w:textAlignment w:val="auto"/>
        <w:rPr>
          <w:color w:val="auto"/>
        </w:rPr>
      </w:pPr>
      <w:r>
        <w:rPr>
          <w:rFonts w:hint="eastAsia"/>
          <w:color w:val="auto"/>
          <w:lang w:val="en-US" w:eastAsia="zh-CN"/>
        </w:rPr>
        <w:t>业务管理合规性</w:t>
      </w:r>
    </w:p>
    <w:p w14:paraId="0854EA92">
      <w:pPr>
        <w:pStyle w:val="167"/>
        <w:rPr>
          <w:color w:val="auto"/>
        </w:rPr>
      </w:pPr>
      <w:r>
        <w:rPr>
          <w:rFonts w:hint="eastAsia"/>
          <w:color w:val="auto"/>
          <w:lang w:val="en-US" w:eastAsia="zh-CN"/>
        </w:rPr>
        <w:t>网络</w:t>
      </w:r>
      <w:r>
        <w:rPr>
          <w:rFonts w:hint="eastAsia"/>
          <w:color w:val="auto"/>
        </w:rPr>
        <w:t>支付</w:t>
      </w:r>
      <w:r>
        <w:rPr>
          <w:rFonts w:hint="eastAsia"/>
          <w:color w:val="auto"/>
          <w:lang w:val="en-US" w:eastAsia="zh-CN"/>
        </w:rPr>
        <w:t>服务数据处理活动</w:t>
      </w:r>
      <w:r>
        <w:rPr>
          <w:rFonts w:hint="eastAsia"/>
          <w:color w:val="auto"/>
        </w:rPr>
        <w:t>应</w:t>
      </w:r>
      <w:r>
        <w:rPr>
          <w:rFonts w:hint="eastAsia"/>
          <w:color w:val="auto"/>
          <w:lang w:val="en-US" w:eastAsia="zh-CN"/>
        </w:rPr>
        <w:t>符合GB/T 41479中规定</w:t>
      </w:r>
      <w:r>
        <w:rPr>
          <w:rFonts w:hint="eastAsia"/>
          <w:color w:val="auto"/>
        </w:rPr>
        <w:t>的要求。</w:t>
      </w:r>
    </w:p>
    <w:p w14:paraId="693F6791">
      <w:pPr>
        <w:pStyle w:val="167"/>
        <w:rPr>
          <w:color w:val="auto"/>
        </w:rPr>
      </w:pPr>
      <w:r>
        <w:rPr>
          <w:rFonts w:hint="eastAsia"/>
          <w:color w:val="auto"/>
          <w:lang w:val="en-US" w:eastAsia="zh-CN"/>
        </w:rPr>
        <w:t>网络</w:t>
      </w:r>
      <w:r>
        <w:rPr>
          <w:rFonts w:hint="eastAsia"/>
          <w:color w:val="auto"/>
        </w:rPr>
        <w:t>支付</w:t>
      </w:r>
      <w:r>
        <w:rPr>
          <w:rFonts w:hint="eastAsia"/>
          <w:color w:val="auto"/>
          <w:lang w:val="en-US" w:eastAsia="zh-CN"/>
        </w:rPr>
        <w:t>服务</w:t>
      </w:r>
      <w:r>
        <w:rPr>
          <w:rFonts w:hint="eastAsia"/>
          <w:color w:val="auto"/>
        </w:rPr>
        <w:t>业务</w:t>
      </w:r>
      <w:r>
        <w:rPr>
          <w:rFonts w:hint="eastAsia"/>
          <w:color w:val="auto"/>
          <w:lang w:val="en-US" w:eastAsia="zh-CN"/>
        </w:rPr>
        <w:t>操作</w:t>
      </w:r>
      <w:r>
        <w:rPr>
          <w:rFonts w:hint="eastAsia"/>
          <w:color w:val="auto"/>
        </w:rPr>
        <w:t>应符合中国人民银行关于《</w:t>
      </w:r>
      <w:r>
        <w:rPr>
          <w:rFonts w:hint="eastAsia"/>
          <w:color w:val="auto"/>
          <w:lang w:val="en-US" w:eastAsia="zh-CN"/>
        </w:rPr>
        <w:t>非银行支付机构网络支付业务管理办法</w:t>
      </w:r>
      <w:r>
        <w:rPr>
          <w:rFonts w:hint="eastAsia"/>
          <w:color w:val="auto"/>
        </w:rPr>
        <w:t>》的</w:t>
      </w:r>
      <w:r>
        <w:rPr>
          <w:rFonts w:hint="eastAsia"/>
          <w:color w:val="auto"/>
          <w:lang w:val="en-US" w:eastAsia="zh-CN"/>
        </w:rPr>
        <w:t>相关规定</w:t>
      </w:r>
      <w:r>
        <w:rPr>
          <w:rFonts w:hint="eastAsia"/>
          <w:color w:val="auto"/>
        </w:rPr>
        <w:t>。</w:t>
      </w:r>
    </w:p>
    <w:p w14:paraId="3CC107BC">
      <w:pPr>
        <w:pStyle w:val="167"/>
        <w:rPr>
          <w:color w:val="auto"/>
        </w:rPr>
      </w:pPr>
      <w:r>
        <w:rPr>
          <w:rFonts w:hint="eastAsia"/>
          <w:color w:val="auto"/>
          <w:lang w:val="en-US" w:eastAsia="zh-CN"/>
        </w:rPr>
        <w:t>应</w:t>
      </w:r>
      <w:r>
        <w:rPr>
          <w:rFonts w:hint="eastAsia"/>
          <w:color w:val="auto"/>
        </w:rPr>
        <w:t>根据实际业务操作场景，制定</w:t>
      </w:r>
      <w:r>
        <w:rPr>
          <w:rFonts w:hint="eastAsia"/>
          <w:color w:val="auto"/>
          <w:lang w:val="en-US" w:eastAsia="zh-CN"/>
        </w:rPr>
        <w:t>网络支付服务业务的</w:t>
      </w:r>
      <w:r>
        <w:rPr>
          <w:rFonts w:hint="eastAsia"/>
          <w:color w:val="auto"/>
        </w:rPr>
        <w:t>规范化流程</w:t>
      </w:r>
      <w:r>
        <w:rPr>
          <w:rFonts w:hint="eastAsia"/>
          <w:color w:val="auto"/>
          <w:lang w:eastAsia="zh-CN"/>
        </w:rPr>
        <w:t>，</w:t>
      </w:r>
      <w:r>
        <w:rPr>
          <w:rFonts w:hint="eastAsia"/>
          <w:color w:val="auto"/>
          <w:lang w:val="en-US" w:eastAsia="zh-CN"/>
        </w:rPr>
        <w:t>确保业务操作的安全性和合规性</w:t>
      </w:r>
      <w:r>
        <w:rPr>
          <w:rFonts w:hint="eastAsia"/>
          <w:color w:val="auto"/>
        </w:rPr>
        <w:t>。</w:t>
      </w:r>
    </w:p>
    <w:p w14:paraId="25E30AE6">
      <w:pPr>
        <w:pStyle w:val="167"/>
        <w:rPr>
          <w:rFonts w:hint="eastAsia"/>
          <w:color w:val="auto"/>
          <w:lang w:val="en-US" w:eastAsia="zh-CN"/>
        </w:rPr>
      </w:pPr>
      <w:r>
        <w:rPr>
          <w:rFonts w:hint="eastAsia"/>
          <w:color w:val="auto"/>
          <w:lang w:val="en-US" w:eastAsia="zh-CN"/>
        </w:rPr>
        <w:t>应</w:t>
      </w:r>
      <w:r>
        <w:rPr>
          <w:rFonts w:hint="eastAsia"/>
          <w:color w:val="auto"/>
        </w:rPr>
        <w:t>制定与</w:t>
      </w:r>
      <w:r>
        <w:rPr>
          <w:rFonts w:hint="eastAsia"/>
          <w:color w:val="auto"/>
          <w:lang w:val="en-US" w:eastAsia="zh-CN"/>
        </w:rPr>
        <w:t>网络</w:t>
      </w:r>
      <w:r>
        <w:rPr>
          <w:rFonts w:hint="eastAsia"/>
          <w:color w:val="auto"/>
        </w:rPr>
        <w:t>支付</w:t>
      </w:r>
      <w:r>
        <w:rPr>
          <w:rFonts w:hint="eastAsia"/>
          <w:color w:val="auto"/>
          <w:lang w:val="en-US" w:eastAsia="zh-CN"/>
        </w:rPr>
        <w:t>服务</w:t>
      </w:r>
      <w:r>
        <w:rPr>
          <w:rFonts w:hint="eastAsia"/>
          <w:color w:val="auto"/>
        </w:rPr>
        <w:t>业务相关的</w:t>
      </w:r>
      <w:r>
        <w:rPr>
          <w:rFonts w:hint="eastAsia"/>
          <w:color w:val="auto"/>
          <w:lang w:val="en-US" w:eastAsia="zh-CN"/>
        </w:rPr>
        <w:t>商户</w:t>
      </w:r>
      <w:r>
        <w:rPr>
          <w:rFonts w:hint="eastAsia"/>
          <w:color w:val="auto"/>
        </w:rPr>
        <w:t>管理规范。</w:t>
      </w:r>
    </w:p>
    <w:p w14:paraId="60959A33">
      <w:pPr>
        <w:pStyle w:val="107"/>
        <w:keepNext w:val="0"/>
        <w:keepLines w:val="0"/>
        <w:pageBreakBefore w:val="0"/>
        <w:widowControl/>
        <w:kinsoku/>
        <w:wordWrap/>
        <w:overflowPunct/>
        <w:topLinePunct w:val="0"/>
        <w:autoSpaceDE/>
        <w:autoSpaceDN/>
        <w:bidi w:val="0"/>
        <w:adjustRightInd/>
        <w:snapToGrid/>
        <w:spacing w:before="156" w:after="156"/>
        <w:textAlignment w:val="auto"/>
        <w:rPr>
          <w:color w:val="auto"/>
        </w:rPr>
      </w:pPr>
      <w:r>
        <w:rPr>
          <w:rFonts w:hint="eastAsia"/>
          <w:color w:val="auto"/>
          <w:lang w:val="en-US" w:eastAsia="zh-CN"/>
        </w:rPr>
        <w:t>数据安全性</w:t>
      </w:r>
    </w:p>
    <w:p w14:paraId="6A60DF36">
      <w:pPr>
        <w:pStyle w:val="167"/>
        <w:rPr>
          <w:color w:val="auto"/>
        </w:rPr>
      </w:pPr>
      <w:r>
        <w:rPr>
          <w:rFonts w:hint="eastAsia"/>
          <w:color w:val="auto"/>
          <w:lang w:val="en-US" w:eastAsia="zh-CN"/>
        </w:rPr>
        <w:t>个人信息处理活动应符合GB/T 35273-2020中规定的要求，网络支付App个人信息收集活动应符合GB/T 41391</w:t>
      </w:r>
      <w:r>
        <w:rPr>
          <w:rFonts w:hint="eastAsia"/>
          <w:color w:val="auto"/>
          <w:highlight w:val="none"/>
          <w:lang w:val="en-US" w:eastAsia="zh-CN"/>
        </w:rPr>
        <w:t>-2022</w:t>
      </w:r>
      <w:r>
        <w:rPr>
          <w:rFonts w:hint="eastAsia"/>
          <w:highlight w:val="none"/>
        </w:rPr>
        <w:t>及JR/T</w:t>
      </w:r>
      <w:r>
        <w:rPr>
          <w:rFonts w:hint="eastAsia"/>
          <w:highlight w:val="none"/>
          <w:lang w:val="en-US" w:eastAsia="zh-CN"/>
        </w:rPr>
        <w:t xml:space="preserve"> </w:t>
      </w:r>
      <w:r>
        <w:rPr>
          <w:rFonts w:hint="eastAsia"/>
          <w:highlight w:val="none"/>
        </w:rPr>
        <w:t>0171</w:t>
      </w:r>
      <w:r>
        <w:rPr>
          <w:rFonts w:hint="eastAsia"/>
          <w:color w:val="auto"/>
          <w:highlight w:val="none"/>
          <w:lang w:val="en-US" w:eastAsia="zh-CN"/>
        </w:rPr>
        <w:t>-</w:t>
      </w:r>
      <w:r>
        <w:rPr>
          <w:rFonts w:hint="eastAsia"/>
          <w:highlight w:val="none"/>
        </w:rPr>
        <w:t>2020</w:t>
      </w:r>
      <w:r>
        <w:rPr>
          <w:rFonts w:hint="eastAsia"/>
          <w:color w:val="auto"/>
          <w:highlight w:val="none"/>
          <w:lang w:val="en-US" w:eastAsia="zh-CN"/>
        </w:rPr>
        <w:t>中</w:t>
      </w:r>
      <w:r>
        <w:rPr>
          <w:rFonts w:hint="eastAsia"/>
          <w:color w:val="auto"/>
          <w:lang w:val="en-US" w:eastAsia="zh-CN"/>
        </w:rPr>
        <w:t>规定的要求</w:t>
      </w:r>
      <w:r>
        <w:rPr>
          <w:rFonts w:hint="eastAsia"/>
          <w:color w:val="auto"/>
        </w:rPr>
        <w:t>。</w:t>
      </w:r>
    </w:p>
    <w:p w14:paraId="2E94499C">
      <w:pPr>
        <w:pStyle w:val="167"/>
        <w:rPr>
          <w:rFonts w:hint="eastAsia" w:ascii="宋体" w:hAnsi="Times New Roman" w:eastAsia="宋体" w:cs="Times New Roman"/>
          <w:color w:val="auto"/>
          <w:lang w:val="en-US" w:eastAsia="zh-CN"/>
        </w:rPr>
      </w:pPr>
      <w:r>
        <w:rPr>
          <w:rFonts w:hint="eastAsia" w:cs="Times New Roman"/>
          <w:color w:val="auto"/>
          <w:lang w:val="en-US" w:eastAsia="zh-CN"/>
        </w:rPr>
        <w:t>网络支付服务提供者的数据安全能力至少符合GB/T 37988三级能力要求。</w:t>
      </w:r>
    </w:p>
    <w:p w14:paraId="4CF5CEA6">
      <w:pPr>
        <w:pStyle w:val="167"/>
        <w:rPr>
          <w:rFonts w:hint="eastAsia" w:ascii="宋体" w:hAnsi="Times New Roman" w:eastAsia="宋体" w:cs="Times New Roman"/>
          <w:color w:val="auto"/>
          <w:lang w:val="en-US" w:eastAsia="zh-CN"/>
        </w:rPr>
      </w:pPr>
      <w:r>
        <w:rPr>
          <w:rFonts w:hint="eastAsia" w:cs="Times New Roman"/>
          <w:color w:val="auto"/>
          <w:lang w:val="en-US" w:eastAsia="zh-CN"/>
        </w:rPr>
        <w:t>网络支付服务平台应符合GB/T 22239三级要求；</w:t>
      </w:r>
      <w:r>
        <w:rPr>
          <w:rFonts w:hint="eastAsia"/>
        </w:rPr>
        <w:t>对于核心支付系统，应达到GB/T 22239四级要求</w:t>
      </w:r>
      <w:r>
        <w:rPr>
          <w:rFonts w:hint="eastAsia" w:cs="Times New Roman"/>
          <w:color w:val="auto"/>
          <w:lang w:val="en-US" w:eastAsia="zh-CN"/>
        </w:rPr>
        <w:t>。</w:t>
      </w:r>
    </w:p>
    <w:p w14:paraId="187048DE">
      <w:pPr>
        <w:pStyle w:val="167"/>
        <w:rPr>
          <w:rFonts w:hint="eastAsia" w:cs="Times New Roman"/>
          <w:color w:val="auto"/>
          <w:lang w:val="en-US" w:eastAsia="zh-CN"/>
        </w:rPr>
      </w:pPr>
      <w:r>
        <w:rPr>
          <w:rFonts w:hint="eastAsia" w:cs="Times New Roman"/>
          <w:color w:val="auto"/>
          <w:lang w:val="en-US" w:eastAsia="zh-CN"/>
        </w:rPr>
        <w:t>应结合数据处理活动的实际情况，按照有关国家标准定期开展数据安全风险评估。</w:t>
      </w:r>
    </w:p>
    <w:p w14:paraId="436BFEED">
      <w:pPr>
        <w:pStyle w:val="107"/>
        <w:spacing w:before="156" w:after="156"/>
        <w:rPr>
          <w:color w:val="auto"/>
        </w:rPr>
      </w:pPr>
      <w:r>
        <w:rPr>
          <w:rFonts w:hint="eastAsia"/>
          <w:color w:val="auto"/>
          <w:lang w:val="en-US" w:eastAsia="zh-CN"/>
        </w:rPr>
        <w:t>技术安全性</w:t>
      </w:r>
    </w:p>
    <w:p w14:paraId="780377BC">
      <w:pPr>
        <w:pStyle w:val="167"/>
        <w:rPr>
          <w:color w:val="auto"/>
          <w:highlight w:val="none"/>
        </w:rPr>
      </w:pPr>
      <w:r>
        <w:rPr>
          <w:rFonts w:hint="eastAsia"/>
          <w:color w:val="auto"/>
          <w:highlight w:val="none"/>
          <w:lang w:val="en-US" w:eastAsia="zh-CN"/>
        </w:rPr>
        <w:t>网络支付服务</w:t>
      </w:r>
      <w:r>
        <w:rPr>
          <w:rFonts w:hint="eastAsia"/>
          <w:color w:val="auto"/>
          <w:highlight w:val="none"/>
        </w:rPr>
        <w:t>的设施设备的基本要求应</w:t>
      </w:r>
      <w:r>
        <w:rPr>
          <w:rFonts w:hint="eastAsia"/>
          <w:color w:val="auto"/>
          <w:highlight w:val="none"/>
          <w:lang w:val="en-US" w:eastAsia="zh-CN"/>
        </w:rPr>
        <w:t>符合</w:t>
      </w:r>
      <w:r>
        <w:rPr>
          <w:rFonts w:hint="eastAsia" w:cs="Times New Roman"/>
          <w:color w:val="auto"/>
          <w:highlight w:val="none"/>
          <w:lang w:val="en-US" w:eastAsia="zh-CN"/>
        </w:rPr>
        <w:t>GB/T 41460</w:t>
      </w:r>
      <w:r>
        <w:rPr>
          <w:rFonts w:hint="eastAsia"/>
          <w:color w:val="auto"/>
          <w:highlight w:val="none"/>
        </w:rPr>
        <w:t>的规定。</w:t>
      </w:r>
    </w:p>
    <w:p w14:paraId="25822799">
      <w:pPr>
        <w:pStyle w:val="167"/>
        <w:rPr>
          <w:color w:val="auto"/>
          <w:highlight w:val="none"/>
        </w:rPr>
      </w:pPr>
      <w:r>
        <w:rPr>
          <w:rFonts w:hint="eastAsia"/>
          <w:color w:val="auto"/>
          <w:highlight w:val="none"/>
          <w:lang w:val="en-US" w:eastAsia="zh-CN"/>
        </w:rPr>
        <w:t>应建立主机安全管理制度</w:t>
      </w:r>
      <w:r>
        <w:rPr>
          <w:rFonts w:hint="eastAsia"/>
          <w:color w:val="auto"/>
          <w:highlight w:val="none"/>
        </w:rPr>
        <w:t>，内容包括但不限于</w:t>
      </w:r>
      <w:r>
        <w:rPr>
          <w:rFonts w:hint="eastAsia"/>
          <w:color w:val="auto"/>
          <w:highlight w:val="none"/>
          <w:lang w:val="en-US" w:eastAsia="zh-CN"/>
        </w:rPr>
        <w:t>系统安全、数据库安全</w:t>
      </w:r>
      <w:r>
        <w:rPr>
          <w:rFonts w:hint="eastAsia"/>
          <w:color w:val="auto"/>
          <w:highlight w:val="none"/>
        </w:rPr>
        <w:t>等。</w:t>
      </w:r>
    </w:p>
    <w:p w14:paraId="02EA6FFF">
      <w:pPr>
        <w:pStyle w:val="167"/>
        <w:rPr>
          <w:rFonts w:hint="eastAsia"/>
          <w:color w:val="auto"/>
          <w:highlight w:val="none"/>
          <w:lang w:val="en-US" w:eastAsia="zh-CN"/>
        </w:rPr>
      </w:pPr>
      <w:r>
        <w:rPr>
          <w:rFonts w:hint="eastAsia"/>
          <w:color w:val="auto"/>
          <w:highlight w:val="none"/>
          <w:lang w:val="en-US" w:eastAsia="zh-CN"/>
        </w:rPr>
        <w:t>应建立应用安全管理制度，</w:t>
      </w:r>
      <w:r>
        <w:rPr>
          <w:rFonts w:hint="eastAsia"/>
          <w:color w:val="auto"/>
          <w:highlight w:val="none"/>
        </w:rPr>
        <w:t>内容包括但不限于</w:t>
      </w:r>
      <w:r>
        <w:rPr>
          <w:rFonts w:hint="eastAsia"/>
          <w:color w:val="auto"/>
          <w:highlight w:val="none"/>
          <w:lang w:val="en-US" w:eastAsia="zh-CN"/>
        </w:rPr>
        <w:t>代码安全、安全漏洞</w:t>
      </w:r>
      <w:r>
        <w:rPr>
          <w:rFonts w:hint="eastAsia"/>
          <w:color w:val="auto"/>
          <w:highlight w:val="none"/>
        </w:rPr>
        <w:t>等。</w:t>
      </w:r>
    </w:p>
    <w:p w14:paraId="17D9A0B1">
      <w:pPr>
        <w:pStyle w:val="167"/>
        <w:rPr>
          <w:highlight w:val="none"/>
        </w:rPr>
      </w:pPr>
      <w:r>
        <w:rPr>
          <w:rFonts w:hint="eastAsia"/>
          <w:highlight w:val="none"/>
        </w:rPr>
        <w:t>应建立网络安全管理制度，内容包括但不限于网络隔离、流量检测等。</w:t>
      </w:r>
    </w:p>
    <w:p w14:paraId="7ABB6E97">
      <w:pPr>
        <w:pStyle w:val="167"/>
        <w:rPr>
          <w:rFonts w:hint="eastAsia"/>
          <w:color w:val="auto"/>
          <w:highlight w:val="none"/>
          <w:lang w:val="en-US" w:eastAsia="zh-CN"/>
        </w:rPr>
      </w:pPr>
      <w:r>
        <w:rPr>
          <w:rFonts w:hint="eastAsia"/>
          <w:highlight w:val="none"/>
        </w:rPr>
        <w:t>应建立数据安全管理制度，内容包括但不限于数据分级分类、数据加密保护等。</w:t>
      </w:r>
    </w:p>
    <w:p w14:paraId="5CC3264D">
      <w:pPr>
        <w:pStyle w:val="107"/>
        <w:spacing w:before="120" w:after="120"/>
        <w:rPr>
          <w:color w:val="auto"/>
        </w:rPr>
      </w:pPr>
      <w:r>
        <w:rPr>
          <w:rFonts w:hint="eastAsia"/>
          <w:color w:val="auto"/>
        </w:rPr>
        <w:t>操作服务便捷性</w:t>
      </w:r>
    </w:p>
    <w:p w14:paraId="57B0192C">
      <w:pPr>
        <w:pStyle w:val="167"/>
        <w:rPr>
          <w:color w:val="auto"/>
        </w:rPr>
      </w:pPr>
      <w:r>
        <w:rPr>
          <w:rFonts w:hint="eastAsia"/>
          <w:color w:val="auto"/>
          <w:lang w:val="en-US" w:eastAsia="zh-CN"/>
        </w:rPr>
        <w:t>网络支付服务的操作界面应简洁直观，方便用户进行支付操作</w:t>
      </w:r>
      <w:r>
        <w:rPr>
          <w:rFonts w:hint="eastAsia"/>
          <w:color w:val="auto"/>
        </w:rPr>
        <w:t>。</w:t>
      </w:r>
    </w:p>
    <w:p w14:paraId="6971B684">
      <w:pPr>
        <w:pStyle w:val="167"/>
        <w:rPr>
          <w:rFonts w:hint="eastAsia"/>
          <w:lang w:val="en-US" w:eastAsia="zh-CN"/>
        </w:rPr>
      </w:pPr>
      <w:r>
        <w:rPr>
          <w:rFonts w:hint="eastAsia"/>
          <w:color w:val="auto"/>
          <w:lang w:val="en-US" w:eastAsia="zh-CN"/>
        </w:rPr>
        <w:t>应制定用户操作手册和常见问题解答，方便用户了解和使用网络支付服务。</w:t>
      </w:r>
    </w:p>
    <w:bookmarkEnd w:id="73"/>
    <w:bookmarkEnd w:id="74"/>
    <w:bookmarkEnd w:id="75"/>
    <w:bookmarkEnd w:id="76"/>
    <w:p w14:paraId="699666A8">
      <w:pPr>
        <w:pStyle w:val="106"/>
        <w:spacing w:before="240" w:after="240"/>
        <w:rPr>
          <w:color w:val="auto"/>
        </w:rPr>
      </w:pPr>
      <w:bookmarkStart w:id="80" w:name="_Toc18786"/>
      <w:bookmarkStart w:id="81" w:name="_Toc111995107"/>
      <w:r>
        <w:rPr>
          <w:rFonts w:hint="eastAsia"/>
          <w:color w:val="auto"/>
          <w:lang w:val="en-US" w:eastAsia="zh-CN"/>
        </w:rPr>
        <w:t>数据安全服务内容</w:t>
      </w:r>
      <w:bookmarkEnd w:id="80"/>
    </w:p>
    <w:p w14:paraId="0E92A2C3">
      <w:pPr>
        <w:pStyle w:val="107"/>
        <w:spacing w:before="120" w:after="120"/>
        <w:rPr>
          <w:color w:val="auto"/>
        </w:rPr>
      </w:pPr>
      <w:r>
        <w:rPr>
          <w:rFonts w:hint="eastAsia"/>
          <w:color w:val="auto"/>
          <w:lang w:val="en-US" w:eastAsia="zh-CN"/>
        </w:rPr>
        <w:t>数据收集</w:t>
      </w:r>
    </w:p>
    <w:p w14:paraId="2E79812A">
      <w:pPr>
        <w:pStyle w:val="167"/>
        <w:rPr>
          <w:highlight w:val="none"/>
        </w:rPr>
      </w:pPr>
      <w:r>
        <w:rPr>
          <w:rFonts w:hint="eastAsia"/>
          <w:lang w:val="en-US" w:eastAsia="zh-CN"/>
        </w:rPr>
        <w:t>收集个人信息：</w:t>
      </w:r>
      <w:r>
        <w:rPr>
          <w:rFonts w:hint="eastAsia"/>
          <w:highlight w:val="none"/>
          <w:lang w:val="en-US" w:eastAsia="zh-CN"/>
        </w:rPr>
        <w:t>网络支付服务提供者收集个人信息应符合GB/T 35273-2020要求。</w:t>
      </w:r>
    </w:p>
    <w:p w14:paraId="25E24E82">
      <w:pPr>
        <w:pStyle w:val="167"/>
        <w:rPr>
          <w:color w:val="auto"/>
        </w:rPr>
      </w:pPr>
      <w:r>
        <w:rPr>
          <w:rFonts w:hint="eastAsia"/>
          <w:color w:val="auto"/>
          <w:lang w:val="en-US" w:eastAsia="zh-CN"/>
        </w:rPr>
        <w:t>用户授权</w:t>
      </w:r>
      <w:r>
        <w:rPr>
          <w:rFonts w:hint="eastAsia"/>
          <w:color w:val="auto"/>
        </w:rPr>
        <w:t>：</w:t>
      </w:r>
      <w:r>
        <w:rPr>
          <w:rFonts w:hint="eastAsia"/>
          <w:color w:val="auto"/>
          <w:lang w:val="en-US" w:eastAsia="zh-CN"/>
        </w:rPr>
        <w:t>在收集用户数据前，应明确告知用户数据收集的目的、范围和使用方式，并取得用户的明确授权。</w:t>
      </w:r>
    </w:p>
    <w:p w14:paraId="4D01DBC3">
      <w:pPr>
        <w:pStyle w:val="167"/>
        <w:rPr>
          <w:color w:val="auto"/>
        </w:rPr>
      </w:pPr>
      <w:r>
        <w:rPr>
          <w:rFonts w:hint="eastAsia"/>
        </w:rPr>
        <w:t>因业务需求需要更改数据用途前，</w:t>
      </w:r>
      <w:r>
        <w:rPr>
          <w:rFonts w:hint="eastAsia"/>
          <w:lang w:val="en-US" w:eastAsia="zh-CN"/>
        </w:rPr>
        <w:t>应</w:t>
      </w:r>
      <w:r>
        <w:rPr>
          <w:rFonts w:hint="eastAsia"/>
        </w:rPr>
        <w:t>告知用户并得到用户同意。</w:t>
      </w:r>
    </w:p>
    <w:p w14:paraId="09C7964E">
      <w:pPr>
        <w:pStyle w:val="107"/>
        <w:spacing w:before="120" w:after="120"/>
        <w:rPr>
          <w:color w:val="auto"/>
        </w:rPr>
      </w:pPr>
      <w:r>
        <w:rPr>
          <w:rFonts w:hint="eastAsia"/>
          <w:color w:val="auto"/>
          <w:lang w:val="en-US" w:eastAsia="zh-CN"/>
        </w:rPr>
        <w:t>数据存储和传输</w:t>
      </w:r>
    </w:p>
    <w:p w14:paraId="45BD6BF6">
      <w:pPr>
        <w:pStyle w:val="58"/>
        <w:keepNext w:val="0"/>
        <w:keepLines w:val="0"/>
        <w:pageBreakBefore w:val="0"/>
        <w:widowControl/>
        <w:kinsoku/>
        <w:wordWrap/>
        <w:overflowPunct/>
        <w:topLinePunct w:val="0"/>
        <w:autoSpaceDE w:val="0"/>
        <w:autoSpaceDN w:val="0"/>
        <w:bidi w:val="0"/>
        <w:adjustRightInd/>
        <w:snapToGrid/>
        <w:textAlignment w:val="auto"/>
        <w:rPr>
          <w:rFonts w:hint="eastAsia"/>
          <w:color w:val="auto"/>
          <w:lang w:val="en-US" w:eastAsia="zh-CN"/>
        </w:rPr>
      </w:pPr>
      <w:r>
        <w:rPr>
          <w:rFonts w:hint="eastAsia"/>
          <w:color w:val="auto"/>
          <w:lang w:val="en-US" w:eastAsia="zh-CN"/>
        </w:rPr>
        <w:t>网络支付服务提供者存储、传输数据，应在符合GB/T 35273-2020中第6章的要求基础上，遵守以下要求：</w:t>
      </w:r>
    </w:p>
    <w:p w14:paraId="739BA09A">
      <w:pPr>
        <w:pStyle w:val="176"/>
        <w:numPr>
          <w:ilvl w:val="0"/>
          <w:numId w:val="33"/>
        </w:numPr>
      </w:pPr>
      <w:r>
        <w:rPr>
          <w:rFonts w:hint="eastAsia"/>
        </w:rPr>
        <w:t>应对用户数据进行分级分类，针对不同的等级采取不同的保护策略</w:t>
      </w:r>
      <w:r>
        <w:rPr>
          <w:rFonts w:hint="eastAsia"/>
          <w:lang w:eastAsia="zh-CN"/>
        </w:rPr>
        <w:t>；</w:t>
      </w:r>
    </w:p>
    <w:p w14:paraId="36E7AD29">
      <w:pPr>
        <w:pStyle w:val="176"/>
        <w:numPr>
          <w:ilvl w:val="0"/>
          <w:numId w:val="33"/>
        </w:numPr>
      </w:pPr>
      <w:r>
        <w:rPr>
          <w:rFonts w:hint="eastAsia"/>
        </w:rPr>
        <w:t>存储和传输敏感个人信息时，应采用密码技术进行保护；应支持国家密码局发布的SM2及SM</w:t>
      </w:r>
      <w:r>
        <w:t>4</w:t>
      </w:r>
      <w:r>
        <w:rPr>
          <w:rFonts w:hint="eastAsia"/>
        </w:rPr>
        <w:t>国密算法</w:t>
      </w:r>
      <w:r>
        <w:rPr>
          <w:rFonts w:hint="eastAsia"/>
          <w:lang w:eastAsia="zh-CN"/>
        </w:rPr>
        <w:t>；</w:t>
      </w:r>
    </w:p>
    <w:p w14:paraId="7E1C5C04">
      <w:pPr>
        <w:pStyle w:val="176"/>
        <w:numPr>
          <w:ilvl w:val="0"/>
          <w:numId w:val="33"/>
        </w:numPr>
      </w:pPr>
      <w:r>
        <w:rPr>
          <w:rFonts w:hint="eastAsia"/>
        </w:rPr>
        <w:t>应对加密密钥进行保护，并对加密密钥进行定期轮换</w:t>
      </w:r>
      <w:r>
        <w:rPr>
          <w:rFonts w:hint="eastAsia"/>
          <w:lang w:eastAsia="zh-CN"/>
        </w:rPr>
        <w:t>；</w:t>
      </w:r>
    </w:p>
    <w:p w14:paraId="20431BBB">
      <w:pPr>
        <w:pStyle w:val="176"/>
        <w:numPr>
          <w:ilvl w:val="0"/>
          <w:numId w:val="33"/>
        </w:numPr>
      </w:pPr>
      <w:r>
        <w:rPr>
          <w:rFonts w:hint="eastAsia"/>
        </w:rPr>
        <w:t>因业务需要存储用户银行卡有效期的，应取得用户和网络支付服务账务平台的授权；并做好对有效期数据的加密保护</w:t>
      </w:r>
      <w:r>
        <w:rPr>
          <w:rFonts w:hint="eastAsia"/>
          <w:lang w:eastAsia="zh-CN"/>
        </w:rPr>
        <w:t>；</w:t>
      </w:r>
    </w:p>
    <w:p w14:paraId="02FCF64B">
      <w:pPr>
        <w:pStyle w:val="176"/>
        <w:numPr>
          <w:ilvl w:val="0"/>
          <w:numId w:val="33"/>
        </w:numPr>
      </w:pPr>
      <w:r>
        <w:rPr>
          <w:rFonts w:hint="eastAsia"/>
        </w:rPr>
        <w:t>应至少使用本地备份、异地备份及场外备份中的两种方式对网络支付服务数据进行备份；</w:t>
      </w:r>
    </w:p>
    <w:p w14:paraId="01B175D4">
      <w:pPr>
        <w:pStyle w:val="176"/>
        <w:numPr>
          <w:ilvl w:val="0"/>
          <w:numId w:val="33"/>
        </w:numPr>
      </w:pPr>
      <w:r>
        <w:rPr>
          <w:rFonts w:hint="eastAsia"/>
        </w:rPr>
        <w:t>应使用加密通道或数据加密的方式进行传输个人身份鉴别信息、可识别特定个人信息主体身份与资产状况的个人信息以及其他用于网络支付服务的关键信息；</w:t>
      </w:r>
    </w:p>
    <w:p w14:paraId="7F7ECE7B">
      <w:pPr>
        <w:pStyle w:val="176"/>
        <w:numPr>
          <w:ilvl w:val="0"/>
          <w:numId w:val="33"/>
        </w:numPr>
      </w:pPr>
      <w:r>
        <w:rPr>
          <w:rFonts w:hint="eastAsia"/>
        </w:rPr>
        <w:t>应采用密码技术保护个人身份鉴别信息的安全性。</w:t>
      </w:r>
    </w:p>
    <w:p w14:paraId="7CC17EA3">
      <w:pPr>
        <w:pStyle w:val="107"/>
        <w:keepNext w:val="0"/>
        <w:keepLines w:val="0"/>
        <w:pageBreakBefore w:val="0"/>
        <w:widowControl/>
        <w:kinsoku/>
        <w:wordWrap/>
        <w:overflowPunct/>
        <w:topLinePunct w:val="0"/>
        <w:autoSpaceDE/>
        <w:autoSpaceDN/>
        <w:bidi w:val="0"/>
        <w:adjustRightInd/>
        <w:snapToGrid/>
        <w:spacing w:before="157" w:after="157"/>
        <w:textAlignment w:val="auto"/>
        <w:rPr>
          <w:rFonts w:hint="eastAsia" w:ascii="黑体" w:hAnsi="黑体" w:eastAsia="黑体" w:cs="黑体"/>
        </w:rPr>
      </w:pPr>
      <w:r>
        <w:rPr>
          <w:rFonts w:hint="eastAsia" w:hAnsi="黑体" w:cs="黑体"/>
          <w:lang w:val="en-US" w:eastAsia="zh-CN"/>
        </w:rPr>
        <w:t>数据使用和加工</w:t>
      </w:r>
    </w:p>
    <w:p w14:paraId="61A88A08">
      <w:pPr>
        <w:pStyle w:val="16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rPr>
      </w:pPr>
      <w:r>
        <w:rPr>
          <w:rFonts w:hint="eastAsia" w:ascii="黑体" w:hAnsi="黑体" w:eastAsia="黑体" w:cs="黑体"/>
          <w:color w:val="auto"/>
          <w:lang w:val="en-US" w:eastAsia="zh-CN"/>
        </w:rPr>
        <w:t>数据展示</w:t>
      </w:r>
    </w:p>
    <w:p w14:paraId="77A7C34D">
      <w:pPr>
        <w:pStyle w:val="167"/>
        <w:numPr>
          <w:ilvl w:val="0"/>
          <w:numId w:val="0"/>
        </w:numPr>
        <w:ind w:left="420" w:firstLine="0" w:firstLineChars="0"/>
      </w:pPr>
      <w:r>
        <w:rPr>
          <w:rFonts w:hint="eastAsia"/>
        </w:rPr>
        <w:t>网络支付服务提供者数据展示应在符合GB/T 35273-2020中第7章的要求基础上，遵守以下要求：</w:t>
      </w:r>
    </w:p>
    <w:p w14:paraId="3E3CBE51">
      <w:pPr>
        <w:pStyle w:val="176"/>
        <w:numPr>
          <w:ilvl w:val="0"/>
          <w:numId w:val="34"/>
        </w:numPr>
      </w:pPr>
      <w:r>
        <w:rPr>
          <w:rFonts w:hint="eastAsia"/>
        </w:rPr>
        <w:t>用户处于未登录状态时，不应展示用户信息；</w:t>
      </w:r>
    </w:p>
    <w:p w14:paraId="38AB5198">
      <w:pPr>
        <w:pStyle w:val="176"/>
        <w:numPr>
          <w:ilvl w:val="0"/>
          <w:numId w:val="34"/>
        </w:numPr>
      </w:pPr>
      <w:r>
        <w:rPr>
          <w:rFonts w:hint="eastAsia"/>
        </w:rPr>
        <w:t>用户处于已登录状态时，应脱敏展示除银行卡有效期外的用户个人信息，如用户选择明文展示，应在展示前对用户身份进行验证；</w:t>
      </w:r>
    </w:p>
    <w:p w14:paraId="31472A43">
      <w:pPr>
        <w:pStyle w:val="176"/>
        <w:numPr>
          <w:ilvl w:val="0"/>
          <w:numId w:val="34"/>
        </w:numPr>
      </w:pPr>
      <w:r>
        <w:rPr>
          <w:rFonts w:hint="eastAsia"/>
        </w:rPr>
        <w:t>展示账单信息时，应仅展示用户支出和收入金额、费用发生时间、费用发生主体，未经用户明示同意，不应展示账户绑定的银行卡信息、账户余额信息、账单详情</w:t>
      </w:r>
      <w:r>
        <w:rPr>
          <w:rFonts w:hint="eastAsia"/>
          <w:lang w:eastAsia="zh-CN"/>
        </w:rPr>
        <w:t>；</w:t>
      </w:r>
    </w:p>
    <w:p w14:paraId="49D78E7E">
      <w:pPr>
        <w:pStyle w:val="176"/>
        <w:numPr>
          <w:ilvl w:val="0"/>
          <w:numId w:val="34"/>
        </w:numPr>
      </w:pPr>
      <w:r>
        <w:rPr>
          <w:rFonts w:hint="eastAsia"/>
        </w:rPr>
        <w:t>如需展示账户绑定的银行卡信息、账户余额信息、账单详情等敏感信息，需对用户身份进行二次认证。</w:t>
      </w:r>
    </w:p>
    <w:p w14:paraId="67C1155E">
      <w:pPr>
        <w:pStyle w:val="16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rPr>
      </w:pPr>
      <w:r>
        <w:rPr>
          <w:rFonts w:hint="eastAsia" w:ascii="黑体" w:hAnsi="黑体" w:eastAsia="黑体" w:cs="黑体"/>
          <w:color w:val="auto"/>
          <w:lang w:val="en-US" w:eastAsia="zh-CN"/>
        </w:rPr>
        <w:t>数据访问</w:t>
      </w:r>
    </w:p>
    <w:p w14:paraId="3BD3B2FC">
      <w:pPr>
        <w:pStyle w:val="167"/>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textAlignment w:val="auto"/>
      </w:pPr>
      <w:bookmarkStart w:id="82" w:name="_Toc5199"/>
      <w:r>
        <w:rPr>
          <w:rFonts w:hint="eastAsia"/>
        </w:rPr>
        <w:t>网络支付服务提供者对用户个人信息的访问控制，应在符合GB/T 35273-2020中7.1的要求基础上，遵守以下要求：</w:t>
      </w:r>
    </w:p>
    <w:p w14:paraId="71433667">
      <w:pPr>
        <w:pStyle w:val="176"/>
        <w:numPr>
          <w:ilvl w:val="0"/>
          <w:numId w:val="35"/>
        </w:numPr>
      </w:pPr>
      <w:r>
        <w:rPr>
          <w:rFonts w:hint="eastAsia"/>
        </w:rPr>
        <w:t>应遵循最少够用、职责分离的原则，按照数据分级建立相应的数据访问控制措施和访问权限申请审批流程；</w:t>
      </w:r>
    </w:p>
    <w:p w14:paraId="0BF0D81C">
      <w:pPr>
        <w:pStyle w:val="176"/>
        <w:numPr>
          <w:ilvl w:val="0"/>
          <w:numId w:val="35"/>
        </w:numPr>
        <w:rPr>
          <w:rFonts w:hAnsi="黑体" w:cs="黑体"/>
        </w:rPr>
      </w:pPr>
      <w:r>
        <w:rPr>
          <w:rFonts w:hint="eastAsia"/>
        </w:rPr>
        <w:t>对于涉及用户个人信息的操作，应通过建立审批流程、限制数据访问范围等措施，限制批查查询、导出用户个人信息的操作功能</w:t>
      </w:r>
      <w:r>
        <w:rPr>
          <w:rFonts w:hint="eastAsia"/>
          <w:lang w:eastAsia="zh-CN"/>
        </w:rPr>
        <w:t>；</w:t>
      </w:r>
    </w:p>
    <w:p w14:paraId="4556AE76">
      <w:pPr>
        <w:pStyle w:val="176"/>
        <w:numPr>
          <w:ilvl w:val="0"/>
          <w:numId w:val="35"/>
        </w:numPr>
        <w:rPr>
          <w:rFonts w:hAnsi="黑体" w:cs="黑体"/>
        </w:rPr>
      </w:pPr>
      <w:r>
        <w:rPr>
          <w:rFonts w:hint="eastAsia"/>
        </w:rPr>
        <w:t>需保存对于个人敏感信息的访问日志记录，并定期进行审计</w:t>
      </w:r>
      <w:r>
        <w:rPr>
          <w:rFonts w:hint="eastAsia"/>
          <w:lang w:eastAsia="zh-CN"/>
        </w:rPr>
        <w:t>；</w:t>
      </w:r>
    </w:p>
    <w:p w14:paraId="1BCABE2B">
      <w:pPr>
        <w:pStyle w:val="176"/>
        <w:numPr>
          <w:ilvl w:val="0"/>
          <w:numId w:val="35"/>
        </w:numPr>
        <w:rPr>
          <w:rFonts w:hAnsi="黑体" w:cs="黑体"/>
        </w:rPr>
      </w:pPr>
      <w:r>
        <w:rPr>
          <w:rFonts w:hint="eastAsia"/>
        </w:rPr>
        <w:t>应有机制保障在数据访问使用完毕后，及时删除个人敏感数据。</w:t>
      </w:r>
    </w:p>
    <w:p w14:paraId="59B359EC">
      <w:pPr>
        <w:pStyle w:val="16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数据加工</w:t>
      </w:r>
    </w:p>
    <w:bookmarkEnd w:id="82"/>
    <w:p w14:paraId="39F68F50">
      <w:pPr>
        <w:pStyle w:val="58"/>
        <w:ind w:firstLine="420"/>
      </w:pPr>
      <w:bookmarkStart w:id="83" w:name="_Toc6522"/>
      <w:r>
        <w:rPr>
          <w:rFonts w:hint="eastAsia"/>
        </w:rPr>
        <w:t>网络支付服务提供者应在符合GB/T 35273-2020中7.4、7.5、7.7的要求基础上，遵守以下要求：</w:t>
      </w:r>
    </w:p>
    <w:p w14:paraId="40A7DFE6">
      <w:pPr>
        <w:pStyle w:val="176"/>
        <w:numPr>
          <w:ilvl w:val="0"/>
          <w:numId w:val="36"/>
        </w:numPr>
      </w:pPr>
      <w:r>
        <w:rPr>
          <w:rFonts w:hint="eastAsia"/>
        </w:rPr>
        <w:t>未经用户单独同意，不应对用户交易记录进行分析挖掘；</w:t>
      </w:r>
    </w:p>
    <w:p w14:paraId="77621966">
      <w:pPr>
        <w:pStyle w:val="176"/>
        <w:numPr>
          <w:ilvl w:val="0"/>
          <w:numId w:val="36"/>
        </w:numPr>
      </w:pPr>
      <w:r>
        <w:rPr>
          <w:rFonts w:hint="eastAsia"/>
        </w:rPr>
        <w:t>利用通过网络支付服务收集的个人信息进行自动化决策时，应允许用户自主选择；</w:t>
      </w:r>
    </w:p>
    <w:p w14:paraId="21CA626A">
      <w:pPr>
        <w:pStyle w:val="176"/>
        <w:numPr>
          <w:ilvl w:val="0"/>
          <w:numId w:val="36"/>
        </w:numPr>
      </w:pPr>
      <w:r>
        <w:rPr>
          <w:rFonts w:hint="eastAsia"/>
        </w:rPr>
        <w:t>依据交易记录进行账单分类时，不应对用户购买商品的明细内容进行分析，取得用户单独同意的除外</w:t>
      </w:r>
      <w:r>
        <w:rPr>
          <w:rFonts w:hint="eastAsia"/>
          <w:lang w:eastAsia="zh-CN"/>
        </w:rPr>
        <w:t>；</w:t>
      </w:r>
    </w:p>
    <w:p w14:paraId="68565F85">
      <w:pPr>
        <w:pStyle w:val="176"/>
        <w:numPr>
          <w:ilvl w:val="0"/>
          <w:numId w:val="36"/>
        </w:numPr>
      </w:pPr>
      <w:r>
        <w:rPr>
          <w:rFonts w:hint="eastAsia"/>
        </w:rPr>
        <w:t>应使用加密传输技术对数据加工传输过程中的用户敏感信息进行加密保护。</w:t>
      </w:r>
    </w:p>
    <w:p w14:paraId="56FE67B8">
      <w:pPr>
        <w:pStyle w:val="107"/>
        <w:keepNext w:val="0"/>
        <w:keepLines w:val="0"/>
        <w:pageBreakBefore w:val="0"/>
        <w:widowControl/>
        <w:kinsoku/>
        <w:wordWrap/>
        <w:overflowPunct/>
        <w:topLinePunct w:val="0"/>
        <w:autoSpaceDE/>
        <w:autoSpaceDN/>
        <w:bidi w:val="0"/>
        <w:adjustRightInd/>
        <w:snapToGrid/>
        <w:spacing w:before="120" w:after="120"/>
        <w:textAlignment w:val="auto"/>
        <w:rPr>
          <w:highlight w:val="none"/>
        </w:rPr>
      </w:pPr>
      <w:r>
        <w:rPr>
          <w:rFonts w:hint="eastAsia"/>
          <w:highlight w:val="none"/>
          <w:lang w:val="en-US" w:eastAsia="zh-CN"/>
        </w:rPr>
        <w:t>数据提供和公开</w:t>
      </w:r>
    </w:p>
    <w:p w14:paraId="348A3F75">
      <w:pPr>
        <w:pStyle w:val="16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lang w:val="en-US" w:eastAsia="zh-CN"/>
        </w:rPr>
        <w:t>数据提供</w:t>
      </w:r>
    </w:p>
    <w:p w14:paraId="442841DC">
      <w:pPr>
        <w:pStyle w:val="167"/>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pPr>
      <w:r>
        <w:rPr>
          <w:rFonts w:hint="eastAsia"/>
          <w:lang w:val="en-US" w:eastAsia="zh-CN"/>
        </w:rPr>
        <w:t>网络支付服务提供者向第三方提供数据，应在符合GB/T 35273-2020中9.2、9.3要求的基础上，遵守以下要求：</w:t>
      </w:r>
    </w:p>
    <w:p w14:paraId="4F9F4E90">
      <w:pPr>
        <w:pStyle w:val="176"/>
        <w:numPr>
          <w:ilvl w:val="0"/>
          <w:numId w:val="37"/>
        </w:numPr>
        <w:rPr>
          <w:rFonts w:hint="eastAsia"/>
          <w:lang w:val="en-US" w:eastAsia="zh-CN"/>
        </w:rPr>
      </w:pPr>
      <w:r>
        <w:rPr>
          <w:rFonts w:hint="eastAsia"/>
          <w:lang w:val="en-US" w:eastAsia="zh-CN"/>
        </w:rPr>
        <w:t>涉及向第三方提供用户个人信息的：</w:t>
      </w:r>
    </w:p>
    <w:p w14:paraId="23B22F4B">
      <w:pPr>
        <w:pStyle w:val="176"/>
        <w:numPr>
          <w:ilvl w:val="0"/>
          <w:numId w:val="38"/>
        </w:numPr>
      </w:pPr>
      <w:r>
        <w:rPr>
          <w:rFonts w:hint="eastAsia"/>
        </w:rPr>
        <w:t>应向用户告知第三方的名称或姓名、联系方式、处理目的、处理方式和个人信息的种类，并取得个人的单独同意；</w:t>
      </w:r>
    </w:p>
    <w:p w14:paraId="59AD6673">
      <w:pPr>
        <w:pStyle w:val="176"/>
        <w:numPr>
          <w:ilvl w:val="0"/>
          <w:numId w:val="38"/>
        </w:numPr>
      </w:pPr>
      <w:r>
        <w:rPr>
          <w:rFonts w:hint="eastAsia"/>
        </w:rPr>
        <w:t>应在提供前进行个人信息保护影响评估</w:t>
      </w:r>
      <w:r>
        <w:rPr>
          <w:rFonts w:hint="eastAsia"/>
          <w:lang w:eastAsia="zh-CN"/>
        </w:rPr>
        <w:t>；</w:t>
      </w:r>
    </w:p>
    <w:p w14:paraId="66369CE0">
      <w:pPr>
        <w:pStyle w:val="176"/>
        <w:numPr>
          <w:ilvl w:val="0"/>
          <w:numId w:val="38"/>
        </w:numPr>
      </w:pPr>
      <w:r>
        <w:rPr>
          <w:rFonts w:hint="eastAsia"/>
        </w:rPr>
        <w:t>应对第三方进行信息安全能力评估，确保第三方有效保护用户敏感信息。</w:t>
      </w:r>
    </w:p>
    <w:p w14:paraId="41F23937">
      <w:pPr>
        <w:pStyle w:val="176"/>
        <w:numPr>
          <w:ilvl w:val="0"/>
          <w:numId w:val="37"/>
        </w:numPr>
        <w:rPr>
          <w:rFonts w:hint="default"/>
          <w:lang w:val="en-US" w:eastAsia="zh-CN"/>
        </w:rPr>
      </w:pPr>
      <w:r>
        <w:rPr>
          <w:rFonts w:hint="eastAsia"/>
          <w:lang w:val="en-US" w:eastAsia="zh-CN"/>
        </w:rPr>
        <w:t>通过在网络支付平台中接入第三方应用或嵌入第三</w:t>
      </w:r>
      <w:r>
        <w:rPr>
          <w:rFonts w:hint="eastAsia"/>
          <w:highlight w:val="none"/>
          <w:lang w:val="en-US" w:eastAsia="zh-CN"/>
        </w:rPr>
        <w:t>方</w:t>
      </w:r>
      <w:r>
        <w:rPr>
          <w:rFonts w:hint="eastAsia"/>
          <w:color w:val="auto"/>
          <w:highlight w:val="none"/>
          <w:lang w:val="en-US" w:eastAsia="zh-CN"/>
        </w:rPr>
        <w:t>软件开发工具包（SDK）</w:t>
      </w:r>
      <w:r>
        <w:rPr>
          <w:rFonts w:hint="eastAsia"/>
          <w:lang w:val="en-US" w:eastAsia="zh-CN"/>
        </w:rPr>
        <w:t>的形式对外提供数据时：</w:t>
      </w:r>
    </w:p>
    <w:p w14:paraId="30886951">
      <w:pPr>
        <w:pStyle w:val="176"/>
        <w:numPr>
          <w:ilvl w:val="0"/>
          <w:numId w:val="39"/>
        </w:numPr>
        <w:ind w:left="1265" w:leftChars="0" w:hanging="425" w:firstLineChars="0"/>
        <w:rPr>
          <w:rFonts w:hint="eastAsia"/>
          <w:lang w:val="en-US" w:eastAsia="zh-CN"/>
        </w:rPr>
      </w:pPr>
      <w:r>
        <w:rPr>
          <w:rFonts w:hint="eastAsia"/>
          <w:lang w:val="en-US" w:eastAsia="zh-CN"/>
        </w:rPr>
        <w:t>应符合GB/T 41391-2022中6.6规定的要求；</w:t>
      </w:r>
    </w:p>
    <w:p w14:paraId="6E8A8222">
      <w:pPr>
        <w:pStyle w:val="176"/>
        <w:numPr>
          <w:ilvl w:val="0"/>
          <w:numId w:val="39"/>
        </w:numPr>
        <w:ind w:left="1265" w:leftChars="0" w:hanging="425" w:firstLineChars="0"/>
        <w:rPr>
          <w:rFonts w:hint="eastAsia"/>
          <w:lang w:val="en-US" w:eastAsia="zh-CN"/>
        </w:rPr>
      </w:pPr>
      <w:r>
        <w:rPr>
          <w:rFonts w:hint="eastAsia"/>
          <w:lang w:val="en-US" w:eastAsia="zh-CN"/>
        </w:rPr>
        <w:t>用户跳转至第三方应用时，应提醒用户关注第三方应用的个人信息收集使用规则，涉及提供身份证件号码、地址等敏感个人信息的，宜在相关页面以具体活动规则或其他适当途径向用户告知个人信息收集使用规则；</w:t>
      </w:r>
    </w:p>
    <w:p w14:paraId="0DBD407C">
      <w:pPr>
        <w:pStyle w:val="176"/>
        <w:numPr>
          <w:ilvl w:val="0"/>
          <w:numId w:val="39"/>
        </w:numPr>
        <w:ind w:left="1265" w:leftChars="0" w:hanging="425" w:firstLineChars="0"/>
        <w:rPr>
          <w:rFonts w:hint="default"/>
          <w:highlight w:val="none"/>
          <w:lang w:val="en-US" w:eastAsia="zh-CN"/>
        </w:rPr>
      </w:pPr>
      <w:r>
        <w:rPr>
          <w:rFonts w:hint="eastAsia"/>
          <w:lang w:val="en-US" w:eastAsia="zh-CN"/>
        </w:rPr>
        <w:t>应对第三方的数据安全保</w:t>
      </w:r>
      <w:r>
        <w:rPr>
          <w:rFonts w:hint="eastAsia"/>
          <w:highlight w:val="none"/>
          <w:lang w:val="en-US" w:eastAsia="zh-CN"/>
        </w:rPr>
        <w:t>护能力进行评估，并以协议等方式约定双方数据保护责任。</w:t>
      </w:r>
    </w:p>
    <w:p w14:paraId="0C3C11A4">
      <w:pPr>
        <w:pStyle w:val="176"/>
        <w:numPr>
          <w:ilvl w:val="0"/>
          <w:numId w:val="37"/>
        </w:numPr>
        <w:rPr>
          <w:rFonts w:hint="default"/>
          <w:lang w:val="en-US" w:eastAsia="zh-CN"/>
        </w:rPr>
      </w:pPr>
      <w:r>
        <w:rPr>
          <w:rFonts w:hint="eastAsia"/>
          <w:highlight w:val="none"/>
          <w:lang w:val="en-US" w:eastAsia="zh-CN"/>
        </w:rPr>
        <w:t>通过在第三方应用中嵌入网络支付服务</w:t>
      </w:r>
      <w:r>
        <w:rPr>
          <w:rFonts w:hint="eastAsia"/>
          <w:color w:val="auto"/>
          <w:highlight w:val="none"/>
          <w:lang w:val="en-US" w:eastAsia="zh-CN"/>
        </w:rPr>
        <w:t>软件开发工具包（SDK）</w:t>
      </w:r>
      <w:r>
        <w:rPr>
          <w:rFonts w:hint="eastAsia"/>
          <w:highlight w:val="none"/>
          <w:lang w:val="en-US" w:eastAsia="zh-CN"/>
        </w:rPr>
        <w:t>，提供</w:t>
      </w:r>
      <w:r>
        <w:rPr>
          <w:rFonts w:hint="eastAsia"/>
          <w:lang w:val="en-US" w:eastAsia="zh-CN"/>
        </w:rPr>
        <w:t>网络支付服务时，不应将用户账户余额、银行卡绑定信息、个人身份鉴别信息、与当次支付行为无关的用户交易记录等数据提供给第三方应用。</w:t>
      </w:r>
    </w:p>
    <w:p w14:paraId="0C1CF328">
      <w:pPr>
        <w:pStyle w:val="16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lang w:val="en-US" w:eastAsia="zh-CN"/>
        </w:rPr>
        <w:t>数据公开</w:t>
      </w:r>
    </w:p>
    <w:p w14:paraId="5562DD43">
      <w:pPr>
        <w:pStyle w:val="167"/>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pPr>
      <w:r>
        <w:rPr>
          <w:rFonts w:hint="eastAsia"/>
          <w:lang w:val="en-US" w:eastAsia="zh-CN"/>
        </w:rPr>
        <w:t>网络支付服务公开用户数据，应符合GB/T 35273-2020中9.4的要求。</w:t>
      </w:r>
    </w:p>
    <w:p w14:paraId="06AF889F">
      <w:pPr>
        <w:pStyle w:val="107"/>
        <w:keepNext w:val="0"/>
        <w:keepLines w:val="0"/>
        <w:pageBreakBefore w:val="0"/>
        <w:widowControl/>
        <w:kinsoku/>
        <w:wordWrap/>
        <w:overflowPunct/>
        <w:topLinePunct w:val="0"/>
        <w:autoSpaceDE/>
        <w:autoSpaceDN/>
        <w:bidi w:val="0"/>
        <w:adjustRightInd/>
        <w:snapToGrid/>
        <w:spacing w:before="120" w:after="120"/>
        <w:textAlignment w:val="auto"/>
        <w:rPr>
          <w:highlight w:val="none"/>
        </w:rPr>
      </w:pPr>
      <w:r>
        <w:rPr>
          <w:rFonts w:hint="eastAsia"/>
          <w:highlight w:val="none"/>
          <w:lang w:val="en-US" w:eastAsia="zh-CN"/>
        </w:rPr>
        <w:t>数据删除</w:t>
      </w:r>
    </w:p>
    <w:p w14:paraId="445E6F68">
      <w:pPr>
        <w:pStyle w:val="167"/>
        <w:rPr>
          <w:highlight w:val="none"/>
        </w:rPr>
      </w:pPr>
      <w:r>
        <w:rPr>
          <w:rFonts w:hint="eastAsia"/>
          <w:highlight w:val="none"/>
        </w:rPr>
        <w:t>网络支付服务提供者删除数据，应符合GB/T 35273-2020中6.1和8.3的要求。</w:t>
      </w:r>
    </w:p>
    <w:p w14:paraId="4F7B275B">
      <w:pPr>
        <w:pStyle w:val="167"/>
        <w:rPr>
          <w:rFonts w:hint="eastAsia"/>
          <w:highlight w:val="none"/>
        </w:rPr>
      </w:pPr>
      <w:r>
        <w:rPr>
          <w:rFonts w:hint="eastAsia"/>
          <w:highlight w:val="none"/>
        </w:rPr>
        <w:t>支付相关数据需满足监管要求的保存期限，在保存期限之内的数据不</w:t>
      </w:r>
      <w:r>
        <w:rPr>
          <w:rFonts w:hint="eastAsia"/>
          <w:highlight w:val="none"/>
          <w:lang w:val="en-US" w:eastAsia="zh-CN"/>
        </w:rPr>
        <w:t>应</w:t>
      </w:r>
      <w:r>
        <w:rPr>
          <w:rFonts w:hint="eastAsia"/>
          <w:highlight w:val="none"/>
        </w:rPr>
        <w:t>删除。</w:t>
      </w:r>
    </w:p>
    <w:p w14:paraId="51F6B1C2">
      <w:pPr>
        <w:pStyle w:val="107"/>
        <w:keepNext w:val="0"/>
        <w:keepLines w:val="0"/>
        <w:pageBreakBefore w:val="0"/>
        <w:widowControl/>
        <w:kinsoku/>
        <w:wordWrap/>
        <w:overflowPunct/>
        <w:topLinePunct w:val="0"/>
        <w:autoSpaceDE/>
        <w:autoSpaceDN/>
        <w:bidi w:val="0"/>
        <w:adjustRightInd/>
        <w:snapToGrid/>
        <w:spacing w:before="120" w:after="120"/>
        <w:textAlignment w:val="auto"/>
        <w:rPr>
          <w:highlight w:val="none"/>
        </w:rPr>
      </w:pPr>
      <w:r>
        <w:rPr>
          <w:rFonts w:hint="eastAsia"/>
          <w:highlight w:val="none"/>
          <w:lang w:val="en-US" w:eastAsia="zh-CN"/>
        </w:rPr>
        <w:t>数据出境</w:t>
      </w:r>
    </w:p>
    <w:bookmarkEnd w:id="81"/>
    <w:bookmarkEnd w:id="83"/>
    <w:p w14:paraId="723722FB">
      <w:pPr>
        <w:pStyle w:val="176"/>
        <w:keepNext w:val="0"/>
        <w:keepLines w:val="0"/>
        <w:pageBreakBefore w:val="0"/>
        <w:widowControl/>
        <w:numPr>
          <w:ilvl w:val="0"/>
          <w:numId w:val="0"/>
        </w:numPr>
        <w:kinsoku/>
        <w:wordWrap/>
        <w:overflowPunct/>
        <w:topLinePunct w:val="0"/>
        <w:autoSpaceDE/>
        <w:autoSpaceDN/>
        <w:bidi w:val="0"/>
        <w:adjustRightInd/>
        <w:snapToGrid/>
        <w:ind w:left="0" w:firstLine="420" w:firstLineChars="200"/>
        <w:textAlignment w:val="auto"/>
      </w:pPr>
      <w:bookmarkStart w:id="84" w:name="_Toc104214136"/>
      <w:bookmarkStart w:id="85" w:name="_Toc104273494"/>
      <w:r>
        <w:rPr>
          <w:rFonts w:hint="eastAsia"/>
        </w:rPr>
        <w:t>网络支付服务提供者如提供跨境支付服务，在境外商户消费、向境外汇款/接收境外汇款、为用户提供跨境支付结算服务等场景下，涉及数据出境、网络支付服务提供者数据出境应符合以下要求：</w:t>
      </w:r>
    </w:p>
    <w:p w14:paraId="6E3DED07">
      <w:pPr>
        <w:pStyle w:val="176"/>
        <w:numPr>
          <w:ilvl w:val="0"/>
          <w:numId w:val="40"/>
        </w:numPr>
      </w:pPr>
      <w:r>
        <w:rPr>
          <w:rFonts w:hint="eastAsia"/>
        </w:rPr>
        <w:t>不涉及处理跨境支付业务的，不应向境外提供个人信息等数据；</w:t>
      </w:r>
    </w:p>
    <w:p w14:paraId="35BC8F72">
      <w:pPr>
        <w:pStyle w:val="176"/>
        <w:numPr>
          <w:ilvl w:val="0"/>
          <w:numId w:val="40"/>
        </w:numPr>
      </w:pPr>
      <w:r>
        <w:rPr>
          <w:rFonts w:hint="eastAsia"/>
        </w:rPr>
        <w:t>出境数据应仅限为处理跨境支付业务所需的必要信息；</w:t>
      </w:r>
    </w:p>
    <w:p w14:paraId="03BC0928">
      <w:pPr>
        <w:pStyle w:val="176"/>
        <w:numPr>
          <w:ilvl w:val="0"/>
          <w:numId w:val="40"/>
        </w:numPr>
      </w:pPr>
      <w:r>
        <w:rPr>
          <w:rFonts w:hint="eastAsia"/>
        </w:rPr>
        <w:t>应建立数据出境记录，包括但不限于出境时间、数据类型、数量、目的地、境外接收方等，相关记录至少保存五年</w:t>
      </w:r>
      <w:r>
        <w:rPr>
          <w:rFonts w:hint="eastAsia"/>
          <w:lang w:eastAsia="zh-CN"/>
        </w:rPr>
        <w:t>；</w:t>
      </w:r>
    </w:p>
    <w:p w14:paraId="5069C220">
      <w:pPr>
        <w:pStyle w:val="176"/>
        <w:numPr>
          <w:ilvl w:val="0"/>
          <w:numId w:val="40"/>
        </w:numPr>
        <w:rPr>
          <w:color w:val="auto"/>
        </w:rPr>
      </w:pPr>
      <w:r>
        <w:rPr>
          <w:rFonts w:hint="eastAsia"/>
        </w:rPr>
        <w:t>需按照</w:t>
      </w:r>
      <w:r>
        <w:rPr>
          <w:rFonts w:hint="eastAsia"/>
          <w:shd w:val="clear" w:color="auto" w:fill="FFFFFF"/>
        </w:rPr>
        <w:t>国家互联网信息办公室</w:t>
      </w:r>
      <w:r>
        <w:rPr>
          <w:rFonts w:hint="eastAsia"/>
        </w:rPr>
        <w:t>《</w:t>
      </w:r>
      <w:r>
        <w:rPr>
          <w:rFonts w:hint="eastAsia"/>
          <w:shd w:val="clear" w:color="auto" w:fill="FFFFFF"/>
        </w:rPr>
        <w:t>数据出境安全评估办法》</w:t>
      </w:r>
      <w:r>
        <w:rPr>
          <w:rFonts w:hint="eastAsia"/>
        </w:rPr>
        <w:t>要求</w:t>
      </w:r>
      <w:r>
        <w:rPr>
          <w:rFonts w:hint="eastAsia"/>
          <w:color w:val="auto"/>
          <w:shd w:val="clear" w:color="auto" w:fill="FFFFFF"/>
        </w:rPr>
        <w:t>开展数据出境风险自评估及数据出境安全评估申报。</w:t>
      </w:r>
    </w:p>
    <w:p w14:paraId="658B47C5">
      <w:pPr>
        <w:rPr>
          <w:color w:val="auto"/>
        </w:rPr>
      </w:pPr>
      <w:r>
        <w:rPr>
          <w:rFonts w:hint="eastAsia"/>
          <w:color w:val="auto"/>
        </w:rPr>
        <w:br w:type="page"/>
      </w:r>
    </w:p>
    <w:p w14:paraId="09E87E4C">
      <w:pPr>
        <w:widowControl/>
        <w:shd w:val="clear" w:color="FFFFFF" w:fill="FFFFFF"/>
        <w:adjustRightInd/>
        <w:spacing w:before="580" w:after="156" w:afterLines="50" w:line="240" w:lineRule="auto"/>
        <w:jc w:val="center"/>
        <w:outlineLvl w:val="0"/>
        <w:rPr>
          <w:rFonts w:ascii="黑体" w:hAnsi="Calibri" w:eastAsia="黑体" w:cs="Times New Roman"/>
          <w:kern w:val="0"/>
          <w:sz w:val="21"/>
          <w:szCs w:val="21"/>
          <w:lang w:val="en-US" w:eastAsia="zh-CN" w:bidi="ar-SA"/>
        </w:rPr>
      </w:pPr>
      <w:bookmarkStart w:id="86" w:name="_Toc11162"/>
      <w:bookmarkStart w:id="87" w:name="_Toc130913929"/>
      <w:bookmarkStart w:id="88" w:name="_Toc22662"/>
      <w:bookmarkStart w:id="89" w:name="_Toc130912689"/>
      <w:bookmarkStart w:id="90" w:name="_Toc23447"/>
      <w:bookmarkStart w:id="91" w:name="_Toc32604"/>
      <w:bookmarkStart w:id="92" w:name="_Toc141455590"/>
      <w:bookmarkStart w:id="93" w:name="_Toc28245"/>
      <w:bookmarkStart w:id="94" w:name="_Toc13836"/>
      <w:r>
        <w:rPr>
          <w:rFonts w:hint="eastAsia" w:ascii="黑体" w:hAnsi="Calibri" w:eastAsia="黑体" w:cs="Times New Roman"/>
          <w:spacing w:val="105"/>
          <w:kern w:val="0"/>
          <w:sz w:val="21"/>
          <w:szCs w:val="21"/>
          <w:lang w:val="en-US" w:eastAsia="zh-CN" w:bidi="ar-SA"/>
        </w:rPr>
        <w:t>参考文</w:t>
      </w:r>
      <w:r>
        <w:rPr>
          <w:rFonts w:hint="eastAsia" w:ascii="黑体" w:hAnsi="Calibri" w:eastAsia="黑体" w:cs="Times New Roman"/>
          <w:kern w:val="0"/>
          <w:sz w:val="21"/>
          <w:szCs w:val="21"/>
          <w:lang w:val="en-US" w:eastAsia="zh-CN" w:bidi="ar-SA"/>
        </w:rPr>
        <w:t>献</w:t>
      </w:r>
      <w:bookmarkEnd w:id="86"/>
      <w:bookmarkEnd w:id="87"/>
      <w:bookmarkEnd w:id="88"/>
      <w:bookmarkEnd w:id="89"/>
      <w:bookmarkEnd w:id="90"/>
      <w:bookmarkEnd w:id="91"/>
      <w:bookmarkEnd w:id="92"/>
      <w:bookmarkEnd w:id="93"/>
      <w:bookmarkEnd w:id="94"/>
    </w:p>
    <w:p w14:paraId="69B8B41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cs="宋体"/>
          <w:lang w:val="en-US" w:eastAsia="zh-CN"/>
        </w:rPr>
        <w:t xml:space="preserve">  </w:t>
      </w:r>
      <w:r>
        <w:rPr>
          <w:rFonts w:hint="eastAsia" w:ascii="宋体" w:hAnsi="宋体" w:eastAsia="宋体" w:cs="宋体"/>
        </w:rPr>
        <w:t>《非银行支付机构网络支付业务管理办法》</w:t>
      </w:r>
      <w:r>
        <w:rPr>
          <w:rFonts w:hint="eastAsia" w:ascii="宋体" w:hAnsi="宋体" w:eastAsia="宋体" w:cs="宋体"/>
          <w:lang w:eastAsia="zh-CN"/>
        </w:rPr>
        <w:t>（中国人民银行令〔2020〕第2号）</w:t>
      </w:r>
    </w:p>
    <w:p w14:paraId="2376541F">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highlight w:val="none"/>
          <w:lang w:eastAsia="zh-CN"/>
        </w:rPr>
      </w:pPr>
      <w:r>
        <w:rPr>
          <w:rFonts w:hint="eastAsia" w:ascii="宋体" w:hAnsi="宋体" w:eastAsia="宋体" w:cs="宋体"/>
          <w:lang w:val="en-US" w:eastAsia="zh-CN"/>
        </w:rPr>
        <w:t>[</w:t>
      </w:r>
      <w:r>
        <w:rPr>
          <w:rFonts w:hint="eastAsia" w:ascii="宋体" w:hAnsi="宋体" w:cs="宋体"/>
          <w:lang w:val="en-US" w:eastAsia="zh-CN"/>
        </w:rPr>
        <w:t>2</w:t>
      </w:r>
      <w:r>
        <w:rPr>
          <w:rFonts w:hint="eastAsia" w:ascii="宋体" w:hAnsi="宋体" w:eastAsia="宋体" w:cs="宋体"/>
          <w:lang w:val="en-US" w:eastAsia="zh-CN"/>
        </w:rPr>
        <w:t>]</w:t>
      </w:r>
      <w:r>
        <w:rPr>
          <w:rFonts w:hint="eastAsia" w:ascii="宋体" w:hAnsi="宋体" w:cs="宋体"/>
          <w:lang w:val="en-US" w:eastAsia="zh-CN"/>
        </w:rPr>
        <w:t xml:space="preserve">  </w:t>
      </w:r>
      <w:r>
        <w:rPr>
          <w:rFonts w:hint="eastAsia"/>
          <w:highlight w:val="none"/>
        </w:rPr>
        <w:t>《</w:t>
      </w:r>
      <w:r>
        <w:rPr>
          <w:rFonts w:hint="eastAsia"/>
          <w:highlight w:val="none"/>
          <w:shd w:val="clear" w:color="auto" w:fill="FFFFFF"/>
        </w:rPr>
        <w:t>数据出境安全评估办法》</w:t>
      </w:r>
      <w:r>
        <w:rPr>
          <w:rFonts w:hint="eastAsia" w:ascii="宋体" w:hAnsi="宋体" w:eastAsia="宋体" w:cs="宋体"/>
          <w:highlight w:val="none"/>
          <w:shd w:val="clear" w:color="auto" w:fill="FFFFFF"/>
          <w:lang w:eastAsia="zh-CN"/>
        </w:rPr>
        <w:t>（国家互联网信息办公室令第11号）</w:t>
      </w:r>
    </w:p>
    <w:bookmarkEnd w:id="40"/>
    <w:bookmarkEnd w:id="84"/>
    <w:bookmarkEnd w:id="85"/>
    <w:p w14:paraId="32975955">
      <w:pPr>
        <w:pStyle w:val="58"/>
        <w:ind w:firstLine="0" w:firstLineChars="0"/>
        <w:jc w:val="center"/>
      </w:pPr>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headerReference r:id="rId15" w:type="default"/>
      <w:footerReference r:id="rId17" w:type="default"/>
      <w:headerReference r:id="rId16" w:type="even"/>
      <w:footerReference r:id="rId18" w:type="even"/>
      <w:pgSz w:w="11906" w:h="16838"/>
      <w:pgMar w:top="1985" w:right="1134" w:bottom="1134" w:left="1418" w:header="1418" w:footer="1134" w:gutter="0"/>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501DC">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5EF5">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672B">
    <w:pPr>
      <w:pStyle w:val="5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36792">
                          <w:pPr>
                            <w:pStyle w:val="54"/>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F636792">
                    <w:pPr>
                      <w:pStyle w:val="54"/>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5AA7">
    <w:pPr>
      <w:pStyle w:val="1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86B4E">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6686B4E">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37B7C">
    <w:pPr>
      <w:pStyle w:val="18"/>
      <w:ind w:right="720"/>
      <w:jc w:val="both"/>
      <w:rPr>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B1D45">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CAB1D45">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22DE5">
    <w:pPr>
      <w:pStyle w:val="5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F3E2D">
                          <w:pPr>
                            <w:pStyle w:val="54"/>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DCF3E2D">
                    <w:pPr>
                      <w:pStyle w:val="54"/>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844C">
    <w:pPr>
      <w:pStyle w:val="18"/>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EF7A9">
                          <w:pPr>
                            <w:pStyle w:val="18"/>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40EF7A9">
                    <w:pPr>
                      <w:pStyle w:val="18"/>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D332F">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E949">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0E2F">
    <w:pPr>
      <w:pStyle w:val="63"/>
    </w:pPr>
    <w:r>
      <w:fldChar w:fldCharType="begin"/>
    </w:r>
    <w:r>
      <w:instrText xml:space="preserve"> STYLEREF  标准文件_文件编号  \* MERGEFORMAT </w:instrText>
    </w:r>
    <w:r>
      <w:fldChar w:fldCharType="separate"/>
    </w:r>
    <w:r>
      <w:t>T/ZS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A350">
    <w:pPr>
      <w:pStyle w:val="19"/>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XXXX—2024</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C46D2">
    <w:pPr>
      <w:pStyle w:val="19"/>
      <w:spacing w:after="120" w:afterLines="50" w:line="240" w:lineRule="auto"/>
      <w:jc w:val="right"/>
      <w:rPr>
        <w:sz w:val="2"/>
        <w:szCs w:val="2"/>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XXXX—2024</w:t>
    </w:r>
    <w:r>
      <w:rPr>
        <w:rFonts w:hint="eastAsia" w:ascii="黑体" w:hAnsi="黑体" w:eastAsia="黑体" w:cs="黑体"/>
        <w:sz w:val="21"/>
        <w:szCs w:val="2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ED44">
    <w:pPr>
      <w:pStyle w:val="63"/>
    </w:pPr>
    <w:r>
      <w:fldChar w:fldCharType="begin"/>
    </w:r>
    <w:r>
      <w:instrText xml:space="preserve"> STYLEREF  标准文件_文件编号  \* MERGEFORMAT </w:instrText>
    </w:r>
    <w:r>
      <w:fldChar w:fldCharType="separate"/>
    </w:r>
    <w:r>
      <w:t>T/ZS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ECE3">
    <w:pPr>
      <w:pStyle w:val="19"/>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XXXX—2024</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2CC16CB7"/>
    <w:multiLevelType w:val="singleLevel"/>
    <w:tmpl w:val="2CC16CB7"/>
    <w:lvl w:ilvl="0" w:tentative="0">
      <w:start w:val="1"/>
      <w:numFmt w:val="decimal"/>
      <w:lvlText w:val="%1)"/>
      <w:lvlJc w:val="left"/>
      <w:pPr>
        <w:tabs>
          <w:tab w:val="left" w:pos="840"/>
        </w:tabs>
        <w:ind w:left="1265" w:hanging="425"/>
      </w:pPr>
      <w:rPr>
        <w:rFonts w:hint="default"/>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DAC638B"/>
    <w:multiLevelType w:val="singleLevel"/>
    <w:tmpl w:val="7DAC638B"/>
    <w:lvl w:ilvl="0" w:tentative="0">
      <w:start w:val="1"/>
      <w:numFmt w:val="decimal"/>
      <w:lvlText w:val="%1)"/>
      <w:lvlJc w:val="left"/>
      <w:pPr>
        <w:tabs>
          <w:tab w:val="left" w:pos="840"/>
        </w:tabs>
        <w:ind w:left="1265" w:hanging="425"/>
      </w:pPr>
      <w:rPr>
        <w:rFonts w:hint="default"/>
      </w:r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1"/>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mM2U3MDBhNDg3MDM1YTExNzUzZDNiNjY0NDlkMjQ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1AE9"/>
    <w:rsid w:val="001042A2"/>
    <w:rsid w:val="0010458D"/>
    <w:rsid w:val="00104926"/>
    <w:rsid w:val="00107B7E"/>
    <w:rsid w:val="00110D15"/>
    <w:rsid w:val="00112F78"/>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3F4"/>
    <w:rsid w:val="001356C4"/>
    <w:rsid w:val="00136E77"/>
    <w:rsid w:val="00137565"/>
    <w:rsid w:val="00140C3D"/>
    <w:rsid w:val="00141114"/>
    <w:rsid w:val="00142969"/>
    <w:rsid w:val="001446C2"/>
    <w:rsid w:val="001457E7"/>
    <w:rsid w:val="00145D9D"/>
    <w:rsid w:val="00146388"/>
    <w:rsid w:val="00147BAA"/>
    <w:rsid w:val="001529E5"/>
    <w:rsid w:val="00152FB3"/>
    <w:rsid w:val="00153C7E"/>
    <w:rsid w:val="00156B25"/>
    <w:rsid w:val="00156E1A"/>
    <w:rsid w:val="001576A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21C0"/>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0663A"/>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EF4"/>
    <w:rsid w:val="00270CB8"/>
    <w:rsid w:val="00272B08"/>
    <w:rsid w:val="00280C91"/>
    <w:rsid w:val="00281BB8"/>
    <w:rsid w:val="00281E9E"/>
    <w:rsid w:val="00282405"/>
    <w:rsid w:val="00282A05"/>
    <w:rsid w:val="00283149"/>
    <w:rsid w:val="0028455E"/>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6BB9"/>
    <w:rsid w:val="002A757F"/>
    <w:rsid w:val="002A7F44"/>
    <w:rsid w:val="002B0C40"/>
    <w:rsid w:val="002B18F7"/>
    <w:rsid w:val="002B1966"/>
    <w:rsid w:val="002B1EB5"/>
    <w:rsid w:val="002B247F"/>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2E9"/>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67CEB"/>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672B9"/>
    <w:rsid w:val="00470775"/>
    <w:rsid w:val="00473031"/>
    <w:rsid w:val="004736CB"/>
    <w:rsid w:val="00473850"/>
    <w:rsid w:val="004746B1"/>
    <w:rsid w:val="0047567B"/>
    <w:rsid w:val="0047583F"/>
    <w:rsid w:val="00475DE8"/>
    <w:rsid w:val="00480A08"/>
    <w:rsid w:val="00481283"/>
    <w:rsid w:val="00481C44"/>
    <w:rsid w:val="00484936"/>
    <w:rsid w:val="004853F4"/>
    <w:rsid w:val="00485C89"/>
    <w:rsid w:val="00486198"/>
    <w:rsid w:val="00486BE3"/>
    <w:rsid w:val="004905E4"/>
    <w:rsid w:val="00490A89"/>
    <w:rsid w:val="00490AB4"/>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B21"/>
    <w:rsid w:val="004B2E1B"/>
    <w:rsid w:val="004B3AA8"/>
    <w:rsid w:val="004B3E93"/>
    <w:rsid w:val="004B67BE"/>
    <w:rsid w:val="004B6FDA"/>
    <w:rsid w:val="004C0647"/>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1926"/>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202"/>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33"/>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30C9"/>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B59"/>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2701"/>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331"/>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0750"/>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971"/>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0EA3"/>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4BD3"/>
    <w:rsid w:val="00A6537A"/>
    <w:rsid w:val="00A65E2E"/>
    <w:rsid w:val="00A67866"/>
    <w:rsid w:val="00A70755"/>
    <w:rsid w:val="00A70B07"/>
    <w:rsid w:val="00A70B25"/>
    <w:rsid w:val="00A71EE3"/>
    <w:rsid w:val="00A723F8"/>
    <w:rsid w:val="00A7468D"/>
    <w:rsid w:val="00A77CCB"/>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6CC3"/>
    <w:rsid w:val="00AB7129"/>
    <w:rsid w:val="00AC27A6"/>
    <w:rsid w:val="00AC30F7"/>
    <w:rsid w:val="00AC3A5A"/>
    <w:rsid w:val="00AC3CBD"/>
    <w:rsid w:val="00AC4D95"/>
    <w:rsid w:val="00AC54B1"/>
    <w:rsid w:val="00AC5DF4"/>
    <w:rsid w:val="00AD0AEF"/>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0941"/>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6751C"/>
    <w:rsid w:val="00B72880"/>
    <w:rsid w:val="00B758BF"/>
    <w:rsid w:val="00B77EC8"/>
    <w:rsid w:val="00B827A6"/>
    <w:rsid w:val="00B831CE"/>
    <w:rsid w:val="00B83FFE"/>
    <w:rsid w:val="00B86677"/>
    <w:rsid w:val="00B87131"/>
    <w:rsid w:val="00B906A4"/>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3D5B"/>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43F0"/>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58B2"/>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559A7"/>
    <w:rsid w:val="00D60905"/>
    <w:rsid w:val="00D61080"/>
    <w:rsid w:val="00D64AE1"/>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0BF"/>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22C0"/>
    <w:rsid w:val="00EF3235"/>
    <w:rsid w:val="00EF7E72"/>
    <w:rsid w:val="00F00B8E"/>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03A7"/>
    <w:rsid w:val="00F2255F"/>
    <w:rsid w:val="00F226BD"/>
    <w:rsid w:val="00F25057"/>
    <w:rsid w:val="00F25BB6"/>
    <w:rsid w:val="00F25C45"/>
    <w:rsid w:val="00F26B7E"/>
    <w:rsid w:val="00F27A3B"/>
    <w:rsid w:val="00F3289D"/>
    <w:rsid w:val="00F33817"/>
    <w:rsid w:val="00F4088E"/>
    <w:rsid w:val="00F420D5"/>
    <w:rsid w:val="00F444A3"/>
    <w:rsid w:val="00F451EA"/>
    <w:rsid w:val="00F45447"/>
    <w:rsid w:val="00F456C6"/>
    <w:rsid w:val="00F4577B"/>
    <w:rsid w:val="00F46496"/>
    <w:rsid w:val="00F4664C"/>
    <w:rsid w:val="00F47298"/>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2B7B"/>
    <w:rsid w:val="00FB4547"/>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11A24F4"/>
    <w:rsid w:val="01347A59"/>
    <w:rsid w:val="013C690E"/>
    <w:rsid w:val="01585DB6"/>
    <w:rsid w:val="015E6884"/>
    <w:rsid w:val="01761E20"/>
    <w:rsid w:val="0187402D"/>
    <w:rsid w:val="018F4C90"/>
    <w:rsid w:val="019F1377"/>
    <w:rsid w:val="01AC4C94"/>
    <w:rsid w:val="01CA5CC8"/>
    <w:rsid w:val="01FE5971"/>
    <w:rsid w:val="02380E83"/>
    <w:rsid w:val="0297204E"/>
    <w:rsid w:val="02C72207"/>
    <w:rsid w:val="02D50DC8"/>
    <w:rsid w:val="02E334E5"/>
    <w:rsid w:val="02F53218"/>
    <w:rsid w:val="03015719"/>
    <w:rsid w:val="03367AB9"/>
    <w:rsid w:val="036363D4"/>
    <w:rsid w:val="03BB6210"/>
    <w:rsid w:val="03C76963"/>
    <w:rsid w:val="03E5328D"/>
    <w:rsid w:val="03F60FF6"/>
    <w:rsid w:val="04073203"/>
    <w:rsid w:val="042042C5"/>
    <w:rsid w:val="04363AE8"/>
    <w:rsid w:val="04387860"/>
    <w:rsid w:val="04610B65"/>
    <w:rsid w:val="046248DD"/>
    <w:rsid w:val="04763EE5"/>
    <w:rsid w:val="04874344"/>
    <w:rsid w:val="04AE18D1"/>
    <w:rsid w:val="04CE5ACF"/>
    <w:rsid w:val="05087233"/>
    <w:rsid w:val="05094D59"/>
    <w:rsid w:val="05171224"/>
    <w:rsid w:val="05283431"/>
    <w:rsid w:val="053C512E"/>
    <w:rsid w:val="054A15F9"/>
    <w:rsid w:val="05557F9E"/>
    <w:rsid w:val="059E36F3"/>
    <w:rsid w:val="05B44CC5"/>
    <w:rsid w:val="05CA098C"/>
    <w:rsid w:val="05CB200E"/>
    <w:rsid w:val="05D84E57"/>
    <w:rsid w:val="05F11A75"/>
    <w:rsid w:val="0607573C"/>
    <w:rsid w:val="062C0CFF"/>
    <w:rsid w:val="062F259D"/>
    <w:rsid w:val="06367DD0"/>
    <w:rsid w:val="06383B48"/>
    <w:rsid w:val="063D4CBA"/>
    <w:rsid w:val="063E0A32"/>
    <w:rsid w:val="06620BC5"/>
    <w:rsid w:val="06677F89"/>
    <w:rsid w:val="069A65B0"/>
    <w:rsid w:val="069D1BFD"/>
    <w:rsid w:val="06B331CE"/>
    <w:rsid w:val="06CE1DB6"/>
    <w:rsid w:val="06D575E9"/>
    <w:rsid w:val="06D870D9"/>
    <w:rsid w:val="06DF3FC3"/>
    <w:rsid w:val="06E31D05"/>
    <w:rsid w:val="06FA2BAB"/>
    <w:rsid w:val="07091040"/>
    <w:rsid w:val="07131EBF"/>
    <w:rsid w:val="074402CA"/>
    <w:rsid w:val="07462294"/>
    <w:rsid w:val="074F739B"/>
    <w:rsid w:val="07506C6F"/>
    <w:rsid w:val="0757624F"/>
    <w:rsid w:val="07724E37"/>
    <w:rsid w:val="078801B7"/>
    <w:rsid w:val="078B7CA7"/>
    <w:rsid w:val="07CF5DE6"/>
    <w:rsid w:val="07E37AE3"/>
    <w:rsid w:val="08144141"/>
    <w:rsid w:val="08470072"/>
    <w:rsid w:val="08601134"/>
    <w:rsid w:val="08674270"/>
    <w:rsid w:val="08716E9D"/>
    <w:rsid w:val="08935065"/>
    <w:rsid w:val="08AE24F7"/>
    <w:rsid w:val="08C96CD9"/>
    <w:rsid w:val="09104908"/>
    <w:rsid w:val="09265ED9"/>
    <w:rsid w:val="09300B06"/>
    <w:rsid w:val="09420839"/>
    <w:rsid w:val="0946657C"/>
    <w:rsid w:val="095567BF"/>
    <w:rsid w:val="098350DA"/>
    <w:rsid w:val="09866978"/>
    <w:rsid w:val="09BB0D18"/>
    <w:rsid w:val="09ED4C49"/>
    <w:rsid w:val="09F47D86"/>
    <w:rsid w:val="09F558AC"/>
    <w:rsid w:val="0A0C1573"/>
    <w:rsid w:val="0A232419"/>
    <w:rsid w:val="0A432ABB"/>
    <w:rsid w:val="0A4F76B2"/>
    <w:rsid w:val="0ABD0ABF"/>
    <w:rsid w:val="0AE41BA8"/>
    <w:rsid w:val="0AE918B4"/>
    <w:rsid w:val="0AEC3153"/>
    <w:rsid w:val="0AFB6FF6"/>
    <w:rsid w:val="0B1D50BA"/>
    <w:rsid w:val="0B2C17A1"/>
    <w:rsid w:val="0B2C354F"/>
    <w:rsid w:val="0B422D73"/>
    <w:rsid w:val="0B8E420A"/>
    <w:rsid w:val="0B93537C"/>
    <w:rsid w:val="0B9A2BAF"/>
    <w:rsid w:val="0BAF665A"/>
    <w:rsid w:val="0C1464BD"/>
    <w:rsid w:val="0C4F1BEB"/>
    <w:rsid w:val="0C7D0506"/>
    <w:rsid w:val="0C8C0749"/>
    <w:rsid w:val="0C9F66CF"/>
    <w:rsid w:val="0CA05FA3"/>
    <w:rsid w:val="0CA35A93"/>
    <w:rsid w:val="0CAF4438"/>
    <w:rsid w:val="0CB90E13"/>
    <w:rsid w:val="0CD8398F"/>
    <w:rsid w:val="0D0C188A"/>
    <w:rsid w:val="0D1C7D1F"/>
    <w:rsid w:val="0D1F511A"/>
    <w:rsid w:val="0D2564A8"/>
    <w:rsid w:val="0D314E4D"/>
    <w:rsid w:val="0D584ACF"/>
    <w:rsid w:val="0D782A7C"/>
    <w:rsid w:val="0D9D0734"/>
    <w:rsid w:val="0DA25D4B"/>
    <w:rsid w:val="0DA41AC3"/>
    <w:rsid w:val="0DA47D15"/>
    <w:rsid w:val="0DA675E9"/>
    <w:rsid w:val="0DBA12E6"/>
    <w:rsid w:val="0DBA3094"/>
    <w:rsid w:val="0DD203DE"/>
    <w:rsid w:val="0DD51C7C"/>
    <w:rsid w:val="0DDE3227"/>
    <w:rsid w:val="0DF5231E"/>
    <w:rsid w:val="0E0013EF"/>
    <w:rsid w:val="0E2844A2"/>
    <w:rsid w:val="0E63197E"/>
    <w:rsid w:val="0E7771D7"/>
    <w:rsid w:val="0E8F62CF"/>
    <w:rsid w:val="0E9953A0"/>
    <w:rsid w:val="0EF645A0"/>
    <w:rsid w:val="0EFA4090"/>
    <w:rsid w:val="0F29227F"/>
    <w:rsid w:val="0F307AB2"/>
    <w:rsid w:val="0F4E1CE6"/>
    <w:rsid w:val="0F696B20"/>
    <w:rsid w:val="0F707EAE"/>
    <w:rsid w:val="0FAB538A"/>
    <w:rsid w:val="0FC1695C"/>
    <w:rsid w:val="0FCD3553"/>
    <w:rsid w:val="0FD61CDB"/>
    <w:rsid w:val="0FE34B24"/>
    <w:rsid w:val="0FED14FF"/>
    <w:rsid w:val="100B407B"/>
    <w:rsid w:val="10152804"/>
    <w:rsid w:val="102A2753"/>
    <w:rsid w:val="104650B3"/>
    <w:rsid w:val="104F3F68"/>
    <w:rsid w:val="10791743"/>
    <w:rsid w:val="107F4121"/>
    <w:rsid w:val="108160EB"/>
    <w:rsid w:val="10C5247C"/>
    <w:rsid w:val="10D80401"/>
    <w:rsid w:val="10F66AD9"/>
    <w:rsid w:val="110C1E59"/>
    <w:rsid w:val="11146F5F"/>
    <w:rsid w:val="117619C8"/>
    <w:rsid w:val="11C049F1"/>
    <w:rsid w:val="11E626AA"/>
    <w:rsid w:val="11E84674"/>
    <w:rsid w:val="12292D0E"/>
    <w:rsid w:val="122B4561"/>
    <w:rsid w:val="12485112"/>
    <w:rsid w:val="1255782F"/>
    <w:rsid w:val="125A4E46"/>
    <w:rsid w:val="12A85BB1"/>
    <w:rsid w:val="12CD1ABC"/>
    <w:rsid w:val="12D27708"/>
    <w:rsid w:val="12E60488"/>
    <w:rsid w:val="12E82FB6"/>
    <w:rsid w:val="12FB3F33"/>
    <w:rsid w:val="133E02C4"/>
    <w:rsid w:val="13491142"/>
    <w:rsid w:val="13806B2E"/>
    <w:rsid w:val="13BA3DEE"/>
    <w:rsid w:val="13E1177D"/>
    <w:rsid w:val="13FD017F"/>
    <w:rsid w:val="14045069"/>
    <w:rsid w:val="14065285"/>
    <w:rsid w:val="14691370"/>
    <w:rsid w:val="14812B5E"/>
    <w:rsid w:val="14847F58"/>
    <w:rsid w:val="149A59CD"/>
    <w:rsid w:val="14A73D19"/>
    <w:rsid w:val="14B051F1"/>
    <w:rsid w:val="14CB3DD9"/>
    <w:rsid w:val="14ED1FA1"/>
    <w:rsid w:val="14FC0436"/>
    <w:rsid w:val="15127C5A"/>
    <w:rsid w:val="151E215B"/>
    <w:rsid w:val="15282FD9"/>
    <w:rsid w:val="158E72E0"/>
    <w:rsid w:val="15A05265"/>
    <w:rsid w:val="15C745A0"/>
    <w:rsid w:val="162E461F"/>
    <w:rsid w:val="164107F7"/>
    <w:rsid w:val="169D3553"/>
    <w:rsid w:val="16B03286"/>
    <w:rsid w:val="16BA2357"/>
    <w:rsid w:val="16BE1E47"/>
    <w:rsid w:val="16C136E5"/>
    <w:rsid w:val="16CA07EC"/>
    <w:rsid w:val="16D03928"/>
    <w:rsid w:val="16E55626"/>
    <w:rsid w:val="16F2564D"/>
    <w:rsid w:val="172123D6"/>
    <w:rsid w:val="17255A22"/>
    <w:rsid w:val="173F53D0"/>
    <w:rsid w:val="175005C5"/>
    <w:rsid w:val="175E7186"/>
    <w:rsid w:val="1772678E"/>
    <w:rsid w:val="178070FD"/>
    <w:rsid w:val="17884203"/>
    <w:rsid w:val="17AD5A18"/>
    <w:rsid w:val="17C214C3"/>
    <w:rsid w:val="17C3523B"/>
    <w:rsid w:val="17DE3E23"/>
    <w:rsid w:val="17E70F2A"/>
    <w:rsid w:val="18133ACD"/>
    <w:rsid w:val="18477C1A"/>
    <w:rsid w:val="184A3267"/>
    <w:rsid w:val="18622CA6"/>
    <w:rsid w:val="187529D9"/>
    <w:rsid w:val="189B3AC2"/>
    <w:rsid w:val="19063631"/>
    <w:rsid w:val="19306900"/>
    <w:rsid w:val="193A32DB"/>
    <w:rsid w:val="193F08F1"/>
    <w:rsid w:val="195449DB"/>
    <w:rsid w:val="195A572B"/>
    <w:rsid w:val="196D1903"/>
    <w:rsid w:val="199944A6"/>
    <w:rsid w:val="19CF1C75"/>
    <w:rsid w:val="19F3005A"/>
    <w:rsid w:val="1A002777"/>
    <w:rsid w:val="1A073B05"/>
    <w:rsid w:val="1A501008"/>
    <w:rsid w:val="1A7016AA"/>
    <w:rsid w:val="1AB71087"/>
    <w:rsid w:val="1AC612CA"/>
    <w:rsid w:val="1AC94917"/>
    <w:rsid w:val="1ADA6B24"/>
    <w:rsid w:val="1ADD6614"/>
    <w:rsid w:val="1B3C333B"/>
    <w:rsid w:val="1B721452"/>
    <w:rsid w:val="1B80591D"/>
    <w:rsid w:val="1BA3160C"/>
    <w:rsid w:val="1BB3536B"/>
    <w:rsid w:val="1BC17CE4"/>
    <w:rsid w:val="1BD23C9F"/>
    <w:rsid w:val="1BDD4B1E"/>
    <w:rsid w:val="1C0302FC"/>
    <w:rsid w:val="1C252021"/>
    <w:rsid w:val="1C4050AC"/>
    <w:rsid w:val="1C626DD1"/>
    <w:rsid w:val="1C705992"/>
    <w:rsid w:val="1C7A6810"/>
    <w:rsid w:val="1C7B60E4"/>
    <w:rsid w:val="1C8E5E18"/>
    <w:rsid w:val="1C9553F8"/>
    <w:rsid w:val="1CC45CDD"/>
    <w:rsid w:val="1CCC6940"/>
    <w:rsid w:val="1D2642A2"/>
    <w:rsid w:val="1D2D5631"/>
    <w:rsid w:val="1D37025D"/>
    <w:rsid w:val="1D556936"/>
    <w:rsid w:val="1D7E7C3A"/>
    <w:rsid w:val="1D883F31"/>
    <w:rsid w:val="1D8F0099"/>
    <w:rsid w:val="1D905BC0"/>
    <w:rsid w:val="1DD41F50"/>
    <w:rsid w:val="1DDE4B7D"/>
    <w:rsid w:val="1DE71C83"/>
    <w:rsid w:val="1E220F0E"/>
    <w:rsid w:val="1E234C86"/>
    <w:rsid w:val="1E276524"/>
    <w:rsid w:val="1E3E73CA"/>
    <w:rsid w:val="1E4C3240"/>
    <w:rsid w:val="1E7B23CC"/>
    <w:rsid w:val="1EB1403F"/>
    <w:rsid w:val="1EC93137"/>
    <w:rsid w:val="1ECF44C6"/>
    <w:rsid w:val="1EE61F3B"/>
    <w:rsid w:val="1EE75CB3"/>
    <w:rsid w:val="1EE937D9"/>
    <w:rsid w:val="1EFC175F"/>
    <w:rsid w:val="1F503858"/>
    <w:rsid w:val="1F552C1D"/>
    <w:rsid w:val="1F751511"/>
    <w:rsid w:val="1F7664A2"/>
    <w:rsid w:val="1FA871F0"/>
    <w:rsid w:val="1FAD2A59"/>
    <w:rsid w:val="1FC009DE"/>
    <w:rsid w:val="1FDB75C6"/>
    <w:rsid w:val="1FEA7809"/>
    <w:rsid w:val="1FED554B"/>
    <w:rsid w:val="1FF468DA"/>
    <w:rsid w:val="1FF70178"/>
    <w:rsid w:val="2020147D"/>
    <w:rsid w:val="20250841"/>
    <w:rsid w:val="206C46C2"/>
    <w:rsid w:val="207B4905"/>
    <w:rsid w:val="20827A42"/>
    <w:rsid w:val="20F36B91"/>
    <w:rsid w:val="212862D1"/>
    <w:rsid w:val="212B00D9"/>
    <w:rsid w:val="21336F8E"/>
    <w:rsid w:val="21617F9F"/>
    <w:rsid w:val="2173382E"/>
    <w:rsid w:val="217D46AD"/>
    <w:rsid w:val="21C66054"/>
    <w:rsid w:val="21E07116"/>
    <w:rsid w:val="21E464DA"/>
    <w:rsid w:val="21F04E7F"/>
    <w:rsid w:val="21F229A5"/>
    <w:rsid w:val="22032E04"/>
    <w:rsid w:val="220F79FB"/>
    <w:rsid w:val="221548E5"/>
    <w:rsid w:val="22230DB0"/>
    <w:rsid w:val="222D60D3"/>
    <w:rsid w:val="2254540E"/>
    <w:rsid w:val="22631AF5"/>
    <w:rsid w:val="226513C9"/>
    <w:rsid w:val="228A52D3"/>
    <w:rsid w:val="22916662"/>
    <w:rsid w:val="22B12860"/>
    <w:rsid w:val="22BD2FB3"/>
    <w:rsid w:val="22C34341"/>
    <w:rsid w:val="22E76282"/>
    <w:rsid w:val="22F4274D"/>
    <w:rsid w:val="22FB3ADB"/>
    <w:rsid w:val="23164DB9"/>
    <w:rsid w:val="2318468D"/>
    <w:rsid w:val="231A0405"/>
    <w:rsid w:val="233B65CE"/>
    <w:rsid w:val="235558E1"/>
    <w:rsid w:val="23566F63"/>
    <w:rsid w:val="235F050E"/>
    <w:rsid w:val="23952182"/>
    <w:rsid w:val="239A32F4"/>
    <w:rsid w:val="23A3664D"/>
    <w:rsid w:val="23E10F23"/>
    <w:rsid w:val="23E80503"/>
    <w:rsid w:val="23ED1676"/>
    <w:rsid w:val="23F84B49"/>
    <w:rsid w:val="24431BDE"/>
    <w:rsid w:val="24523BCF"/>
    <w:rsid w:val="24CF3471"/>
    <w:rsid w:val="24FD7FDE"/>
    <w:rsid w:val="2500187D"/>
    <w:rsid w:val="253F4153"/>
    <w:rsid w:val="25513E86"/>
    <w:rsid w:val="2561056D"/>
    <w:rsid w:val="25777D91"/>
    <w:rsid w:val="258B7398"/>
    <w:rsid w:val="25A93CC2"/>
    <w:rsid w:val="25C1725E"/>
    <w:rsid w:val="25C77C68"/>
    <w:rsid w:val="25E5683B"/>
    <w:rsid w:val="26235823"/>
    <w:rsid w:val="26571970"/>
    <w:rsid w:val="265C2AE3"/>
    <w:rsid w:val="2661634B"/>
    <w:rsid w:val="26663961"/>
    <w:rsid w:val="266876DA"/>
    <w:rsid w:val="26775B6F"/>
    <w:rsid w:val="26795443"/>
    <w:rsid w:val="268A7650"/>
    <w:rsid w:val="26B24DF9"/>
    <w:rsid w:val="26CC7C68"/>
    <w:rsid w:val="26D134D1"/>
    <w:rsid w:val="26D1527F"/>
    <w:rsid w:val="27280C17"/>
    <w:rsid w:val="272C4BAB"/>
    <w:rsid w:val="27392E24"/>
    <w:rsid w:val="273A72C8"/>
    <w:rsid w:val="27C9064C"/>
    <w:rsid w:val="27D52B4D"/>
    <w:rsid w:val="27D8088F"/>
    <w:rsid w:val="27FA6A57"/>
    <w:rsid w:val="28B906C0"/>
    <w:rsid w:val="29385A89"/>
    <w:rsid w:val="29565F0F"/>
    <w:rsid w:val="29695C42"/>
    <w:rsid w:val="29712D49"/>
    <w:rsid w:val="298F4F7D"/>
    <w:rsid w:val="29A0718A"/>
    <w:rsid w:val="29AE7AF9"/>
    <w:rsid w:val="29BB5D72"/>
    <w:rsid w:val="29C76E0D"/>
    <w:rsid w:val="2A2B739C"/>
    <w:rsid w:val="2A4C2E6E"/>
    <w:rsid w:val="2A500BB0"/>
    <w:rsid w:val="2A622692"/>
    <w:rsid w:val="2A6F54DA"/>
    <w:rsid w:val="2A7F1496"/>
    <w:rsid w:val="2ABA24CE"/>
    <w:rsid w:val="2ABE1FBE"/>
    <w:rsid w:val="2B275DB5"/>
    <w:rsid w:val="2B2F6A18"/>
    <w:rsid w:val="2B391645"/>
    <w:rsid w:val="2B3D7387"/>
    <w:rsid w:val="2B681F2A"/>
    <w:rsid w:val="2B7E174D"/>
    <w:rsid w:val="2B8054C5"/>
    <w:rsid w:val="2B98280F"/>
    <w:rsid w:val="2BBA09D7"/>
    <w:rsid w:val="2BF51A0F"/>
    <w:rsid w:val="2C66290D"/>
    <w:rsid w:val="2C681100"/>
    <w:rsid w:val="2C6E3570"/>
    <w:rsid w:val="2C730B86"/>
    <w:rsid w:val="2C792640"/>
    <w:rsid w:val="2C842D93"/>
    <w:rsid w:val="2C9B2A41"/>
    <w:rsid w:val="2C9C1E8B"/>
    <w:rsid w:val="2CC633AC"/>
    <w:rsid w:val="2CDF621C"/>
    <w:rsid w:val="2D0A773C"/>
    <w:rsid w:val="2D1934DC"/>
    <w:rsid w:val="2D2D6F87"/>
    <w:rsid w:val="2D314CC9"/>
    <w:rsid w:val="2D4D13D7"/>
    <w:rsid w:val="2D746964"/>
    <w:rsid w:val="2D8172D3"/>
    <w:rsid w:val="2DAE631A"/>
    <w:rsid w:val="2DFB7085"/>
    <w:rsid w:val="2E053A60"/>
    <w:rsid w:val="2E0E500A"/>
    <w:rsid w:val="2E402CEA"/>
    <w:rsid w:val="2E50117F"/>
    <w:rsid w:val="2E5D1AEE"/>
    <w:rsid w:val="2E9372BE"/>
    <w:rsid w:val="2E960B5C"/>
    <w:rsid w:val="2EAD4823"/>
    <w:rsid w:val="2ED27DE6"/>
    <w:rsid w:val="2EE67D35"/>
    <w:rsid w:val="2EFC4E63"/>
    <w:rsid w:val="2F081A5A"/>
    <w:rsid w:val="2F106B60"/>
    <w:rsid w:val="2F154177"/>
    <w:rsid w:val="2F191EB9"/>
    <w:rsid w:val="2F520F27"/>
    <w:rsid w:val="2F7B222C"/>
    <w:rsid w:val="2F947791"/>
    <w:rsid w:val="2FB76FDC"/>
    <w:rsid w:val="2FC8743B"/>
    <w:rsid w:val="2FCC0CD9"/>
    <w:rsid w:val="2FDE6C5E"/>
    <w:rsid w:val="2FE73D65"/>
    <w:rsid w:val="2FEF2C1A"/>
    <w:rsid w:val="302208F9"/>
    <w:rsid w:val="302F3016"/>
    <w:rsid w:val="303F7BF7"/>
    <w:rsid w:val="304E5B92"/>
    <w:rsid w:val="306929CC"/>
    <w:rsid w:val="30850E88"/>
    <w:rsid w:val="30D75B88"/>
    <w:rsid w:val="30DC319E"/>
    <w:rsid w:val="30F85AFE"/>
    <w:rsid w:val="30FC739C"/>
    <w:rsid w:val="31083F93"/>
    <w:rsid w:val="310D77FB"/>
    <w:rsid w:val="31271F3F"/>
    <w:rsid w:val="312B5ED3"/>
    <w:rsid w:val="312E32CE"/>
    <w:rsid w:val="313C1E8F"/>
    <w:rsid w:val="31466869"/>
    <w:rsid w:val="3172765E"/>
    <w:rsid w:val="31771119"/>
    <w:rsid w:val="31943A79"/>
    <w:rsid w:val="31A17F44"/>
    <w:rsid w:val="31AB2B70"/>
    <w:rsid w:val="31AD4B3A"/>
    <w:rsid w:val="31B9703B"/>
    <w:rsid w:val="31CF2D03"/>
    <w:rsid w:val="322748ED"/>
    <w:rsid w:val="322E5C7B"/>
    <w:rsid w:val="323E39E4"/>
    <w:rsid w:val="323F1C36"/>
    <w:rsid w:val="3244724D"/>
    <w:rsid w:val="324C4353"/>
    <w:rsid w:val="3260395B"/>
    <w:rsid w:val="327318E0"/>
    <w:rsid w:val="3273368E"/>
    <w:rsid w:val="328B4E7C"/>
    <w:rsid w:val="32A61CB5"/>
    <w:rsid w:val="32A7158A"/>
    <w:rsid w:val="32BA750F"/>
    <w:rsid w:val="32BF2D77"/>
    <w:rsid w:val="32D560F7"/>
    <w:rsid w:val="32E7407C"/>
    <w:rsid w:val="32F72511"/>
    <w:rsid w:val="332350B4"/>
    <w:rsid w:val="334868C9"/>
    <w:rsid w:val="33501C21"/>
    <w:rsid w:val="335039CF"/>
    <w:rsid w:val="335A65FC"/>
    <w:rsid w:val="335F1E64"/>
    <w:rsid w:val="337E22EA"/>
    <w:rsid w:val="339C09C3"/>
    <w:rsid w:val="33D740F0"/>
    <w:rsid w:val="33EF143A"/>
    <w:rsid w:val="342E1F62"/>
    <w:rsid w:val="34480B4A"/>
    <w:rsid w:val="344E43B3"/>
    <w:rsid w:val="34594B05"/>
    <w:rsid w:val="346D235F"/>
    <w:rsid w:val="348222AE"/>
    <w:rsid w:val="34871673"/>
    <w:rsid w:val="34951FE2"/>
    <w:rsid w:val="34BB30CA"/>
    <w:rsid w:val="34BB756E"/>
    <w:rsid w:val="34E02B31"/>
    <w:rsid w:val="34E24AFB"/>
    <w:rsid w:val="35380BBF"/>
    <w:rsid w:val="35635C3C"/>
    <w:rsid w:val="359202CF"/>
    <w:rsid w:val="35A46254"/>
    <w:rsid w:val="35B53FBD"/>
    <w:rsid w:val="35BC359E"/>
    <w:rsid w:val="35D54660"/>
    <w:rsid w:val="35F42D38"/>
    <w:rsid w:val="35FE3BB6"/>
    <w:rsid w:val="36056CF3"/>
    <w:rsid w:val="360F36CE"/>
    <w:rsid w:val="36146F36"/>
    <w:rsid w:val="36237179"/>
    <w:rsid w:val="3643781B"/>
    <w:rsid w:val="364610BA"/>
    <w:rsid w:val="364D069A"/>
    <w:rsid w:val="36745C27"/>
    <w:rsid w:val="368650C4"/>
    <w:rsid w:val="369462C9"/>
    <w:rsid w:val="36F01751"/>
    <w:rsid w:val="36FA437E"/>
    <w:rsid w:val="370E607B"/>
    <w:rsid w:val="373D070E"/>
    <w:rsid w:val="37734130"/>
    <w:rsid w:val="37BF7375"/>
    <w:rsid w:val="37ED5C91"/>
    <w:rsid w:val="38190834"/>
    <w:rsid w:val="383B4C4E"/>
    <w:rsid w:val="384004B6"/>
    <w:rsid w:val="385C2E16"/>
    <w:rsid w:val="38C42E95"/>
    <w:rsid w:val="38C904AC"/>
    <w:rsid w:val="391334D5"/>
    <w:rsid w:val="396B3311"/>
    <w:rsid w:val="398E34A3"/>
    <w:rsid w:val="399860D0"/>
    <w:rsid w:val="399F120C"/>
    <w:rsid w:val="39DC7D6B"/>
    <w:rsid w:val="39E15381"/>
    <w:rsid w:val="3A0D6176"/>
    <w:rsid w:val="3A3F654C"/>
    <w:rsid w:val="3A5913BB"/>
    <w:rsid w:val="3A5E2E76"/>
    <w:rsid w:val="3A63048C"/>
    <w:rsid w:val="3A8F302F"/>
    <w:rsid w:val="3AA765CB"/>
    <w:rsid w:val="3AB02FA5"/>
    <w:rsid w:val="3AC058DE"/>
    <w:rsid w:val="3AFD443D"/>
    <w:rsid w:val="3B337E5E"/>
    <w:rsid w:val="3B4402BD"/>
    <w:rsid w:val="3B4F0A10"/>
    <w:rsid w:val="3B556027"/>
    <w:rsid w:val="3B6224F2"/>
    <w:rsid w:val="3B732951"/>
    <w:rsid w:val="3B7D37CF"/>
    <w:rsid w:val="3BC1190E"/>
    <w:rsid w:val="3BCFF895"/>
    <w:rsid w:val="3BD80A06"/>
    <w:rsid w:val="3C0812EB"/>
    <w:rsid w:val="3C1F6635"/>
    <w:rsid w:val="3C3C0F95"/>
    <w:rsid w:val="3C44609B"/>
    <w:rsid w:val="3C4D31A2"/>
    <w:rsid w:val="3C574020"/>
    <w:rsid w:val="3C793F97"/>
    <w:rsid w:val="3C951B5E"/>
    <w:rsid w:val="3C9568F7"/>
    <w:rsid w:val="3CA60B04"/>
    <w:rsid w:val="3CAC611A"/>
    <w:rsid w:val="3CAD3C40"/>
    <w:rsid w:val="3CBC3E83"/>
    <w:rsid w:val="3CC33464"/>
    <w:rsid w:val="3CC66AB0"/>
    <w:rsid w:val="3CCC056A"/>
    <w:rsid w:val="3D1617E6"/>
    <w:rsid w:val="3D251A29"/>
    <w:rsid w:val="3D45031D"/>
    <w:rsid w:val="3D826E7B"/>
    <w:rsid w:val="3D85696B"/>
    <w:rsid w:val="3DB159B2"/>
    <w:rsid w:val="3DD31485"/>
    <w:rsid w:val="3DDA6CB7"/>
    <w:rsid w:val="3E05696A"/>
    <w:rsid w:val="3E0C4997"/>
    <w:rsid w:val="3E3C34CE"/>
    <w:rsid w:val="3E4E3201"/>
    <w:rsid w:val="3E5F0F6A"/>
    <w:rsid w:val="3E5F540E"/>
    <w:rsid w:val="3E7F160D"/>
    <w:rsid w:val="3E832EAB"/>
    <w:rsid w:val="3E9926CE"/>
    <w:rsid w:val="3EBB0897"/>
    <w:rsid w:val="3ED41958"/>
    <w:rsid w:val="3EDA6843"/>
    <w:rsid w:val="3F19380F"/>
    <w:rsid w:val="3F334ECC"/>
    <w:rsid w:val="3F485EA2"/>
    <w:rsid w:val="3F542A99"/>
    <w:rsid w:val="3F5B3E28"/>
    <w:rsid w:val="3F7D78FA"/>
    <w:rsid w:val="3FB3156E"/>
    <w:rsid w:val="3FB53538"/>
    <w:rsid w:val="3FC419CD"/>
    <w:rsid w:val="3FC75019"/>
    <w:rsid w:val="3FDB0AC5"/>
    <w:rsid w:val="401F30A7"/>
    <w:rsid w:val="40210BCD"/>
    <w:rsid w:val="40330901"/>
    <w:rsid w:val="40460634"/>
    <w:rsid w:val="40A11D0E"/>
    <w:rsid w:val="40B25CC9"/>
    <w:rsid w:val="40C81049"/>
    <w:rsid w:val="40E35E83"/>
    <w:rsid w:val="40E816EB"/>
    <w:rsid w:val="413C5593"/>
    <w:rsid w:val="41432DC5"/>
    <w:rsid w:val="414D59F2"/>
    <w:rsid w:val="4153125A"/>
    <w:rsid w:val="41596145"/>
    <w:rsid w:val="41A2189A"/>
    <w:rsid w:val="41B415CD"/>
    <w:rsid w:val="41DA54D8"/>
    <w:rsid w:val="420E33D3"/>
    <w:rsid w:val="421309EA"/>
    <w:rsid w:val="4286740D"/>
    <w:rsid w:val="42AB0C22"/>
    <w:rsid w:val="42C13FA2"/>
    <w:rsid w:val="42D71A17"/>
    <w:rsid w:val="43000F6E"/>
    <w:rsid w:val="430622FC"/>
    <w:rsid w:val="43140575"/>
    <w:rsid w:val="43254DBA"/>
    <w:rsid w:val="436A63E7"/>
    <w:rsid w:val="437C436D"/>
    <w:rsid w:val="438D657A"/>
    <w:rsid w:val="4391606A"/>
    <w:rsid w:val="43D16466"/>
    <w:rsid w:val="43E4263E"/>
    <w:rsid w:val="43EC14F2"/>
    <w:rsid w:val="43F42155"/>
    <w:rsid w:val="4414246D"/>
    <w:rsid w:val="442962A2"/>
    <w:rsid w:val="442B201A"/>
    <w:rsid w:val="4484172B"/>
    <w:rsid w:val="448434D9"/>
    <w:rsid w:val="448636F5"/>
    <w:rsid w:val="44A92F3F"/>
    <w:rsid w:val="44B85878"/>
    <w:rsid w:val="44CC6C2E"/>
    <w:rsid w:val="451E392D"/>
    <w:rsid w:val="45244CBC"/>
    <w:rsid w:val="45343151"/>
    <w:rsid w:val="454D7D6F"/>
    <w:rsid w:val="45547360"/>
    <w:rsid w:val="45A656D1"/>
    <w:rsid w:val="45F11042"/>
    <w:rsid w:val="45F8417E"/>
    <w:rsid w:val="45FD79E7"/>
    <w:rsid w:val="460C7C2A"/>
    <w:rsid w:val="46284338"/>
    <w:rsid w:val="46717A8D"/>
    <w:rsid w:val="467D4684"/>
    <w:rsid w:val="468679DC"/>
    <w:rsid w:val="46A71700"/>
    <w:rsid w:val="46B06807"/>
    <w:rsid w:val="46B856BC"/>
    <w:rsid w:val="46BA58D8"/>
    <w:rsid w:val="46CD560B"/>
    <w:rsid w:val="46FC37FA"/>
    <w:rsid w:val="46FE3A16"/>
    <w:rsid w:val="472B40E0"/>
    <w:rsid w:val="472E597E"/>
    <w:rsid w:val="473C009B"/>
    <w:rsid w:val="474653BD"/>
    <w:rsid w:val="475C073D"/>
    <w:rsid w:val="47961EA1"/>
    <w:rsid w:val="47997CE8"/>
    <w:rsid w:val="479E0D55"/>
    <w:rsid w:val="47BC11DC"/>
    <w:rsid w:val="47CC58C3"/>
    <w:rsid w:val="47E250E6"/>
    <w:rsid w:val="48030BB8"/>
    <w:rsid w:val="480A1F47"/>
    <w:rsid w:val="481334F1"/>
    <w:rsid w:val="48180B08"/>
    <w:rsid w:val="48362D3C"/>
    <w:rsid w:val="48455675"/>
    <w:rsid w:val="484A2C8B"/>
    <w:rsid w:val="4851401A"/>
    <w:rsid w:val="48574EB4"/>
    <w:rsid w:val="48677399"/>
    <w:rsid w:val="487E46E3"/>
    <w:rsid w:val="48861F15"/>
    <w:rsid w:val="48B85E47"/>
    <w:rsid w:val="48DA5DBD"/>
    <w:rsid w:val="48DD3AFF"/>
    <w:rsid w:val="48EE1869"/>
    <w:rsid w:val="491A265E"/>
    <w:rsid w:val="49366D6C"/>
    <w:rsid w:val="4941408E"/>
    <w:rsid w:val="49583186"/>
    <w:rsid w:val="49584F34"/>
    <w:rsid w:val="498126DD"/>
    <w:rsid w:val="4981448B"/>
    <w:rsid w:val="49843F7B"/>
    <w:rsid w:val="49EA2030"/>
    <w:rsid w:val="49FB423D"/>
    <w:rsid w:val="4A162E25"/>
    <w:rsid w:val="4A17094B"/>
    <w:rsid w:val="4A203CA4"/>
    <w:rsid w:val="4A2B43F6"/>
    <w:rsid w:val="4A38723F"/>
    <w:rsid w:val="4A4A0D21"/>
    <w:rsid w:val="4A600544"/>
    <w:rsid w:val="4A7D10F6"/>
    <w:rsid w:val="4A82670C"/>
    <w:rsid w:val="4A835FE1"/>
    <w:rsid w:val="4AEE78FE"/>
    <w:rsid w:val="4B0233A9"/>
    <w:rsid w:val="4B187071"/>
    <w:rsid w:val="4B553E21"/>
    <w:rsid w:val="4B702A09"/>
    <w:rsid w:val="4B7F0E9E"/>
    <w:rsid w:val="4BAD5A0B"/>
    <w:rsid w:val="4BBC79FC"/>
    <w:rsid w:val="4BDA60D4"/>
    <w:rsid w:val="4BDE7972"/>
    <w:rsid w:val="4BE807F1"/>
    <w:rsid w:val="4BF32B36"/>
    <w:rsid w:val="4BFA0524"/>
    <w:rsid w:val="4C1E06B7"/>
    <w:rsid w:val="4C2555A1"/>
    <w:rsid w:val="4C2C4B82"/>
    <w:rsid w:val="4C3677AE"/>
    <w:rsid w:val="4C39104D"/>
    <w:rsid w:val="4C51283A"/>
    <w:rsid w:val="4C63256E"/>
    <w:rsid w:val="4CB84667"/>
    <w:rsid w:val="4CBE4593"/>
    <w:rsid w:val="4CC56D84"/>
    <w:rsid w:val="4CE03BBE"/>
    <w:rsid w:val="4D0F1DAD"/>
    <w:rsid w:val="4D163593"/>
    <w:rsid w:val="4D36558C"/>
    <w:rsid w:val="4D453A21"/>
    <w:rsid w:val="4D565C2E"/>
    <w:rsid w:val="4D6B3488"/>
    <w:rsid w:val="4D907392"/>
    <w:rsid w:val="4DA44BEC"/>
    <w:rsid w:val="4DDD3C5A"/>
    <w:rsid w:val="4DE80F7C"/>
    <w:rsid w:val="4DE82D2A"/>
    <w:rsid w:val="4DFF0074"/>
    <w:rsid w:val="4E395334"/>
    <w:rsid w:val="4E45017D"/>
    <w:rsid w:val="4E5E123E"/>
    <w:rsid w:val="4E881E17"/>
    <w:rsid w:val="4EC56BC8"/>
    <w:rsid w:val="4ECC61A8"/>
    <w:rsid w:val="4F1D07B2"/>
    <w:rsid w:val="4F336227"/>
    <w:rsid w:val="4F3A5808"/>
    <w:rsid w:val="4F3E697A"/>
    <w:rsid w:val="4F466757"/>
    <w:rsid w:val="4F552641"/>
    <w:rsid w:val="4F8E7901"/>
    <w:rsid w:val="4FBE01E7"/>
    <w:rsid w:val="4FCB6460"/>
    <w:rsid w:val="5032028D"/>
    <w:rsid w:val="50354221"/>
    <w:rsid w:val="50485D02"/>
    <w:rsid w:val="505E5526"/>
    <w:rsid w:val="50616DC4"/>
    <w:rsid w:val="506D39BB"/>
    <w:rsid w:val="508B3E41"/>
    <w:rsid w:val="50957BBE"/>
    <w:rsid w:val="50AC44E3"/>
    <w:rsid w:val="50F934A0"/>
    <w:rsid w:val="511B51C5"/>
    <w:rsid w:val="512D6CA6"/>
    <w:rsid w:val="515E50B1"/>
    <w:rsid w:val="517B5C63"/>
    <w:rsid w:val="519B00B4"/>
    <w:rsid w:val="51AE7DE7"/>
    <w:rsid w:val="51C23892"/>
    <w:rsid w:val="51D04201"/>
    <w:rsid w:val="51D108DB"/>
    <w:rsid w:val="51FA74D0"/>
    <w:rsid w:val="52006B05"/>
    <w:rsid w:val="52036385"/>
    <w:rsid w:val="52187956"/>
    <w:rsid w:val="5257047F"/>
    <w:rsid w:val="52595E01"/>
    <w:rsid w:val="52650DED"/>
    <w:rsid w:val="52707792"/>
    <w:rsid w:val="527B23BF"/>
    <w:rsid w:val="52831274"/>
    <w:rsid w:val="52BB6C5F"/>
    <w:rsid w:val="52C8137C"/>
    <w:rsid w:val="53004672"/>
    <w:rsid w:val="530A3743"/>
    <w:rsid w:val="533407C0"/>
    <w:rsid w:val="53542C10"/>
    <w:rsid w:val="535D1AC5"/>
    <w:rsid w:val="53642E53"/>
    <w:rsid w:val="539D45B7"/>
    <w:rsid w:val="53BA0CC5"/>
    <w:rsid w:val="53BA6F17"/>
    <w:rsid w:val="543640C4"/>
    <w:rsid w:val="54387E3C"/>
    <w:rsid w:val="54492049"/>
    <w:rsid w:val="546B0211"/>
    <w:rsid w:val="54A159E1"/>
    <w:rsid w:val="54BE47E5"/>
    <w:rsid w:val="54C16083"/>
    <w:rsid w:val="54C55B73"/>
    <w:rsid w:val="54E16725"/>
    <w:rsid w:val="5503044A"/>
    <w:rsid w:val="55230AEC"/>
    <w:rsid w:val="55256612"/>
    <w:rsid w:val="5540344C"/>
    <w:rsid w:val="55434CEA"/>
    <w:rsid w:val="555D5DAC"/>
    <w:rsid w:val="55807CEC"/>
    <w:rsid w:val="558A46C7"/>
    <w:rsid w:val="55AD03B6"/>
    <w:rsid w:val="55DF4A13"/>
    <w:rsid w:val="55FD30EB"/>
    <w:rsid w:val="56010E2D"/>
    <w:rsid w:val="56095F34"/>
    <w:rsid w:val="561548D9"/>
    <w:rsid w:val="5630526E"/>
    <w:rsid w:val="563D798B"/>
    <w:rsid w:val="565C6063"/>
    <w:rsid w:val="568D0913"/>
    <w:rsid w:val="56EA18C1"/>
    <w:rsid w:val="56F40992"/>
    <w:rsid w:val="570F757A"/>
    <w:rsid w:val="57272B15"/>
    <w:rsid w:val="57284198"/>
    <w:rsid w:val="57460AC2"/>
    <w:rsid w:val="574A05B2"/>
    <w:rsid w:val="574D3BFE"/>
    <w:rsid w:val="579D2DD8"/>
    <w:rsid w:val="579E08FE"/>
    <w:rsid w:val="57BE4AFC"/>
    <w:rsid w:val="57C42CDD"/>
    <w:rsid w:val="57CA16F3"/>
    <w:rsid w:val="57D61E46"/>
    <w:rsid w:val="57E52089"/>
    <w:rsid w:val="58030761"/>
    <w:rsid w:val="58156E12"/>
    <w:rsid w:val="5818420C"/>
    <w:rsid w:val="58755694"/>
    <w:rsid w:val="587753D7"/>
    <w:rsid w:val="5898359F"/>
    <w:rsid w:val="58A75590"/>
    <w:rsid w:val="58B73A25"/>
    <w:rsid w:val="58D72319"/>
    <w:rsid w:val="58E93DFA"/>
    <w:rsid w:val="58EB7B73"/>
    <w:rsid w:val="58FA1B64"/>
    <w:rsid w:val="58FE1654"/>
    <w:rsid w:val="59CC3500"/>
    <w:rsid w:val="59F1740B"/>
    <w:rsid w:val="59FD5DAF"/>
    <w:rsid w:val="5A504131"/>
    <w:rsid w:val="5A6000EC"/>
    <w:rsid w:val="5AB96265"/>
    <w:rsid w:val="5ABF12B7"/>
    <w:rsid w:val="5B0B44FC"/>
    <w:rsid w:val="5B1E5FDD"/>
    <w:rsid w:val="5B1F1D55"/>
    <w:rsid w:val="5B2F1F99"/>
    <w:rsid w:val="5B3F7D02"/>
    <w:rsid w:val="5B661732"/>
    <w:rsid w:val="5B6B4F9B"/>
    <w:rsid w:val="5B6F6839"/>
    <w:rsid w:val="5B7C71A8"/>
    <w:rsid w:val="5B7E082A"/>
    <w:rsid w:val="5B962018"/>
    <w:rsid w:val="5BBB7CD0"/>
    <w:rsid w:val="5BCC5A39"/>
    <w:rsid w:val="5BFD3E45"/>
    <w:rsid w:val="5C277114"/>
    <w:rsid w:val="5C5679F9"/>
    <w:rsid w:val="5C797243"/>
    <w:rsid w:val="5C841E70"/>
    <w:rsid w:val="5C86208C"/>
    <w:rsid w:val="5C89392A"/>
    <w:rsid w:val="5C9D1184"/>
    <w:rsid w:val="5CA6628A"/>
    <w:rsid w:val="5CBD35D4"/>
    <w:rsid w:val="5CBF10FA"/>
    <w:rsid w:val="5CBF734C"/>
    <w:rsid w:val="5CE326E3"/>
    <w:rsid w:val="5CEE19DF"/>
    <w:rsid w:val="5D4F6922"/>
    <w:rsid w:val="5D6677C8"/>
    <w:rsid w:val="5D804D2D"/>
    <w:rsid w:val="5D924A61"/>
    <w:rsid w:val="5DA12EF6"/>
    <w:rsid w:val="5DB669A1"/>
    <w:rsid w:val="5E231B5D"/>
    <w:rsid w:val="5E337FF2"/>
    <w:rsid w:val="5E47584B"/>
    <w:rsid w:val="5E510478"/>
    <w:rsid w:val="5E6F4DA2"/>
    <w:rsid w:val="5E7128C8"/>
    <w:rsid w:val="5E9D3498"/>
    <w:rsid w:val="5EA93E10"/>
    <w:rsid w:val="5ED52E57"/>
    <w:rsid w:val="5EEB4428"/>
    <w:rsid w:val="5F0D0843"/>
    <w:rsid w:val="5F1C0A86"/>
    <w:rsid w:val="5F1F40D2"/>
    <w:rsid w:val="5F4104EC"/>
    <w:rsid w:val="5F486883"/>
    <w:rsid w:val="5F4973A1"/>
    <w:rsid w:val="5F7C7776"/>
    <w:rsid w:val="5FB76A00"/>
    <w:rsid w:val="5FF05A6E"/>
    <w:rsid w:val="600532C8"/>
    <w:rsid w:val="6017124D"/>
    <w:rsid w:val="60255718"/>
    <w:rsid w:val="6037544B"/>
    <w:rsid w:val="606F1089"/>
    <w:rsid w:val="60AD570E"/>
    <w:rsid w:val="60AF76D8"/>
    <w:rsid w:val="60EA0710"/>
    <w:rsid w:val="61131A15"/>
    <w:rsid w:val="611D6D37"/>
    <w:rsid w:val="61377DF9"/>
    <w:rsid w:val="61686204"/>
    <w:rsid w:val="61785D1C"/>
    <w:rsid w:val="617A7CE6"/>
    <w:rsid w:val="618D5C6B"/>
    <w:rsid w:val="61AB4343"/>
    <w:rsid w:val="61C40F61"/>
    <w:rsid w:val="61C6117D"/>
    <w:rsid w:val="61DE0274"/>
    <w:rsid w:val="61E3588B"/>
    <w:rsid w:val="61E909C7"/>
    <w:rsid w:val="624F1172"/>
    <w:rsid w:val="6267026A"/>
    <w:rsid w:val="628F5A13"/>
    <w:rsid w:val="62B31701"/>
    <w:rsid w:val="62DF24F6"/>
    <w:rsid w:val="62E573E1"/>
    <w:rsid w:val="62FB4E56"/>
    <w:rsid w:val="6300246C"/>
    <w:rsid w:val="630A6E47"/>
    <w:rsid w:val="637846F9"/>
    <w:rsid w:val="63B514A9"/>
    <w:rsid w:val="63BF5E84"/>
    <w:rsid w:val="63E37DC4"/>
    <w:rsid w:val="640B731B"/>
    <w:rsid w:val="64122457"/>
    <w:rsid w:val="641919FB"/>
    <w:rsid w:val="64306D81"/>
    <w:rsid w:val="647C3D75"/>
    <w:rsid w:val="64833355"/>
    <w:rsid w:val="64E262CE"/>
    <w:rsid w:val="65202952"/>
    <w:rsid w:val="656211BC"/>
    <w:rsid w:val="659155FE"/>
    <w:rsid w:val="65960E66"/>
    <w:rsid w:val="65B0017A"/>
    <w:rsid w:val="65C634F9"/>
    <w:rsid w:val="65CE6852"/>
    <w:rsid w:val="65D5198E"/>
    <w:rsid w:val="6609788A"/>
    <w:rsid w:val="6639016F"/>
    <w:rsid w:val="66442670"/>
    <w:rsid w:val="664E34EF"/>
    <w:rsid w:val="6679056C"/>
    <w:rsid w:val="66C11F13"/>
    <w:rsid w:val="66D41C46"/>
    <w:rsid w:val="67204E8B"/>
    <w:rsid w:val="67670D0C"/>
    <w:rsid w:val="678C2521"/>
    <w:rsid w:val="679D028A"/>
    <w:rsid w:val="67B83316"/>
    <w:rsid w:val="67DA14DE"/>
    <w:rsid w:val="681A7B2C"/>
    <w:rsid w:val="683926A8"/>
    <w:rsid w:val="683C5CF5"/>
    <w:rsid w:val="684B5F38"/>
    <w:rsid w:val="6853303E"/>
    <w:rsid w:val="68556DB7"/>
    <w:rsid w:val="685E3EBD"/>
    <w:rsid w:val="68792AA5"/>
    <w:rsid w:val="687D4DC4"/>
    <w:rsid w:val="6885060F"/>
    <w:rsid w:val="689C6793"/>
    <w:rsid w:val="68A1627A"/>
    <w:rsid w:val="68B63CF9"/>
    <w:rsid w:val="68BC5088"/>
    <w:rsid w:val="68C77CB4"/>
    <w:rsid w:val="68EB3277"/>
    <w:rsid w:val="69046375"/>
    <w:rsid w:val="690F6F65"/>
    <w:rsid w:val="69164798"/>
    <w:rsid w:val="69280027"/>
    <w:rsid w:val="6954706E"/>
    <w:rsid w:val="69B813AB"/>
    <w:rsid w:val="69CB37D4"/>
    <w:rsid w:val="69E55F18"/>
    <w:rsid w:val="69F60125"/>
    <w:rsid w:val="69FF522C"/>
    <w:rsid w:val="6A415844"/>
    <w:rsid w:val="6A5D01A4"/>
    <w:rsid w:val="6A694D9B"/>
    <w:rsid w:val="6A6D488B"/>
    <w:rsid w:val="6A7C4ACE"/>
    <w:rsid w:val="6AA10091"/>
    <w:rsid w:val="6AE61F48"/>
    <w:rsid w:val="6AEF704E"/>
    <w:rsid w:val="6B0B19AE"/>
    <w:rsid w:val="6B1C3BBC"/>
    <w:rsid w:val="6B2036AC"/>
    <w:rsid w:val="6B32518D"/>
    <w:rsid w:val="6B633598"/>
    <w:rsid w:val="6B737C7F"/>
    <w:rsid w:val="6B8579B3"/>
    <w:rsid w:val="6BAF2C82"/>
    <w:rsid w:val="6BBD539F"/>
    <w:rsid w:val="6BC4672D"/>
    <w:rsid w:val="6BD10E4A"/>
    <w:rsid w:val="6BF012D0"/>
    <w:rsid w:val="6BFB7C75"/>
    <w:rsid w:val="6C335661"/>
    <w:rsid w:val="6C9205D9"/>
    <w:rsid w:val="6CBE317C"/>
    <w:rsid w:val="6CCB5899"/>
    <w:rsid w:val="6D165928"/>
    <w:rsid w:val="6D170ADE"/>
    <w:rsid w:val="6D2A25C0"/>
    <w:rsid w:val="6D2F5E28"/>
    <w:rsid w:val="6D360F25"/>
    <w:rsid w:val="6DCC3677"/>
    <w:rsid w:val="6DD30EA9"/>
    <w:rsid w:val="6DEF3809"/>
    <w:rsid w:val="6E105C5A"/>
    <w:rsid w:val="6E1119D2"/>
    <w:rsid w:val="6E2039C3"/>
    <w:rsid w:val="6E22773B"/>
    <w:rsid w:val="6E445903"/>
    <w:rsid w:val="6E565636"/>
    <w:rsid w:val="6E5C0E9F"/>
    <w:rsid w:val="6E881C94"/>
    <w:rsid w:val="6ECD3B4B"/>
    <w:rsid w:val="6EE844E0"/>
    <w:rsid w:val="6F215C44"/>
    <w:rsid w:val="6F4A519B"/>
    <w:rsid w:val="6F4D4C8B"/>
    <w:rsid w:val="6F525DFE"/>
    <w:rsid w:val="6F7044D6"/>
    <w:rsid w:val="6F8A1A3C"/>
    <w:rsid w:val="6F993A2D"/>
    <w:rsid w:val="6FB865A9"/>
    <w:rsid w:val="6FCC795E"/>
    <w:rsid w:val="704E0CBB"/>
    <w:rsid w:val="704E2A69"/>
    <w:rsid w:val="705A7660"/>
    <w:rsid w:val="70756248"/>
    <w:rsid w:val="70912956"/>
    <w:rsid w:val="70A1703D"/>
    <w:rsid w:val="70BA00FF"/>
    <w:rsid w:val="70E231B1"/>
    <w:rsid w:val="70FA674D"/>
    <w:rsid w:val="71066EA0"/>
    <w:rsid w:val="713F0604"/>
    <w:rsid w:val="715440AF"/>
    <w:rsid w:val="71632544"/>
    <w:rsid w:val="719B7F30"/>
    <w:rsid w:val="71B132B0"/>
    <w:rsid w:val="71E116BB"/>
    <w:rsid w:val="71E1254A"/>
    <w:rsid w:val="72192C03"/>
    <w:rsid w:val="722F68CA"/>
    <w:rsid w:val="72361A07"/>
    <w:rsid w:val="724C2FD8"/>
    <w:rsid w:val="72B34E05"/>
    <w:rsid w:val="72ED47BB"/>
    <w:rsid w:val="73125FD0"/>
    <w:rsid w:val="731A4E85"/>
    <w:rsid w:val="73257E81"/>
    <w:rsid w:val="732E6B82"/>
    <w:rsid w:val="73412411"/>
    <w:rsid w:val="734168B5"/>
    <w:rsid w:val="73571C35"/>
    <w:rsid w:val="73591E51"/>
    <w:rsid w:val="73612AB3"/>
    <w:rsid w:val="736305DA"/>
    <w:rsid w:val="73634A7D"/>
    <w:rsid w:val="736A5E0C"/>
    <w:rsid w:val="739E5AB6"/>
    <w:rsid w:val="73A429A0"/>
    <w:rsid w:val="73AB1F81"/>
    <w:rsid w:val="73C03C7E"/>
    <w:rsid w:val="73C80D84"/>
    <w:rsid w:val="73DB0AB8"/>
    <w:rsid w:val="741B0EB4"/>
    <w:rsid w:val="74393A30"/>
    <w:rsid w:val="74406B6D"/>
    <w:rsid w:val="744C5512"/>
    <w:rsid w:val="744D4DE6"/>
    <w:rsid w:val="745D771F"/>
    <w:rsid w:val="7463285B"/>
    <w:rsid w:val="74716D26"/>
    <w:rsid w:val="747E1443"/>
    <w:rsid w:val="7480340D"/>
    <w:rsid w:val="748C590E"/>
    <w:rsid w:val="74BD01BD"/>
    <w:rsid w:val="74C90910"/>
    <w:rsid w:val="74DA0D6F"/>
    <w:rsid w:val="74F33BDF"/>
    <w:rsid w:val="751122B7"/>
    <w:rsid w:val="751A73BE"/>
    <w:rsid w:val="75265D63"/>
    <w:rsid w:val="756920F3"/>
    <w:rsid w:val="75C13CDD"/>
    <w:rsid w:val="75DF5F11"/>
    <w:rsid w:val="75FC4D15"/>
    <w:rsid w:val="75FC6AC3"/>
    <w:rsid w:val="760A7432"/>
    <w:rsid w:val="760D6F22"/>
    <w:rsid w:val="761C7166"/>
    <w:rsid w:val="765661D4"/>
    <w:rsid w:val="767825EE"/>
    <w:rsid w:val="767C1018"/>
    <w:rsid w:val="76DB0DCF"/>
    <w:rsid w:val="771A18F7"/>
    <w:rsid w:val="771D3195"/>
    <w:rsid w:val="77495D38"/>
    <w:rsid w:val="7760037C"/>
    <w:rsid w:val="77707769"/>
    <w:rsid w:val="77846D70"/>
    <w:rsid w:val="778B6351"/>
    <w:rsid w:val="778C3504"/>
    <w:rsid w:val="77BA09E4"/>
    <w:rsid w:val="781400F4"/>
    <w:rsid w:val="78232A2D"/>
    <w:rsid w:val="78250553"/>
    <w:rsid w:val="786D5A56"/>
    <w:rsid w:val="789B6A68"/>
    <w:rsid w:val="78D45AD6"/>
    <w:rsid w:val="78EF46BD"/>
    <w:rsid w:val="791505C8"/>
    <w:rsid w:val="79492020"/>
    <w:rsid w:val="79535D1B"/>
    <w:rsid w:val="79725A1A"/>
    <w:rsid w:val="79894B12"/>
    <w:rsid w:val="799314ED"/>
    <w:rsid w:val="799F4335"/>
    <w:rsid w:val="79BA2F1D"/>
    <w:rsid w:val="79D42231"/>
    <w:rsid w:val="7A1F7224"/>
    <w:rsid w:val="7A2F56B9"/>
    <w:rsid w:val="7A49604F"/>
    <w:rsid w:val="7A6D4434"/>
    <w:rsid w:val="7A811C8D"/>
    <w:rsid w:val="7A8B6668"/>
    <w:rsid w:val="7A8D23E0"/>
    <w:rsid w:val="7A97325F"/>
    <w:rsid w:val="7AD87AFF"/>
    <w:rsid w:val="7AE83ABA"/>
    <w:rsid w:val="7B02692A"/>
    <w:rsid w:val="7B0A57DF"/>
    <w:rsid w:val="7B205002"/>
    <w:rsid w:val="7B242D44"/>
    <w:rsid w:val="7B2C7E4B"/>
    <w:rsid w:val="7B364826"/>
    <w:rsid w:val="7B5B603A"/>
    <w:rsid w:val="7B7D4202"/>
    <w:rsid w:val="7B8E01BE"/>
    <w:rsid w:val="7BB37C24"/>
    <w:rsid w:val="7BBC11CF"/>
    <w:rsid w:val="7BC6204D"/>
    <w:rsid w:val="7BF1074D"/>
    <w:rsid w:val="7BF32717"/>
    <w:rsid w:val="7BF87D2D"/>
    <w:rsid w:val="7C077F70"/>
    <w:rsid w:val="7C3E7E36"/>
    <w:rsid w:val="7C417926"/>
    <w:rsid w:val="7C4E5B9F"/>
    <w:rsid w:val="7C55517F"/>
    <w:rsid w:val="7C570EF7"/>
    <w:rsid w:val="7C613B24"/>
    <w:rsid w:val="7C6B6751"/>
    <w:rsid w:val="7C741AA9"/>
    <w:rsid w:val="7C7E0232"/>
    <w:rsid w:val="7C8B6DF3"/>
    <w:rsid w:val="7C975798"/>
    <w:rsid w:val="7CB24380"/>
    <w:rsid w:val="7CCD2F68"/>
    <w:rsid w:val="7CD442F6"/>
    <w:rsid w:val="7CDB38D7"/>
    <w:rsid w:val="7CE02C9B"/>
    <w:rsid w:val="7CF20C20"/>
    <w:rsid w:val="7CFE75C5"/>
    <w:rsid w:val="7D407BDD"/>
    <w:rsid w:val="7D44147C"/>
    <w:rsid w:val="7D80447E"/>
    <w:rsid w:val="7D8C4BD1"/>
    <w:rsid w:val="7D99109C"/>
    <w:rsid w:val="7DD86068"/>
    <w:rsid w:val="7DE254A3"/>
    <w:rsid w:val="7DF509C8"/>
    <w:rsid w:val="7E4159BB"/>
    <w:rsid w:val="7E492AC2"/>
    <w:rsid w:val="7E590F57"/>
    <w:rsid w:val="7E924469"/>
    <w:rsid w:val="7EB75C7D"/>
    <w:rsid w:val="7ECA3C03"/>
    <w:rsid w:val="7EDC56E4"/>
    <w:rsid w:val="7EE36A72"/>
    <w:rsid w:val="7EE60311"/>
    <w:rsid w:val="7EEA7E01"/>
    <w:rsid w:val="7EEF18BB"/>
    <w:rsid w:val="7F063A0E"/>
    <w:rsid w:val="7F0A3FFF"/>
    <w:rsid w:val="7F250E39"/>
    <w:rsid w:val="7F2552DD"/>
    <w:rsid w:val="7F403EC5"/>
    <w:rsid w:val="7F4514DB"/>
    <w:rsid w:val="7F5C05D3"/>
    <w:rsid w:val="7F604567"/>
    <w:rsid w:val="7F6C4CBA"/>
    <w:rsid w:val="7F765B38"/>
    <w:rsid w:val="7F8244DD"/>
    <w:rsid w:val="7F8A15E4"/>
    <w:rsid w:val="7F8F09A8"/>
    <w:rsid w:val="7FA44454"/>
    <w:rsid w:val="7FA97CBC"/>
    <w:rsid w:val="7FAE0E2E"/>
    <w:rsid w:val="7FC71EF0"/>
    <w:rsid w:val="7FD60385"/>
    <w:rsid w:val="F6ABE0A9"/>
    <w:rsid w:val="FBC97B7E"/>
    <w:rsid w:val="FD72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Document Map"/>
    <w:basedOn w:val="1"/>
    <w:link w:val="232"/>
    <w:autoRedefine/>
    <w:semiHidden/>
    <w:unhideWhenUsed/>
    <w:qFormat/>
    <w:uiPriority w:val="99"/>
    <w:rPr>
      <w:rFonts w:ascii="宋体"/>
      <w:sz w:val="18"/>
      <w:szCs w:val="18"/>
    </w:rPr>
  </w:style>
  <w:style w:type="paragraph" w:styleId="14">
    <w:name w:val="Body Text"/>
    <w:basedOn w:val="1"/>
    <w:link w:val="88"/>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autoRedefine/>
    <w:semiHidden/>
    <w:unhideWhenUsed/>
    <w:qFormat/>
    <w:uiPriority w:val="99"/>
    <w:rPr>
      <w:sz w:val="18"/>
      <w:szCs w:val="18"/>
    </w:rPr>
  </w:style>
  <w:style w:type="paragraph" w:styleId="18">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link w:val="50"/>
    <w:autoRedefine/>
    <w:qFormat/>
    <w:uiPriority w:val="0"/>
    <w:pPr>
      <w:spacing w:before="240" w:after="60"/>
      <w:jc w:val="center"/>
      <w:outlineLvl w:val="0"/>
    </w:pPr>
    <w:rPr>
      <w:rFonts w:ascii="Arial" w:hAnsi="Arial" w:cs="Arial"/>
      <w:b/>
      <w:bCs/>
      <w:sz w:val="32"/>
      <w:szCs w:val="32"/>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footnote reference"/>
    <w:autoRedefine/>
    <w:semiHidden/>
    <w:qFormat/>
    <w:uiPriority w:val="0"/>
    <w:rPr>
      <w:rFonts w:ascii="宋体" w:hAnsi="宋体" w:eastAsia="宋体" w:cs="Times New Roman"/>
      <w:spacing w:val="0"/>
      <w:sz w:val="18"/>
      <w:vertAlign w:val="superscript"/>
    </w:rPr>
  </w:style>
  <w:style w:type="character" w:customStyle="1" w:styleId="36">
    <w:name w:val="标题 1 字符"/>
    <w:link w:val="2"/>
    <w:autoRedefine/>
    <w:qFormat/>
    <w:uiPriority w:val="0"/>
    <w:rPr>
      <w:rFonts w:ascii="Times New Roman" w:hAnsi="Times New Roman" w:eastAsia="宋体" w:cs="Times New Roman"/>
      <w:b/>
      <w:bCs/>
      <w:kern w:val="44"/>
      <w:sz w:val="44"/>
      <w:szCs w:val="44"/>
    </w:rPr>
  </w:style>
  <w:style w:type="character" w:customStyle="1" w:styleId="37">
    <w:name w:val="标题 2 字符"/>
    <w:link w:val="3"/>
    <w:autoRedefine/>
    <w:qFormat/>
    <w:uiPriority w:val="0"/>
    <w:rPr>
      <w:rFonts w:ascii="Arial" w:hAnsi="Arial" w:eastAsia="黑体" w:cs="Times New Roman"/>
      <w:b/>
      <w:bCs/>
      <w:sz w:val="32"/>
      <w:szCs w:val="32"/>
    </w:rPr>
  </w:style>
  <w:style w:type="character" w:customStyle="1" w:styleId="38">
    <w:name w:val="标题 3 字符"/>
    <w:link w:val="4"/>
    <w:autoRedefine/>
    <w:qFormat/>
    <w:uiPriority w:val="9"/>
    <w:rPr>
      <w:rFonts w:ascii="Times New Roman" w:hAnsi="Times New Roman" w:eastAsia="宋体" w:cs="Times New Roman"/>
      <w:b/>
      <w:bCs/>
      <w:sz w:val="32"/>
      <w:szCs w:val="32"/>
    </w:rPr>
  </w:style>
  <w:style w:type="character" w:customStyle="1" w:styleId="39">
    <w:name w:val="标题 4 字符"/>
    <w:link w:val="5"/>
    <w:autoRedefine/>
    <w:qFormat/>
    <w:uiPriority w:val="0"/>
    <w:rPr>
      <w:rFonts w:ascii="Arial" w:hAnsi="Arial" w:eastAsia="黑体" w:cs="Times New Roman"/>
      <w:b/>
      <w:bCs/>
      <w:sz w:val="28"/>
      <w:szCs w:val="28"/>
    </w:rPr>
  </w:style>
  <w:style w:type="character" w:customStyle="1" w:styleId="40">
    <w:name w:val="标题 5 字符"/>
    <w:link w:val="6"/>
    <w:autoRedefine/>
    <w:qFormat/>
    <w:uiPriority w:val="0"/>
    <w:rPr>
      <w:rFonts w:ascii="Times New Roman" w:hAnsi="Times New Roman" w:eastAsia="宋体" w:cs="Times New Roman"/>
      <w:b/>
      <w:bCs/>
      <w:sz w:val="28"/>
      <w:szCs w:val="28"/>
    </w:rPr>
  </w:style>
  <w:style w:type="character" w:customStyle="1" w:styleId="41">
    <w:name w:val="标题 6 字符"/>
    <w:link w:val="7"/>
    <w:autoRedefine/>
    <w:qFormat/>
    <w:uiPriority w:val="0"/>
    <w:rPr>
      <w:rFonts w:ascii="Arial" w:hAnsi="Arial" w:eastAsia="黑体" w:cs="Times New Roman"/>
      <w:b/>
      <w:bCs/>
      <w:sz w:val="24"/>
      <w:szCs w:val="24"/>
    </w:rPr>
  </w:style>
  <w:style w:type="character" w:customStyle="1" w:styleId="42">
    <w:name w:val="标题 7 字符"/>
    <w:link w:val="8"/>
    <w:autoRedefine/>
    <w:qFormat/>
    <w:uiPriority w:val="0"/>
    <w:rPr>
      <w:rFonts w:ascii="Times New Roman" w:hAnsi="Times New Roman" w:eastAsia="宋体" w:cs="Times New Roman"/>
      <w:b/>
      <w:bCs/>
      <w:sz w:val="24"/>
      <w:szCs w:val="24"/>
    </w:rPr>
  </w:style>
  <w:style w:type="character" w:customStyle="1" w:styleId="43">
    <w:name w:val="标题 8 字符"/>
    <w:link w:val="9"/>
    <w:autoRedefine/>
    <w:qFormat/>
    <w:uiPriority w:val="0"/>
    <w:rPr>
      <w:rFonts w:ascii="Arial" w:hAnsi="Arial" w:eastAsia="黑体" w:cs="Times New Roman"/>
      <w:sz w:val="24"/>
      <w:szCs w:val="24"/>
    </w:rPr>
  </w:style>
  <w:style w:type="character" w:customStyle="1" w:styleId="44">
    <w:name w:val="标题 9 字符"/>
    <w:link w:val="10"/>
    <w:autoRedefine/>
    <w:qFormat/>
    <w:uiPriority w:val="0"/>
    <w:rPr>
      <w:rFonts w:ascii="Arial" w:hAnsi="Arial" w:eastAsia="黑体" w:cs="Times New Roman"/>
      <w:szCs w:val="21"/>
    </w:rPr>
  </w:style>
  <w:style w:type="character" w:customStyle="1" w:styleId="45">
    <w:name w:val="页眉 字符"/>
    <w:link w:val="19"/>
    <w:autoRedefine/>
    <w:qFormat/>
    <w:uiPriority w:val="99"/>
    <w:rPr>
      <w:rFonts w:ascii="Times New Roman" w:hAnsi="Times New Roman" w:eastAsia="宋体" w:cs="Times New Roman"/>
      <w:sz w:val="18"/>
      <w:szCs w:val="18"/>
    </w:rPr>
  </w:style>
  <w:style w:type="character" w:customStyle="1" w:styleId="46">
    <w:name w:val="页脚 字符"/>
    <w:link w:val="18"/>
    <w:autoRedefine/>
    <w:qFormat/>
    <w:uiPriority w:val="99"/>
    <w:rPr>
      <w:rFonts w:ascii="宋体" w:hAnsi="Times New Roman" w:eastAsia="宋体" w:cs="Times New Roman"/>
      <w:sz w:val="18"/>
      <w:szCs w:val="18"/>
    </w:rPr>
  </w:style>
  <w:style w:type="character" w:customStyle="1" w:styleId="47">
    <w:name w:val="批注框文本 字符"/>
    <w:link w:val="17"/>
    <w:autoRedefine/>
    <w:semiHidden/>
    <w:qFormat/>
    <w:uiPriority w:val="99"/>
    <w:rPr>
      <w:sz w:val="18"/>
      <w:szCs w:val="18"/>
    </w:rPr>
  </w:style>
  <w:style w:type="paragraph" w:styleId="48">
    <w:name w:val="Quote"/>
    <w:basedOn w:val="1"/>
    <w:next w:val="1"/>
    <w:link w:val="49"/>
    <w:autoRedefine/>
    <w:qFormat/>
    <w:uiPriority w:val="29"/>
    <w:rPr>
      <w:i/>
      <w:iCs/>
      <w:color w:val="000000"/>
    </w:rPr>
  </w:style>
  <w:style w:type="character" w:customStyle="1" w:styleId="49">
    <w:name w:val="引用 字符"/>
    <w:link w:val="48"/>
    <w:autoRedefine/>
    <w:qFormat/>
    <w:uiPriority w:val="29"/>
    <w:rPr>
      <w:i/>
      <w:iCs/>
      <w:color w:val="000000"/>
    </w:rPr>
  </w:style>
  <w:style w:type="character" w:customStyle="1" w:styleId="50">
    <w:name w:val="标题 字符"/>
    <w:link w:val="27"/>
    <w:autoRedefine/>
    <w:qFormat/>
    <w:uiPriority w:val="0"/>
    <w:rPr>
      <w:rFonts w:ascii="Arial" w:hAnsi="Arial" w:eastAsia="宋体" w:cs="Arial"/>
      <w:b/>
      <w:bCs/>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autoRedefine/>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autoRedefine/>
    <w:qFormat/>
    <w:uiPriority w:val="0"/>
    <w:rPr>
      <w:rFonts w:ascii="Times New Roman" w:hAnsi="Times New Roman" w:eastAsia="宋体" w:cs="Times New Roman"/>
      <w:szCs w:val="20"/>
    </w:rPr>
  </w:style>
  <w:style w:type="paragraph" w:customStyle="1" w:styleId="89">
    <w:name w:val="标准文件_附录章标题"/>
    <w:next w:val="5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autoRedefine/>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pPr>
  </w:style>
  <w:style w:type="paragraph" w:customStyle="1" w:styleId="93">
    <w:name w:val="标准文件_目录标题"/>
    <w:basedOn w:val="1"/>
    <w:autoRedefine/>
    <w:qFormat/>
    <w:uiPriority w:val="0"/>
    <w:pPr>
      <w:spacing w:afterLines="150" w:line="240" w:lineRule="auto"/>
      <w:jc w:val="center"/>
    </w:pPr>
    <w:rPr>
      <w:rFonts w:ascii="黑体" w:eastAsia="黑体"/>
      <w:sz w:val="32"/>
    </w:rPr>
  </w:style>
  <w:style w:type="paragraph" w:customStyle="1" w:styleId="94">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autoRedefine/>
    <w:qFormat/>
    <w:uiPriority w:val="0"/>
    <w:pPr>
      <w:numPr>
        <w:numId w:val="10"/>
      </w:numPr>
      <w:ind w:left="0" w:firstLine="200"/>
    </w:pPr>
  </w:style>
  <w:style w:type="paragraph" w:customStyle="1" w:styleId="96">
    <w:name w:val="标准文件_三级条标题"/>
    <w:basedOn w:val="67"/>
    <w:next w:val="58"/>
    <w:autoRedefine/>
    <w:qFormat/>
    <w:uiPriority w:val="0"/>
    <w:pPr>
      <w:widowControl/>
      <w:numPr>
        <w:ilvl w:val="4"/>
      </w:numPr>
      <w:outlineLvl w:val="3"/>
    </w:pPr>
  </w:style>
  <w:style w:type="character" w:customStyle="1" w:styleId="97">
    <w:name w:val="不明显参考1"/>
    <w:autoRedefine/>
    <w:qFormat/>
    <w:uiPriority w:val="31"/>
    <w:rPr>
      <w:smallCaps/>
      <w:color w:val="C0504D"/>
      <w:u w:val="single"/>
    </w:rPr>
  </w:style>
  <w:style w:type="paragraph" w:customStyle="1" w:styleId="98">
    <w:name w:val="标准文件_示例后续"/>
    <w:basedOn w:val="1"/>
    <w:autoRedefine/>
    <w:qFormat/>
    <w:uiPriority w:val="0"/>
    <w:pPr>
      <w:adjustRightInd/>
      <w:spacing w:line="240" w:lineRule="auto"/>
      <w:ind w:firstLine="200" w:firstLineChars="200"/>
    </w:pPr>
    <w:rPr>
      <w:sz w:val="18"/>
      <w:szCs w:val="24"/>
    </w:rPr>
  </w:style>
  <w:style w:type="paragraph" w:customStyle="1" w:styleId="99">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autoRedefine/>
    <w:semiHidden/>
    <w:qFormat/>
    <w:uiPriority w:val="0"/>
    <w:rPr>
      <w:rFonts w:ascii="宋体" w:hAnsi="Times New Roman" w:eastAsia="宋体" w:cs="Times New Roman"/>
      <w:sz w:val="18"/>
      <w:szCs w:val="18"/>
    </w:rPr>
  </w:style>
  <w:style w:type="paragraph" w:customStyle="1" w:styleId="102">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autoRedefine/>
    <w:qFormat/>
    <w:uiPriority w:val="0"/>
    <w:pPr>
      <w:numPr>
        <w:ilvl w:val="0"/>
        <w:numId w:val="12"/>
      </w:numPr>
      <w:spacing w:line="240" w:lineRule="auto"/>
      <w:jc w:val="left"/>
    </w:pPr>
    <w:rPr>
      <w:rFonts w:ascii="宋体" w:hAnsi="宋体"/>
      <w:sz w:val="18"/>
    </w:rPr>
  </w:style>
  <w:style w:type="character" w:customStyle="1" w:styleId="104">
    <w:name w:val="标准文件_图表脚注内容"/>
    <w:autoRedefine/>
    <w:qFormat/>
    <w:uiPriority w:val="0"/>
    <w:rPr>
      <w:rFonts w:ascii="宋体" w:hAnsi="宋体" w:eastAsia="宋体" w:cs="Times New Roman"/>
      <w:spacing w:val="0"/>
      <w:sz w:val="18"/>
      <w:vertAlign w:val="superscript"/>
    </w:rPr>
  </w:style>
  <w:style w:type="paragraph" w:customStyle="1" w:styleId="105">
    <w:name w:val="标准文件_五级条标题"/>
    <w:next w:val="58"/>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autoRedefine/>
    <w:qFormat/>
    <w:uiPriority w:val="0"/>
    <w:pPr>
      <w:numPr>
        <w:ilvl w:val="2"/>
      </w:numPr>
      <w:spacing w:beforeLines="50" w:afterLines="50"/>
      <w:outlineLvl w:val="1"/>
    </w:pPr>
  </w:style>
  <w:style w:type="paragraph" w:customStyle="1" w:styleId="108">
    <w:name w:val="标准文件_一致程度"/>
    <w:basedOn w:val="1"/>
    <w:autoRedefine/>
    <w:qFormat/>
    <w:uiPriority w:val="0"/>
    <w:pPr>
      <w:spacing w:line="440" w:lineRule="exact"/>
      <w:jc w:val="center"/>
    </w:pPr>
    <w:rPr>
      <w:sz w:val="28"/>
    </w:rPr>
  </w:style>
  <w:style w:type="paragraph" w:customStyle="1" w:styleId="10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autoRedefine/>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autoRedefine/>
    <w:qFormat/>
    <w:uiPriority w:val="0"/>
    <w:pPr>
      <w:widowControl/>
      <w:adjustRightInd/>
      <w:jc w:val="center"/>
    </w:pPr>
    <w:rPr>
      <w:rFonts w:ascii="黑体" w:eastAsia="黑体"/>
    </w:rPr>
  </w:style>
  <w:style w:type="paragraph" w:customStyle="1" w:styleId="137">
    <w:name w:val="附录一级无标题条"/>
    <w:basedOn w:val="89"/>
    <w:next w:val="58"/>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autoRedefine/>
    <w:qFormat/>
    <w:uiPriority w:val="0"/>
    <w:rPr>
      <w:rFonts w:ascii="Arial" w:hAnsi="Arial" w:eastAsia="宋体" w:cs="Arial"/>
      <w:color w:val="auto"/>
      <w:spacing w:val="0"/>
      <w:sz w:val="20"/>
    </w:rPr>
  </w:style>
  <w:style w:type="paragraph" w:customStyle="1" w:styleId="140">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autoRedefine/>
    <w:qFormat/>
    <w:uiPriority w:val="0"/>
    <w:pPr>
      <w:tabs>
        <w:tab w:val="left" w:pos="840"/>
      </w:tabs>
    </w:pPr>
  </w:style>
  <w:style w:type="paragraph" w:customStyle="1" w:styleId="14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autoRedefine/>
    <w:qFormat/>
    <w:uiPriority w:val="0"/>
    <w:pPr>
      <w:framePr w:wrap="around"/>
      <w:spacing w:line="0" w:lineRule="atLeast"/>
    </w:pPr>
    <w:rPr>
      <w:rFonts w:ascii="黑体" w:eastAsia="黑体"/>
      <w:b w:val="0"/>
    </w:rPr>
  </w:style>
  <w:style w:type="paragraph" w:customStyle="1" w:styleId="154">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autoRedefine/>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autoRedefine/>
    <w:qFormat/>
    <w:uiPriority w:val="0"/>
    <w:pPr>
      <w:numPr>
        <w:ilvl w:val="6"/>
        <w:numId w:val="20"/>
      </w:numPr>
      <w:adjustRightInd/>
    </w:pPr>
    <w:rPr>
      <w:szCs w:val="24"/>
    </w:rPr>
  </w:style>
  <w:style w:type="paragraph" w:customStyle="1" w:styleId="161">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autoRedefine/>
    <w:qFormat/>
    <w:uiPriority w:val="0"/>
    <w:pPr>
      <w:ind w:left="1406" w:leftChars="0" w:hanging="499" w:firstLineChars="0"/>
    </w:pPr>
  </w:style>
  <w:style w:type="paragraph" w:customStyle="1" w:styleId="164">
    <w:name w:val="标准文件_一级无标题"/>
    <w:basedOn w:val="107"/>
    <w:autoRedefine/>
    <w:qFormat/>
    <w:uiPriority w:val="0"/>
    <w:pPr>
      <w:spacing w:beforeLines="0" w:afterLines="0"/>
      <w:outlineLvl w:val="9"/>
    </w:pPr>
    <w:rPr>
      <w:rFonts w:ascii="宋体" w:eastAsia="宋体"/>
    </w:rPr>
  </w:style>
  <w:style w:type="paragraph" w:customStyle="1" w:styleId="165">
    <w:name w:val="标准文件_五级无标题"/>
    <w:basedOn w:val="105"/>
    <w:autoRedefine/>
    <w:qFormat/>
    <w:uiPriority w:val="0"/>
    <w:pPr>
      <w:spacing w:beforeLines="0" w:afterLines="0"/>
      <w:outlineLvl w:val="9"/>
    </w:pPr>
    <w:rPr>
      <w:rFonts w:ascii="宋体" w:eastAsia="宋体"/>
    </w:rPr>
  </w:style>
  <w:style w:type="paragraph" w:customStyle="1" w:styleId="166">
    <w:name w:val="标准文件_三级无标题"/>
    <w:basedOn w:val="96"/>
    <w:autoRedefine/>
    <w:qFormat/>
    <w:uiPriority w:val="0"/>
    <w:pPr>
      <w:spacing w:beforeLines="0" w:afterLines="0"/>
      <w:outlineLvl w:val="9"/>
    </w:pPr>
    <w:rPr>
      <w:rFonts w:ascii="宋体" w:eastAsia="宋体"/>
    </w:rPr>
  </w:style>
  <w:style w:type="paragraph" w:customStyle="1" w:styleId="167">
    <w:name w:val="标准文件_二级无标题"/>
    <w:basedOn w:val="67"/>
    <w:autoRedefine/>
    <w:qFormat/>
    <w:uiPriority w:val="0"/>
    <w:pPr>
      <w:spacing w:beforeLines="0" w:afterLines="0"/>
      <w:outlineLvl w:val="9"/>
    </w:pPr>
    <w:rPr>
      <w:rFonts w:ascii="宋体" w:eastAsia="宋体"/>
    </w:rPr>
  </w:style>
  <w:style w:type="paragraph" w:customStyle="1" w:styleId="168">
    <w:name w:val="标准_四级无标题"/>
    <w:basedOn w:val="100"/>
    <w:next w:val="58"/>
    <w:autoRedefine/>
    <w:qFormat/>
    <w:uiPriority w:val="0"/>
    <w:rPr>
      <w:rFonts w:eastAsia="宋体"/>
    </w:rPr>
  </w:style>
  <w:style w:type="paragraph" w:customStyle="1" w:styleId="169">
    <w:name w:val="标准文件_四级无标题"/>
    <w:basedOn w:val="100"/>
    <w:autoRedefine/>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autoRedefine/>
    <w:qFormat/>
    <w:uiPriority w:val="0"/>
    <w:pPr>
      <w:numPr>
        <w:ilvl w:val="0"/>
        <w:numId w:val="24"/>
      </w:numPr>
      <w:ind w:firstLine="0" w:firstLineChars="0"/>
    </w:pPr>
    <w:rPr>
      <w:rFonts w:cs="Arial"/>
      <w:szCs w:val="28"/>
    </w:rPr>
  </w:style>
  <w:style w:type="paragraph" w:customStyle="1" w:styleId="172">
    <w:name w:val="标准文件_附录标题"/>
    <w:basedOn w:val="78"/>
    <w:autoRedefine/>
    <w:qFormat/>
    <w:uiPriority w:val="0"/>
    <w:pPr>
      <w:numPr>
        <w:numId w:val="0"/>
      </w:numPr>
      <w:spacing w:after="280"/>
      <w:outlineLvl w:val="9"/>
    </w:pPr>
  </w:style>
  <w:style w:type="paragraph" w:customStyle="1" w:styleId="173">
    <w:name w:val="标准文件_二级项"/>
    <w:autoRedefine/>
    <w:qFormat/>
    <w:uiPriority w:val="0"/>
    <w:rPr>
      <w:rFonts w:ascii="宋体" w:hAnsi="Times New Roman" w:eastAsia="宋体" w:cs="Times New Roman"/>
      <w:sz w:val="21"/>
      <w:lang w:val="en-US" w:eastAsia="zh-CN" w:bidi="ar-SA"/>
    </w:rPr>
  </w:style>
  <w:style w:type="paragraph" w:customStyle="1" w:styleId="174">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autoRedefine/>
    <w:qFormat/>
    <w:uiPriority w:val="0"/>
    <w:pPr>
      <w:ind w:firstLine="0" w:firstLineChars="0"/>
      <w:jc w:val="center"/>
    </w:pPr>
    <w:rPr>
      <w:sz w:val="18"/>
    </w:rPr>
  </w:style>
  <w:style w:type="paragraph" w:customStyle="1" w:styleId="181">
    <w:name w:val="标准文件_注："/>
    <w:next w:val="5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autoRedefine/>
    <w:qFormat/>
    <w:uiPriority w:val="0"/>
    <w:pPr>
      <w:ind w:firstLine="420"/>
    </w:pPr>
    <w:rPr>
      <w:sz w:val="18"/>
    </w:rPr>
  </w:style>
  <w:style w:type="paragraph" w:customStyle="1" w:styleId="185">
    <w:name w:val="标准文件_示例×："/>
    <w:basedOn w:val="1"/>
    <w:next w:val="184"/>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autoRedefine/>
    <w:qFormat/>
    <w:uiPriority w:val="0"/>
    <w:rPr>
      <w:rFonts w:ascii="宋体" w:hAnsi="Times New Roman"/>
      <w:sz w:val="21"/>
    </w:rPr>
  </w:style>
  <w:style w:type="paragraph" w:customStyle="1" w:styleId="187">
    <w:name w:val="标准文件_表格续"/>
    <w:basedOn w:val="58"/>
    <w:next w:val="58"/>
    <w:autoRedefine/>
    <w:qFormat/>
    <w:uiPriority w:val="0"/>
    <w:pPr>
      <w:jc w:val="center"/>
    </w:pPr>
    <w:rPr>
      <w:rFonts w:ascii="黑体" w:hAnsi="黑体" w:eastAsia="黑体"/>
    </w:rPr>
  </w:style>
  <w:style w:type="character" w:styleId="188">
    <w:name w:val="Placeholder Text"/>
    <w:basedOn w:val="30"/>
    <w:autoRedefine/>
    <w:semiHidden/>
    <w:qFormat/>
    <w:uiPriority w:val="99"/>
    <w:rPr>
      <w:color w:val="808080"/>
    </w:rPr>
  </w:style>
  <w:style w:type="paragraph" w:customStyle="1" w:styleId="189">
    <w:name w:val="标准文件_二级项2"/>
    <w:basedOn w:val="58"/>
    <w:autoRedefine/>
    <w:qFormat/>
    <w:uiPriority w:val="0"/>
    <w:pPr>
      <w:numPr>
        <w:ilvl w:val="1"/>
        <w:numId w:val="21"/>
      </w:numPr>
      <w:ind w:left="1271" w:hanging="420" w:firstLineChars="0"/>
    </w:pPr>
  </w:style>
  <w:style w:type="paragraph" w:customStyle="1" w:styleId="190">
    <w:name w:val="标准文件_三级项2"/>
    <w:basedOn w:val="58"/>
    <w:autoRedefine/>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autoRedefine/>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autoRedefine/>
    <w:qFormat/>
    <w:uiPriority w:val="0"/>
    <w:pPr>
      <w:ind w:firstLine="420"/>
    </w:pPr>
    <w:rPr>
      <w:rFonts w:ascii="黑体" w:eastAsia="黑体"/>
    </w:rPr>
  </w:style>
  <w:style w:type="character" w:customStyle="1" w:styleId="193">
    <w:name w:val="标准文件_来源"/>
    <w:basedOn w:val="30"/>
    <w:autoRedefine/>
    <w:qFormat/>
    <w:uiPriority w:val="1"/>
    <w:rPr>
      <w:rFonts w:eastAsia="宋体"/>
      <w:sz w:val="21"/>
    </w:rPr>
  </w:style>
  <w:style w:type="paragraph" w:customStyle="1" w:styleId="194">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autoRedefine/>
    <w:qFormat/>
    <w:uiPriority w:val="0"/>
    <w:pPr>
      <w:framePr w:w="3997" w:h="471" w:hRule="exact" w:hSpace="0" w:vSpace="181" w:wrap="around" w:vAnchor="page" w:hAnchor="page" w:x="1419" w:y="14097"/>
    </w:pPr>
  </w:style>
  <w:style w:type="paragraph" w:customStyle="1" w:styleId="196">
    <w:name w:val="其他实施日期"/>
    <w:basedOn w:val="156"/>
    <w:autoRedefine/>
    <w:qFormat/>
    <w:uiPriority w:val="0"/>
    <w:pPr>
      <w:framePr w:w="3997" w:h="471" w:hRule="exact" w:vSpace="181" w:wrap="around" w:vAnchor="page" w:hAnchor="page" w:x="7089" w:y="14097"/>
    </w:pPr>
  </w:style>
  <w:style w:type="paragraph" w:customStyle="1" w:styleId="197">
    <w:name w:val="标准文件_文件编号"/>
    <w:basedOn w:val="58"/>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autoRedefine/>
    <w:qFormat/>
    <w:uiPriority w:val="0"/>
    <w:pPr>
      <w:spacing w:before="57"/>
    </w:pPr>
    <w:rPr>
      <w:sz w:val="21"/>
    </w:rPr>
  </w:style>
  <w:style w:type="paragraph" w:customStyle="1" w:styleId="199">
    <w:name w:val="标准文件_文件名称"/>
    <w:basedOn w:val="58"/>
    <w:next w:val="58"/>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autoRedefine/>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autoRedefine/>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autoRedefine/>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autoRedefine/>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autoRedefine/>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autoRedefine/>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autoRedefine/>
    <w:qFormat/>
    <w:uiPriority w:val="0"/>
    <w:pPr>
      <w:ind w:left="811" w:firstLine="0" w:firstLineChars="0"/>
    </w:pPr>
    <w:rPr>
      <w:sz w:val="18"/>
    </w:rPr>
  </w:style>
  <w:style w:type="paragraph" w:customStyle="1" w:styleId="208">
    <w:name w:val="标准文件_注X后"/>
    <w:basedOn w:val="58"/>
    <w:autoRedefine/>
    <w:qFormat/>
    <w:uiPriority w:val="0"/>
    <w:pPr>
      <w:ind w:left="811" w:firstLine="0" w:firstLineChars="0"/>
    </w:pPr>
    <w:rPr>
      <w:sz w:val="18"/>
    </w:rPr>
  </w:style>
  <w:style w:type="paragraph" w:customStyle="1" w:styleId="209">
    <w:name w:val="标准文件_示例后"/>
    <w:basedOn w:val="58"/>
    <w:autoRedefine/>
    <w:qFormat/>
    <w:uiPriority w:val="0"/>
    <w:pPr>
      <w:ind w:left="964" w:firstLine="0" w:firstLineChars="0"/>
    </w:pPr>
    <w:rPr>
      <w:sz w:val="18"/>
    </w:rPr>
  </w:style>
  <w:style w:type="paragraph" w:customStyle="1" w:styleId="210">
    <w:name w:val="标准文件_示例X后"/>
    <w:basedOn w:val="58"/>
    <w:link w:val="211"/>
    <w:autoRedefine/>
    <w:qFormat/>
    <w:uiPriority w:val="0"/>
    <w:pPr>
      <w:ind w:left="1049" w:firstLine="0" w:firstLineChars="0"/>
    </w:pPr>
    <w:rPr>
      <w:sz w:val="18"/>
    </w:rPr>
  </w:style>
  <w:style w:type="character" w:customStyle="1" w:styleId="211">
    <w:name w:val="标准文件_示例X后 字符"/>
    <w:basedOn w:val="186"/>
    <w:link w:val="210"/>
    <w:autoRedefine/>
    <w:qFormat/>
    <w:uiPriority w:val="0"/>
    <w:rPr>
      <w:rFonts w:ascii="宋体" w:hAnsi="Times New Roman"/>
      <w:sz w:val="18"/>
    </w:rPr>
  </w:style>
  <w:style w:type="paragraph" w:customStyle="1" w:styleId="212">
    <w:name w:val="标准文件_索引项"/>
    <w:basedOn w:val="58"/>
    <w:next w:val="58"/>
    <w:autoRedefine/>
    <w:qFormat/>
    <w:uiPriority w:val="0"/>
    <w:pPr>
      <w:tabs>
        <w:tab w:val="right" w:leader="dot" w:pos="9356"/>
      </w:tabs>
      <w:ind w:left="210" w:hanging="210" w:firstLineChars="0"/>
      <w:jc w:val="left"/>
    </w:pPr>
  </w:style>
  <w:style w:type="paragraph" w:customStyle="1" w:styleId="213">
    <w:name w:val="标准文件_附录一级无标题"/>
    <w:basedOn w:val="80"/>
    <w:autoRedefine/>
    <w:qFormat/>
    <w:uiPriority w:val="0"/>
    <w:pPr>
      <w:spacing w:beforeLines="0" w:afterLines="0" w:line="276" w:lineRule="auto"/>
      <w:outlineLvl w:val="9"/>
    </w:pPr>
    <w:rPr>
      <w:rFonts w:ascii="宋体" w:eastAsia="宋体"/>
    </w:rPr>
  </w:style>
  <w:style w:type="paragraph" w:customStyle="1" w:styleId="214">
    <w:name w:val="标准文件_附录二级无标题"/>
    <w:basedOn w:val="81"/>
    <w:autoRedefine/>
    <w:qFormat/>
    <w:uiPriority w:val="0"/>
    <w:pPr>
      <w:spacing w:beforeLines="0" w:afterLines="0" w:line="276" w:lineRule="auto"/>
      <w:outlineLvl w:val="9"/>
    </w:pPr>
    <w:rPr>
      <w:rFonts w:ascii="宋体" w:eastAsia="宋体"/>
    </w:rPr>
  </w:style>
  <w:style w:type="paragraph" w:customStyle="1" w:styleId="215">
    <w:name w:val="标准文件_附录三级无标题"/>
    <w:basedOn w:val="83"/>
    <w:autoRedefine/>
    <w:qFormat/>
    <w:uiPriority w:val="0"/>
    <w:pPr>
      <w:spacing w:beforeLines="0" w:afterLines="0" w:line="276" w:lineRule="auto"/>
      <w:outlineLvl w:val="9"/>
    </w:pPr>
    <w:rPr>
      <w:rFonts w:ascii="宋体" w:eastAsia="宋体"/>
    </w:rPr>
  </w:style>
  <w:style w:type="paragraph" w:customStyle="1" w:styleId="216">
    <w:name w:val="标准文件_附录四级无标题"/>
    <w:basedOn w:val="84"/>
    <w:autoRedefine/>
    <w:qFormat/>
    <w:uiPriority w:val="0"/>
    <w:pPr>
      <w:spacing w:beforeLines="0" w:afterLines="0" w:line="276" w:lineRule="auto"/>
      <w:outlineLvl w:val="9"/>
    </w:pPr>
    <w:rPr>
      <w:rFonts w:ascii="宋体" w:eastAsia="宋体"/>
    </w:rPr>
  </w:style>
  <w:style w:type="paragraph" w:customStyle="1" w:styleId="217">
    <w:name w:val="标准文件_附录五级无标题"/>
    <w:basedOn w:val="86"/>
    <w:autoRedefine/>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autoRedefine/>
    <w:qFormat/>
    <w:uiPriority w:val="0"/>
    <w:pPr>
      <w:spacing w:beforeLines="0" w:afterLines="0" w:line="276" w:lineRule="auto"/>
    </w:pPr>
    <w:rPr>
      <w:rFonts w:ascii="宋体" w:eastAsia="宋体"/>
    </w:rPr>
  </w:style>
  <w:style w:type="paragraph" w:customStyle="1" w:styleId="219">
    <w:name w:val="标准文件_引言二级无标题"/>
    <w:basedOn w:val="203"/>
    <w:next w:val="58"/>
    <w:autoRedefine/>
    <w:qFormat/>
    <w:uiPriority w:val="0"/>
    <w:pPr>
      <w:spacing w:beforeLines="0" w:afterLines="0" w:line="276" w:lineRule="auto"/>
    </w:pPr>
    <w:rPr>
      <w:rFonts w:ascii="宋体" w:eastAsia="宋体"/>
    </w:rPr>
  </w:style>
  <w:style w:type="paragraph" w:customStyle="1" w:styleId="220">
    <w:name w:val="标准文件_引言三级无标题"/>
    <w:basedOn w:val="204"/>
    <w:next w:val="58"/>
    <w:autoRedefine/>
    <w:qFormat/>
    <w:uiPriority w:val="0"/>
    <w:pPr>
      <w:spacing w:beforeLines="0" w:afterLines="0" w:line="276" w:lineRule="auto"/>
    </w:pPr>
    <w:rPr>
      <w:rFonts w:ascii="宋体" w:eastAsia="宋体"/>
    </w:rPr>
  </w:style>
  <w:style w:type="paragraph" w:customStyle="1" w:styleId="221">
    <w:name w:val="标准文件_引言四级无标题"/>
    <w:basedOn w:val="205"/>
    <w:next w:val="58"/>
    <w:autoRedefine/>
    <w:qFormat/>
    <w:uiPriority w:val="0"/>
    <w:pPr>
      <w:spacing w:beforeLines="0" w:afterLines="0" w:line="276" w:lineRule="auto"/>
    </w:pPr>
    <w:rPr>
      <w:rFonts w:ascii="宋体" w:eastAsia="宋体"/>
    </w:rPr>
  </w:style>
  <w:style w:type="paragraph" w:customStyle="1" w:styleId="222">
    <w:name w:val="标准文件_引言五级无标题"/>
    <w:basedOn w:val="206"/>
    <w:next w:val="58"/>
    <w:autoRedefine/>
    <w:qFormat/>
    <w:uiPriority w:val="0"/>
    <w:pPr>
      <w:spacing w:beforeLines="0" w:afterLines="0" w:line="276" w:lineRule="auto"/>
    </w:pPr>
    <w:rPr>
      <w:rFonts w:ascii="宋体" w:eastAsia="宋体"/>
    </w:rPr>
  </w:style>
  <w:style w:type="paragraph" w:customStyle="1" w:styleId="223">
    <w:name w:val="标准文件_索引标题"/>
    <w:basedOn w:val="65"/>
    <w:next w:val="58"/>
    <w:autoRedefine/>
    <w:qFormat/>
    <w:uiPriority w:val="0"/>
    <w:rPr>
      <w:rFonts w:hAnsi="黑体"/>
    </w:rPr>
  </w:style>
  <w:style w:type="paragraph" w:customStyle="1" w:styleId="224">
    <w:name w:val="标准文件_脚注内容"/>
    <w:basedOn w:val="58"/>
    <w:autoRedefine/>
    <w:qFormat/>
    <w:uiPriority w:val="0"/>
    <w:pPr>
      <w:ind w:left="400" w:leftChars="200" w:hanging="200" w:hangingChars="200"/>
    </w:pPr>
    <w:rPr>
      <w:sz w:val="15"/>
    </w:rPr>
  </w:style>
  <w:style w:type="paragraph" w:customStyle="1" w:styleId="225">
    <w:name w:val="标准文件_术语条一"/>
    <w:basedOn w:val="164"/>
    <w:next w:val="58"/>
    <w:autoRedefine/>
    <w:qFormat/>
    <w:uiPriority w:val="0"/>
  </w:style>
  <w:style w:type="paragraph" w:customStyle="1" w:styleId="226">
    <w:name w:val="标准文件_术语条二"/>
    <w:basedOn w:val="167"/>
    <w:next w:val="58"/>
    <w:autoRedefine/>
    <w:qFormat/>
    <w:uiPriority w:val="0"/>
  </w:style>
  <w:style w:type="paragraph" w:customStyle="1" w:styleId="227">
    <w:name w:val="标准文件_术语条三"/>
    <w:basedOn w:val="166"/>
    <w:next w:val="58"/>
    <w:autoRedefine/>
    <w:qFormat/>
    <w:uiPriority w:val="0"/>
  </w:style>
  <w:style w:type="paragraph" w:customStyle="1" w:styleId="228">
    <w:name w:val="标准文件_术语条四"/>
    <w:basedOn w:val="169"/>
    <w:next w:val="58"/>
    <w:autoRedefine/>
    <w:qFormat/>
    <w:uiPriority w:val="0"/>
  </w:style>
  <w:style w:type="paragraph" w:customStyle="1" w:styleId="229">
    <w:name w:val="标准文件_术语条五"/>
    <w:basedOn w:val="165"/>
    <w:next w:val="58"/>
    <w:autoRedefine/>
    <w:qFormat/>
    <w:uiPriority w:val="0"/>
  </w:style>
  <w:style w:type="paragraph" w:customStyle="1" w:styleId="2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autoRedefine/>
    <w:qFormat/>
    <w:uiPriority w:val="0"/>
    <w:rPr>
      <w:rFonts w:ascii="黑体" w:eastAsia="黑体"/>
      <w:spacing w:val="85"/>
      <w:w w:val="100"/>
      <w:position w:val="3"/>
      <w:sz w:val="28"/>
      <w:szCs w:val="28"/>
    </w:rPr>
  </w:style>
  <w:style w:type="character" w:customStyle="1" w:styleId="232">
    <w:name w:val="文档结构图 字符"/>
    <w:basedOn w:val="30"/>
    <w:link w:val="13"/>
    <w:autoRedefine/>
    <w:semiHidden/>
    <w:qFormat/>
    <w:uiPriority w:val="99"/>
    <w:rPr>
      <w:rFonts w:ascii="宋体"/>
      <w:kern w:val="2"/>
      <w:sz w:val="18"/>
      <w:szCs w:val="18"/>
    </w:rPr>
  </w:style>
  <w:style w:type="character" w:customStyle="1" w:styleId="233">
    <w:name w:val="段 Char"/>
    <w:link w:val="234"/>
    <w:autoRedefine/>
    <w:qFormat/>
    <w:locked/>
    <w:uiPriority w:val="0"/>
    <w:rPr>
      <w:rFonts w:ascii="宋体" w:hAnsi="宋体"/>
      <w:sz w:val="21"/>
    </w:rPr>
  </w:style>
  <w:style w:type="paragraph" w:customStyle="1" w:styleId="234">
    <w:name w:val="段"/>
    <w:link w:val="233"/>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5">
    <w:name w:val="List Paragraph"/>
    <w:basedOn w:val="1"/>
    <w:autoRedefine/>
    <w:qFormat/>
    <w:uiPriority w:val="34"/>
    <w:pPr>
      <w:adjustRightInd/>
      <w:spacing w:line="312" w:lineRule="auto"/>
      <w:ind w:firstLine="420" w:firstLineChars="200"/>
    </w:pPr>
    <w:rPr>
      <w:rFonts w:ascii="Times New Roman" w:hAnsi="Times New Roman"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14:paraId="7DFBEEFF">
          <w:pPr>
            <w:pStyle w:val="5"/>
          </w:pPr>
          <w:r>
            <w:rPr>
              <w:rStyle w:val="4"/>
              <w:rFonts w:hint="eastAsia"/>
            </w:rPr>
            <w:t>单击或点击此处输入文字。</w:t>
          </w:r>
        </w:p>
      </w:docPartBody>
    </w:docPart>
    <w:docPart>
      <w:docPartPr>
        <w:name w:val="{90d10fd0-b6fe-4b3e-9817-b8f5a5e0b693}"/>
        <w:style w:val=""/>
        <w:category>
          <w:name w:val="常规"/>
          <w:gallery w:val="placeholder"/>
        </w:category>
        <w:types>
          <w:type w:val="bbPlcHdr"/>
        </w:types>
        <w:behaviors>
          <w:behavior w:val="content"/>
        </w:behaviors>
        <w:description w:val=""/>
        <w:guid w:val="{90d10fd0-b6fe-4b3e-9817-b8f5a5e0b693}"/>
      </w:docPartPr>
      <w:docPartBody>
        <w:p w14:paraId="3A72C486">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0339E4"/>
    <w:rsid w:val="000B7E90"/>
    <w:rsid w:val="00112772"/>
    <w:rsid w:val="00130D51"/>
    <w:rsid w:val="00323531"/>
    <w:rsid w:val="00380210"/>
    <w:rsid w:val="003E77CF"/>
    <w:rsid w:val="004374B4"/>
    <w:rsid w:val="00484864"/>
    <w:rsid w:val="00525A76"/>
    <w:rsid w:val="005B64E4"/>
    <w:rsid w:val="006113A7"/>
    <w:rsid w:val="00781C01"/>
    <w:rsid w:val="008B2634"/>
    <w:rsid w:val="00962DEA"/>
    <w:rsid w:val="00980313"/>
    <w:rsid w:val="009F5107"/>
    <w:rsid w:val="00B2614F"/>
    <w:rsid w:val="00D47C44"/>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F78032B88594E32A3B39E62F7A4F8C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44955B815F436BACBEB671ACDCAB3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9</Pages>
  <Words>3688</Words>
  <Characters>4216</Characters>
  <Lines>32</Lines>
  <Paragraphs>9</Paragraphs>
  <TotalTime>1</TotalTime>
  <ScaleCrop>false</ScaleCrop>
  <LinksUpToDate>false</LinksUpToDate>
  <CharactersWithSpaces>4339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2023-03-28T18:18:00Z</dcterms:created>
  <dc:creator>bella</dc:creator>
  <dc:description>&lt;config cover="true" show_menu="true" version="1.0.0" doctype="SDKXY"&gt;_x000d_
&lt;/config&gt;</dc:description>
  <cp:lastModifiedBy>桃子</cp:lastModifiedBy>
  <cp:lastPrinted>2024-05-22T07:13:00Z</cp:lastPrinted>
  <dcterms:modified xsi:type="dcterms:W3CDTF">2024-11-05T03:13:27Z</dcterms:modified>
  <dc:title>团体标准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A2369941510242C3B1E04E56E9ED4078_13</vt:lpwstr>
  </property>
</Properties>
</file>