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DEFB4">
      <w:pPr>
        <w:spacing w:line="360" w:lineRule="auto"/>
        <w:jc w:val="center"/>
        <w:rPr>
          <w:rFonts w:ascii="黑体" w:hAnsi="黑体" w:eastAsia="黑体"/>
          <w:sz w:val="32"/>
          <w:szCs w:val="32"/>
        </w:rPr>
      </w:pPr>
      <w:bookmarkStart w:id="3" w:name="_GoBack"/>
      <w:bookmarkEnd w:id="3"/>
      <w:r>
        <w:rPr>
          <w:rFonts w:hint="eastAsia" w:ascii="黑体" w:hAnsi="黑体" w:eastAsia="黑体"/>
          <w:sz w:val="32"/>
          <w:szCs w:val="32"/>
        </w:rPr>
        <w:t>中国信息产业商会团体标准</w:t>
      </w:r>
    </w:p>
    <w:p w14:paraId="59E9A7AF">
      <w:pPr>
        <w:spacing w:line="360" w:lineRule="auto"/>
        <w:jc w:val="center"/>
        <w:rPr>
          <w:rFonts w:ascii="黑体" w:hAnsi="黑体" w:eastAsia="黑体"/>
          <w:sz w:val="32"/>
          <w:szCs w:val="32"/>
        </w:rPr>
      </w:pPr>
      <w:r>
        <w:rPr>
          <w:rFonts w:hint="eastAsia" w:ascii="黑体" w:hAnsi="黑体" w:eastAsia="黑体"/>
          <w:sz w:val="32"/>
          <w:szCs w:val="32"/>
        </w:rPr>
        <w:t>《数字人民币在轨道交通自动售检票系统中的应用》编制说明</w:t>
      </w:r>
    </w:p>
    <w:p w14:paraId="5DFF9237">
      <w:pPr>
        <w:spacing w:line="360" w:lineRule="auto"/>
        <w:rPr>
          <w:rFonts w:ascii="宋体" w:hAnsi="宋体"/>
          <w:b/>
          <w:bCs/>
          <w:color w:val="000000"/>
          <w:sz w:val="24"/>
        </w:rPr>
      </w:pPr>
    </w:p>
    <w:p w14:paraId="327EEBA2">
      <w:pPr>
        <w:numPr>
          <w:ilvl w:val="0"/>
          <w:numId w:val="2"/>
        </w:numPr>
        <w:spacing w:before="156" w:beforeLines="50" w:after="156" w:afterLines="50" w:line="300" w:lineRule="auto"/>
        <w:outlineLvl w:val="0"/>
        <w:rPr>
          <w:rFonts w:ascii="黑体" w:hAnsi="黑体" w:eastAsia="黑体"/>
          <w:b/>
          <w:bCs/>
          <w:color w:val="000000"/>
          <w:sz w:val="24"/>
        </w:rPr>
      </w:pPr>
      <w:r>
        <w:rPr>
          <w:rFonts w:hint="eastAsia" w:ascii="黑体" w:hAnsi="黑体" w:eastAsia="黑体"/>
          <w:b/>
          <w:bCs/>
          <w:color w:val="000000"/>
          <w:sz w:val="24"/>
        </w:rPr>
        <w:t>工作简况</w:t>
      </w:r>
    </w:p>
    <w:p w14:paraId="0D869520">
      <w:pPr>
        <w:pStyle w:val="9"/>
        <w:numPr>
          <w:ilvl w:val="0"/>
          <w:numId w:val="3"/>
        </w:numPr>
        <w:spacing w:before="156" w:beforeLines="50" w:after="156" w:afterLines="50" w:line="300" w:lineRule="auto"/>
        <w:ind w:firstLine="482"/>
        <w:outlineLvl w:val="1"/>
        <w:rPr>
          <w:rFonts w:ascii="黑体" w:hAnsi="黑体" w:eastAsia="黑体"/>
          <w:b/>
          <w:bCs/>
          <w:color w:val="000000"/>
          <w:sz w:val="24"/>
          <w:szCs w:val="24"/>
        </w:rPr>
      </w:pPr>
      <w:r>
        <w:rPr>
          <w:rFonts w:hint="eastAsia" w:ascii="黑体" w:hAnsi="黑体" w:eastAsia="黑体"/>
          <w:b/>
          <w:bCs/>
          <w:color w:val="000000"/>
          <w:sz w:val="24"/>
          <w:szCs w:val="24"/>
        </w:rPr>
        <w:t>任务来源</w:t>
      </w:r>
    </w:p>
    <w:p w14:paraId="6E445465">
      <w:pPr>
        <w:pStyle w:val="9"/>
        <w:spacing w:line="300" w:lineRule="auto"/>
        <w:ind w:firstLine="480"/>
        <w:rPr>
          <w:rFonts w:hAnsi="宋体"/>
          <w:color w:val="000000"/>
          <w:sz w:val="24"/>
          <w:szCs w:val="24"/>
        </w:rPr>
      </w:pPr>
      <w:r>
        <w:rPr>
          <w:rFonts w:hint="eastAsia" w:hAnsi="宋体"/>
          <w:color w:val="000000"/>
          <w:sz w:val="24"/>
          <w:szCs w:val="24"/>
        </w:rPr>
        <w:t>根据《关于印发2024年度第一批团体标准制修订立项计划的通知》（中信商【2024】标05号），计划号CIITA204-2024要求，团体标准《</w:t>
      </w:r>
      <w:bookmarkStart w:id="0" w:name="OLE_LINK2"/>
      <w:r>
        <w:rPr>
          <w:rFonts w:hint="eastAsia" w:hAnsi="宋体"/>
          <w:color w:val="000000"/>
          <w:sz w:val="24"/>
          <w:szCs w:val="24"/>
        </w:rPr>
        <w:t>数字人民币在轨道交通自动售检票系统中的应用</w:t>
      </w:r>
      <w:bookmarkEnd w:id="0"/>
      <w:r>
        <w:rPr>
          <w:rFonts w:hint="eastAsia" w:hAnsi="宋体"/>
          <w:color w:val="000000"/>
          <w:sz w:val="24"/>
          <w:szCs w:val="24"/>
        </w:rPr>
        <w:t>》由中国信息产业商会自动收费系统专业委员会（以下简称：AFC专委会）承担开展编制工作。经AFC专委会理事长会议明确该团体标准编制工作由科创组牵头，</w:t>
      </w:r>
      <w:r>
        <w:rPr>
          <w:rFonts w:hint="eastAsia" w:hAnsi="宋体"/>
          <w:color w:val="000000"/>
          <w:sz w:val="24"/>
          <w:szCs w:val="24"/>
          <w:lang w:val="en-US" w:eastAsia="zh-CN"/>
        </w:rPr>
        <w:t>北京城建智控科技股份</w:t>
      </w:r>
      <w:r>
        <w:rPr>
          <w:rFonts w:hint="eastAsia" w:hAnsi="宋体"/>
          <w:color w:val="000000"/>
          <w:sz w:val="24"/>
          <w:szCs w:val="24"/>
        </w:rPr>
        <w:t>有限公司为主编单位，参编企业</w:t>
      </w:r>
      <w:r>
        <w:rPr>
          <w:rFonts w:hint="eastAsia" w:hAnsi="宋体"/>
          <w:color w:val="000000"/>
          <w:sz w:val="24"/>
          <w:szCs w:val="24"/>
          <w:lang w:val="en-US" w:eastAsia="zh-CN"/>
        </w:rPr>
        <w:t>7</w:t>
      </w:r>
      <w:r>
        <w:rPr>
          <w:rFonts w:hint="eastAsia" w:hAnsi="宋体"/>
          <w:color w:val="000000"/>
          <w:sz w:val="24"/>
          <w:szCs w:val="24"/>
        </w:rPr>
        <w:t>家、设计院2家、</w:t>
      </w:r>
      <w:r>
        <w:rPr>
          <w:rFonts w:hint="eastAsia" w:hAnsi="宋体"/>
          <w:color w:val="000000"/>
          <w:sz w:val="24"/>
          <w:szCs w:val="24"/>
          <w:lang w:val="en-US" w:eastAsia="zh-CN"/>
        </w:rPr>
        <w:t>业主单位1家、</w:t>
      </w:r>
      <w:r>
        <w:rPr>
          <w:rFonts w:hint="eastAsia" w:hAnsi="宋体"/>
          <w:color w:val="000000"/>
          <w:sz w:val="24"/>
          <w:szCs w:val="24"/>
        </w:rPr>
        <w:t>若干个人等共同参与编制工作，编制周期为10个月，预计202</w:t>
      </w:r>
      <w:r>
        <w:rPr>
          <w:rFonts w:hint="eastAsia" w:hAnsi="宋体"/>
          <w:color w:val="000000"/>
          <w:sz w:val="24"/>
          <w:szCs w:val="24"/>
          <w:lang w:val="en-US" w:eastAsia="zh-CN"/>
        </w:rPr>
        <w:t>5</w:t>
      </w:r>
      <w:r>
        <w:rPr>
          <w:rFonts w:hint="eastAsia" w:hAnsi="宋体"/>
          <w:color w:val="000000"/>
          <w:sz w:val="24"/>
          <w:szCs w:val="24"/>
        </w:rPr>
        <w:t>年2月底完成。</w:t>
      </w:r>
    </w:p>
    <w:p w14:paraId="7FC16E59">
      <w:pPr>
        <w:pStyle w:val="9"/>
        <w:numPr>
          <w:ilvl w:val="0"/>
          <w:numId w:val="3"/>
        </w:numPr>
        <w:spacing w:before="156" w:beforeLines="50" w:after="156" w:afterLines="50" w:line="300" w:lineRule="auto"/>
        <w:ind w:firstLine="482"/>
        <w:outlineLvl w:val="1"/>
        <w:rPr>
          <w:rFonts w:ascii="黑体" w:hAnsi="黑体" w:eastAsia="黑体"/>
          <w:b/>
          <w:bCs/>
          <w:color w:val="000000"/>
          <w:sz w:val="24"/>
          <w:szCs w:val="24"/>
        </w:rPr>
      </w:pPr>
      <w:r>
        <w:rPr>
          <w:rFonts w:hint="eastAsia" w:ascii="黑体" w:hAnsi="黑体" w:eastAsia="黑体"/>
          <w:b/>
          <w:bCs/>
          <w:color w:val="000000"/>
          <w:sz w:val="24"/>
          <w:szCs w:val="24"/>
        </w:rPr>
        <w:t>编制组概况</w:t>
      </w:r>
    </w:p>
    <w:p w14:paraId="0BA4FE4D">
      <w:pPr>
        <w:pStyle w:val="9"/>
        <w:numPr>
          <w:ilvl w:val="0"/>
          <w:numId w:val="4"/>
        </w:numPr>
        <w:spacing w:before="156" w:beforeLines="50" w:after="156" w:afterLines="50" w:line="300" w:lineRule="auto"/>
        <w:ind w:left="0" w:firstLine="482"/>
        <w:outlineLvl w:val="2"/>
        <w:rPr>
          <w:rFonts w:hAnsi="宋体"/>
          <w:b/>
          <w:bCs/>
          <w:color w:val="000000"/>
          <w:sz w:val="24"/>
          <w:szCs w:val="24"/>
        </w:rPr>
      </w:pPr>
      <w:r>
        <w:rPr>
          <w:rFonts w:hint="eastAsia" w:hAnsi="宋体"/>
          <w:b/>
          <w:bCs/>
          <w:color w:val="000000"/>
          <w:sz w:val="24"/>
          <w:szCs w:val="24"/>
        </w:rPr>
        <w:t>参编单位</w:t>
      </w:r>
    </w:p>
    <w:p w14:paraId="248F8729">
      <w:pPr>
        <w:pStyle w:val="9"/>
        <w:spacing w:line="300" w:lineRule="auto"/>
        <w:ind w:firstLine="480"/>
        <w:rPr>
          <w:rFonts w:hAnsi="宋体"/>
          <w:color w:val="000000"/>
          <w:sz w:val="24"/>
          <w:szCs w:val="24"/>
        </w:rPr>
      </w:pPr>
      <w:r>
        <w:rPr>
          <w:rFonts w:hint="eastAsia" w:hAnsi="宋体"/>
          <w:color w:val="000000"/>
          <w:sz w:val="24"/>
          <w:szCs w:val="24"/>
        </w:rPr>
        <w:t>本标准由AFC专委会科创组牵头，</w:t>
      </w:r>
      <w:r>
        <w:rPr>
          <w:rFonts w:hint="eastAsia" w:hAnsi="宋体"/>
          <w:color w:val="000000"/>
          <w:sz w:val="24"/>
          <w:szCs w:val="24"/>
          <w:lang w:val="en-US" w:eastAsia="zh-CN"/>
        </w:rPr>
        <w:t>北京城建智控科技股份</w:t>
      </w:r>
      <w:r>
        <w:rPr>
          <w:rFonts w:hint="eastAsia" w:hAnsi="宋体"/>
          <w:color w:val="000000"/>
          <w:sz w:val="24"/>
          <w:szCs w:val="24"/>
        </w:rPr>
        <w:t>有限公司主编，组织南京熊猫信息产业有限公司、上海中软华腾软件系统有限公司、中铁第一勘察设计院集团有限公司、中铁二院工程集团有限责任公司、深圳市雄帝科技股份有效公司、青岛博宁福田智能交通科技发展有限公司、普天轨道交通技术上海有限公司、数金公共服务（青岛）有限公司、深圳市深圳通有限公司参编。</w:t>
      </w:r>
    </w:p>
    <w:p w14:paraId="0FD3CBBA">
      <w:pPr>
        <w:pStyle w:val="9"/>
        <w:spacing w:line="300" w:lineRule="auto"/>
        <w:ind w:firstLine="480"/>
        <w:rPr>
          <w:rFonts w:hint="default" w:hAnsi="宋体" w:eastAsia="宋体"/>
          <w:color w:val="000000"/>
          <w:sz w:val="24"/>
          <w:szCs w:val="24"/>
          <w:lang w:val="en-US" w:eastAsia="zh-CN"/>
        </w:rPr>
      </w:pPr>
      <w:r>
        <w:rPr>
          <w:rFonts w:hint="eastAsia" w:hAnsi="宋体"/>
          <w:color w:val="000000"/>
          <w:sz w:val="24"/>
          <w:szCs w:val="24"/>
        </w:rPr>
        <w:t>主要起草人包括：</w:t>
      </w:r>
      <w:r>
        <w:rPr>
          <w:rFonts w:hint="eastAsia" w:hAnsi="宋体"/>
          <w:color w:val="000000"/>
          <w:sz w:val="24"/>
          <w:szCs w:val="24"/>
          <w:lang w:eastAsia="zh-CN"/>
        </w:rPr>
        <w:t>（</w:t>
      </w:r>
      <w:r>
        <w:rPr>
          <w:rFonts w:hint="eastAsia" w:hAnsi="宋体"/>
          <w:color w:val="000000"/>
          <w:sz w:val="24"/>
          <w:szCs w:val="24"/>
          <w:lang w:val="en-US" w:eastAsia="zh-CN"/>
        </w:rPr>
        <w:t>待补充）。</w:t>
      </w:r>
    </w:p>
    <w:p w14:paraId="3406D9BC">
      <w:pPr>
        <w:pStyle w:val="9"/>
        <w:spacing w:line="300" w:lineRule="auto"/>
        <w:ind w:firstLine="480"/>
        <w:rPr>
          <w:rFonts w:hAnsi="宋体"/>
          <w:color w:val="000000"/>
          <w:sz w:val="24"/>
          <w:szCs w:val="24"/>
        </w:rPr>
      </w:pPr>
    </w:p>
    <w:p w14:paraId="61BDFD16">
      <w:pPr>
        <w:pStyle w:val="9"/>
        <w:numPr>
          <w:ilvl w:val="0"/>
          <w:numId w:val="4"/>
        </w:numPr>
        <w:spacing w:before="156" w:beforeLines="50" w:after="156" w:afterLines="50" w:line="300" w:lineRule="auto"/>
        <w:ind w:left="0" w:firstLine="482"/>
        <w:outlineLvl w:val="2"/>
        <w:rPr>
          <w:rFonts w:hAnsi="宋体"/>
          <w:b/>
          <w:bCs/>
          <w:color w:val="000000"/>
          <w:sz w:val="24"/>
          <w:szCs w:val="24"/>
        </w:rPr>
      </w:pPr>
      <w:r>
        <w:rPr>
          <w:rFonts w:hint="eastAsia" w:hAnsi="宋体"/>
          <w:b/>
          <w:bCs/>
          <w:color w:val="000000"/>
          <w:sz w:val="24"/>
          <w:szCs w:val="24"/>
        </w:rPr>
        <w:t>编制组成员分工</w:t>
      </w:r>
    </w:p>
    <w:p w14:paraId="47FFF89F">
      <w:pPr>
        <w:pStyle w:val="9"/>
        <w:spacing w:line="300" w:lineRule="auto"/>
        <w:ind w:firstLine="480"/>
        <w:rPr>
          <w:rFonts w:hAnsi="宋体"/>
          <w:color w:val="000000"/>
          <w:sz w:val="24"/>
          <w:szCs w:val="24"/>
        </w:rPr>
      </w:pPr>
      <w:r>
        <w:rPr>
          <w:rFonts w:hint="eastAsia" w:hAnsi="宋体"/>
          <w:color w:val="000000"/>
          <w:sz w:val="24"/>
          <w:szCs w:val="24"/>
        </w:rPr>
        <w:t>根据标准编制计划，初步分工如下表所示：</w:t>
      </w:r>
      <w:r>
        <w:rPr>
          <w:rFonts w:hAnsi="宋体"/>
          <w:color w:val="000000"/>
          <w:sz w:val="24"/>
          <w:szCs w:val="24"/>
        </w:rPr>
        <w:t xml:space="preserve"> </w:t>
      </w:r>
    </w:p>
    <w:tbl>
      <w:tblPr>
        <w:tblStyle w:val="7"/>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2381"/>
        <w:gridCol w:w="2207"/>
        <w:gridCol w:w="1134"/>
        <w:gridCol w:w="3345"/>
      </w:tblGrid>
      <w:tr w14:paraId="772B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680" w:type="dxa"/>
            <w:shd w:val="clear" w:color="auto" w:fill="F1F1F1" w:themeFill="background1" w:themeFillShade="F2"/>
            <w:vAlign w:val="center"/>
          </w:tcPr>
          <w:p w14:paraId="44C834E7">
            <w:pPr>
              <w:jc w:val="center"/>
              <w:rPr>
                <w:rFonts w:ascii="宋体" w:hAnsi="宋体" w:cs="宋体"/>
                <w:b/>
                <w:szCs w:val="21"/>
              </w:rPr>
            </w:pPr>
            <w:r>
              <w:rPr>
                <w:rFonts w:hint="eastAsia" w:ascii="宋体" w:hAnsi="宋体" w:cs="宋体"/>
                <w:b/>
                <w:szCs w:val="21"/>
              </w:rPr>
              <w:t>章节</w:t>
            </w:r>
          </w:p>
        </w:tc>
        <w:tc>
          <w:tcPr>
            <w:tcW w:w="2381" w:type="dxa"/>
            <w:shd w:val="clear" w:color="auto" w:fill="F1F1F1" w:themeFill="background1" w:themeFillShade="F2"/>
            <w:vAlign w:val="center"/>
          </w:tcPr>
          <w:p w14:paraId="159F428E">
            <w:pPr>
              <w:jc w:val="center"/>
              <w:rPr>
                <w:rFonts w:ascii="宋体" w:hAnsi="宋体" w:cs="宋体"/>
                <w:b/>
                <w:szCs w:val="21"/>
              </w:rPr>
            </w:pPr>
            <w:r>
              <w:rPr>
                <w:rFonts w:hint="eastAsia" w:ascii="宋体" w:hAnsi="宋体" w:cs="宋体"/>
                <w:b/>
                <w:szCs w:val="21"/>
              </w:rPr>
              <w:t>内容</w:t>
            </w:r>
          </w:p>
        </w:tc>
        <w:tc>
          <w:tcPr>
            <w:tcW w:w="2207" w:type="dxa"/>
            <w:shd w:val="clear" w:color="auto" w:fill="F1F1F1" w:themeFill="background1" w:themeFillShade="F2"/>
            <w:vAlign w:val="center"/>
          </w:tcPr>
          <w:p w14:paraId="53D9BA32">
            <w:pPr>
              <w:jc w:val="center"/>
              <w:rPr>
                <w:rFonts w:ascii="宋体" w:hAnsi="宋体" w:cs="宋体"/>
                <w:b/>
                <w:szCs w:val="21"/>
              </w:rPr>
            </w:pPr>
            <w:r>
              <w:rPr>
                <w:rFonts w:hint="eastAsia" w:ascii="宋体" w:hAnsi="宋体" w:cs="宋体"/>
                <w:b/>
                <w:szCs w:val="21"/>
              </w:rPr>
              <w:t>负责单位</w:t>
            </w:r>
          </w:p>
        </w:tc>
        <w:tc>
          <w:tcPr>
            <w:tcW w:w="1134" w:type="dxa"/>
            <w:shd w:val="clear" w:color="auto" w:fill="F1F1F1" w:themeFill="background1" w:themeFillShade="F2"/>
            <w:vAlign w:val="center"/>
          </w:tcPr>
          <w:p w14:paraId="01933FCB">
            <w:pPr>
              <w:jc w:val="center"/>
              <w:rPr>
                <w:rFonts w:ascii="宋体" w:hAnsi="宋体" w:cs="宋体"/>
                <w:b/>
                <w:szCs w:val="21"/>
              </w:rPr>
            </w:pPr>
            <w:r>
              <w:rPr>
                <w:rFonts w:hint="eastAsia" w:ascii="宋体" w:hAnsi="宋体" w:cs="宋体"/>
                <w:b/>
                <w:szCs w:val="21"/>
              </w:rPr>
              <w:t>负责人</w:t>
            </w:r>
          </w:p>
        </w:tc>
        <w:tc>
          <w:tcPr>
            <w:tcW w:w="3345" w:type="dxa"/>
            <w:shd w:val="clear" w:color="auto" w:fill="F1F1F1" w:themeFill="background1" w:themeFillShade="F2"/>
            <w:vAlign w:val="center"/>
          </w:tcPr>
          <w:p w14:paraId="59C90C58">
            <w:pPr>
              <w:jc w:val="center"/>
              <w:rPr>
                <w:rFonts w:ascii="宋体" w:hAnsi="宋体" w:cs="宋体"/>
                <w:b/>
                <w:szCs w:val="21"/>
              </w:rPr>
            </w:pPr>
            <w:r>
              <w:rPr>
                <w:rFonts w:hint="eastAsia" w:ascii="宋体" w:hAnsi="宋体" w:cs="宋体"/>
                <w:b/>
                <w:szCs w:val="21"/>
              </w:rPr>
              <w:t>参加单位</w:t>
            </w:r>
          </w:p>
        </w:tc>
      </w:tr>
      <w:tr w14:paraId="4DB0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80" w:type="dxa"/>
            <w:vAlign w:val="center"/>
          </w:tcPr>
          <w:p w14:paraId="3E43BEEA">
            <w:pPr>
              <w:keepNext w:val="0"/>
              <w:keepLines w:val="0"/>
              <w:widowControl/>
              <w:suppressLineNumbers w:val="0"/>
              <w:jc w:val="center"/>
              <w:textAlignment w:val="auto"/>
              <w:rPr>
                <w:rFonts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1</w:t>
            </w:r>
          </w:p>
        </w:tc>
        <w:tc>
          <w:tcPr>
            <w:tcW w:w="2381" w:type="dxa"/>
            <w:vAlign w:val="center"/>
          </w:tcPr>
          <w:p w14:paraId="6D1FFF61">
            <w:pPr>
              <w:keepNext w:val="0"/>
              <w:keepLines w:val="0"/>
              <w:widowControl/>
              <w:suppressLineNumbers w:val="0"/>
              <w:jc w:val="center"/>
              <w:textAlignment w:val="auto"/>
              <w:rPr>
                <w:rFonts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范围</w:t>
            </w:r>
          </w:p>
        </w:tc>
        <w:tc>
          <w:tcPr>
            <w:tcW w:w="2207" w:type="dxa"/>
            <w:vAlign w:val="center"/>
          </w:tcPr>
          <w:p w14:paraId="671695D9">
            <w:pPr>
              <w:keepNext w:val="0"/>
              <w:keepLines w:val="0"/>
              <w:widowControl/>
              <w:suppressLineNumbers w:val="0"/>
              <w:jc w:val="center"/>
              <w:textAlignment w:val="auto"/>
              <w:rPr>
                <w:rFonts w:hint="eastAsia"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北京城建智控科技股份有限公司</w:t>
            </w:r>
          </w:p>
        </w:tc>
        <w:tc>
          <w:tcPr>
            <w:tcW w:w="1134" w:type="dxa"/>
            <w:vAlign w:val="center"/>
          </w:tcPr>
          <w:p w14:paraId="133B4C8D">
            <w:pPr>
              <w:keepNext w:val="0"/>
              <w:keepLines w:val="0"/>
              <w:widowControl/>
              <w:suppressLineNumbers w:val="0"/>
              <w:jc w:val="center"/>
              <w:textAlignment w:val="auto"/>
              <w:rPr>
                <w:rFonts w:hint="eastAsia"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管宏</w:t>
            </w:r>
          </w:p>
        </w:tc>
        <w:tc>
          <w:tcPr>
            <w:tcW w:w="3345" w:type="dxa"/>
            <w:vAlign w:val="center"/>
          </w:tcPr>
          <w:p w14:paraId="744AE967">
            <w:pPr>
              <w:jc w:val="center"/>
              <w:rPr>
                <w:rFonts w:hint="eastAsia" w:ascii="宋体" w:hAnsi="宋体" w:cs="宋体"/>
                <w:color w:val="000000"/>
                <w:szCs w:val="21"/>
              </w:rPr>
            </w:pPr>
          </w:p>
        </w:tc>
      </w:tr>
      <w:tr w14:paraId="4DA2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80" w:type="dxa"/>
            <w:vAlign w:val="center"/>
          </w:tcPr>
          <w:p w14:paraId="454A34A1">
            <w:pPr>
              <w:keepNext w:val="0"/>
              <w:keepLines w:val="0"/>
              <w:widowControl/>
              <w:suppressLineNumbers w:val="0"/>
              <w:jc w:val="center"/>
              <w:textAlignment w:val="auto"/>
              <w:rPr>
                <w:rFonts w:hint="eastAsia"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2</w:t>
            </w:r>
          </w:p>
        </w:tc>
        <w:tc>
          <w:tcPr>
            <w:tcW w:w="2381" w:type="dxa"/>
            <w:vAlign w:val="center"/>
          </w:tcPr>
          <w:p w14:paraId="38A8E322">
            <w:pPr>
              <w:keepNext w:val="0"/>
              <w:keepLines w:val="0"/>
              <w:widowControl/>
              <w:suppressLineNumbers w:val="0"/>
              <w:jc w:val="center"/>
              <w:textAlignment w:val="auto"/>
              <w:rPr>
                <w:rFonts w:hint="eastAsia"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规范性引用文件</w:t>
            </w:r>
          </w:p>
        </w:tc>
        <w:tc>
          <w:tcPr>
            <w:tcW w:w="2207" w:type="dxa"/>
            <w:vAlign w:val="center"/>
          </w:tcPr>
          <w:p w14:paraId="33395C46">
            <w:pPr>
              <w:keepNext w:val="0"/>
              <w:keepLines w:val="0"/>
              <w:widowControl/>
              <w:suppressLineNumbers w:val="0"/>
              <w:jc w:val="center"/>
              <w:textAlignment w:val="auto"/>
              <w:rPr>
                <w:rFonts w:hint="eastAsia"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深圳市深圳通有限公司</w:t>
            </w:r>
          </w:p>
        </w:tc>
        <w:tc>
          <w:tcPr>
            <w:tcW w:w="1134" w:type="dxa"/>
            <w:vAlign w:val="center"/>
          </w:tcPr>
          <w:p w14:paraId="40C9FE37">
            <w:pPr>
              <w:keepNext w:val="0"/>
              <w:keepLines w:val="0"/>
              <w:widowControl/>
              <w:suppressLineNumbers w:val="0"/>
              <w:jc w:val="center"/>
              <w:textAlignment w:val="auto"/>
              <w:rPr>
                <w:rFonts w:hint="eastAsia"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王欢</w:t>
            </w:r>
          </w:p>
        </w:tc>
        <w:tc>
          <w:tcPr>
            <w:tcW w:w="3345" w:type="dxa"/>
            <w:vAlign w:val="center"/>
          </w:tcPr>
          <w:p w14:paraId="571D96D5">
            <w:pPr>
              <w:keepNext w:val="0"/>
              <w:keepLines w:val="0"/>
              <w:widowControl/>
              <w:suppressLineNumbers w:val="0"/>
              <w:jc w:val="center"/>
              <w:textAlignment w:val="auto"/>
              <w:rPr>
                <w:rFonts w:hint="eastAsia"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城建智控</w:t>
            </w:r>
          </w:p>
        </w:tc>
      </w:tr>
      <w:tr w14:paraId="208E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80" w:type="dxa"/>
            <w:vAlign w:val="center"/>
          </w:tcPr>
          <w:p w14:paraId="049B2506">
            <w:pPr>
              <w:keepNext w:val="0"/>
              <w:keepLines w:val="0"/>
              <w:widowControl/>
              <w:suppressLineNumbers w:val="0"/>
              <w:jc w:val="center"/>
              <w:textAlignment w:val="auto"/>
              <w:rPr>
                <w:rFonts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3</w:t>
            </w:r>
          </w:p>
        </w:tc>
        <w:tc>
          <w:tcPr>
            <w:tcW w:w="2381" w:type="dxa"/>
            <w:vAlign w:val="center"/>
          </w:tcPr>
          <w:p w14:paraId="3532FF22">
            <w:pPr>
              <w:keepNext w:val="0"/>
              <w:keepLines w:val="0"/>
              <w:widowControl/>
              <w:suppressLineNumbers w:val="0"/>
              <w:jc w:val="center"/>
              <w:textAlignment w:val="auto"/>
              <w:rPr>
                <w:rFonts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术语、定义和缩略语</w:t>
            </w:r>
          </w:p>
        </w:tc>
        <w:tc>
          <w:tcPr>
            <w:tcW w:w="2207" w:type="dxa"/>
            <w:vAlign w:val="center"/>
          </w:tcPr>
          <w:p w14:paraId="43271C0B">
            <w:pPr>
              <w:keepNext w:val="0"/>
              <w:keepLines w:val="0"/>
              <w:widowControl/>
              <w:suppressLineNumbers w:val="0"/>
              <w:jc w:val="center"/>
              <w:textAlignment w:val="auto"/>
              <w:rPr>
                <w:rFonts w:hint="eastAsia"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深圳市深圳通有限公司</w:t>
            </w:r>
          </w:p>
        </w:tc>
        <w:tc>
          <w:tcPr>
            <w:tcW w:w="1134" w:type="dxa"/>
            <w:vAlign w:val="center"/>
          </w:tcPr>
          <w:p w14:paraId="4F349008">
            <w:pPr>
              <w:keepNext w:val="0"/>
              <w:keepLines w:val="0"/>
              <w:widowControl/>
              <w:suppressLineNumbers w:val="0"/>
              <w:jc w:val="center"/>
              <w:textAlignment w:val="auto"/>
              <w:rPr>
                <w:rFonts w:hint="eastAsia"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王欢</w:t>
            </w:r>
          </w:p>
        </w:tc>
        <w:tc>
          <w:tcPr>
            <w:tcW w:w="3345" w:type="dxa"/>
            <w:vAlign w:val="center"/>
          </w:tcPr>
          <w:p w14:paraId="376BF5E5">
            <w:pPr>
              <w:keepNext w:val="0"/>
              <w:keepLines w:val="0"/>
              <w:widowControl/>
              <w:suppressLineNumbers w:val="0"/>
              <w:jc w:val="center"/>
              <w:textAlignment w:val="auto"/>
              <w:rPr>
                <w:rFonts w:hint="eastAsia"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数金公服、南京熊猫、博宁福田、深圳雄帝</w:t>
            </w:r>
          </w:p>
        </w:tc>
      </w:tr>
      <w:tr w14:paraId="10A54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80" w:type="dxa"/>
            <w:vAlign w:val="center"/>
          </w:tcPr>
          <w:p w14:paraId="6D9B4F95">
            <w:pPr>
              <w:keepNext w:val="0"/>
              <w:keepLines w:val="0"/>
              <w:widowControl/>
              <w:suppressLineNumbers w:val="0"/>
              <w:jc w:val="center"/>
              <w:textAlignment w:val="auto"/>
              <w:rPr>
                <w:rFonts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4</w:t>
            </w:r>
          </w:p>
        </w:tc>
        <w:tc>
          <w:tcPr>
            <w:tcW w:w="2381" w:type="dxa"/>
            <w:vAlign w:val="center"/>
          </w:tcPr>
          <w:p w14:paraId="2EBA368D">
            <w:pPr>
              <w:keepNext w:val="0"/>
              <w:keepLines w:val="0"/>
              <w:widowControl/>
              <w:suppressLineNumbers w:val="0"/>
              <w:jc w:val="center"/>
              <w:textAlignment w:val="auto"/>
              <w:rPr>
                <w:rFonts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数字人民币在AFC系统中的应用概述</w:t>
            </w:r>
          </w:p>
        </w:tc>
        <w:tc>
          <w:tcPr>
            <w:tcW w:w="2207" w:type="dxa"/>
            <w:vAlign w:val="center"/>
          </w:tcPr>
          <w:p w14:paraId="288DDE4E">
            <w:pPr>
              <w:keepNext w:val="0"/>
              <w:keepLines w:val="0"/>
              <w:widowControl/>
              <w:suppressLineNumbers w:val="0"/>
              <w:jc w:val="center"/>
              <w:textAlignment w:val="auto"/>
              <w:rPr>
                <w:rFonts w:hint="eastAsia"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中铁第一勘察设计院集团有限公司</w:t>
            </w:r>
          </w:p>
        </w:tc>
        <w:tc>
          <w:tcPr>
            <w:tcW w:w="1134" w:type="dxa"/>
            <w:vAlign w:val="center"/>
          </w:tcPr>
          <w:p w14:paraId="416239DB">
            <w:pPr>
              <w:keepNext w:val="0"/>
              <w:keepLines w:val="0"/>
              <w:widowControl/>
              <w:suppressLineNumbers w:val="0"/>
              <w:jc w:val="center"/>
              <w:textAlignment w:val="auto"/>
              <w:rPr>
                <w:rFonts w:hint="eastAsia"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王峰</w:t>
            </w:r>
          </w:p>
        </w:tc>
        <w:tc>
          <w:tcPr>
            <w:tcW w:w="3345" w:type="dxa"/>
            <w:vAlign w:val="center"/>
          </w:tcPr>
          <w:p w14:paraId="60FA62F4">
            <w:pPr>
              <w:keepNext w:val="0"/>
              <w:keepLines w:val="0"/>
              <w:widowControl/>
              <w:suppressLineNumbers w:val="0"/>
              <w:jc w:val="center"/>
              <w:textAlignment w:val="auto"/>
              <w:rPr>
                <w:rFonts w:hint="eastAsia"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城建智控、上海华腾、普天轨道、南京熊猫、博宁福田、数金公服、深圳雄帝</w:t>
            </w:r>
          </w:p>
        </w:tc>
      </w:tr>
      <w:tr w14:paraId="3CAE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80" w:type="dxa"/>
            <w:vAlign w:val="center"/>
          </w:tcPr>
          <w:p w14:paraId="3886E418">
            <w:pPr>
              <w:keepNext w:val="0"/>
              <w:keepLines w:val="0"/>
              <w:widowControl/>
              <w:suppressLineNumbers w:val="0"/>
              <w:jc w:val="center"/>
              <w:textAlignment w:val="auto"/>
              <w:rPr>
                <w:rFonts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5</w:t>
            </w:r>
          </w:p>
        </w:tc>
        <w:tc>
          <w:tcPr>
            <w:tcW w:w="2381" w:type="dxa"/>
            <w:vAlign w:val="center"/>
          </w:tcPr>
          <w:p w14:paraId="3B4F0F16">
            <w:pPr>
              <w:keepNext w:val="0"/>
              <w:keepLines w:val="0"/>
              <w:widowControl/>
              <w:suppressLineNumbers w:val="0"/>
              <w:jc w:val="center"/>
              <w:textAlignment w:val="auto"/>
              <w:rPr>
                <w:rFonts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数字人民币业务在AFC线网中心的要求</w:t>
            </w:r>
          </w:p>
        </w:tc>
        <w:tc>
          <w:tcPr>
            <w:tcW w:w="2207" w:type="dxa"/>
            <w:vAlign w:val="center"/>
          </w:tcPr>
          <w:p w14:paraId="2816F884">
            <w:pPr>
              <w:keepNext w:val="0"/>
              <w:keepLines w:val="0"/>
              <w:widowControl/>
              <w:suppressLineNumbers w:val="0"/>
              <w:jc w:val="center"/>
              <w:textAlignment w:val="auto"/>
              <w:rPr>
                <w:rFonts w:hint="eastAsia"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中铁二院工程集团有限责任公司</w:t>
            </w:r>
          </w:p>
        </w:tc>
        <w:tc>
          <w:tcPr>
            <w:tcW w:w="1134" w:type="dxa"/>
            <w:vAlign w:val="center"/>
          </w:tcPr>
          <w:p w14:paraId="4ED91F50">
            <w:pPr>
              <w:keepNext w:val="0"/>
              <w:keepLines w:val="0"/>
              <w:widowControl/>
              <w:suppressLineNumbers w:val="0"/>
              <w:jc w:val="center"/>
              <w:textAlignment w:val="auto"/>
              <w:rPr>
                <w:rFonts w:hint="eastAsia"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贾弛</w:t>
            </w:r>
          </w:p>
        </w:tc>
        <w:tc>
          <w:tcPr>
            <w:tcW w:w="3345" w:type="dxa"/>
            <w:vAlign w:val="center"/>
          </w:tcPr>
          <w:p w14:paraId="284DCA6F">
            <w:pPr>
              <w:keepNext w:val="0"/>
              <w:keepLines w:val="0"/>
              <w:widowControl/>
              <w:suppressLineNumbers w:val="0"/>
              <w:jc w:val="center"/>
              <w:textAlignment w:val="auto"/>
              <w:rPr>
                <w:rFonts w:hint="eastAsia"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上海华腾、普天轨道、南京熊猫、数金公服</w:t>
            </w:r>
          </w:p>
        </w:tc>
      </w:tr>
      <w:tr w14:paraId="1C2EA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80" w:type="dxa"/>
            <w:vAlign w:val="center"/>
          </w:tcPr>
          <w:p w14:paraId="02E362DC">
            <w:pPr>
              <w:keepNext w:val="0"/>
              <w:keepLines w:val="0"/>
              <w:widowControl/>
              <w:suppressLineNumbers w:val="0"/>
              <w:jc w:val="center"/>
              <w:textAlignment w:val="auto"/>
              <w:rPr>
                <w:rFonts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6</w:t>
            </w:r>
          </w:p>
        </w:tc>
        <w:tc>
          <w:tcPr>
            <w:tcW w:w="2381" w:type="dxa"/>
            <w:vAlign w:val="center"/>
          </w:tcPr>
          <w:p w14:paraId="2986E996">
            <w:pPr>
              <w:keepNext w:val="0"/>
              <w:keepLines w:val="0"/>
              <w:widowControl/>
              <w:suppressLineNumbers w:val="0"/>
              <w:jc w:val="center"/>
              <w:textAlignment w:val="auto"/>
              <w:rPr>
                <w:rFonts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数字人民币业务在AFC线路中心及车站中心系统的要求</w:t>
            </w:r>
          </w:p>
        </w:tc>
        <w:tc>
          <w:tcPr>
            <w:tcW w:w="2207" w:type="dxa"/>
            <w:vAlign w:val="center"/>
          </w:tcPr>
          <w:p w14:paraId="6DA10662">
            <w:pPr>
              <w:keepNext w:val="0"/>
              <w:keepLines w:val="0"/>
              <w:widowControl/>
              <w:suppressLineNumbers w:val="0"/>
              <w:jc w:val="center"/>
              <w:textAlignment w:val="auto"/>
              <w:rPr>
                <w:rFonts w:hint="eastAsia"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上海中软华腾软件系统有限公司、普天轨道交通技术上海有限公司</w:t>
            </w:r>
          </w:p>
        </w:tc>
        <w:tc>
          <w:tcPr>
            <w:tcW w:w="1134" w:type="dxa"/>
            <w:vAlign w:val="center"/>
          </w:tcPr>
          <w:p w14:paraId="4B623D6C">
            <w:pPr>
              <w:keepNext w:val="0"/>
              <w:keepLines w:val="0"/>
              <w:widowControl/>
              <w:suppressLineNumbers w:val="0"/>
              <w:jc w:val="center"/>
              <w:textAlignment w:val="auto"/>
              <w:rPr>
                <w:rFonts w:hint="eastAsia"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姜仕鹏</w:t>
            </w:r>
            <w:r>
              <w:rPr>
                <w:rFonts w:hint="eastAsia" w:ascii="宋体" w:hAnsi="宋体" w:eastAsia="宋体" w:cs="宋体"/>
                <w:i w:val="0"/>
                <w:iCs w:val="0"/>
                <w:color w:val="000000"/>
                <w:kern w:val="2"/>
                <w:sz w:val="21"/>
                <w:szCs w:val="21"/>
                <w:u w:val="none"/>
                <w:lang w:val="en-US" w:eastAsia="zh-CN" w:bidi="ar"/>
              </w:rPr>
              <w:br w:type="textWrapping"/>
            </w:r>
            <w:r>
              <w:rPr>
                <w:rFonts w:hint="eastAsia" w:ascii="宋体" w:hAnsi="宋体" w:eastAsia="宋体" w:cs="宋体"/>
                <w:i w:val="0"/>
                <w:iCs w:val="0"/>
                <w:color w:val="000000"/>
                <w:kern w:val="2"/>
                <w:sz w:val="21"/>
                <w:szCs w:val="21"/>
                <w:u w:val="none"/>
                <w:lang w:val="en-US" w:eastAsia="zh-CN" w:bidi="ar"/>
              </w:rPr>
              <w:t>钱鸣</w:t>
            </w:r>
          </w:p>
        </w:tc>
        <w:tc>
          <w:tcPr>
            <w:tcW w:w="3345" w:type="dxa"/>
            <w:vAlign w:val="center"/>
          </w:tcPr>
          <w:p w14:paraId="54FD222C">
            <w:pPr>
              <w:keepNext w:val="0"/>
              <w:keepLines w:val="0"/>
              <w:widowControl/>
              <w:suppressLineNumbers w:val="0"/>
              <w:jc w:val="center"/>
              <w:textAlignment w:val="auto"/>
              <w:rPr>
                <w:rFonts w:hint="eastAsia"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城建智控、南京熊猫、博宁福田、数金公服</w:t>
            </w:r>
          </w:p>
        </w:tc>
      </w:tr>
      <w:tr w14:paraId="746E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80" w:type="dxa"/>
            <w:vAlign w:val="center"/>
          </w:tcPr>
          <w:p w14:paraId="318214D7">
            <w:pPr>
              <w:keepNext w:val="0"/>
              <w:keepLines w:val="0"/>
              <w:widowControl/>
              <w:suppressLineNumbers w:val="0"/>
              <w:jc w:val="center"/>
              <w:textAlignment w:val="auto"/>
              <w:rPr>
                <w:rFonts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7</w:t>
            </w:r>
          </w:p>
        </w:tc>
        <w:tc>
          <w:tcPr>
            <w:tcW w:w="2381" w:type="dxa"/>
            <w:vAlign w:val="center"/>
          </w:tcPr>
          <w:p w14:paraId="773C5406">
            <w:pPr>
              <w:keepNext w:val="0"/>
              <w:keepLines w:val="0"/>
              <w:widowControl/>
              <w:suppressLineNumbers w:val="0"/>
              <w:jc w:val="center"/>
              <w:textAlignment w:val="auto"/>
              <w:rPr>
                <w:rFonts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数字人民币业务在AFC互联网业务平台的要求</w:t>
            </w:r>
          </w:p>
        </w:tc>
        <w:tc>
          <w:tcPr>
            <w:tcW w:w="2207" w:type="dxa"/>
            <w:vAlign w:val="center"/>
          </w:tcPr>
          <w:p w14:paraId="362026CE">
            <w:pPr>
              <w:keepNext w:val="0"/>
              <w:keepLines w:val="0"/>
              <w:widowControl/>
              <w:suppressLineNumbers w:val="0"/>
              <w:jc w:val="center"/>
              <w:textAlignment w:val="auto"/>
              <w:rPr>
                <w:rFonts w:hint="eastAsia"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数金公共服务（青岛）有限公司</w:t>
            </w:r>
          </w:p>
        </w:tc>
        <w:tc>
          <w:tcPr>
            <w:tcW w:w="1134" w:type="dxa"/>
            <w:vAlign w:val="center"/>
          </w:tcPr>
          <w:p w14:paraId="1C158A98">
            <w:pPr>
              <w:keepNext w:val="0"/>
              <w:keepLines w:val="0"/>
              <w:widowControl/>
              <w:suppressLineNumbers w:val="0"/>
              <w:jc w:val="center"/>
              <w:textAlignment w:val="auto"/>
              <w:rPr>
                <w:rFonts w:hint="eastAsia"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郝秉睿</w:t>
            </w:r>
          </w:p>
        </w:tc>
        <w:tc>
          <w:tcPr>
            <w:tcW w:w="3345" w:type="dxa"/>
            <w:vAlign w:val="center"/>
          </w:tcPr>
          <w:p w14:paraId="5E7C34DF">
            <w:pPr>
              <w:keepNext w:val="0"/>
              <w:keepLines w:val="0"/>
              <w:widowControl/>
              <w:suppressLineNumbers w:val="0"/>
              <w:jc w:val="center"/>
              <w:textAlignment w:val="auto"/>
              <w:rPr>
                <w:rFonts w:hint="eastAsia"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城建智控、南京熊猫、博宁福田、数金公服、深圳雄帝</w:t>
            </w:r>
          </w:p>
        </w:tc>
      </w:tr>
      <w:tr w14:paraId="3428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80" w:type="dxa"/>
            <w:vAlign w:val="center"/>
          </w:tcPr>
          <w:p w14:paraId="3ED0D549">
            <w:pPr>
              <w:keepNext w:val="0"/>
              <w:keepLines w:val="0"/>
              <w:widowControl/>
              <w:suppressLineNumbers w:val="0"/>
              <w:jc w:val="center"/>
              <w:textAlignment w:val="auto"/>
              <w:rPr>
                <w:rFonts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8</w:t>
            </w:r>
          </w:p>
        </w:tc>
        <w:tc>
          <w:tcPr>
            <w:tcW w:w="2381" w:type="dxa"/>
            <w:vAlign w:val="center"/>
          </w:tcPr>
          <w:p w14:paraId="0B520A76">
            <w:pPr>
              <w:keepNext w:val="0"/>
              <w:keepLines w:val="0"/>
              <w:widowControl/>
              <w:suppressLineNumbers w:val="0"/>
              <w:jc w:val="center"/>
              <w:textAlignment w:val="auto"/>
              <w:rPr>
                <w:rFonts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数字人民币业务应用于AFC专用设备的要求</w:t>
            </w:r>
          </w:p>
        </w:tc>
        <w:tc>
          <w:tcPr>
            <w:tcW w:w="2207" w:type="dxa"/>
            <w:vAlign w:val="center"/>
          </w:tcPr>
          <w:p w14:paraId="7C3F771B">
            <w:pPr>
              <w:keepNext w:val="0"/>
              <w:keepLines w:val="0"/>
              <w:widowControl/>
              <w:suppressLineNumbers w:val="0"/>
              <w:jc w:val="center"/>
              <w:textAlignment w:val="auto"/>
              <w:rPr>
                <w:rFonts w:hint="eastAsia"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青岛博宁福田智能交通科技发展有限公司</w:t>
            </w:r>
          </w:p>
        </w:tc>
        <w:tc>
          <w:tcPr>
            <w:tcW w:w="1134" w:type="dxa"/>
            <w:vAlign w:val="center"/>
          </w:tcPr>
          <w:p w14:paraId="455303BF">
            <w:pPr>
              <w:keepNext w:val="0"/>
              <w:keepLines w:val="0"/>
              <w:widowControl/>
              <w:suppressLineNumbers w:val="0"/>
              <w:jc w:val="center"/>
              <w:textAlignment w:val="auto"/>
              <w:rPr>
                <w:rFonts w:hint="eastAsia"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李宁</w:t>
            </w:r>
          </w:p>
        </w:tc>
        <w:tc>
          <w:tcPr>
            <w:tcW w:w="3345" w:type="dxa"/>
            <w:vAlign w:val="center"/>
          </w:tcPr>
          <w:p w14:paraId="49C65CDA">
            <w:pPr>
              <w:keepNext w:val="0"/>
              <w:keepLines w:val="0"/>
              <w:widowControl/>
              <w:suppressLineNumbers w:val="0"/>
              <w:jc w:val="center"/>
              <w:textAlignment w:val="auto"/>
              <w:rPr>
                <w:rFonts w:hint="eastAsia"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上海华腾、普天轨道、南京熊猫、深圳雄帝</w:t>
            </w:r>
          </w:p>
        </w:tc>
      </w:tr>
      <w:tr w14:paraId="634A5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80" w:type="dxa"/>
            <w:vAlign w:val="center"/>
          </w:tcPr>
          <w:p w14:paraId="2B68588A">
            <w:pPr>
              <w:keepNext w:val="0"/>
              <w:keepLines w:val="0"/>
              <w:widowControl/>
              <w:suppressLineNumbers w:val="0"/>
              <w:jc w:val="center"/>
              <w:textAlignment w:val="auto"/>
              <w:rPr>
                <w:rFonts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9</w:t>
            </w:r>
          </w:p>
        </w:tc>
        <w:tc>
          <w:tcPr>
            <w:tcW w:w="2381" w:type="dxa"/>
            <w:vAlign w:val="center"/>
          </w:tcPr>
          <w:p w14:paraId="5AD6DE92">
            <w:pPr>
              <w:keepNext w:val="0"/>
              <w:keepLines w:val="0"/>
              <w:widowControl/>
              <w:suppressLineNumbers w:val="0"/>
              <w:jc w:val="center"/>
              <w:textAlignment w:val="auto"/>
              <w:rPr>
                <w:rFonts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数字人民币业务在AFC通用读写器的要求</w:t>
            </w:r>
          </w:p>
        </w:tc>
        <w:tc>
          <w:tcPr>
            <w:tcW w:w="2207" w:type="dxa"/>
            <w:vAlign w:val="center"/>
          </w:tcPr>
          <w:p w14:paraId="7573554B">
            <w:pPr>
              <w:keepNext w:val="0"/>
              <w:keepLines w:val="0"/>
              <w:widowControl/>
              <w:suppressLineNumbers w:val="0"/>
              <w:jc w:val="center"/>
              <w:textAlignment w:val="auto"/>
              <w:rPr>
                <w:rFonts w:hint="eastAsia"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深圳市雄帝科技股份有限公司</w:t>
            </w:r>
          </w:p>
        </w:tc>
        <w:tc>
          <w:tcPr>
            <w:tcW w:w="1134" w:type="dxa"/>
            <w:vAlign w:val="center"/>
          </w:tcPr>
          <w:p w14:paraId="7BF00BE9">
            <w:pPr>
              <w:keepNext w:val="0"/>
              <w:keepLines w:val="0"/>
              <w:widowControl/>
              <w:suppressLineNumbers w:val="0"/>
              <w:jc w:val="center"/>
              <w:textAlignment w:val="auto"/>
              <w:rPr>
                <w:rFonts w:hint="eastAsia"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程亮</w:t>
            </w:r>
          </w:p>
        </w:tc>
        <w:tc>
          <w:tcPr>
            <w:tcW w:w="3345" w:type="dxa"/>
            <w:vAlign w:val="center"/>
          </w:tcPr>
          <w:p w14:paraId="6B7014AA">
            <w:pPr>
              <w:keepNext w:val="0"/>
              <w:keepLines w:val="0"/>
              <w:widowControl/>
              <w:suppressLineNumbers w:val="0"/>
              <w:jc w:val="center"/>
              <w:textAlignment w:val="auto"/>
              <w:rPr>
                <w:rFonts w:hint="eastAsia"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城建智控、南京熊猫、博宁福田、数金公服</w:t>
            </w:r>
          </w:p>
        </w:tc>
      </w:tr>
      <w:tr w14:paraId="2816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80" w:type="dxa"/>
            <w:vAlign w:val="center"/>
          </w:tcPr>
          <w:p w14:paraId="46B27F82">
            <w:pPr>
              <w:keepNext w:val="0"/>
              <w:keepLines w:val="0"/>
              <w:widowControl/>
              <w:suppressLineNumbers w:val="0"/>
              <w:jc w:val="center"/>
              <w:textAlignment w:val="auto"/>
              <w:rPr>
                <w:rFonts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10</w:t>
            </w:r>
          </w:p>
        </w:tc>
        <w:tc>
          <w:tcPr>
            <w:tcW w:w="2381" w:type="dxa"/>
            <w:vAlign w:val="center"/>
          </w:tcPr>
          <w:p w14:paraId="2DECC7CD">
            <w:pPr>
              <w:keepNext w:val="0"/>
              <w:keepLines w:val="0"/>
              <w:widowControl/>
              <w:suppressLineNumbers w:val="0"/>
              <w:jc w:val="center"/>
              <w:textAlignment w:val="auto"/>
              <w:rPr>
                <w:rFonts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数字人民币业务AFC应用软件要求</w:t>
            </w:r>
          </w:p>
        </w:tc>
        <w:tc>
          <w:tcPr>
            <w:tcW w:w="2207" w:type="dxa"/>
            <w:vAlign w:val="center"/>
          </w:tcPr>
          <w:p w14:paraId="26E5F25E">
            <w:pPr>
              <w:keepNext w:val="0"/>
              <w:keepLines w:val="0"/>
              <w:widowControl/>
              <w:suppressLineNumbers w:val="0"/>
              <w:jc w:val="center"/>
              <w:textAlignment w:val="auto"/>
              <w:rPr>
                <w:rFonts w:hint="eastAsia"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南京熊猫信息产业有限公司</w:t>
            </w:r>
          </w:p>
        </w:tc>
        <w:tc>
          <w:tcPr>
            <w:tcW w:w="1134" w:type="dxa"/>
            <w:vAlign w:val="center"/>
          </w:tcPr>
          <w:p w14:paraId="431B1B7E">
            <w:pPr>
              <w:keepNext w:val="0"/>
              <w:keepLines w:val="0"/>
              <w:widowControl/>
              <w:suppressLineNumbers w:val="0"/>
              <w:jc w:val="center"/>
              <w:textAlignment w:val="auto"/>
              <w:rPr>
                <w:rFonts w:hint="eastAsia"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尤圣泉</w:t>
            </w:r>
          </w:p>
        </w:tc>
        <w:tc>
          <w:tcPr>
            <w:tcW w:w="3345" w:type="dxa"/>
            <w:vAlign w:val="center"/>
          </w:tcPr>
          <w:p w14:paraId="34AFD1F7">
            <w:pPr>
              <w:keepNext w:val="0"/>
              <w:keepLines w:val="0"/>
              <w:widowControl/>
              <w:suppressLineNumbers w:val="0"/>
              <w:jc w:val="center"/>
              <w:textAlignment w:val="auto"/>
              <w:rPr>
                <w:rFonts w:hint="eastAsia"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城建智控、上海华腾、普天轨道、数金公服</w:t>
            </w:r>
          </w:p>
        </w:tc>
      </w:tr>
      <w:tr w14:paraId="0045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80" w:type="dxa"/>
            <w:vAlign w:val="center"/>
          </w:tcPr>
          <w:p w14:paraId="0663C266">
            <w:pPr>
              <w:keepNext w:val="0"/>
              <w:keepLines w:val="0"/>
              <w:widowControl/>
              <w:suppressLineNumbers w:val="0"/>
              <w:jc w:val="center"/>
              <w:textAlignment w:val="auto"/>
              <w:rPr>
                <w:rFonts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11</w:t>
            </w:r>
          </w:p>
        </w:tc>
        <w:tc>
          <w:tcPr>
            <w:tcW w:w="2381" w:type="dxa"/>
            <w:vAlign w:val="center"/>
          </w:tcPr>
          <w:p w14:paraId="10B2C360">
            <w:pPr>
              <w:keepNext w:val="0"/>
              <w:keepLines w:val="0"/>
              <w:widowControl/>
              <w:suppressLineNumbers w:val="0"/>
              <w:jc w:val="center"/>
              <w:textAlignment w:val="auto"/>
              <w:rPr>
                <w:rFonts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数字人民币业务系统对运行环境及性能的要求</w:t>
            </w:r>
          </w:p>
        </w:tc>
        <w:tc>
          <w:tcPr>
            <w:tcW w:w="2207" w:type="dxa"/>
            <w:vAlign w:val="center"/>
          </w:tcPr>
          <w:p w14:paraId="2C36C5EE">
            <w:pPr>
              <w:keepNext w:val="0"/>
              <w:keepLines w:val="0"/>
              <w:widowControl/>
              <w:suppressLineNumbers w:val="0"/>
              <w:jc w:val="center"/>
              <w:textAlignment w:val="auto"/>
              <w:rPr>
                <w:rFonts w:hint="eastAsia"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北京城建智控科技股份有限公司</w:t>
            </w:r>
          </w:p>
        </w:tc>
        <w:tc>
          <w:tcPr>
            <w:tcW w:w="1134" w:type="dxa"/>
            <w:vAlign w:val="center"/>
          </w:tcPr>
          <w:p w14:paraId="3974714F">
            <w:pPr>
              <w:keepNext w:val="0"/>
              <w:keepLines w:val="0"/>
              <w:widowControl/>
              <w:suppressLineNumbers w:val="0"/>
              <w:jc w:val="center"/>
              <w:textAlignment w:val="auto"/>
              <w:rPr>
                <w:rFonts w:hint="eastAsia"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生明华</w:t>
            </w:r>
          </w:p>
        </w:tc>
        <w:tc>
          <w:tcPr>
            <w:tcW w:w="3345" w:type="dxa"/>
            <w:vAlign w:val="center"/>
          </w:tcPr>
          <w:p w14:paraId="15B66044">
            <w:pPr>
              <w:keepNext w:val="0"/>
              <w:keepLines w:val="0"/>
              <w:widowControl/>
              <w:suppressLineNumbers w:val="0"/>
              <w:jc w:val="center"/>
              <w:textAlignment w:val="auto"/>
              <w:rPr>
                <w:rFonts w:hint="eastAsia" w:ascii="宋体" w:hAnsi="宋体" w:cs="宋体"/>
                <w:color w:val="000000"/>
                <w:szCs w:val="21"/>
              </w:rPr>
            </w:pPr>
            <w:r>
              <w:rPr>
                <w:rFonts w:hint="eastAsia" w:ascii="宋体" w:hAnsi="宋体" w:eastAsia="宋体" w:cs="宋体"/>
                <w:i w:val="0"/>
                <w:iCs w:val="0"/>
                <w:color w:val="000000"/>
                <w:kern w:val="2"/>
                <w:sz w:val="21"/>
                <w:szCs w:val="21"/>
                <w:u w:val="none"/>
                <w:lang w:val="en-US" w:eastAsia="zh-CN" w:bidi="ar"/>
              </w:rPr>
              <w:t>铁一院、南京熊猫</w:t>
            </w:r>
          </w:p>
        </w:tc>
      </w:tr>
      <w:tr w14:paraId="3B9F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80" w:type="dxa"/>
            <w:vAlign w:val="center"/>
          </w:tcPr>
          <w:p w14:paraId="7F86358F">
            <w:pPr>
              <w:jc w:val="center"/>
              <w:rPr>
                <w:rFonts w:ascii="宋体" w:hAnsi="宋体" w:cs="宋体"/>
                <w:color w:val="000000"/>
                <w:szCs w:val="21"/>
              </w:rPr>
            </w:pPr>
            <w:r>
              <w:rPr>
                <w:rFonts w:hint="eastAsia" w:ascii="宋体" w:hAnsi="宋体" w:cs="宋体"/>
                <w:color w:val="000000"/>
                <w:szCs w:val="21"/>
              </w:rPr>
              <w:t>14</w:t>
            </w:r>
          </w:p>
        </w:tc>
        <w:tc>
          <w:tcPr>
            <w:tcW w:w="2381" w:type="dxa"/>
            <w:vAlign w:val="center"/>
          </w:tcPr>
          <w:p w14:paraId="2CA30CBE">
            <w:pPr>
              <w:jc w:val="center"/>
              <w:rPr>
                <w:rFonts w:ascii="宋体" w:hAnsi="宋体" w:cs="宋体"/>
                <w:color w:val="000000"/>
                <w:szCs w:val="21"/>
              </w:rPr>
            </w:pPr>
            <w:r>
              <w:rPr>
                <w:rFonts w:hint="eastAsia" w:ascii="宋体" w:hAnsi="宋体" w:cs="宋体"/>
                <w:szCs w:val="21"/>
              </w:rPr>
              <w:t>统稿、审核与定稿</w:t>
            </w:r>
          </w:p>
        </w:tc>
        <w:tc>
          <w:tcPr>
            <w:tcW w:w="2207" w:type="dxa"/>
            <w:vAlign w:val="center"/>
          </w:tcPr>
          <w:p w14:paraId="1181BBA3">
            <w:pPr>
              <w:jc w:val="center"/>
              <w:rPr>
                <w:rFonts w:ascii="宋体" w:hAnsi="宋体" w:cs="宋体"/>
                <w:szCs w:val="21"/>
              </w:rPr>
            </w:pPr>
            <w:r>
              <w:rPr>
                <w:rFonts w:hint="eastAsia" w:ascii="宋体" w:hAnsi="宋体" w:cs="宋体"/>
                <w:szCs w:val="21"/>
              </w:rPr>
              <w:t>AFC专委会</w:t>
            </w:r>
          </w:p>
        </w:tc>
        <w:tc>
          <w:tcPr>
            <w:tcW w:w="1134" w:type="dxa"/>
            <w:vAlign w:val="center"/>
          </w:tcPr>
          <w:p w14:paraId="48B9ADD9">
            <w:pPr>
              <w:jc w:val="center"/>
              <w:rPr>
                <w:rFonts w:ascii="宋体" w:hAnsi="宋体" w:cs="宋体"/>
                <w:szCs w:val="21"/>
              </w:rPr>
            </w:pPr>
            <w:r>
              <w:rPr>
                <w:rFonts w:hint="eastAsia" w:ascii="宋体" w:hAnsi="宋体" w:cs="宋体"/>
                <w:szCs w:val="21"/>
              </w:rPr>
              <w:t>高申、</w:t>
            </w:r>
          </w:p>
          <w:p w14:paraId="66025149">
            <w:pPr>
              <w:jc w:val="center"/>
              <w:rPr>
                <w:rFonts w:ascii="宋体" w:hAnsi="宋体" w:cs="宋体"/>
                <w:szCs w:val="21"/>
              </w:rPr>
            </w:pPr>
            <w:r>
              <w:rPr>
                <w:rFonts w:hint="eastAsia" w:ascii="宋体" w:hAnsi="宋体" w:cs="宋体"/>
                <w:szCs w:val="21"/>
              </w:rPr>
              <w:t>杨承东、李宇轩等</w:t>
            </w:r>
          </w:p>
        </w:tc>
        <w:tc>
          <w:tcPr>
            <w:tcW w:w="3345" w:type="dxa"/>
            <w:vAlign w:val="center"/>
          </w:tcPr>
          <w:p w14:paraId="35C23BAF">
            <w:pPr>
              <w:jc w:val="center"/>
              <w:rPr>
                <w:rFonts w:ascii="宋体" w:hAnsi="宋体" w:cs="宋体"/>
                <w:szCs w:val="21"/>
              </w:rPr>
            </w:pPr>
          </w:p>
        </w:tc>
      </w:tr>
    </w:tbl>
    <w:p w14:paraId="0F2975C3">
      <w:pPr>
        <w:pStyle w:val="9"/>
        <w:spacing w:line="360" w:lineRule="auto"/>
        <w:jc w:val="center"/>
        <w:rPr>
          <w:rFonts w:ascii="黑体" w:hAnsi="黑体" w:eastAsia="黑体"/>
          <w:color w:val="000000"/>
          <w:szCs w:val="21"/>
        </w:rPr>
      </w:pPr>
      <w:r>
        <w:rPr>
          <w:rFonts w:hint="eastAsia" w:ascii="黑体" w:hAnsi="黑体" w:eastAsia="黑体"/>
          <w:color w:val="000000"/>
          <w:szCs w:val="21"/>
        </w:rPr>
        <w:t>表1《数字人民币在轨道交通自动售检票系统中的应用》编制组工作分工</w:t>
      </w:r>
    </w:p>
    <w:p w14:paraId="7020A17B">
      <w:pPr>
        <w:pStyle w:val="9"/>
        <w:numPr>
          <w:ilvl w:val="0"/>
          <w:numId w:val="3"/>
        </w:numPr>
        <w:spacing w:before="156" w:beforeLines="50" w:after="156" w:afterLines="50" w:line="300" w:lineRule="auto"/>
        <w:ind w:firstLine="482"/>
        <w:outlineLvl w:val="1"/>
        <w:rPr>
          <w:rFonts w:ascii="黑体" w:hAnsi="黑体" w:eastAsia="黑体"/>
          <w:b/>
          <w:bCs/>
          <w:color w:val="000000"/>
          <w:sz w:val="24"/>
          <w:szCs w:val="24"/>
        </w:rPr>
      </w:pPr>
      <w:r>
        <w:rPr>
          <w:rFonts w:hint="eastAsia" w:ascii="黑体" w:hAnsi="黑体" w:eastAsia="黑体"/>
          <w:b/>
          <w:bCs/>
          <w:color w:val="000000"/>
          <w:sz w:val="24"/>
          <w:szCs w:val="24"/>
        </w:rPr>
        <w:t>编制过程</w:t>
      </w:r>
    </w:p>
    <w:p w14:paraId="5BF28F50">
      <w:pPr>
        <w:pStyle w:val="9"/>
        <w:numPr>
          <w:ilvl w:val="0"/>
          <w:numId w:val="5"/>
        </w:numPr>
        <w:spacing w:before="156" w:beforeLines="50" w:after="156" w:afterLines="50" w:line="300" w:lineRule="auto"/>
        <w:ind w:firstLineChars="0"/>
        <w:outlineLvl w:val="2"/>
        <w:rPr>
          <w:rFonts w:hAnsi="宋体"/>
          <w:b/>
          <w:bCs/>
          <w:color w:val="000000"/>
          <w:sz w:val="24"/>
          <w:szCs w:val="24"/>
        </w:rPr>
      </w:pPr>
      <w:r>
        <w:rPr>
          <w:rFonts w:hint="eastAsia" w:hAnsi="宋体"/>
          <w:b/>
          <w:bCs/>
          <w:color w:val="000000"/>
          <w:sz w:val="24"/>
          <w:szCs w:val="24"/>
        </w:rPr>
        <w:t>起草准备工作</w:t>
      </w:r>
    </w:p>
    <w:p w14:paraId="4BE5BD65">
      <w:pPr>
        <w:pStyle w:val="9"/>
        <w:spacing w:line="300" w:lineRule="auto"/>
        <w:ind w:firstLine="480"/>
        <w:rPr>
          <w:rFonts w:hAnsi="宋体"/>
          <w:color w:val="000000"/>
          <w:sz w:val="24"/>
          <w:szCs w:val="24"/>
        </w:rPr>
      </w:pPr>
      <w:r>
        <w:rPr>
          <w:rFonts w:hint="eastAsia" w:hAnsi="宋体"/>
          <w:color w:val="000000"/>
          <w:sz w:val="24"/>
          <w:szCs w:val="24"/>
        </w:rPr>
        <w:t>根据《关于印发2024年度第一批团体标准制修订立项计划的通知》（中信商【2024】标05号），为保证标准制定工作顺利开展，2024年</w:t>
      </w:r>
      <w:r>
        <w:rPr>
          <w:rFonts w:hint="eastAsia" w:hAnsi="宋体"/>
          <w:color w:val="000000"/>
          <w:sz w:val="24"/>
          <w:szCs w:val="24"/>
          <w:lang w:val="en-US" w:eastAsia="zh-CN"/>
        </w:rPr>
        <w:t>4</w:t>
      </w:r>
      <w:r>
        <w:rPr>
          <w:rFonts w:hint="eastAsia" w:hAnsi="宋体"/>
          <w:color w:val="000000"/>
          <w:sz w:val="24"/>
          <w:szCs w:val="24"/>
        </w:rPr>
        <w:t>月</w:t>
      </w:r>
      <w:r>
        <w:rPr>
          <w:rFonts w:hint="eastAsia" w:hAnsi="宋体"/>
          <w:color w:val="000000"/>
          <w:sz w:val="24"/>
          <w:szCs w:val="24"/>
          <w:lang w:val="en-US" w:eastAsia="zh-CN"/>
        </w:rPr>
        <w:t>28日</w:t>
      </w:r>
      <w:r>
        <w:rPr>
          <w:rFonts w:hint="eastAsia" w:hAnsi="宋体"/>
          <w:color w:val="000000"/>
          <w:sz w:val="24"/>
          <w:szCs w:val="24"/>
        </w:rPr>
        <w:t>，</w:t>
      </w:r>
      <w:r>
        <w:rPr>
          <w:rFonts w:hint="eastAsia" w:hAnsi="宋体"/>
          <w:color w:val="000000"/>
          <w:sz w:val="24"/>
          <w:szCs w:val="24"/>
          <w:lang w:val="en-US" w:eastAsia="zh-CN"/>
        </w:rPr>
        <w:t>由AFC专委会组织各方召开了本</w:t>
      </w:r>
      <w:r>
        <w:rPr>
          <w:rFonts w:hint="eastAsia" w:hAnsi="宋体"/>
          <w:color w:val="000000"/>
          <w:sz w:val="24"/>
          <w:szCs w:val="24"/>
        </w:rPr>
        <w:t>标准</w:t>
      </w:r>
      <w:r>
        <w:rPr>
          <w:rFonts w:hint="eastAsia" w:hAnsi="宋体"/>
          <w:color w:val="000000"/>
          <w:sz w:val="24"/>
          <w:szCs w:val="24"/>
          <w:lang w:val="en-US" w:eastAsia="zh-CN"/>
        </w:rPr>
        <w:t>启动会</w:t>
      </w:r>
      <w:r>
        <w:rPr>
          <w:rFonts w:hint="eastAsia" w:hAnsi="宋体"/>
          <w:color w:val="000000"/>
          <w:sz w:val="24"/>
          <w:szCs w:val="24"/>
        </w:rPr>
        <w:t>。</w:t>
      </w:r>
      <w:r>
        <w:rPr>
          <w:rFonts w:hint="eastAsia" w:hAnsi="宋体"/>
          <w:color w:val="000000"/>
          <w:sz w:val="24"/>
          <w:szCs w:val="24"/>
          <w:lang w:val="en-US" w:eastAsia="zh-CN"/>
        </w:rPr>
        <w:t>会议讨论和基本确定了：标准编制的依据、背景、意义；参编单位组成情况及分工；各阶段工作计划安排及主要工作措施。初次报名一共八家参编单位，其中北京城建智控科技股份有限公司作为主编单位参与。讨论</w:t>
      </w:r>
      <w:r>
        <w:rPr>
          <w:rFonts w:hint="eastAsia" w:hAnsi="宋体"/>
          <w:color w:val="000000"/>
          <w:sz w:val="24"/>
          <w:szCs w:val="24"/>
        </w:rPr>
        <w:t>确定的标准编制</w:t>
      </w:r>
      <w:r>
        <w:rPr>
          <w:rFonts w:hint="eastAsia" w:hAnsi="宋体"/>
          <w:color w:val="000000"/>
          <w:sz w:val="24"/>
          <w:szCs w:val="24"/>
          <w:lang w:val="en-US" w:eastAsia="zh-CN"/>
        </w:rPr>
        <w:t>初步</w:t>
      </w:r>
      <w:r>
        <w:rPr>
          <w:rFonts w:hint="eastAsia" w:hAnsi="宋体"/>
          <w:color w:val="000000"/>
          <w:sz w:val="24"/>
          <w:szCs w:val="24"/>
        </w:rPr>
        <w:t>工作计划如下：</w:t>
      </w:r>
    </w:p>
    <w:tbl>
      <w:tblPr>
        <w:tblStyle w:val="6"/>
        <w:tblW w:w="47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2101"/>
        <w:gridCol w:w="4735"/>
        <w:gridCol w:w="1494"/>
      </w:tblGrid>
      <w:tr w14:paraId="39DB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99" w:type="pct"/>
            <w:shd w:val="clear" w:color="auto" w:fill="F1F1F1" w:themeFill="background1" w:themeFillShade="F2"/>
            <w:vAlign w:val="center"/>
          </w:tcPr>
          <w:p w14:paraId="3D2F0792">
            <w:pPr>
              <w:jc w:val="center"/>
              <w:rPr>
                <w:rFonts w:ascii="宋体" w:hAnsi="宋体" w:cs="宋体"/>
                <w:b/>
                <w:bCs/>
                <w:szCs w:val="21"/>
              </w:rPr>
            </w:pPr>
            <w:r>
              <w:rPr>
                <w:rFonts w:hint="eastAsia" w:ascii="宋体" w:hAnsi="宋体" w:cs="宋体"/>
                <w:b/>
                <w:bCs/>
                <w:szCs w:val="21"/>
              </w:rPr>
              <w:t>序号</w:t>
            </w:r>
          </w:p>
        </w:tc>
        <w:tc>
          <w:tcPr>
            <w:tcW w:w="1185" w:type="pct"/>
            <w:shd w:val="clear" w:color="auto" w:fill="F1F1F1" w:themeFill="background1" w:themeFillShade="F2"/>
            <w:vAlign w:val="center"/>
          </w:tcPr>
          <w:p w14:paraId="1B80BA4C">
            <w:pPr>
              <w:jc w:val="center"/>
              <w:rPr>
                <w:rFonts w:ascii="宋体" w:hAnsi="宋体" w:cs="宋体"/>
                <w:b/>
                <w:bCs/>
                <w:szCs w:val="21"/>
              </w:rPr>
            </w:pPr>
            <w:r>
              <w:rPr>
                <w:rFonts w:hint="eastAsia" w:ascii="宋体" w:hAnsi="宋体" w:cs="宋体"/>
                <w:b/>
                <w:bCs/>
                <w:szCs w:val="21"/>
              </w:rPr>
              <w:t>工作阶段</w:t>
            </w:r>
          </w:p>
        </w:tc>
        <w:tc>
          <w:tcPr>
            <w:tcW w:w="2671" w:type="pct"/>
            <w:shd w:val="clear" w:color="auto" w:fill="F1F1F1" w:themeFill="background1" w:themeFillShade="F2"/>
            <w:vAlign w:val="center"/>
          </w:tcPr>
          <w:p w14:paraId="4536C21A">
            <w:pPr>
              <w:jc w:val="center"/>
              <w:rPr>
                <w:rFonts w:ascii="宋体" w:hAnsi="宋体" w:cs="宋体"/>
                <w:b/>
                <w:bCs/>
                <w:szCs w:val="21"/>
              </w:rPr>
            </w:pPr>
            <w:r>
              <w:rPr>
                <w:rFonts w:hint="eastAsia" w:ascii="宋体" w:hAnsi="宋体" w:cs="宋体"/>
                <w:b/>
                <w:bCs/>
                <w:szCs w:val="21"/>
              </w:rPr>
              <w:t>工作内容</w:t>
            </w:r>
          </w:p>
        </w:tc>
        <w:tc>
          <w:tcPr>
            <w:tcW w:w="843" w:type="pct"/>
            <w:shd w:val="clear" w:color="auto" w:fill="F1F1F1" w:themeFill="background1" w:themeFillShade="F2"/>
            <w:vAlign w:val="center"/>
          </w:tcPr>
          <w:p w14:paraId="6CBD930E">
            <w:pPr>
              <w:jc w:val="center"/>
              <w:rPr>
                <w:rFonts w:ascii="宋体" w:hAnsi="宋体" w:cs="宋体"/>
                <w:b/>
                <w:bCs/>
                <w:szCs w:val="21"/>
              </w:rPr>
            </w:pPr>
            <w:r>
              <w:rPr>
                <w:rFonts w:hint="eastAsia" w:ascii="宋体" w:hAnsi="宋体" w:cs="宋体"/>
                <w:b/>
                <w:bCs/>
                <w:szCs w:val="21"/>
              </w:rPr>
              <w:t>完成时间</w:t>
            </w:r>
          </w:p>
        </w:tc>
      </w:tr>
      <w:tr w14:paraId="0AE9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9" w:type="pct"/>
            <w:vAlign w:val="center"/>
          </w:tcPr>
          <w:p w14:paraId="01025622">
            <w:pPr>
              <w:jc w:val="center"/>
              <w:rPr>
                <w:rFonts w:ascii="宋体" w:hAnsi="宋体" w:cs="宋体"/>
                <w:szCs w:val="21"/>
              </w:rPr>
            </w:pPr>
            <w:r>
              <w:rPr>
                <w:rFonts w:hint="eastAsia" w:ascii="宋体" w:hAnsi="宋体" w:cs="宋体"/>
                <w:szCs w:val="21"/>
              </w:rPr>
              <w:t>1</w:t>
            </w:r>
          </w:p>
        </w:tc>
        <w:tc>
          <w:tcPr>
            <w:tcW w:w="1185" w:type="pct"/>
            <w:vAlign w:val="center"/>
          </w:tcPr>
          <w:p w14:paraId="1F2656F9">
            <w:pPr>
              <w:jc w:val="center"/>
              <w:rPr>
                <w:rFonts w:ascii="宋体" w:hAnsi="宋体" w:cs="宋体"/>
                <w:szCs w:val="21"/>
              </w:rPr>
            </w:pPr>
            <w:r>
              <w:rPr>
                <w:rFonts w:hint="eastAsia" w:ascii="宋体" w:hAnsi="宋体" w:cs="宋体"/>
                <w:szCs w:val="21"/>
              </w:rPr>
              <w:t>团标编制启动</w:t>
            </w:r>
          </w:p>
        </w:tc>
        <w:tc>
          <w:tcPr>
            <w:tcW w:w="2671" w:type="pct"/>
            <w:vAlign w:val="center"/>
          </w:tcPr>
          <w:p w14:paraId="0E7F827C">
            <w:pPr>
              <w:rPr>
                <w:rFonts w:ascii="宋体" w:hAnsi="宋体" w:cs="宋体"/>
                <w:szCs w:val="21"/>
              </w:rPr>
            </w:pPr>
            <w:r>
              <w:rPr>
                <w:rFonts w:hint="eastAsia" w:ascii="宋体" w:hAnsi="宋体" w:cs="宋体"/>
                <w:szCs w:val="21"/>
              </w:rPr>
              <w:t>确立专项工作组及各组织角色，负责整个标准编制过程的组织、协调和实施；宣布团标编制工作整体计划、措施、方法和费用安排。</w:t>
            </w:r>
          </w:p>
        </w:tc>
        <w:tc>
          <w:tcPr>
            <w:tcW w:w="843" w:type="pct"/>
            <w:vAlign w:val="center"/>
          </w:tcPr>
          <w:p w14:paraId="4B809180">
            <w:pPr>
              <w:jc w:val="center"/>
              <w:rPr>
                <w:rFonts w:ascii="宋体" w:hAnsi="宋体" w:cs="宋体"/>
                <w:szCs w:val="21"/>
              </w:rPr>
            </w:pPr>
            <w:r>
              <w:rPr>
                <w:rFonts w:hint="eastAsia" w:ascii="宋体" w:hAnsi="宋体" w:cs="宋体"/>
                <w:szCs w:val="21"/>
              </w:rPr>
              <w:t>2024年</w:t>
            </w:r>
            <w:r>
              <w:rPr>
                <w:rFonts w:hint="eastAsia" w:ascii="宋体" w:hAnsi="宋体" w:cs="宋体"/>
                <w:szCs w:val="21"/>
                <w:lang w:val="en-US" w:eastAsia="zh-CN"/>
              </w:rPr>
              <w:t>4</w:t>
            </w:r>
            <w:r>
              <w:rPr>
                <w:rFonts w:hint="eastAsia" w:ascii="宋体" w:hAnsi="宋体" w:cs="宋体"/>
                <w:szCs w:val="21"/>
              </w:rPr>
              <w:t>月</w:t>
            </w:r>
          </w:p>
        </w:tc>
      </w:tr>
      <w:tr w14:paraId="6BE4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9" w:type="pct"/>
            <w:vAlign w:val="center"/>
          </w:tcPr>
          <w:p w14:paraId="4F88A63F">
            <w:pPr>
              <w:jc w:val="center"/>
              <w:rPr>
                <w:rFonts w:ascii="宋体" w:hAnsi="宋体" w:cs="宋体"/>
                <w:szCs w:val="21"/>
              </w:rPr>
            </w:pPr>
            <w:r>
              <w:rPr>
                <w:rFonts w:hint="eastAsia" w:ascii="宋体" w:hAnsi="宋体" w:cs="宋体"/>
                <w:szCs w:val="21"/>
              </w:rPr>
              <w:t>2</w:t>
            </w:r>
          </w:p>
        </w:tc>
        <w:tc>
          <w:tcPr>
            <w:tcW w:w="1185" w:type="pct"/>
            <w:vAlign w:val="center"/>
          </w:tcPr>
          <w:p w14:paraId="64E8A8F2">
            <w:pPr>
              <w:jc w:val="center"/>
              <w:rPr>
                <w:rFonts w:ascii="宋体" w:hAnsi="宋体" w:cs="宋体"/>
                <w:szCs w:val="21"/>
              </w:rPr>
            </w:pPr>
            <w:r>
              <w:rPr>
                <w:rFonts w:hint="eastAsia" w:ascii="宋体" w:hAnsi="宋体" w:cs="宋体"/>
                <w:szCs w:val="21"/>
              </w:rPr>
              <w:t>确定详细团标编制内容和分工</w:t>
            </w:r>
          </w:p>
        </w:tc>
        <w:tc>
          <w:tcPr>
            <w:tcW w:w="2671" w:type="pct"/>
            <w:vAlign w:val="center"/>
          </w:tcPr>
          <w:p w14:paraId="054BDB82">
            <w:pPr>
              <w:rPr>
                <w:rFonts w:ascii="宋体" w:hAnsi="宋体" w:cs="宋体"/>
                <w:szCs w:val="21"/>
              </w:rPr>
            </w:pPr>
            <w:r>
              <w:rPr>
                <w:rFonts w:hint="eastAsia" w:ascii="宋体" w:hAnsi="宋体" w:cs="宋体"/>
                <w:szCs w:val="21"/>
              </w:rPr>
              <w:t>针对各参编单位结合自身经验和技术状况提出的详细编制内容，确定最终编制大纲，并分配各方分工。由专委会组织会议讨论确定。。</w:t>
            </w:r>
          </w:p>
        </w:tc>
        <w:tc>
          <w:tcPr>
            <w:tcW w:w="843" w:type="pct"/>
            <w:vAlign w:val="center"/>
          </w:tcPr>
          <w:p w14:paraId="6A4BD24C">
            <w:pPr>
              <w:jc w:val="center"/>
              <w:rPr>
                <w:rFonts w:ascii="宋体" w:hAnsi="宋体" w:cs="宋体"/>
                <w:szCs w:val="21"/>
              </w:rPr>
            </w:pPr>
            <w:r>
              <w:rPr>
                <w:rFonts w:hint="eastAsia" w:ascii="宋体" w:hAnsi="宋体" w:cs="宋体"/>
                <w:szCs w:val="21"/>
              </w:rPr>
              <w:t>2024年</w:t>
            </w:r>
            <w:r>
              <w:rPr>
                <w:rFonts w:hint="eastAsia" w:ascii="宋体" w:hAnsi="宋体" w:cs="宋体"/>
                <w:szCs w:val="21"/>
                <w:lang w:val="en-US" w:eastAsia="zh-CN"/>
              </w:rPr>
              <w:t>5</w:t>
            </w:r>
            <w:r>
              <w:rPr>
                <w:rFonts w:hint="eastAsia" w:ascii="宋体" w:hAnsi="宋体" w:cs="宋体"/>
                <w:szCs w:val="21"/>
              </w:rPr>
              <w:t>月</w:t>
            </w:r>
          </w:p>
        </w:tc>
      </w:tr>
      <w:tr w14:paraId="4073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9" w:type="pct"/>
            <w:vAlign w:val="center"/>
          </w:tcPr>
          <w:p w14:paraId="7014E4B7">
            <w:pPr>
              <w:jc w:val="center"/>
              <w:rPr>
                <w:rFonts w:ascii="宋体" w:hAnsi="宋体" w:cs="宋体"/>
                <w:szCs w:val="21"/>
              </w:rPr>
            </w:pPr>
            <w:r>
              <w:rPr>
                <w:rFonts w:hint="eastAsia" w:ascii="宋体" w:hAnsi="宋体" w:cs="宋体"/>
                <w:szCs w:val="21"/>
              </w:rPr>
              <w:t>3</w:t>
            </w:r>
          </w:p>
        </w:tc>
        <w:tc>
          <w:tcPr>
            <w:tcW w:w="1185" w:type="pct"/>
            <w:vAlign w:val="center"/>
          </w:tcPr>
          <w:p w14:paraId="347A0EF4">
            <w:pPr>
              <w:jc w:val="center"/>
              <w:rPr>
                <w:rFonts w:ascii="宋体" w:hAnsi="宋体" w:cs="宋体"/>
                <w:szCs w:val="21"/>
              </w:rPr>
            </w:pPr>
            <w:r>
              <w:rPr>
                <w:rFonts w:hint="eastAsia" w:ascii="宋体" w:hAnsi="宋体" w:cs="宋体"/>
                <w:szCs w:val="21"/>
              </w:rPr>
              <w:t>开展数字人民币AFC应用调研与分析</w:t>
            </w:r>
          </w:p>
        </w:tc>
        <w:tc>
          <w:tcPr>
            <w:tcW w:w="2671" w:type="pct"/>
            <w:vAlign w:val="center"/>
          </w:tcPr>
          <w:p w14:paraId="28E380AC">
            <w:pPr>
              <w:rPr>
                <w:rFonts w:ascii="宋体" w:hAnsi="宋体" w:cs="宋体"/>
                <w:szCs w:val="21"/>
              </w:rPr>
            </w:pPr>
            <w:r>
              <w:rPr>
                <w:rFonts w:hint="eastAsia" w:ascii="宋体" w:hAnsi="宋体" w:cs="宋体"/>
                <w:szCs w:val="21"/>
              </w:rPr>
              <w:t>各参编单位整理、总结自身参与实施和建设的数字人民币在AFC中应用的项目，总结应用场景、技术体系、业务流程、系统构成、运行性能状况、运营管理方式、使用效果等。组织技术交流会，并做团标编制内容回归分析。</w:t>
            </w:r>
          </w:p>
        </w:tc>
        <w:tc>
          <w:tcPr>
            <w:tcW w:w="843" w:type="pct"/>
            <w:vAlign w:val="center"/>
          </w:tcPr>
          <w:p w14:paraId="0B6EC547">
            <w:pPr>
              <w:jc w:val="center"/>
              <w:rPr>
                <w:rFonts w:ascii="宋体" w:hAnsi="宋体" w:cs="宋体"/>
                <w:szCs w:val="21"/>
              </w:rPr>
            </w:pPr>
            <w:bookmarkStart w:id="1" w:name="OLE_LINK1"/>
            <w:r>
              <w:rPr>
                <w:rFonts w:hint="eastAsia" w:ascii="宋体" w:hAnsi="宋体" w:cs="宋体"/>
                <w:szCs w:val="21"/>
              </w:rPr>
              <w:t>2024年</w:t>
            </w:r>
            <w:r>
              <w:rPr>
                <w:rFonts w:hint="eastAsia" w:ascii="宋体" w:hAnsi="宋体" w:cs="宋体"/>
                <w:szCs w:val="21"/>
                <w:lang w:val="en-US" w:eastAsia="zh-CN"/>
              </w:rPr>
              <w:t>6</w:t>
            </w:r>
            <w:r>
              <w:rPr>
                <w:rFonts w:hint="eastAsia" w:ascii="宋体" w:hAnsi="宋体" w:cs="宋体"/>
                <w:szCs w:val="21"/>
              </w:rPr>
              <w:t>月</w:t>
            </w:r>
            <w:bookmarkEnd w:id="1"/>
          </w:p>
        </w:tc>
      </w:tr>
      <w:tr w14:paraId="15FE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9" w:type="pct"/>
            <w:shd w:val="clear" w:color="auto" w:fill="auto"/>
            <w:vAlign w:val="center"/>
          </w:tcPr>
          <w:p w14:paraId="4C8D2BA1">
            <w:pPr>
              <w:jc w:val="center"/>
              <w:rPr>
                <w:rFonts w:ascii="宋体" w:hAnsi="宋体" w:cs="宋体"/>
                <w:szCs w:val="21"/>
                <w:highlight w:val="none"/>
              </w:rPr>
            </w:pPr>
            <w:r>
              <w:rPr>
                <w:rFonts w:hint="eastAsia" w:ascii="宋体" w:hAnsi="宋体" w:cs="宋体"/>
                <w:szCs w:val="21"/>
                <w:highlight w:val="none"/>
              </w:rPr>
              <w:t>4</w:t>
            </w:r>
          </w:p>
        </w:tc>
        <w:tc>
          <w:tcPr>
            <w:tcW w:w="1185" w:type="pct"/>
            <w:shd w:val="clear" w:color="auto" w:fill="auto"/>
            <w:vAlign w:val="center"/>
          </w:tcPr>
          <w:p w14:paraId="1113C220">
            <w:pPr>
              <w:jc w:val="center"/>
              <w:rPr>
                <w:rFonts w:ascii="宋体" w:hAnsi="宋体" w:cs="宋体"/>
                <w:szCs w:val="21"/>
                <w:highlight w:val="none"/>
              </w:rPr>
            </w:pPr>
            <w:r>
              <w:rPr>
                <w:rFonts w:hint="eastAsia" w:ascii="宋体" w:hAnsi="宋体" w:cs="宋体"/>
                <w:szCs w:val="21"/>
                <w:highlight w:val="none"/>
              </w:rPr>
              <w:t>团标初版编制</w:t>
            </w:r>
          </w:p>
        </w:tc>
        <w:tc>
          <w:tcPr>
            <w:tcW w:w="2671" w:type="pct"/>
            <w:shd w:val="clear" w:color="auto" w:fill="auto"/>
            <w:vAlign w:val="center"/>
          </w:tcPr>
          <w:p w14:paraId="6F4102CD">
            <w:pPr>
              <w:rPr>
                <w:rFonts w:ascii="宋体" w:hAnsi="宋体" w:cs="宋体"/>
                <w:szCs w:val="21"/>
                <w:highlight w:val="none"/>
              </w:rPr>
            </w:pPr>
            <w:r>
              <w:rPr>
                <w:rFonts w:hint="eastAsia" w:ascii="宋体" w:hAnsi="宋体" w:cs="宋体"/>
                <w:szCs w:val="21"/>
                <w:highlight w:val="none"/>
              </w:rPr>
              <w:t>各参编单位结合内容与分工进行团标的初版编写，过程充分沟通、多次迭代、定期审核。初稿完成后，第一次评审会。</w:t>
            </w:r>
          </w:p>
        </w:tc>
        <w:tc>
          <w:tcPr>
            <w:tcW w:w="843" w:type="pct"/>
            <w:shd w:val="clear" w:color="auto" w:fill="auto"/>
            <w:vAlign w:val="center"/>
          </w:tcPr>
          <w:p w14:paraId="6922A0F3">
            <w:pPr>
              <w:jc w:val="center"/>
              <w:rPr>
                <w:rFonts w:ascii="宋体" w:hAnsi="宋体" w:cs="宋体"/>
                <w:szCs w:val="21"/>
                <w:highlight w:val="none"/>
              </w:rPr>
            </w:pPr>
            <w:r>
              <w:rPr>
                <w:rFonts w:hint="eastAsia" w:ascii="宋体" w:hAnsi="宋体" w:cs="宋体"/>
                <w:szCs w:val="21"/>
                <w:highlight w:val="none"/>
              </w:rPr>
              <w:t>2024年</w:t>
            </w:r>
            <w:r>
              <w:rPr>
                <w:rFonts w:hint="eastAsia" w:ascii="宋体" w:hAnsi="宋体" w:cs="宋体"/>
                <w:szCs w:val="21"/>
                <w:highlight w:val="none"/>
                <w:lang w:val="en-US" w:eastAsia="zh-CN"/>
              </w:rPr>
              <w:t>8</w:t>
            </w:r>
            <w:r>
              <w:rPr>
                <w:rFonts w:hint="eastAsia" w:ascii="宋体" w:hAnsi="宋体" w:cs="宋体"/>
                <w:szCs w:val="21"/>
                <w:highlight w:val="none"/>
              </w:rPr>
              <w:t>月</w:t>
            </w:r>
          </w:p>
        </w:tc>
      </w:tr>
      <w:tr w14:paraId="2F737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9" w:type="pct"/>
            <w:shd w:val="clear" w:color="auto" w:fill="auto"/>
            <w:vAlign w:val="center"/>
          </w:tcPr>
          <w:p w14:paraId="1A94110B">
            <w:pPr>
              <w:jc w:val="center"/>
              <w:rPr>
                <w:rFonts w:ascii="宋体" w:hAnsi="宋体" w:cs="宋体"/>
                <w:szCs w:val="21"/>
                <w:highlight w:val="none"/>
              </w:rPr>
            </w:pPr>
            <w:r>
              <w:rPr>
                <w:rFonts w:hint="eastAsia" w:ascii="宋体" w:hAnsi="宋体" w:cs="宋体"/>
                <w:szCs w:val="21"/>
                <w:highlight w:val="none"/>
              </w:rPr>
              <w:t>5</w:t>
            </w:r>
          </w:p>
        </w:tc>
        <w:tc>
          <w:tcPr>
            <w:tcW w:w="1185" w:type="pct"/>
            <w:shd w:val="clear" w:color="auto" w:fill="auto"/>
            <w:vAlign w:val="center"/>
          </w:tcPr>
          <w:p w14:paraId="0A2F48F0">
            <w:pPr>
              <w:jc w:val="center"/>
              <w:rPr>
                <w:rFonts w:ascii="宋体" w:hAnsi="宋体" w:cs="宋体"/>
                <w:szCs w:val="21"/>
                <w:highlight w:val="none"/>
              </w:rPr>
            </w:pPr>
            <w:r>
              <w:rPr>
                <w:rFonts w:hint="eastAsia" w:ascii="宋体" w:hAnsi="宋体" w:cs="宋体"/>
                <w:szCs w:val="21"/>
                <w:highlight w:val="none"/>
              </w:rPr>
              <w:t>公开征求意见与民主决策</w:t>
            </w:r>
          </w:p>
        </w:tc>
        <w:tc>
          <w:tcPr>
            <w:tcW w:w="2671" w:type="pct"/>
            <w:shd w:val="clear" w:color="auto" w:fill="auto"/>
            <w:vAlign w:val="center"/>
          </w:tcPr>
          <w:p w14:paraId="79DD23BB">
            <w:pPr>
              <w:jc w:val="left"/>
              <w:rPr>
                <w:rFonts w:ascii="宋体" w:hAnsi="宋体" w:cs="宋体"/>
                <w:szCs w:val="21"/>
                <w:highlight w:val="none"/>
              </w:rPr>
            </w:pPr>
            <w:r>
              <w:rPr>
                <w:rFonts w:hint="eastAsia" w:ascii="宋体" w:hAnsi="宋体" w:cs="宋体"/>
                <w:szCs w:val="21"/>
                <w:highlight w:val="none"/>
              </w:rPr>
              <w:t>广泛征求各利益相关方的意见和建议，包括企业、技术机构、行业协会、消费者代表等。通过公开透明的征求意见过程，确保团体标准的代表性和可操作性，提高标准的实施效果。</w:t>
            </w:r>
          </w:p>
        </w:tc>
        <w:tc>
          <w:tcPr>
            <w:tcW w:w="843" w:type="pct"/>
            <w:shd w:val="clear" w:color="auto" w:fill="auto"/>
            <w:vAlign w:val="center"/>
          </w:tcPr>
          <w:p w14:paraId="6A402D42">
            <w:pPr>
              <w:jc w:val="center"/>
              <w:rPr>
                <w:rFonts w:ascii="宋体" w:hAnsi="宋体" w:cs="宋体"/>
                <w:szCs w:val="21"/>
                <w:highlight w:val="none"/>
              </w:rPr>
            </w:pPr>
            <w:r>
              <w:rPr>
                <w:rFonts w:hint="eastAsia" w:ascii="宋体" w:hAnsi="宋体" w:cs="宋体"/>
                <w:szCs w:val="21"/>
                <w:highlight w:val="none"/>
              </w:rPr>
              <w:t>2024年</w:t>
            </w:r>
            <w:r>
              <w:rPr>
                <w:rFonts w:hint="eastAsia" w:ascii="宋体" w:hAnsi="宋体" w:cs="宋体"/>
                <w:szCs w:val="21"/>
                <w:highlight w:val="none"/>
                <w:lang w:val="en-US" w:eastAsia="zh-CN"/>
              </w:rPr>
              <w:t>9</w:t>
            </w:r>
            <w:r>
              <w:rPr>
                <w:rFonts w:hint="eastAsia" w:ascii="宋体" w:hAnsi="宋体" w:cs="宋体"/>
                <w:szCs w:val="21"/>
                <w:highlight w:val="none"/>
              </w:rPr>
              <w:t>月</w:t>
            </w:r>
          </w:p>
        </w:tc>
      </w:tr>
      <w:tr w14:paraId="78C4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99" w:type="pct"/>
            <w:shd w:val="clear" w:color="auto" w:fill="auto"/>
            <w:vAlign w:val="center"/>
          </w:tcPr>
          <w:p w14:paraId="787180F9">
            <w:pPr>
              <w:jc w:val="center"/>
              <w:rPr>
                <w:rFonts w:ascii="宋体" w:hAnsi="宋体" w:cs="宋体"/>
                <w:szCs w:val="21"/>
                <w:highlight w:val="none"/>
              </w:rPr>
            </w:pPr>
            <w:r>
              <w:rPr>
                <w:rFonts w:hint="eastAsia" w:ascii="宋体" w:hAnsi="宋体" w:cs="宋体"/>
                <w:szCs w:val="21"/>
                <w:highlight w:val="none"/>
              </w:rPr>
              <w:t>6</w:t>
            </w:r>
          </w:p>
        </w:tc>
        <w:tc>
          <w:tcPr>
            <w:tcW w:w="1185" w:type="pct"/>
            <w:shd w:val="clear" w:color="auto" w:fill="auto"/>
            <w:vAlign w:val="center"/>
          </w:tcPr>
          <w:p w14:paraId="4D49DDF0">
            <w:pPr>
              <w:jc w:val="center"/>
              <w:rPr>
                <w:rFonts w:ascii="宋体" w:hAnsi="宋体" w:cs="宋体"/>
                <w:szCs w:val="21"/>
                <w:highlight w:val="none"/>
              </w:rPr>
            </w:pPr>
            <w:r>
              <w:rPr>
                <w:rFonts w:hint="eastAsia" w:ascii="宋体" w:hAnsi="宋体" w:cs="宋体"/>
                <w:szCs w:val="21"/>
                <w:highlight w:val="none"/>
              </w:rPr>
              <w:t>完成征求意见稿</w:t>
            </w:r>
          </w:p>
        </w:tc>
        <w:tc>
          <w:tcPr>
            <w:tcW w:w="2671" w:type="pct"/>
            <w:shd w:val="clear" w:color="auto" w:fill="auto"/>
            <w:vAlign w:val="center"/>
          </w:tcPr>
          <w:p w14:paraId="062372C8">
            <w:pPr>
              <w:jc w:val="left"/>
              <w:rPr>
                <w:rFonts w:hint="eastAsia" w:ascii="宋体" w:hAnsi="宋体" w:eastAsia="宋体" w:cs="宋体"/>
                <w:szCs w:val="21"/>
                <w:highlight w:val="none"/>
                <w:lang w:val="en-US" w:eastAsia="zh-CN"/>
              </w:rPr>
            </w:pPr>
            <w:r>
              <w:rPr>
                <w:rFonts w:hint="eastAsia" w:ascii="宋体" w:hAnsi="宋体" w:cs="宋体"/>
                <w:szCs w:val="21"/>
                <w:highlight w:val="none"/>
              </w:rPr>
              <w:t>汇总征求意见，修订团标，完成征求意见稿，并专委会组织第二次评审会，对标准的各项内容进行评审和讨论</w:t>
            </w:r>
            <w:r>
              <w:rPr>
                <w:rFonts w:hint="eastAsia" w:ascii="宋体" w:hAnsi="宋体" w:cs="宋体"/>
                <w:szCs w:val="21"/>
                <w:highlight w:val="none"/>
                <w:lang w:val="en-US" w:eastAsia="zh-CN"/>
              </w:rPr>
              <w:t>.</w:t>
            </w:r>
          </w:p>
        </w:tc>
        <w:tc>
          <w:tcPr>
            <w:tcW w:w="843" w:type="pct"/>
            <w:shd w:val="clear" w:color="auto" w:fill="auto"/>
            <w:vAlign w:val="center"/>
          </w:tcPr>
          <w:p w14:paraId="0EBBCEA7">
            <w:pPr>
              <w:jc w:val="center"/>
              <w:rPr>
                <w:rFonts w:ascii="宋体" w:hAnsi="宋体" w:cs="宋体"/>
                <w:szCs w:val="21"/>
                <w:highlight w:val="none"/>
              </w:rPr>
            </w:pPr>
            <w:r>
              <w:rPr>
                <w:rFonts w:hint="eastAsia" w:ascii="宋体" w:hAnsi="宋体" w:cs="宋体"/>
                <w:szCs w:val="21"/>
                <w:highlight w:val="none"/>
              </w:rPr>
              <w:t>2024年</w:t>
            </w:r>
            <w:r>
              <w:rPr>
                <w:rFonts w:hint="eastAsia" w:ascii="宋体" w:hAnsi="宋体" w:cs="宋体"/>
                <w:szCs w:val="21"/>
                <w:highlight w:val="none"/>
                <w:lang w:val="en-US" w:eastAsia="zh-CN"/>
              </w:rPr>
              <w:t>10</w:t>
            </w:r>
            <w:r>
              <w:rPr>
                <w:rFonts w:hint="eastAsia" w:ascii="宋体" w:hAnsi="宋体" w:cs="宋体"/>
                <w:szCs w:val="21"/>
                <w:highlight w:val="none"/>
              </w:rPr>
              <w:t>月</w:t>
            </w:r>
          </w:p>
        </w:tc>
      </w:tr>
      <w:tr w14:paraId="51E7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9" w:type="pct"/>
            <w:shd w:val="clear" w:color="auto" w:fill="auto"/>
            <w:vAlign w:val="center"/>
          </w:tcPr>
          <w:p w14:paraId="0490AF8E">
            <w:pPr>
              <w:jc w:val="center"/>
              <w:rPr>
                <w:rFonts w:ascii="宋体" w:hAnsi="宋体" w:cs="宋体"/>
                <w:szCs w:val="21"/>
                <w:highlight w:val="none"/>
              </w:rPr>
            </w:pPr>
            <w:r>
              <w:rPr>
                <w:rFonts w:hint="eastAsia" w:ascii="宋体" w:hAnsi="宋体" w:cs="宋体"/>
                <w:szCs w:val="21"/>
                <w:highlight w:val="none"/>
              </w:rPr>
              <w:t>7</w:t>
            </w:r>
          </w:p>
        </w:tc>
        <w:tc>
          <w:tcPr>
            <w:tcW w:w="1185" w:type="pct"/>
            <w:shd w:val="clear" w:color="auto" w:fill="auto"/>
            <w:vAlign w:val="center"/>
          </w:tcPr>
          <w:p w14:paraId="1CEEC19A">
            <w:pPr>
              <w:jc w:val="center"/>
              <w:rPr>
                <w:rFonts w:ascii="宋体" w:hAnsi="宋体" w:cs="宋体"/>
                <w:szCs w:val="21"/>
                <w:highlight w:val="none"/>
              </w:rPr>
            </w:pPr>
            <w:r>
              <w:rPr>
                <w:rFonts w:hint="eastAsia" w:ascii="宋体" w:hAnsi="宋体" w:cs="宋体"/>
                <w:szCs w:val="21"/>
                <w:highlight w:val="none"/>
              </w:rPr>
              <w:t>送审稿</w:t>
            </w:r>
          </w:p>
        </w:tc>
        <w:tc>
          <w:tcPr>
            <w:tcW w:w="2671" w:type="pct"/>
            <w:shd w:val="clear" w:color="auto" w:fill="auto"/>
            <w:vAlign w:val="center"/>
          </w:tcPr>
          <w:p w14:paraId="7FDF72A1">
            <w:pPr>
              <w:jc w:val="left"/>
              <w:rPr>
                <w:rFonts w:ascii="宋体" w:hAnsi="宋体" w:cs="宋体"/>
                <w:szCs w:val="21"/>
                <w:highlight w:val="none"/>
              </w:rPr>
            </w:pPr>
            <w:r>
              <w:rPr>
                <w:rFonts w:hint="eastAsia" w:ascii="宋体" w:hAnsi="宋体" w:cs="宋体"/>
                <w:szCs w:val="21"/>
                <w:highlight w:val="none"/>
              </w:rPr>
              <w:t>依据专家的专业意见和建议，完善团标整体质量，提高团标的科学性和实用性。</w:t>
            </w:r>
          </w:p>
        </w:tc>
        <w:tc>
          <w:tcPr>
            <w:tcW w:w="843" w:type="pct"/>
            <w:shd w:val="clear" w:color="auto" w:fill="auto"/>
            <w:vAlign w:val="center"/>
          </w:tcPr>
          <w:p w14:paraId="2522CD66">
            <w:pPr>
              <w:jc w:val="center"/>
              <w:rPr>
                <w:rFonts w:ascii="宋体" w:hAnsi="宋体" w:cs="宋体"/>
                <w:szCs w:val="21"/>
                <w:highlight w:val="none"/>
              </w:rPr>
            </w:pPr>
            <w:r>
              <w:rPr>
                <w:rFonts w:hint="eastAsia" w:ascii="宋体" w:hAnsi="宋体" w:cs="宋体"/>
                <w:szCs w:val="21"/>
                <w:highlight w:val="none"/>
              </w:rPr>
              <w:t>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w:t>
            </w:r>
          </w:p>
        </w:tc>
      </w:tr>
      <w:tr w14:paraId="0E5C2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9" w:type="pct"/>
            <w:shd w:val="clear" w:color="auto" w:fill="auto"/>
            <w:vAlign w:val="center"/>
          </w:tcPr>
          <w:p w14:paraId="2CAE0EED">
            <w:pPr>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8</w:t>
            </w:r>
          </w:p>
        </w:tc>
        <w:tc>
          <w:tcPr>
            <w:tcW w:w="1185" w:type="pct"/>
            <w:shd w:val="clear" w:color="auto" w:fill="auto"/>
            <w:vAlign w:val="center"/>
          </w:tcPr>
          <w:p w14:paraId="428F3DCE">
            <w:pPr>
              <w:jc w:val="center"/>
              <w:rPr>
                <w:rFonts w:hint="eastAsia" w:ascii="宋体" w:hAnsi="宋体" w:eastAsia="宋体" w:cs="宋体"/>
                <w:szCs w:val="21"/>
                <w:highlight w:val="none"/>
                <w:lang w:val="en-US" w:eastAsia="zh-CN"/>
              </w:rPr>
            </w:pPr>
            <w:r>
              <w:rPr>
                <w:rFonts w:hint="eastAsia" w:ascii="宋体" w:hAnsi="宋体" w:cs="宋体"/>
                <w:szCs w:val="21"/>
                <w:highlight w:val="none"/>
              </w:rPr>
              <w:t>最终评审</w:t>
            </w:r>
            <w:r>
              <w:rPr>
                <w:rFonts w:hint="eastAsia" w:ascii="宋体" w:hAnsi="宋体" w:cs="宋体"/>
                <w:szCs w:val="21"/>
                <w:highlight w:val="none"/>
                <w:lang w:val="en-US" w:eastAsia="zh-CN"/>
              </w:rPr>
              <w:t>发布</w:t>
            </w:r>
          </w:p>
        </w:tc>
        <w:tc>
          <w:tcPr>
            <w:tcW w:w="2671" w:type="pct"/>
            <w:shd w:val="clear" w:color="auto" w:fill="auto"/>
            <w:vAlign w:val="center"/>
          </w:tcPr>
          <w:p w14:paraId="6FD7A927">
            <w:pPr>
              <w:jc w:val="left"/>
              <w:rPr>
                <w:rFonts w:hint="eastAsia" w:ascii="宋体" w:hAnsi="宋体" w:eastAsia="宋体" w:cs="宋体"/>
                <w:szCs w:val="21"/>
                <w:highlight w:val="none"/>
                <w:lang w:eastAsia="zh-CN"/>
              </w:rPr>
            </w:pPr>
            <w:r>
              <w:rPr>
                <w:rFonts w:hint="eastAsia" w:ascii="宋体" w:hAnsi="宋体" w:cs="宋体"/>
                <w:szCs w:val="21"/>
                <w:highlight w:val="none"/>
              </w:rPr>
              <w:t>对送审稿进行最终评审，择机发布</w:t>
            </w:r>
            <w:r>
              <w:rPr>
                <w:rFonts w:hint="eastAsia" w:ascii="宋体" w:hAnsi="宋体" w:cs="宋体"/>
                <w:szCs w:val="21"/>
                <w:highlight w:val="none"/>
                <w:lang w:eastAsia="zh-CN"/>
              </w:rPr>
              <w:t>。</w:t>
            </w:r>
          </w:p>
        </w:tc>
        <w:tc>
          <w:tcPr>
            <w:tcW w:w="843" w:type="pct"/>
            <w:shd w:val="clear" w:color="auto" w:fill="auto"/>
            <w:vAlign w:val="center"/>
          </w:tcPr>
          <w:p w14:paraId="7F500A85">
            <w:pPr>
              <w:jc w:val="center"/>
              <w:rPr>
                <w:rFonts w:hint="eastAsia" w:ascii="宋体" w:hAnsi="宋体" w:cs="宋体"/>
                <w:szCs w:val="21"/>
                <w:highlight w:val="none"/>
              </w:rPr>
            </w:pPr>
            <w:r>
              <w:rPr>
                <w:rFonts w:hint="eastAsia" w:ascii="宋体" w:hAnsi="宋体" w:cs="宋体"/>
                <w:szCs w:val="21"/>
                <w:highlight w:val="none"/>
              </w:rPr>
              <w:t>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w:t>
            </w:r>
          </w:p>
        </w:tc>
      </w:tr>
    </w:tbl>
    <w:p w14:paraId="7B8EAB09">
      <w:pPr>
        <w:pStyle w:val="9"/>
        <w:spacing w:line="360" w:lineRule="auto"/>
        <w:rPr>
          <w:rFonts w:hAnsi="宋体"/>
          <w:color w:val="000000"/>
          <w:szCs w:val="21"/>
        </w:rPr>
      </w:pPr>
    </w:p>
    <w:p w14:paraId="16AD4E73">
      <w:pPr>
        <w:pStyle w:val="9"/>
        <w:spacing w:line="360" w:lineRule="auto"/>
        <w:ind w:left="420" w:firstLine="0" w:firstLineChars="0"/>
        <w:outlineLvl w:val="2"/>
        <w:rPr>
          <w:rFonts w:hAnsi="宋体"/>
          <w:b/>
          <w:bCs/>
          <w:color w:val="000000"/>
          <w:szCs w:val="21"/>
        </w:rPr>
      </w:pPr>
      <w:r>
        <w:rPr>
          <w:rFonts w:hint="eastAsia" w:hAnsi="宋体"/>
          <w:b/>
          <w:bCs/>
          <w:color w:val="000000"/>
          <w:szCs w:val="21"/>
        </w:rPr>
        <w:t>2 主要工作过程</w:t>
      </w:r>
    </w:p>
    <w:p w14:paraId="4223B52A">
      <w:pPr>
        <w:pStyle w:val="9"/>
        <w:spacing w:line="300" w:lineRule="auto"/>
        <w:ind w:firstLine="480"/>
        <w:rPr>
          <w:rFonts w:hint="eastAsia" w:hAnsi="宋体"/>
          <w:color w:val="000000"/>
          <w:sz w:val="24"/>
          <w:szCs w:val="24"/>
        </w:rPr>
      </w:pPr>
      <w:r>
        <w:rPr>
          <w:rFonts w:hint="eastAsia" w:hAnsi="宋体"/>
          <w:color w:val="000000"/>
          <w:sz w:val="24"/>
          <w:szCs w:val="24"/>
        </w:rPr>
        <w:t>启动会召开之后，数币的团标的编制一共经历了</w:t>
      </w:r>
      <w:r>
        <w:rPr>
          <w:rFonts w:hint="eastAsia" w:hAnsi="宋体"/>
          <w:color w:val="000000"/>
          <w:sz w:val="24"/>
          <w:szCs w:val="24"/>
          <w:lang w:val="en-US" w:eastAsia="zh-CN"/>
        </w:rPr>
        <w:t>四</w:t>
      </w:r>
      <w:r>
        <w:rPr>
          <w:rFonts w:hint="eastAsia" w:hAnsi="宋体"/>
          <w:color w:val="000000"/>
          <w:sz w:val="24"/>
          <w:szCs w:val="24"/>
        </w:rPr>
        <w:t>个阶段。</w:t>
      </w:r>
    </w:p>
    <w:p w14:paraId="4C28EE3B">
      <w:pPr>
        <w:pStyle w:val="9"/>
        <w:spacing w:line="300" w:lineRule="auto"/>
        <w:ind w:firstLine="480"/>
        <w:rPr>
          <w:rFonts w:hint="eastAsia" w:hAnsi="宋体"/>
          <w:color w:val="000000"/>
          <w:sz w:val="24"/>
          <w:szCs w:val="24"/>
        </w:rPr>
      </w:pPr>
      <w:r>
        <w:rPr>
          <w:rFonts w:hint="eastAsia" w:hAnsi="宋体"/>
          <w:color w:val="000000"/>
          <w:sz w:val="24"/>
          <w:szCs w:val="24"/>
        </w:rPr>
        <w:t>第一个阶段是从五月初</w:t>
      </w:r>
      <w:r>
        <w:rPr>
          <w:rFonts w:hint="eastAsia" w:hAnsi="宋体"/>
          <w:color w:val="000000"/>
          <w:sz w:val="24"/>
          <w:szCs w:val="24"/>
          <w:lang w:eastAsia="zh-CN"/>
        </w:rPr>
        <w:t>，</w:t>
      </w:r>
      <w:r>
        <w:rPr>
          <w:rFonts w:hint="eastAsia" w:hAnsi="宋体"/>
          <w:color w:val="000000"/>
          <w:sz w:val="24"/>
          <w:szCs w:val="24"/>
        </w:rPr>
        <w:t>一直到六月底。主编单位组织各参编单位，并邀请了相关的专家</w:t>
      </w:r>
      <w:r>
        <w:rPr>
          <w:rFonts w:hint="eastAsia" w:hAnsi="宋体"/>
          <w:color w:val="000000"/>
          <w:sz w:val="24"/>
          <w:szCs w:val="24"/>
          <w:lang w:val="en-US" w:eastAsia="zh-CN"/>
        </w:rPr>
        <w:t>,</w:t>
      </w:r>
      <w:r>
        <w:rPr>
          <w:rFonts w:hint="eastAsia" w:hAnsi="宋体"/>
          <w:color w:val="000000"/>
          <w:sz w:val="24"/>
          <w:szCs w:val="24"/>
        </w:rPr>
        <w:t>对数字人民币在轨交自动售检票专业中的应用的场景以及各参编单位的分工，做了沟通和确认。在此过程当中又</w:t>
      </w:r>
      <w:r>
        <w:rPr>
          <w:rFonts w:hint="eastAsia" w:hAnsi="宋体"/>
          <w:color w:val="000000"/>
          <w:sz w:val="24"/>
          <w:szCs w:val="24"/>
          <w:lang w:val="en-US" w:eastAsia="zh-CN"/>
        </w:rPr>
        <w:t>吸纳</w:t>
      </w:r>
      <w:r>
        <w:rPr>
          <w:rFonts w:hint="eastAsia" w:hAnsi="宋体"/>
          <w:color w:val="000000"/>
          <w:sz w:val="24"/>
          <w:szCs w:val="24"/>
        </w:rPr>
        <w:t>了两个新的参编单位</w:t>
      </w:r>
      <w:r>
        <w:rPr>
          <w:rFonts w:hint="eastAsia" w:hAnsi="宋体"/>
          <w:color w:val="000000"/>
          <w:sz w:val="24"/>
          <w:szCs w:val="24"/>
          <w:lang w:eastAsia="zh-CN"/>
        </w:rPr>
        <w:t>：</w:t>
      </w:r>
      <w:r>
        <w:rPr>
          <w:rFonts w:hint="eastAsia" w:hAnsi="宋体"/>
          <w:color w:val="000000"/>
          <w:sz w:val="24"/>
          <w:szCs w:val="24"/>
        </w:rPr>
        <w:t>数金公共服务（青岛）有限公司、深圳市深圳通有限公司。</w:t>
      </w:r>
      <w:r>
        <w:rPr>
          <w:rFonts w:hint="eastAsia" w:hAnsi="宋体"/>
          <w:color w:val="000000"/>
          <w:sz w:val="24"/>
          <w:szCs w:val="24"/>
          <w:lang w:val="en-US" w:eastAsia="zh-CN"/>
        </w:rPr>
        <w:t>此第一阶</w:t>
      </w:r>
      <w:r>
        <w:rPr>
          <w:rFonts w:hint="eastAsia" w:hAnsi="宋体"/>
          <w:color w:val="000000"/>
          <w:sz w:val="24"/>
          <w:szCs w:val="24"/>
        </w:rPr>
        <w:t>段各参编单位一共召开了五次设计联络和技术交流会</w:t>
      </w:r>
      <w:r>
        <w:rPr>
          <w:rFonts w:hint="eastAsia" w:hAnsi="宋体"/>
          <w:color w:val="000000"/>
          <w:sz w:val="24"/>
          <w:szCs w:val="24"/>
          <w:lang w:eastAsia="zh-CN"/>
        </w:rPr>
        <w:t>，</w:t>
      </w:r>
      <w:r>
        <w:rPr>
          <w:rFonts w:hint="eastAsia" w:hAnsi="宋体"/>
          <w:color w:val="000000"/>
          <w:sz w:val="24"/>
          <w:szCs w:val="24"/>
        </w:rPr>
        <w:t>充分讨论了数字人民币在</w:t>
      </w:r>
      <w:r>
        <w:rPr>
          <w:rFonts w:hint="eastAsia" w:hAnsi="宋体"/>
          <w:color w:val="000000"/>
          <w:sz w:val="24"/>
          <w:szCs w:val="24"/>
          <w:lang w:val="en-US" w:eastAsia="zh-CN"/>
        </w:rPr>
        <w:t>AFC</w:t>
      </w:r>
      <w:r>
        <w:rPr>
          <w:rFonts w:hint="eastAsia" w:hAnsi="宋体"/>
          <w:color w:val="000000"/>
          <w:sz w:val="24"/>
          <w:szCs w:val="24"/>
        </w:rPr>
        <w:t>中应用的场景。结合国内现有项目成果确定了三个</w:t>
      </w:r>
      <w:r>
        <w:rPr>
          <w:rFonts w:hint="eastAsia" w:hAnsi="宋体"/>
          <w:color w:val="000000"/>
          <w:sz w:val="24"/>
          <w:szCs w:val="24"/>
          <w:lang w:val="en-US" w:eastAsia="zh-CN"/>
        </w:rPr>
        <w:t>应用</w:t>
      </w:r>
      <w:r>
        <w:rPr>
          <w:rFonts w:hint="eastAsia" w:hAnsi="宋体"/>
          <w:color w:val="000000"/>
          <w:sz w:val="24"/>
          <w:szCs w:val="24"/>
        </w:rPr>
        <w:t>场景：软钱包小额支付、硬钱包在线认证过闸以及硬钱包的离线验证过闸，作为此次团标编制的基础应用场景。</w:t>
      </w:r>
    </w:p>
    <w:p w14:paraId="2FD9DBF9">
      <w:pPr>
        <w:pStyle w:val="9"/>
        <w:spacing w:line="300" w:lineRule="auto"/>
        <w:ind w:firstLine="480"/>
        <w:rPr>
          <w:rFonts w:hint="eastAsia" w:hAnsi="宋体"/>
          <w:color w:val="000000"/>
          <w:sz w:val="24"/>
          <w:szCs w:val="24"/>
        </w:rPr>
      </w:pPr>
      <w:r>
        <w:rPr>
          <w:rFonts w:hint="eastAsia" w:hAnsi="宋体"/>
          <w:color w:val="000000"/>
          <w:sz w:val="24"/>
          <w:szCs w:val="24"/>
          <w:lang w:val="en-US" w:eastAsia="zh-CN"/>
        </w:rPr>
        <w:t>在此过程中，</w:t>
      </w:r>
      <w:r>
        <w:rPr>
          <w:rFonts w:hint="eastAsia" w:hAnsi="宋体"/>
          <w:color w:val="000000"/>
          <w:sz w:val="24"/>
          <w:szCs w:val="24"/>
        </w:rPr>
        <w:t>各参编单位按照各自对应的章节分工完成了</w:t>
      </w:r>
      <w:r>
        <w:rPr>
          <w:rFonts w:hint="eastAsia" w:hAnsi="宋体"/>
          <w:color w:val="000000"/>
          <w:sz w:val="24"/>
          <w:szCs w:val="24"/>
          <w:lang w:val="en-US" w:eastAsia="zh-CN"/>
        </w:rPr>
        <w:t>标准的初</w:t>
      </w:r>
      <w:r>
        <w:rPr>
          <w:rFonts w:hint="eastAsia" w:hAnsi="宋体"/>
          <w:color w:val="000000"/>
          <w:sz w:val="24"/>
          <w:szCs w:val="24"/>
        </w:rPr>
        <w:t>版，并在六月底进行了第一次专家评审。</w:t>
      </w:r>
    </w:p>
    <w:p w14:paraId="6CC27855">
      <w:pPr>
        <w:pStyle w:val="9"/>
        <w:spacing w:line="300" w:lineRule="auto"/>
        <w:ind w:firstLine="480"/>
        <w:rPr>
          <w:rFonts w:hint="eastAsia" w:hAnsi="宋体"/>
          <w:color w:val="000000"/>
          <w:sz w:val="24"/>
          <w:szCs w:val="24"/>
        </w:rPr>
      </w:pPr>
      <w:r>
        <w:rPr>
          <w:rFonts w:hint="eastAsia" w:hAnsi="宋体"/>
          <w:color w:val="000000"/>
          <w:sz w:val="24"/>
          <w:szCs w:val="24"/>
        </w:rPr>
        <w:t>第二阶段，专家评审之后，</w:t>
      </w:r>
      <w:r>
        <w:rPr>
          <w:rFonts w:hint="eastAsia" w:hAnsi="宋体"/>
          <w:color w:val="000000"/>
          <w:sz w:val="24"/>
          <w:szCs w:val="24"/>
          <w:lang w:val="en-US" w:eastAsia="zh-CN"/>
        </w:rPr>
        <w:t>标准</w:t>
      </w:r>
      <w:r>
        <w:rPr>
          <w:rFonts w:hint="eastAsia" w:hAnsi="宋体"/>
          <w:color w:val="000000"/>
          <w:sz w:val="24"/>
          <w:szCs w:val="24"/>
        </w:rPr>
        <w:t>编写过程进入了第二个阶段。</w:t>
      </w:r>
      <w:r>
        <w:rPr>
          <w:rFonts w:hint="eastAsia" w:hAnsi="宋体"/>
          <w:color w:val="000000"/>
          <w:sz w:val="24"/>
          <w:szCs w:val="24"/>
          <w:lang w:val="en-US" w:eastAsia="zh-CN"/>
        </w:rPr>
        <w:t>在</w:t>
      </w:r>
      <w:r>
        <w:rPr>
          <w:rFonts w:hint="eastAsia" w:hAnsi="宋体"/>
          <w:color w:val="000000"/>
          <w:sz w:val="24"/>
          <w:szCs w:val="24"/>
        </w:rPr>
        <w:t>初版</w:t>
      </w:r>
      <w:r>
        <w:rPr>
          <w:rFonts w:hint="eastAsia" w:hAnsi="宋体"/>
          <w:color w:val="000000"/>
          <w:sz w:val="24"/>
          <w:szCs w:val="24"/>
          <w:lang w:val="en-US" w:eastAsia="zh-CN"/>
        </w:rPr>
        <w:t>基础上</w:t>
      </w:r>
      <w:r>
        <w:rPr>
          <w:rFonts w:hint="eastAsia" w:hAnsi="宋体"/>
          <w:color w:val="000000"/>
          <w:sz w:val="24"/>
          <w:szCs w:val="24"/>
        </w:rPr>
        <w:t>，各参编单位按照专家提出评审意见，进行了</w:t>
      </w:r>
      <w:r>
        <w:rPr>
          <w:rFonts w:hint="eastAsia" w:hAnsi="宋体"/>
          <w:color w:val="000000"/>
          <w:sz w:val="24"/>
          <w:szCs w:val="24"/>
          <w:lang w:val="en-US" w:eastAsia="zh-CN"/>
        </w:rPr>
        <w:t>调整</w:t>
      </w:r>
      <w:r>
        <w:rPr>
          <w:rFonts w:hint="eastAsia" w:hAnsi="宋体"/>
          <w:color w:val="000000"/>
          <w:sz w:val="24"/>
          <w:szCs w:val="24"/>
        </w:rPr>
        <w:t>和修订。</w:t>
      </w:r>
    </w:p>
    <w:p w14:paraId="1B5F1698">
      <w:pPr>
        <w:pStyle w:val="9"/>
        <w:spacing w:line="300" w:lineRule="auto"/>
        <w:ind w:firstLine="480"/>
        <w:rPr>
          <w:rFonts w:hint="eastAsia" w:hAnsi="宋体"/>
          <w:color w:val="000000"/>
          <w:sz w:val="24"/>
          <w:szCs w:val="24"/>
          <w:highlight w:val="none"/>
        </w:rPr>
      </w:pPr>
      <w:r>
        <w:rPr>
          <w:rFonts w:hint="eastAsia" w:hAnsi="宋体"/>
          <w:color w:val="000000"/>
          <w:sz w:val="24"/>
          <w:szCs w:val="24"/>
        </w:rPr>
        <w:t>第三阶段，八月初，各参编单位按照陈老师的要求成立了统稿小组，包括北京城建智控、青岛数金公服、南京熊猫</w:t>
      </w:r>
      <w:r>
        <w:rPr>
          <w:rFonts w:hint="eastAsia" w:hAnsi="宋体"/>
          <w:color w:val="000000"/>
          <w:sz w:val="24"/>
          <w:szCs w:val="24"/>
          <w:lang w:eastAsia="zh-CN"/>
        </w:rPr>
        <w:t>、</w:t>
      </w:r>
      <w:r>
        <w:rPr>
          <w:rFonts w:hint="eastAsia" w:hAnsi="宋体"/>
          <w:color w:val="000000"/>
          <w:sz w:val="24"/>
          <w:szCs w:val="24"/>
        </w:rPr>
        <w:t>青岛博宁福田</w:t>
      </w:r>
      <w:r>
        <w:rPr>
          <w:rFonts w:hint="eastAsia" w:hAnsi="宋体"/>
          <w:color w:val="000000"/>
          <w:sz w:val="24"/>
          <w:szCs w:val="24"/>
          <w:lang w:val="en-US" w:eastAsia="zh-CN"/>
        </w:rPr>
        <w:t>和深圳雄帝</w:t>
      </w:r>
      <w:r>
        <w:rPr>
          <w:rFonts w:hint="eastAsia" w:hAnsi="宋体"/>
          <w:color w:val="000000"/>
          <w:sz w:val="24"/>
          <w:szCs w:val="24"/>
        </w:rPr>
        <w:t>。统稿小组对第二阶段修编的结果进行了两轮统稿，</w:t>
      </w:r>
      <w:r>
        <w:rPr>
          <w:rFonts w:hint="eastAsia" w:hAnsi="宋体"/>
          <w:color w:val="000000"/>
          <w:sz w:val="24"/>
          <w:szCs w:val="24"/>
          <w:lang w:val="en-US" w:eastAsia="zh-CN"/>
        </w:rPr>
        <w:t>并</w:t>
      </w:r>
      <w:r>
        <w:rPr>
          <w:rFonts w:hint="eastAsia" w:hAnsi="宋体"/>
          <w:color w:val="000000"/>
          <w:sz w:val="24"/>
          <w:szCs w:val="24"/>
        </w:rPr>
        <w:t>与十家参编单位进行了多次的沟通和交流。</w:t>
      </w:r>
      <w:r>
        <w:rPr>
          <w:rFonts w:hint="eastAsia" w:hAnsi="宋体"/>
          <w:color w:val="000000"/>
          <w:sz w:val="24"/>
          <w:szCs w:val="24"/>
          <w:lang w:val="en-US" w:eastAsia="zh-CN"/>
        </w:rPr>
        <w:t>在八月底，</w:t>
      </w:r>
      <w:r>
        <w:rPr>
          <w:rFonts w:hint="eastAsia" w:hAnsi="宋体"/>
          <w:color w:val="000000"/>
          <w:sz w:val="24"/>
          <w:szCs w:val="24"/>
        </w:rPr>
        <w:t>各参编单位完成了其相应章节的修订和修编</w:t>
      </w:r>
      <w:r>
        <w:rPr>
          <w:rFonts w:hint="eastAsia" w:hAnsi="宋体"/>
          <w:color w:val="000000"/>
          <w:sz w:val="24"/>
          <w:szCs w:val="24"/>
          <w:lang w:eastAsia="zh-CN"/>
        </w:rPr>
        <w:t>，</w:t>
      </w:r>
      <w:r>
        <w:rPr>
          <w:rFonts w:hint="eastAsia" w:hAnsi="宋体"/>
          <w:color w:val="000000"/>
          <w:sz w:val="24"/>
          <w:szCs w:val="24"/>
        </w:rPr>
        <w:t>在九月初向评审专家组提交了本团标的v1.6版本，作为</w:t>
      </w:r>
      <w:r>
        <w:rPr>
          <w:rFonts w:hint="eastAsia" w:hAnsi="宋体"/>
          <w:color w:val="000000"/>
          <w:sz w:val="24"/>
          <w:szCs w:val="24"/>
          <w:lang w:val="en-US" w:eastAsia="zh-CN"/>
        </w:rPr>
        <w:t>二</w:t>
      </w:r>
      <w:r>
        <w:rPr>
          <w:rFonts w:hint="eastAsia" w:hAnsi="宋体"/>
          <w:color w:val="000000"/>
          <w:sz w:val="24"/>
          <w:szCs w:val="24"/>
        </w:rPr>
        <w:t>次专家评审的基础文件。</w:t>
      </w:r>
    </w:p>
    <w:p w14:paraId="6A0341EF">
      <w:pPr>
        <w:pStyle w:val="9"/>
        <w:spacing w:line="300" w:lineRule="auto"/>
        <w:ind w:firstLine="480"/>
        <w:rPr>
          <w:rFonts w:hint="eastAsia" w:hAnsi="宋体"/>
          <w:color w:val="000000"/>
          <w:sz w:val="24"/>
          <w:szCs w:val="24"/>
          <w:highlight w:val="none"/>
          <w:lang w:val="en-US" w:eastAsia="zh-CN"/>
        </w:rPr>
      </w:pPr>
      <w:r>
        <w:rPr>
          <w:rFonts w:hint="eastAsia" w:hAnsi="宋体"/>
          <w:color w:val="000000"/>
          <w:sz w:val="24"/>
          <w:szCs w:val="24"/>
          <w:highlight w:val="none"/>
          <w:lang w:val="en-US" w:eastAsia="zh-CN"/>
        </w:rPr>
        <w:t>第四阶段，2024年9月6日AFC专委会和主编单位北京城建智控牵头在南京召开了《</w:t>
      </w:r>
      <w:r>
        <w:rPr>
          <w:rFonts w:hint="eastAsia" w:hAnsi="宋体"/>
          <w:color w:val="000000"/>
          <w:sz w:val="24"/>
          <w:szCs w:val="24"/>
        </w:rPr>
        <w:t>数字人民币在轨道交通自动售检票系统中的应用</w:t>
      </w:r>
      <w:r>
        <w:rPr>
          <w:rFonts w:hint="eastAsia" w:hAnsi="宋体"/>
          <w:color w:val="000000"/>
          <w:sz w:val="24"/>
          <w:szCs w:val="24"/>
          <w:highlight w:val="none"/>
          <w:lang w:val="en-US" w:eastAsia="zh-CN"/>
        </w:rPr>
        <w:t>》团体标准专家评审会，会上专家针对V1.6版本进行了认真地审阅，专家评审意见主要包括两个关键要求：</w:t>
      </w:r>
    </w:p>
    <w:p w14:paraId="4F4170AC">
      <w:pPr>
        <w:pStyle w:val="9"/>
        <w:spacing w:line="300" w:lineRule="auto"/>
        <w:ind w:firstLine="480"/>
        <w:rPr>
          <w:rFonts w:hint="eastAsia" w:hAnsi="宋体" w:eastAsia="宋体"/>
          <w:color w:val="000000"/>
          <w:sz w:val="24"/>
          <w:szCs w:val="24"/>
          <w:highlight w:val="none"/>
          <w:lang w:val="en-US" w:eastAsia="zh-CN"/>
        </w:rPr>
      </w:pPr>
      <w:r>
        <w:rPr>
          <w:rFonts w:hint="eastAsia" w:ascii="宋体" w:hAnsi="宋体" w:eastAsia="宋体" w:cs="Times New Roman"/>
          <w:color w:val="000000"/>
          <w:sz w:val="24"/>
          <w:szCs w:val="24"/>
          <w:highlight w:val="none"/>
          <w:lang w:val="en-US" w:eastAsia="zh-CN"/>
        </w:rPr>
        <w:t>①</w:t>
      </w:r>
      <w:r>
        <w:rPr>
          <w:rFonts w:hint="eastAsia" w:hAnsi="宋体" w:eastAsia="宋体"/>
          <w:color w:val="000000"/>
          <w:sz w:val="24"/>
          <w:szCs w:val="24"/>
          <w:highlight w:val="none"/>
          <w:lang w:val="en-US" w:eastAsia="zh-CN"/>
        </w:rPr>
        <w:t>原“数币对P</w:t>
      </w:r>
      <w:r>
        <w:rPr>
          <w:rFonts w:hint="eastAsia" w:hAnsi="宋体"/>
          <w:color w:val="000000"/>
          <w:sz w:val="24"/>
          <w:szCs w:val="24"/>
          <w:highlight w:val="none"/>
          <w:lang w:val="en-US" w:eastAsia="zh-CN"/>
        </w:rPr>
        <w:t>aa</w:t>
      </w:r>
      <w:r>
        <w:rPr>
          <w:rFonts w:hint="eastAsia" w:hAnsi="宋体" w:eastAsia="宋体"/>
          <w:color w:val="000000"/>
          <w:sz w:val="24"/>
          <w:szCs w:val="24"/>
          <w:highlight w:val="none"/>
          <w:lang w:val="en-US" w:eastAsia="zh-CN"/>
        </w:rPr>
        <w:t>S的要求”与“数币对应用安全的要求”合并；原“数币对LC的要求”与“数币对SC的要求”合并。</w:t>
      </w:r>
    </w:p>
    <w:p w14:paraId="6C7F76AC">
      <w:pPr>
        <w:pStyle w:val="9"/>
        <w:spacing w:line="300" w:lineRule="auto"/>
        <w:ind w:firstLine="480"/>
        <w:rPr>
          <w:rFonts w:hint="eastAsia" w:hAnsi="宋体"/>
          <w:color w:val="000000"/>
          <w:sz w:val="24"/>
          <w:szCs w:val="24"/>
          <w:highlight w:val="none"/>
          <w:lang w:val="en-US" w:eastAsia="zh-CN"/>
        </w:rPr>
      </w:pPr>
      <w:r>
        <w:rPr>
          <w:rFonts w:hint="eastAsia" w:ascii="宋体" w:hAnsi="宋体" w:eastAsia="宋体" w:cs="Times New Roman"/>
          <w:color w:val="000000"/>
          <w:sz w:val="24"/>
          <w:szCs w:val="24"/>
          <w:highlight w:val="none"/>
          <w:lang w:val="en-US" w:eastAsia="zh-CN"/>
        </w:rPr>
        <w:t>②</w:t>
      </w:r>
      <w:r>
        <w:rPr>
          <w:rFonts w:hint="eastAsia" w:hAnsi="宋体" w:eastAsia="宋体"/>
          <w:color w:val="000000"/>
          <w:sz w:val="24"/>
          <w:szCs w:val="24"/>
          <w:highlight w:val="none"/>
          <w:lang w:val="en-US" w:eastAsia="zh-CN"/>
        </w:rPr>
        <w:t>原“ITP/专用设备/读写器/应用软件”4个章节，要分别</w:t>
      </w:r>
      <w:r>
        <w:rPr>
          <w:rFonts w:hint="eastAsia" w:hAnsi="宋体"/>
          <w:color w:val="000000"/>
          <w:sz w:val="24"/>
          <w:szCs w:val="24"/>
          <w:highlight w:val="none"/>
          <w:lang w:val="en-US" w:eastAsia="zh-CN"/>
        </w:rPr>
        <w:t>针对</w:t>
      </w:r>
      <w:r>
        <w:rPr>
          <w:rFonts w:hint="eastAsia" w:hAnsi="宋体" w:eastAsia="宋体"/>
          <w:color w:val="000000"/>
          <w:sz w:val="24"/>
          <w:szCs w:val="24"/>
          <w:highlight w:val="none"/>
          <w:lang w:val="en-US" w:eastAsia="zh-CN"/>
        </w:rPr>
        <w:t>“支付”和“过闸”两个场景进行调整</w:t>
      </w:r>
      <w:r>
        <w:rPr>
          <w:rFonts w:hint="eastAsia" w:hAnsi="宋体"/>
          <w:color w:val="000000"/>
          <w:sz w:val="24"/>
          <w:szCs w:val="24"/>
          <w:highlight w:val="none"/>
          <w:lang w:val="en-US" w:eastAsia="zh-CN"/>
        </w:rPr>
        <w:t>。</w:t>
      </w:r>
    </w:p>
    <w:p w14:paraId="13DE27D6">
      <w:pPr>
        <w:pStyle w:val="9"/>
        <w:spacing w:line="300" w:lineRule="auto"/>
        <w:ind w:firstLine="480"/>
        <w:rPr>
          <w:rFonts w:hint="default" w:hAnsi="宋体" w:eastAsia="宋体"/>
          <w:color w:val="000000"/>
          <w:sz w:val="24"/>
          <w:szCs w:val="24"/>
          <w:highlight w:val="none"/>
          <w:lang w:val="en-US" w:eastAsia="zh-CN"/>
        </w:rPr>
      </w:pPr>
      <w:r>
        <w:rPr>
          <w:rFonts w:hint="eastAsia" w:hAnsi="宋体"/>
          <w:color w:val="000000"/>
          <w:sz w:val="24"/>
          <w:szCs w:val="24"/>
          <w:highlight w:val="none"/>
          <w:lang w:val="en-US" w:eastAsia="zh-CN"/>
        </w:rPr>
        <w:t>九月后主编单位北京城建智控按照专家意见，对标准章节目录进行调整，新的草案由范围，规范性引用文件，术语、定义和缩略语，数字人民币在AFC系统中的应用概述，数字人民币业务在AFC线网中心的要求，数字人民币业务在AFC线路中心及车站中心系统的要求，数字人民币业务在AFC互联网业务平台的要求，数字人民币业务应用于AFC专用设备的要求，数字人民币业务在AFC通用读写器的要求，数字人民币业务AFC应用软件要求，数字人民币业务系统对运行环境及性能的要求等11个章节组成，于10月30日完成统稿，经修改完善后形成了较为完整、全面、一致的外部征求意见稿初稿。</w:t>
      </w:r>
    </w:p>
    <w:p w14:paraId="3A289BAC">
      <w:pPr>
        <w:pStyle w:val="9"/>
        <w:spacing w:line="300" w:lineRule="auto"/>
        <w:ind w:firstLine="480"/>
        <w:rPr>
          <w:rFonts w:hAnsi="宋体"/>
          <w:color w:val="000000"/>
          <w:sz w:val="24"/>
          <w:szCs w:val="24"/>
        </w:rPr>
      </w:pPr>
    </w:p>
    <w:p w14:paraId="7B34C50D">
      <w:pPr>
        <w:numPr>
          <w:ilvl w:val="0"/>
          <w:numId w:val="2"/>
        </w:numPr>
        <w:spacing w:before="156" w:beforeLines="50" w:after="156" w:afterLines="50" w:line="300" w:lineRule="auto"/>
        <w:outlineLvl w:val="0"/>
        <w:rPr>
          <w:rFonts w:ascii="黑体" w:hAnsi="黑体" w:eastAsia="黑体"/>
          <w:b/>
          <w:bCs/>
          <w:color w:val="000000"/>
          <w:sz w:val="24"/>
        </w:rPr>
      </w:pPr>
      <w:r>
        <w:rPr>
          <w:rFonts w:hint="eastAsia" w:ascii="黑体" w:hAnsi="黑体" w:eastAsia="黑体"/>
          <w:b/>
          <w:bCs/>
          <w:color w:val="000000"/>
          <w:sz w:val="24"/>
        </w:rPr>
        <w:t>标准编制原则和确定主要内容的论据及解决的主要问题</w:t>
      </w:r>
    </w:p>
    <w:p w14:paraId="2D8657B1">
      <w:pPr>
        <w:pStyle w:val="9"/>
        <w:numPr>
          <w:ilvl w:val="0"/>
          <w:numId w:val="6"/>
        </w:numPr>
        <w:spacing w:before="156" w:beforeLines="50" w:after="156" w:afterLines="50" w:line="300" w:lineRule="auto"/>
        <w:ind w:firstLineChars="0"/>
        <w:outlineLvl w:val="1"/>
        <w:rPr>
          <w:rFonts w:ascii="黑体" w:hAnsi="黑体" w:eastAsia="黑体"/>
          <w:b/>
          <w:bCs/>
          <w:color w:val="000000"/>
          <w:sz w:val="24"/>
          <w:szCs w:val="24"/>
        </w:rPr>
      </w:pPr>
      <w:r>
        <w:rPr>
          <w:rFonts w:hint="eastAsia" w:ascii="黑体" w:hAnsi="黑体" w:eastAsia="黑体"/>
          <w:b/>
          <w:bCs/>
          <w:color w:val="000000"/>
          <w:sz w:val="24"/>
          <w:szCs w:val="24"/>
        </w:rPr>
        <w:t>标准编制原则</w:t>
      </w:r>
    </w:p>
    <w:p w14:paraId="2D0EF718">
      <w:pPr>
        <w:pStyle w:val="9"/>
        <w:spacing w:line="300" w:lineRule="auto"/>
        <w:ind w:firstLine="480"/>
        <w:rPr>
          <w:rFonts w:hAnsi="宋体"/>
          <w:color w:val="000000"/>
          <w:sz w:val="24"/>
          <w:szCs w:val="24"/>
        </w:rPr>
      </w:pPr>
      <w:r>
        <w:rPr>
          <w:rFonts w:hint="eastAsia" w:hAnsi="宋体"/>
          <w:color w:val="000000"/>
          <w:sz w:val="24"/>
          <w:szCs w:val="24"/>
        </w:rPr>
        <w:t>本标准在编写过程中严格按照GB/T1.1-2020《标准化工作导则第1部分：标准化文件的结构和起草规则》等相关编写要求进行编制，体现规范性。</w:t>
      </w:r>
    </w:p>
    <w:p w14:paraId="2C67D904">
      <w:pPr>
        <w:pStyle w:val="9"/>
        <w:spacing w:line="300" w:lineRule="auto"/>
        <w:ind w:firstLine="480"/>
        <w:rPr>
          <w:rFonts w:hAnsi="宋体"/>
          <w:color w:val="000000"/>
          <w:sz w:val="24"/>
          <w:szCs w:val="24"/>
        </w:rPr>
      </w:pPr>
      <w:r>
        <w:rPr>
          <w:rFonts w:hint="eastAsia" w:hAnsi="宋体"/>
          <w:color w:val="000000"/>
          <w:sz w:val="24"/>
          <w:szCs w:val="24"/>
        </w:rPr>
        <w:t>本标准在编写过程中</w:t>
      </w:r>
      <w:r>
        <w:rPr>
          <w:rFonts w:hint="eastAsia" w:hAnsi="宋体"/>
          <w:color w:val="000000"/>
          <w:sz w:val="24"/>
          <w:szCs w:val="24"/>
          <w:lang w:val="en-US" w:eastAsia="zh-CN"/>
        </w:rPr>
        <w:t>充分</w:t>
      </w:r>
      <w:r>
        <w:rPr>
          <w:rFonts w:hint="eastAsia" w:hAnsi="宋体"/>
          <w:color w:val="000000"/>
          <w:sz w:val="24"/>
          <w:szCs w:val="24"/>
        </w:rPr>
        <w:t>结合</w:t>
      </w:r>
      <w:r>
        <w:rPr>
          <w:rFonts w:hint="eastAsia" w:hAnsi="宋体"/>
          <w:color w:val="000000"/>
          <w:sz w:val="24"/>
          <w:szCs w:val="24"/>
          <w:lang w:val="en-US" w:eastAsia="zh-CN"/>
        </w:rPr>
        <w:t>数字人民币在</w:t>
      </w:r>
      <w:r>
        <w:rPr>
          <w:rFonts w:hint="eastAsia" w:hAnsi="宋体"/>
          <w:color w:val="000000"/>
          <w:sz w:val="24"/>
          <w:szCs w:val="24"/>
        </w:rPr>
        <w:t>我国</w:t>
      </w:r>
      <w:r>
        <w:rPr>
          <w:rFonts w:hint="eastAsia" w:hAnsi="宋体"/>
          <w:color w:val="000000"/>
          <w:sz w:val="24"/>
          <w:szCs w:val="24"/>
          <w:lang w:val="en-US" w:eastAsia="zh-CN"/>
        </w:rPr>
        <w:t>轨道交通AFC中的项目实践</w:t>
      </w:r>
      <w:r>
        <w:rPr>
          <w:rFonts w:hint="eastAsia" w:hAnsi="宋体"/>
          <w:color w:val="000000"/>
          <w:sz w:val="24"/>
          <w:szCs w:val="24"/>
        </w:rPr>
        <w:t>，</w:t>
      </w:r>
      <w:r>
        <w:rPr>
          <w:rFonts w:hint="eastAsia" w:hAnsi="宋体"/>
          <w:color w:val="000000"/>
          <w:sz w:val="24"/>
          <w:szCs w:val="24"/>
          <w:lang w:val="en-US" w:eastAsia="zh-CN"/>
        </w:rPr>
        <w:t>形成</w:t>
      </w:r>
      <w:r>
        <w:rPr>
          <w:rFonts w:hint="eastAsia" w:hAnsi="宋体"/>
          <w:color w:val="000000"/>
          <w:sz w:val="24"/>
          <w:szCs w:val="24"/>
        </w:rPr>
        <w:t>一个指导性的团标</w:t>
      </w:r>
      <w:r>
        <w:rPr>
          <w:rFonts w:hint="eastAsia" w:hAnsi="宋体"/>
          <w:color w:val="000000"/>
          <w:sz w:val="24"/>
          <w:szCs w:val="24"/>
          <w:lang w:eastAsia="zh-CN"/>
        </w:rPr>
        <w:t>：</w:t>
      </w:r>
      <w:r>
        <w:rPr>
          <w:rFonts w:hint="eastAsia" w:hAnsi="宋体"/>
          <w:color w:val="000000"/>
          <w:sz w:val="24"/>
          <w:szCs w:val="24"/>
        </w:rPr>
        <w:t>既要对数字人民币在A</w:t>
      </w:r>
      <w:r>
        <w:rPr>
          <w:rFonts w:hint="eastAsia" w:hAnsi="宋体"/>
          <w:color w:val="000000"/>
          <w:sz w:val="24"/>
          <w:szCs w:val="24"/>
          <w:lang w:val="en-US" w:eastAsia="zh-CN"/>
        </w:rPr>
        <w:t>FC</w:t>
      </w:r>
      <w:r>
        <w:rPr>
          <w:rFonts w:hint="eastAsia" w:hAnsi="宋体"/>
          <w:color w:val="000000"/>
          <w:sz w:val="24"/>
          <w:szCs w:val="24"/>
        </w:rPr>
        <w:t>中的应用提出要求</w:t>
      </w:r>
      <w:r>
        <w:rPr>
          <w:rFonts w:hint="eastAsia" w:hAnsi="宋体"/>
          <w:color w:val="000000"/>
          <w:sz w:val="24"/>
          <w:szCs w:val="24"/>
          <w:lang w:eastAsia="zh-CN"/>
        </w:rPr>
        <w:t>；</w:t>
      </w:r>
      <w:r>
        <w:rPr>
          <w:rFonts w:hint="eastAsia" w:hAnsi="宋体"/>
          <w:color w:val="000000"/>
          <w:sz w:val="24"/>
          <w:szCs w:val="24"/>
        </w:rPr>
        <w:t>也</w:t>
      </w:r>
      <w:r>
        <w:rPr>
          <w:rFonts w:hint="eastAsia" w:hAnsi="宋体"/>
          <w:color w:val="000000"/>
          <w:sz w:val="24"/>
          <w:szCs w:val="24"/>
          <w:lang w:val="en-US" w:eastAsia="zh-CN"/>
        </w:rPr>
        <w:t>包括</w:t>
      </w:r>
      <w:r>
        <w:rPr>
          <w:rFonts w:hint="eastAsia" w:hAnsi="宋体"/>
          <w:color w:val="000000"/>
          <w:sz w:val="24"/>
          <w:szCs w:val="24"/>
        </w:rPr>
        <w:t>能够指导团标在实际项目中应用的具体细节。。</w:t>
      </w:r>
    </w:p>
    <w:p w14:paraId="5A76EE78">
      <w:pPr>
        <w:pStyle w:val="9"/>
        <w:spacing w:line="300" w:lineRule="auto"/>
        <w:ind w:firstLine="480"/>
        <w:rPr>
          <w:rFonts w:hAnsi="宋体"/>
          <w:color w:val="000000"/>
          <w:sz w:val="24"/>
          <w:szCs w:val="24"/>
        </w:rPr>
      </w:pPr>
      <w:r>
        <w:rPr>
          <w:rFonts w:hint="eastAsia" w:hAnsi="宋体"/>
          <w:color w:val="000000"/>
          <w:sz w:val="24"/>
          <w:szCs w:val="24"/>
        </w:rPr>
        <w:t>本标准的制定符合国家法律法规等相关规定，并符合AFC系统实际情况。</w:t>
      </w:r>
    </w:p>
    <w:p w14:paraId="464AD6B1">
      <w:pPr>
        <w:pStyle w:val="9"/>
        <w:numPr>
          <w:ilvl w:val="0"/>
          <w:numId w:val="6"/>
        </w:numPr>
        <w:spacing w:before="156" w:beforeLines="50" w:after="156" w:afterLines="50" w:line="300" w:lineRule="auto"/>
        <w:ind w:firstLineChars="0"/>
        <w:outlineLvl w:val="1"/>
        <w:rPr>
          <w:rFonts w:ascii="黑体" w:hAnsi="黑体" w:eastAsia="黑体"/>
          <w:b/>
          <w:bCs/>
          <w:color w:val="000000"/>
          <w:sz w:val="24"/>
          <w:szCs w:val="24"/>
        </w:rPr>
      </w:pPr>
      <w:r>
        <w:rPr>
          <w:rFonts w:hint="eastAsia" w:ascii="黑体" w:hAnsi="黑体" w:eastAsia="黑体"/>
          <w:b/>
          <w:bCs/>
          <w:color w:val="000000"/>
          <w:sz w:val="24"/>
          <w:szCs w:val="24"/>
        </w:rPr>
        <w:t>确定主要内容的依据</w:t>
      </w:r>
    </w:p>
    <w:p w14:paraId="4A6CB420">
      <w:pPr>
        <w:pStyle w:val="9"/>
        <w:spacing w:line="300" w:lineRule="auto"/>
        <w:ind w:firstLine="480"/>
        <w:rPr>
          <w:rFonts w:hint="eastAsia" w:hAnsi="宋体"/>
          <w:color w:val="000000"/>
          <w:sz w:val="24"/>
          <w:szCs w:val="24"/>
        </w:rPr>
      </w:pPr>
      <w:r>
        <w:rPr>
          <w:rFonts w:hint="eastAsia" w:hAnsi="宋体"/>
          <w:color w:val="000000"/>
          <w:sz w:val="24"/>
          <w:szCs w:val="24"/>
        </w:rPr>
        <w:t>本标准是对《城市轨道交通自动售检票系统》（T/CIITA201-2021）的补充</w:t>
      </w:r>
      <w:r>
        <w:rPr>
          <w:rFonts w:hint="eastAsia" w:hAnsi="宋体"/>
          <w:color w:val="000000"/>
          <w:sz w:val="24"/>
          <w:szCs w:val="24"/>
          <w:lang w:eastAsia="zh-CN"/>
        </w:rPr>
        <w:t>，</w:t>
      </w:r>
      <w:r>
        <w:rPr>
          <w:rFonts w:hint="eastAsia" w:hAnsi="宋体"/>
          <w:color w:val="000000"/>
          <w:sz w:val="24"/>
          <w:szCs w:val="24"/>
          <w:lang w:val="en-US" w:eastAsia="zh-CN"/>
        </w:rPr>
        <w:t>是中国人民银行数研所《数字人民币硬钱包轨交延迟交易技术方案》在轨交AFC应用中的支付方式、安全性、效率性等方面的实践性约定</w:t>
      </w:r>
      <w:r>
        <w:rPr>
          <w:rFonts w:hint="eastAsia" w:hAnsi="宋体"/>
          <w:color w:val="000000"/>
          <w:sz w:val="24"/>
          <w:szCs w:val="24"/>
        </w:rPr>
        <w:t>。</w:t>
      </w:r>
    </w:p>
    <w:p w14:paraId="2BFCD961">
      <w:pPr>
        <w:pStyle w:val="9"/>
        <w:spacing w:line="300" w:lineRule="auto"/>
        <w:ind w:firstLine="480"/>
        <w:rPr>
          <w:rFonts w:hAnsi="宋体"/>
          <w:color w:val="000000"/>
          <w:sz w:val="24"/>
          <w:szCs w:val="24"/>
        </w:rPr>
      </w:pPr>
      <w:r>
        <w:rPr>
          <w:rFonts w:hint="eastAsia" w:hAnsi="宋体"/>
          <w:color w:val="000000"/>
          <w:sz w:val="24"/>
          <w:szCs w:val="24"/>
        </w:rPr>
        <w:t>支付方式的定义</w:t>
      </w:r>
      <w:r>
        <w:rPr>
          <w:rFonts w:hint="eastAsia" w:hAnsi="宋体"/>
          <w:color w:val="000000"/>
          <w:sz w:val="24"/>
          <w:szCs w:val="24"/>
          <w:lang w:val="en-US" w:eastAsia="zh-CN"/>
        </w:rPr>
        <w:t>规定</w:t>
      </w:r>
      <w:r>
        <w:rPr>
          <w:rFonts w:hint="eastAsia" w:hAnsi="宋体"/>
          <w:color w:val="000000"/>
          <w:sz w:val="24"/>
          <w:szCs w:val="24"/>
        </w:rPr>
        <w:t>数字人民币在地铁闸机、自动售票机等设备上的识别与交易流程，</w:t>
      </w:r>
      <w:r>
        <w:rPr>
          <w:rFonts w:hint="eastAsia" w:hAnsi="宋体"/>
          <w:color w:val="000000"/>
          <w:sz w:val="24"/>
          <w:szCs w:val="24"/>
          <w:lang w:val="en-US" w:eastAsia="zh-CN"/>
        </w:rPr>
        <w:t>是</w:t>
      </w:r>
      <w:r>
        <w:rPr>
          <w:rFonts w:hint="eastAsia" w:hAnsi="宋体"/>
          <w:color w:val="000000"/>
          <w:sz w:val="24"/>
          <w:szCs w:val="24"/>
        </w:rPr>
        <w:t>解决不同设备或系统间的兼容性问题</w:t>
      </w:r>
      <w:r>
        <w:rPr>
          <w:rFonts w:hint="eastAsia" w:hAnsi="宋体"/>
          <w:color w:val="000000"/>
          <w:sz w:val="24"/>
          <w:szCs w:val="24"/>
          <w:lang w:eastAsia="zh-CN"/>
        </w:rPr>
        <w:t>、</w:t>
      </w:r>
      <w:r>
        <w:rPr>
          <w:rFonts w:hint="eastAsia" w:hAnsi="宋体"/>
          <w:color w:val="000000"/>
          <w:sz w:val="24"/>
          <w:szCs w:val="24"/>
        </w:rPr>
        <w:t>改善乘客支付体验</w:t>
      </w:r>
      <w:r>
        <w:rPr>
          <w:rFonts w:hint="eastAsia" w:hAnsi="宋体"/>
          <w:color w:val="000000"/>
          <w:sz w:val="24"/>
          <w:szCs w:val="24"/>
          <w:lang w:val="en-US" w:eastAsia="zh-CN"/>
        </w:rPr>
        <w:t>的依据</w:t>
      </w:r>
      <w:r>
        <w:rPr>
          <w:rFonts w:hint="eastAsia" w:hAnsi="宋体"/>
          <w:color w:val="000000"/>
          <w:sz w:val="24"/>
          <w:szCs w:val="24"/>
        </w:rPr>
        <w:t>；安全性的定义保障数字人民币交易过程中数据安全、防止欺诈行为，</w:t>
      </w:r>
      <w:r>
        <w:rPr>
          <w:rFonts w:hint="eastAsia" w:hAnsi="宋体"/>
          <w:color w:val="000000"/>
          <w:sz w:val="24"/>
          <w:szCs w:val="24"/>
          <w:lang w:val="en-US" w:eastAsia="zh-CN"/>
        </w:rPr>
        <w:t>是</w:t>
      </w:r>
      <w:r>
        <w:rPr>
          <w:rFonts w:hint="eastAsia" w:hAnsi="宋体"/>
          <w:color w:val="000000"/>
          <w:sz w:val="24"/>
          <w:szCs w:val="24"/>
        </w:rPr>
        <w:t>减少安全漏洞</w:t>
      </w:r>
      <w:r>
        <w:rPr>
          <w:rFonts w:hint="eastAsia" w:hAnsi="宋体"/>
          <w:color w:val="000000"/>
          <w:sz w:val="24"/>
          <w:szCs w:val="24"/>
          <w:lang w:eastAsia="zh-CN"/>
        </w:rPr>
        <w:t>、</w:t>
      </w:r>
      <w:r>
        <w:rPr>
          <w:rFonts w:hint="eastAsia" w:hAnsi="宋体"/>
          <w:color w:val="000000"/>
          <w:sz w:val="24"/>
          <w:szCs w:val="24"/>
        </w:rPr>
        <w:t>降低乘客资金风险</w:t>
      </w:r>
      <w:r>
        <w:rPr>
          <w:rFonts w:hint="eastAsia" w:hAnsi="宋体"/>
          <w:color w:val="000000"/>
          <w:sz w:val="24"/>
          <w:szCs w:val="24"/>
          <w:lang w:val="en-US" w:eastAsia="zh-CN"/>
        </w:rPr>
        <w:t>的依据</w:t>
      </w:r>
      <w:r>
        <w:rPr>
          <w:rFonts w:hint="eastAsia" w:hAnsi="宋体"/>
          <w:color w:val="000000"/>
          <w:sz w:val="24"/>
          <w:szCs w:val="24"/>
        </w:rPr>
        <w:t>；效率性的定义涉及数字人民币支付的速度和稳定性，</w:t>
      </w:r>
      <w:r>
        <w:rPr>
          <w:rFonts w:hint="eastAsia" w:hAnsi="宋体"/>
          <w:color w:val="000000"/>
          <w:sz w:val="24"/>
          <w:szCs w:val="24"/>
          <w:lang w:val="en-US" w:eastAsia="zh-CN"/>
        </w:rPr>
        <w:t>是</w:t>
      </w:r>
      <w:r>
        <w:rPr>
          <w:rFonts w:hint="eastAsia" w:hAnsi="宋体"/>
          <w:color w:val="000000"/>
          <w:sz w:val="24"/>
          <w:szCs w:val="24"/>
        </w:rPr>
        <w:t>解决支付流程繁琐、速度慢、甚至支付失败</w:t>
      </w:r>
      <w:r>
        <w:rPr>
          <w:rFonts w:hint="eastAsia" w:hAnsi="宋体"/>
          <w:color w:val="000000"/>
          <w:sz w:val="24"/>
          <w:szCs w:val="24"/>
          <w:lang w:val="en-US" w:eastAsia="zh-CN"/>
        </w:rPr>
        <w:t>问题</w:t>
      </w:r>
      <w:r>
        <w:rPr>
          <w:rFonts w:hint="eastAsia" w:hAnsi="宋体"/>
          <w:color w:val="000000"/>
          <w:sz w:val="24"/>
          <w:szCs w:val="24"/>
          <w:lang w:eastAsia="zh-CN"/>
        </w:rPr>
        <w:t>、</w:t>
      </w:r>
      <w:r>
        <w:rPr>
          <w:rFonts w:hint="eastAsia" w:hAnsi="宋体"/>
          <w:color w:val="000000"/>
          <w:sz w:val="24"/>
          <w:szCs w:val="24"/>
        </w:rPr>
        <w:t>提高地铁通行效率</w:t>
      </w:r>
      <w:r>
        <w:rPr>
          <w:rFonts w:hint="eastAsia" w:hAnsi="宋体"/>
          <w:color w:val="000000"/>
          <w:sz w:val="24"/>
          <w:szCs w:val="24"/>
          <w:lang w:val="en-US" w:eastAsia="zh-CN"/>
        </w:rPr>
        <w:t>的依据</w:t>
      </w:r>
      <w:r>
        <w:rPr>
          <w:rFonts w:hint="eastAsia" w:hAnsi="宋体"/>
          <w:color w:val="000000"/>
          <w:sz w:val="24"/>
          <w:szCs w:val="24"/>
        </w:rPr>
        <w:t>。</w:t>
      </w:r>
      <w:r>
        <w:rPr>
          <w:rFonts w:hint="eastAsia" w:hAnsi="宋体"/>
          <w:color w:val="000000"/>
          <w:sz w:val="24"/>
          <w:szCs w:val="24"/>
          <w:lang w:val="en-US" w:eastAsia="zh-CN"/>
        </w:rPr>
        <w:t>此标准</w:t>
      </w:r>
      <w:r>
        <w:rPr>
          <w:rFonts w:hint="eastAsia" w:hAnsi="宋体"/>
          <w:color w:val="000000"/>
          <w:sz w:val="24"/>
          <w:szCs w:val="24"/>
        </w:rPr>
        <w:t>基于行业现状提出了前瞻性的技术</w:t>
      </w:r>
      <w:r>
        <w:rPr>
          <w:rFonts w:hint="eastAsia" w:hAnsi="宋体"/>
          <w:color w:val="000000"/>
          <w:sz w:val="24"/>
          <w:szCs w:val="24"/>
          <w:lang w:val="en-US" w:eastAsia="zh-CN"/>
        </w:rPr>
        <w:t>要</w:t>
      </w:r>
      <w:r>
        <w:rPr>
          <w:rFonts w:hint="eastAsia" w:hAnsi="宋体"/>
          <w:color w:val="000000"/>
          <w:sz w:val="24"/>
          <w:szCs w:val="24"/>
        </w:rPr>
        <w:t>求，为城市轨道交通自动售检票系统的未来发展奠定了坚实基础。</w:t>
      </w:r>
    </w:p>
    <w:p w14:paraId="0B425259">
      <w:pPr>
        <w:pStyle w:val="9"/>
        <w:numPr>
          <w:ilvl w:val="0"/>
          <w:numId w:val="6"/>
        </w:numPr>
        <w:spacing w:before="156" w:beforeLines="50" w:after="156" w:afterLines="50" w:line="300" w:lineRule="auto"/>
        <w:ind w:firstLineChars="0"/>
        <w:outlineLvl w:val="1"/>
        <w:rPr>
          <w:rFonts w:ascii="黑体" w:hAnsi="黑体" w:eastAsia="黑体"/>
          <w:b/>
          <w:bCs/>
          <w:color w:val="000000"/>
          <w:sz w:val="24"/>
          <w:szCs w:val="24"/>
        </w:rPr>
      </w:pPr>
      <w:r>
        <w:rPr>
          <w:rFonts w:hint="eastAsia" w:ascii="黑体" w:hAnsi="黑体" w:eastAsia="黑体"/>
          <w:b/>
          <w:bCs/>
          <w:color w:val="000000"/>
          <w:sz w:val="24"/>
          <w:szCs w:val="24"/>
        </w:rPr>
        <w:t>解决的主要问题</w:t>
      </w:r>
    </w:p>
    <w:p w14:paraId="63F70B9C">
      <w:pPr>
        <w:pStyle w:val="9"/>
        <w:spacing w:line="300" w:lineRule="auto"/>
        <w:ind w:firstLine="480"/>
        <w:rPr>
          <w:rFonts w:hAnsi="宋体"/>
          <w:color w:val="000000"/>
          <w:sz w:val="24"/>
          <w:szCs w:val="24"/>
        </w:rPr>
      </w:pPr>
      <w:r>
        <w:rPr>
          <w:rFonts w:hint="eastAsia" w:hAnsi="宋体"/>
          <w:color w:val="000000"/>
          <w:sz w:val="24"/>
          <w:szCs w:val="24"/>
        </w:rPr>
        <w:t>概括起来，此团标主要是定义了数字人民币在轨道交通A</w:t>
      </w:r>
      <w:r>
        <w:rPr>
          <w:rFonts w:hint="eastAsia" w:hAnsi="宋体"/>
          <w:color w:val="000000"/>
          <w:sz w:val="24"/>
          <w:szCs w:val="24"/>
          <w:lang w:val="en-US" w:eastAsia="zh-CN"/>
        </w:rPr>
        <w:t>FC</w:t>
      </w:r>
      <w:r>
        <w:rPr>
          <w:rFonts w:hint="eastAsia" w:hAnsi="宋体"/>
          <w:color w:val="000000"/>
          <w:sz w:val="24"/>
          <w:szCs w:val="24"/>
        </w:rPr>
        <w:t>中应用的三个场景：软钱包支付、硬钱包在线验证过闸和硬钱包离线验证过闸</w:t>
      </w:r>
      <w:r>
        <w:rPr>
          <w:rFonts w:hint="eastAsia" w:hAnsi="宋体"/>
          <w:color w:val="000000"/>
          <w:sz w:val="24"/>
          <w:szCs w:val="24"/>
          <w:lang w:eastAsia="zh-CN"/>
        </w:rPr>
        <w:t>，</w:t>
      </w:r>
      <w:r>
        <w:rPr>
          <w:rFonts w:hint="eastAsia" w:hAnsi="宋体"/>
          <w:color w:val="000000"/>
          <w:sz w:val="24"/>
          <w:szCs w:val="24"/>
          <w:lang w:val="en-US" w:eastAsia="zh-CN"/>
        </w:rPr>
        <w:t>描述了</w:t>
      </w:r>
      <w:r>
        <w:rPr>
          <w:rFonts w:hint="eastAsia" w:hAnsi="宋体"/>
          <w:color w:val="000000"/>
          <w:sz w:val="24"/>
          <w:szCs w:val="24"/>
        </w:rPr>
        <w:t>这三个应用场景</w:t>
      </w:r>
      <w:r>
        <w:rPr>
          <w:rFonts w:hint="eastAsia" w:hAnsi="宋体"/>
          <w:color w:val="000000"/>
          <w:sz w:val="24"/>
          <w:szCs w:val="24"/>
          <w:lang w:val="en-US" w:eastAsia="zh-CN"/>
        </w:rPr>
        <w:t>下</w:t>
      </w:r>
      <w:r>
        <w:rPr>
          <w:rFonts w:hint="eastAsia" w:hAnsi="宋体"/>
          <w:color w:val="000000"/>
          <w:sz w:val="24"/>
          <w:szCs w:val="24"/>
        </w:rPr>
        <w:t>的业务流程和管理要求</w:t>
      </w:r>
      <w:r>
        <w:rPr>
          <w:rFonts w:hint="eastAsia" w:hAnsi="宋体"/>
          <w:color w:val="000000"/>
          <w:sz w:val="24"/>
          <w:szCs w:val="24"/>
          <w:lang w:eastAsia="zh-CN"/>
        </w:rPr>
        <w:t>，</w:t>
      </w:r>
      <w:r>
        <w:rPr>
          <w:rFonts w:hint="eastAsia" w:hAnsi="宋体"/>
          <w:color w:val="000000"/>
          <w:sz w:val="24"/>
          <w:szCs w:val="24"/>
        </w:rPr>
        <w:t>同时作为指导性团标在某些章节中提出了具体的实现方式</w:t>
      </w:r>
      <w:r>
        <w:rPr>
          <w:rFonts w:hint="eastAsia" w:hAnsi="宋体"/>
          <w:color w:val="000000"/>
          <w:sz w:val="24"/>
          <w:szCs w:val="24"/>
          <w:lang w:val="en-US" w:eastAsia="zh-CN"/>
        </w:rPr>
        <w:t>等具</w:t>
      </w:r>
      <w:r>
        <w:rPr>
          <w:rFonts w:hint="eastAsia" w:hAnsi="宋体"/>
          <w:color w:val="000000"/>
          <w:sz w:val="24"/>
          <w:szCs w:val="24"/>
        </w:rPr>
        <w:t>有实践性的指导。这些实现方式</w:t>
      </w:r>
      <w:r>
        <w:rPr>
          <w:rFonts w:hint="eastAsia" w:hAnsi="宋体"/>
          <w:color w:val="000000"/>
          <w:sz w:val="24"/>
          <w:szCs w:val="24"/>
          <w:lang w:val="en-US" w:eastAsia="zh-CN"/>
        </w:rPr>
        <w:t>的描述</w:t>
      </w:r>
      <w:r>
        <w:rPr>
          <w:rFonts w:hint="eastAsia" w:hAnsi="宋体"/>
          <w:color w:val="000000"/>
          <w:sz w:val="24"/>
          <w:szCs w:val="24"/>
        </w:rPr>
        <w:t>不是面面俱到的，而是对其中关键的一些定义、数据和业务流程闭环进行了</w:t>
      </w:r>
      <w:r>
        <w:rPr>
          <w:rFonts w:hint="eastAsia" w:hAnsi="宋体"/>
          <w:color w:val="000000"/>
          <w:sz w:val="24"/>
          <w:szCs w:val="24"/>
          <w:lang w:val="en-US" w:eastAsia="zh-CN"/>
        </w:rPr>
        <w:t>说明，并且</w:t>
      </w:r>
      <w:r>
        <w:rPr>
          <w:rFonts w:hint="eastAsia" w:hAnsi="宋体"/>
          <w:color w:val="000000"/>
          <w:sz w:val="24"/>
          <w:szCs w:val="24"/>
        </w:rPr>
        <w:t>使用了一些规则和时序图这样</w:t>
      </w:r>
      <w:r>
        <w:rPr>
          <w:rFonts w:hint="eastAsia" w:hAnsi="宋体"/>
          <w:color w:val="000000"/>
          <w:sz w:val="24"/>
          <w:szCs w:val="24"/>
          <w:lang w:val="en-US" w:eastAsia="zh-CN"/>
        </w:rPr>
        <w:t>的</w:t>
      </w:r>
      <w:r>
        <w:rPr>
          <w:rFonts w:hint="eastAsia" w:hAnsi="宋体"/>
          <w:color w:val="000000"/>
          <w:sz w:val="24"/>
          <w:szCs w:val="24"/>
        </w:rPr>
        <w:t>具体描述</w:t>
      </w:r>
      <w:r>
        <w:rPr>
          <w:rFonts w:hint="eastAsia" w:hAnsi="宋体"/>
          <w:color w:val="000000"/>
          <w:sz w:val="24"/>
          <w:szCs w:val="24"/>
          <w:lang w:val="en-US" w:eastAsia="zh-CN"/>
        </w:rPr>
        <w:t>方法</w:t>
      </w:r>
      <w:r>
        <w:rPr>
          <w:rFonts w:hint="eastAsia" w:hAnsi="宋体"/>
          <w:color w:val="000000"/>
          <w:sz w:val="24"/>
          <w:szCs w:val="24"/>
        </w:rPr>
        <w:t>。</w:t>
      </w:r>
    </w:p>
    <w:p w14:paraId="099DADCE">
      <w:pPr>
        <w:numPr>
          <w:ilvl w:val="0"/>
          <w:numId w:val="2"/>
        </w:numPr>
        <w:spacing w:before="156" w:beforeLines="50" w:after="156" w:afterLines="50" w:line="300" w:lineRule="auto"/>
        <w:outlineLvl w:val="0"/>
        <w:rPr>
          <w:rFonts w:ascii="黑体" w:hAnsi="黑体" w:eastAsia="黑体"/>
          <w:b/>
          <w:bCs/>
          <w:color w:val="000000"/>
          <w:sz w:val="24"/>
        </w:rPr>
      </w:pPr>
      <w:r>
        <w:rPr>
          <w:rFonts w:hint="eastAsia" w:ascii="黑体" w:hAnsi="黑体" w:eastAsia="黑体"/>
          <w:b/>
          <w:bCs/>
          <w:color w:val="000000"/>
          <w:sz w:val="24"/>
        </w:rPr>
        <w:t>主要试验[或验证]情况分析</w:t>
      </w:r>
    </w:p>
    <w:p w14:paraId="768C05BA">
      <w:pPr>
        <w:pStyle w:val="9"/>
        <w:spacing w:line="300" w:lineRule="auto"/>
        <w:ind w:firstLine="480"/>
        <w:rPr>
          <w:rFonts w:hAnsi="宋体"/>
          <w:color w:val="000000"/>
          <w:sz w:val="24"/>
          <w:szCs w:val="24"/>
        </w:rPr>
      </w:pPr>
      <w:r>
        <w:rPr>
          <w:rFonts w:hint="eastAsia" w:hAnsi="宋体"/>
          <w:color w:val="000000"/>
          <w:sz w:val="24"/>
          <w:szCs w:val="24"/>
          <w:lang w:val="en-US" w:eastAsia="zh-CN"/>
        </w:rPr>
        <w:t>调研、分析</w:t>
      </w:r>
      <w:r>
        <w:rPr>
          <w:rFonts w:hint="eastAsia" w:hAnsi="宋体"/>
          <w:color w:val="000000"/>
          <w:sz w:val="24"/>
          <w:szCs w:val="24"/>
        </w:rPr>
        <w:t>行业标准</w:t>
      </w:r>
      <w:r>
        <w:rPr>
          <w:rFonts w:hint="eastAsia" w:hAnsi="宋体"/>
          <w:color w:val="000000"/>
          <w:sz w:val="24"/>
          <w:szCs w:val="24"/>
          <w:lang w:eastAsia="zh-CN"/>
        </w:rPr>
        <w:t>；</w:t>
      </w:r>
      <w:r>
        <w:rPr>
          <w:rFonts w:hint="eastAsia" w:hAnsi="宋体"/>
          <w:color w:val="000000"/>
          <w:sz w:val="24"/>
          <w:szCs w:val="24"/>
          <w:lang w:val="en-US" w:eastAsia="zh-CN"/>
        </w:rPr>
        <w:t>总结</w:t>
      </w:r>
      <w:r>
        <w:rPr>
          <w:rFonts w:hint="eastAsia" w:hAnsi="宋体"/>
          <w:color w:val="000000"/>
          <w:sz w:val="24"/>
          <w:szCs w:val="24"/>
        </w:rPr>
        <w:t>建设</w:t>
      </w:r>
      <w:r>
        <w:rPr>
          <w:rFonts w:hint="eastAsia" w:hAnsi="宋体"/>
          <w:color w:val="000000"/>
          <w:sz w:val="24"/>
          <w:szCs w:val="24"/>
          <w:lang w:val="en-US" w:eastAsia="zh-CN"/>
        </w:rPr>
        <w:t>和运营</w:t>
      </w:r>
      <w:r>
        <w:rPr>
          <w:rFonts w:hint="eastAsia" w:hAnsi="宋体"/>
          <w:color w:val="000000"/>
          <w:sz w:val="24"/>
          <w:szCs w:val="24"/>
        </w:rPr>
        <w:t>的</w:t>
      </w:r>
      <w:r>
        <w:rPr>
          <w:rFonts w:hint="eastAsia" w:hAnsi="宋体"/>
          <w:color w:val="000000"/>
          <w:sz w:val="24"/>
          <w:szCs w:val="24"/>
          <w:lang w:val="en-US" w:eastAsia="zh-CN"/>
        </w:rPr>
        <w:t>AFC</w:t>
      </w:r>
      <w:r>
        <w:rPr>
          <w:rFonts w:hint="eastAsia" w:hAnsi="宋体"/>
          <w:color w:val="000000"/>
          <w:sz w:val="24"/>
          <w:szCs w:val="24"/>
        </w:rPr>
        <w:t>数字人民币</w:t>
      </w:r>
      <w:r>
        <w:rPr>
          <w:rFonts w:hint="eastAsia" w:hAnsi="宋体"/>
          <w:color w:val="000000"/>
          <w:sz w:val="24"/>
          <w:szCs w:val="24"/>
          <w:lang w:val="en-US" w:eastAsia="zh-CN"/>
        </w:rPr>
        <w:t>应用项目的</w:t>
      </w:r>
      <w:r>
        <w:rPr>
          <w:rFonts w:hint="eastAsia" w:hAnsi="宋体"/>
          <w:color w:val="000000"/>
          <w:sz w:val="24"/>
          <w:szCs w:val="24"/>
        </w:rPr>
        <w:t>场景、技术体系、业务流程、系统构成、运行性能状况、运营管理方式、使用效果等</w:t>
      </w:r>
      <w:r>
        <w:rPr>
          <w:rFonts w:hint="eastAsia" w:hAnsi="宋体"/>
          <w:color w:val="000000"/>
          <w:sz w:val="24"/>
          <w:szCs w:val="24"/>
          <w:lang w:eastAsia="zh-CN"/>
        </w:rPr>
        <w:t>；</w:t>
      </w:r>
      <w:r>
        <w:rPr>
          <w:rFonts w:hint="eastAsia" w:hAnsi="宋体"/>
          <w:color w:val="000000"/>
          <w:sz w:val="24"/>
          <w:szCs w:val="24"/>
        </w:rPr>
        <w:t>征求</w:t>
      </w:r>
      <w:r>
        <w:rPr>
          <w:rFonts w:hint="eastAsia" w:hAnsi="宋体"/>
          <w:color w:val="000000"/>
          <w:sz w:val="24"/>
          <w:szCs w:val="24"/>
          <w:lang w:val="en-US" w:eastAsia="zh-CN"/>
        </w:rPr>
        <w:t>各</w:t>
      </w:r>
      <w:r>
        <w:rPr>
          <w:rFonts w:hint="eastAsia" w:hAnsi="宋体"/>
          <w:color w:val="000000"/>
          <w:sz w:val="24"/>
          <w:szCs w:val="24"/>
        </w:rPr>
        <w:t>相关方的意见和建议，包括企业、技术机构、行业协会</w:t>
      </w:r>
      <w:r>
        <w:rPr>
          <w:rFonts w:hint="eastAsia" w:hAnsi="宋体"/>
          <w:color w:val="000000"/>
          <w:sz w:val="24"/>
          <w:szCs w:val="24"/>
          <w:lang w:val="en-US" w:eastAsia="zh-CN"/>
        </w:rPr>
        <w:t>和专家</w:t>
      </w:r>
      <w:r>
        <w:rPr>
          <w:rFonts w:hint="eastAsia" w:hAnsi="宋体"/>
          <w:color w:val="000000"/>
          <w:sz w:val="24"/>
          <w:szCs w:val="24"/>
        </w:rPr>
        <w:t>、消费者代表等</w:t>
      </w:r>
      <w:r>
        <w:rPr>
          <w:rFonts w:hint="eastAsia" w:hAnsi="宋体"/>
          <w:color w:val="000000"/>
          <w:sz w:val="24"/>
          <w:szCs w:val="24"/>
          <w:lang w:eastAsia="zh-CN"/>
        </w:rPr>
        <w:t>。</w:t>
      </w:r>
      <w:r>
        <w:rPr>
          <w:rFonts w:hint="eastAsia" w:hAnsi="宋体"/>
          <w:color w:val="000000"/>
          <w:sz w:val="24"/>
          <w:szCs w:val="24"/>
          <w:lang w:val="en-US" w:eastAsia="zh-CN"/>
        </w:rPr>
        <w:t>作为</w:t>
      </w:r>
      <w:r>
        <w:rPr>
          <w:rFonts w:hint="eastAsia" w:hAnsi="宋体"/>
          <w:color w:val="000000"/>
          <w:sz w:val="24"/>
          <w:szCs w:val="24"/>
        </w:rPr>
        <w:t>试验验证</w:t>
      </w:r>
      <w:r>
        <w:rPr>
          <w:rFonts w:hint="eastAsia" w:hAnsi="宋体"/>
          <w:color w:val="000000"/>
          <w:sz w:val="24"/>
          <w:szCs w:val="24"/>
          <w:lang w:val="en-US" w:eastAsia="zh-CN"/>
        </w:rPr>
        <w:t>的</w:t>
      </w:r>
      <w:r>
        <w:rPr>
          <w:rFonts w:hint="eastAsia" w:hAnsi="宋体"/>
          <w:color w:val="000000"/>
          <w:sz w:val="24"/>
          <w:szCs w:val="24"/>
        </w:rPr>
        <w:t>基础。</w:t>
      </w:r>
    </w:p>
    <w:p w14:paraId="0F253E2D">
      <w:pPr>
        <w:numPr>
          <w:ilvl w:val="0"/>
          <w:numId w:val="2"/>
        </w:numPr>
        <w:spacing w:before="156" w:beforeLines="50" w:after="156" w:afterLines="50" w:line="300" w:lineRule="auto"/>
        <w:outlineLvl w:val="0"/>
        <w:rPr>
          <w:rFonts w:ascii="黑体" w:hAnsi="黑体" w:eastAsia="黑体"/>
          <w:b/>
          <w:bCs/>
          <w:color w:val="000000"/>
          <w:sz w:val="24"/>
        </w:rPr>
      </w:pPr>
      <w:r>
        <w:rPr>
          <w:rFonts w:hint="eastAsia" w:ascii="黑体" w:hAnsi="黑体" w:eastAsia="黑体"/>
          <w:b/>
          <w:bCs/>
          <w:color w:val="000000"/>
          <w:sz w:val="24"/>
        </w:rPr>
        <w:t>知识产权情况说明</w:t>
      </w:r>
    </w:p>
    <w:p w14:paraId="22352032">
      <w:pPr>
        <w:pStyle w:val="9"/>
        <w:spacing w:line="300" w:lineRule="auto"/>
        <w:ind w:firstLine="480"/>
        <w:rPr>
          <w:rFonts w:hAnsi="宋体"/>
          <w:color w:val="000000"/>
          <w:sz w:val="24"/>
          <w:szCs w:val="24"/>
        </w:rPr>
      </w:pPr>
      <w:r>
        <w:rPr>
          <w:rFonts w:hint="eastAsia" w:hAnsi="宋体"/>
          <w:color w:val="000000"/>
          <w:sz w:val="24"/>
          <w:szCs w:val="24"/>
        </w:rPr>
        <w:t>本标准不涉及专利及知识产权问题。</w:t>
      </w:r>
    </w:p>
    <w:p w14:paraId="5F0A4195">
      <w:pPr>
        <w:numPr>
          <w:ilvl w:val="0"/>
          <w:numId w:val="2"/>
        </w:numPr>
        <w:spacing w:before="156" w:beforeLines="50" w:after="156" w:afterLines="50" w:line="300" w:lineRule="auto"/>
        <w:outlineLvl w:val="0"/>
        <w:rPr>
          <w:rFonts w:ascii="黑体" w:hAnsi="黑体" w:eastAsia="黑体"/>
          <w:b/>
          <w:bCs/>
          <w:color w:val="000000"/>
          <w:sz w:val="24"/>
        </w:rPr>
      </w:pPr>
      <w:r>
        <w:rPr>
          <w:rFonts w:hint="eastAsia" w:ascii="黑体" w:hAnsi="黑体" w:eastAsia="黑体"/>
          <w:b/>
          <w:bCs/>
          <w:color w:val="000000"/>
          <w:sz w:val="24"/>
        </w:rPr>
        <w:t>产业化情况、推广应用论证和预期达到的经济效果</w:t>
      </w:r>
    </w:p>
    <w:p w14:paraId="680E9F31">
      <w:pPr>
        <w:pStyle w:val="9"/>
        <w:spacing w:line="300" w:lineRule="auto"/>
        <w:ind w:firstLine="480"/>
        <w:rPr>
          <w:rFonts w:hAnsi="宋体"/>
          <w:color w:val="000000"/>
          <w:sz w:val="24"/>
          <w:szCs w:val="24"/>
        </w:rPr>
      </w:pPr>
      <w:r>
        <w:rPr>
          <w:rFonts w:hint="eastAsia" w:hAnsi="宋体"/>
          <w:color w:val="000000"/>
          <w:sz w:val="24"/>
          <w:szCs w:val="24"/>
        </w:rPr>
        <w:t>本标准适用于轨道交通及周边交通系统（公交、市域铁路等）在进行AFC系统设计、建设、运营和改造过程中，应用数字人民币作为支付方式或过闸方式时，作为设计、实施、评审和检验的指导</w:t>
      </w:r>
      <w:r>
        <w:rPr>
          <w:rFonts w:hint="eastAsia" w:hAnsi="宋体"/>
          <w:color w:val="000000"/>
          <w:sz w:val="24"/>
          <w:szCs w:val="24"/>
          <w:lang w:eastAsia="zh-CN"/>
        </w:rPr>
        <w:t>，</w:t>
      </w:r>
      <w:r>
        <w:rPr>
          <w:rFonts w:hint="eastAsia" w:hAnsi="宋体"/>
          <w:color w:val="000000"/>
          <w:sz w:val="24"/>
          <w:szCs w:val="24"/>
          <w:lang w:val="en-US" w:eastAsia="zh-CN"/>
        </w:rPr>
        <w:t>满足</w:t>
      </w:r>
      <w:r>
        <w:rPr>
          <w:rFonts w:hAnsi="宋体"/>
          <w:color w:val="000000"/>
          <w:sz w:val="24"/>
          <w:szCs w:val="24"/>
        </w:rPr>
        <w:t>新时代发展需求。</w:t>
      </w:r>
    </w:p>
    <w:p w14:paraId="2165B4F7">
      <w:pPr>
        <w:numPr>
          <w:ilvl w:val="0"/>
          <w:numId w:val="2"/>
        </w:numPr>
        <w:spacing w:before="156" w:beforeLines="50" w:after="156" w:afterLines="50" w:line="300" w:lineRule="auto"/>
        <w:outlineLvl w:val="0"/>
        <w:rPr>
          <w:rFonts w:ascii="黑体" w:hAnsi="黑体" w:eastAsia="黑体"/>
          <w:b/>
          <w:bCs/>
          <w:color w:val="000000"/>
          <w:sz w:val="24"/>
        </w:rPr>
      </w:pPr>
      <w:r>
        <w:rPr>
          <w:rFonts w:hint="eastAsia" w:ascii="黑体" w:hAnsi="黑体" w:eastAsia="黑体"/>
          <w:b/>
          <w:bCs/>
          <w:color w:val="000000"/>
          <w:sz w:val="24"/>
        </w:rPr>
        <w:t>采用国际标准和国外先进标准情况</w:t>
      </w:r>
    </w:p>
    <w:p w14:paraId="68A29C98">
      <w:pPr>
        <w:pStyle w:val="9"/>
        <w:spacing w:line="300" w:lineRule="auto"/>
        <w:ind w:firstLine="480"/>
        <w:rPr>
          <w:rFonts w:hAnsi="宋体"/>
          <w:color w:val="000000"/>
          <w:sz w:val="24"/>
          <w:szCs w:val="24"/>
        </w:rPr>
      </w:pPr>
      <w:r>
        <w:rPr>
          <w:rFonts w:hint="eastAsia" w:hAnsi="宋体"/>
          <w:color w:val="000000"/>
          <w:sz w:val="24"/>
          <w:szCs w:val="24"/>
        </w:rPr>
        <w:t>本文件不采用国际标准。</w:t>
      </w:r>
    </w:p>
    <w:p w14:paraId="7E9B447B">
      <w:pPr>
        <w:numPr>
          <w:ilvl w:val="0"/>
          <w:numId w:val="2"/>
        </w:numPr>
        <w:spacing w:before="156" w:beforeLines="50" w:after="156" w:afterLines="50" w:line="300" w:lineRule="auto"/>
        <w:outlineLvl w:val="0"/>
        <w:rPr>
          <w:rFonts w:ascii="黑体" w:hAnsi="黑体" w:eastAsia="黑体"/>
          <w:b/>
          <w:bCs/>
          <w:color w:val="000000"/>
          <w:sz w:val="24"/>
        </w:rPr>
      </w:pPr>
      <w:r>
        <w:rPr>
          <w:rFonts w:hint="eastAsia" w:ascii="黑体" w:hAnsi="黑体" w:eastAsia="黑体"/>
          <w:b/>
          <w:bCs/>
          <w:color w:val="000000"/>
          <w:sz w:val="24"/>
        </w:rPr>
        <w:t>与现行相关法律、法规、规章及相关标准的协调性</w:t>
      </w:r>
    </w:p>
    <w:p w14:paraId="128DB0AD">
      <w:pPr>
        <w:pStyle w:val="9"/>
        <w:spacing w:line="300" w:lineRule="auto"/>
        <w:ind w:firstLine="480"/>
        <w:rPr>
          <w:rFonts w:hAnsi="宋体"/>
          <w:color w:val="000000"/>
          <w:sz w:val="24"/>
          <w:szCs w:val="24"/>
        </w:rPr>
      </w:pPr>
      <w:r>
        <w:rPr>
          <w:rFonts w:hint="eastAsia" w:hAnsi="宋体"/>
          <w:color w:val="000000"/>
          <w:sz w:val="24"/>
          <w:szCs w:val="24"/>
        </w:rPr>
        <w:t>本标准与现行法律、法规、强制性国家标准及相关标准协调一致。</w:t>
      </w:r>
      <w:r>
        <w:rPr>
          <w:rFonts w:hAnsi="宋体"/>
          <w:color w:val="000000"/>
          <w:sz w:val="24"/>
          <w:szCs w:val="24"/>
        </w:rPr>
        <w:t>将作为AFC系统建设的指导性文件，</w:t>
      </w:r>
      <w:r>
        <w:rPr>
          <w:rFonts w:hint="eastAsia" w:hAnsi="宋体"/>
          <w:color w:val="000000"/>
          <w:sz w:val="24"/>
          <w:szCs w:val="24"/>
        </w:rPr>
        <w:t>是对《城市轨道交通自动售检票系统》（T/CIITA201-2021）的补充</w:t>
      </w:r>
      <w:r>
        <w:rPr>
          <w:rFonts w:hint="eastAsia" w:hAnsi="宋体"/>
          <w:color w:val="000000"/>
          <w:sz w:val="24"/>
          <w:szCs w:val="24"/>
          <w:lang w:eastAsia="zh-CN"/>
        </w:rPr>
        <w:t>，</w:t>
      </w:r>
      <w:r>
        <w:rPr>
          <w:rFonts w:hint="eastAsia" w:hAnsi="宋体"/>
          <w:color w:val="000000"/>
          <w:sz w:val="24"/>
          <w:szCs w:val="24"/>
          <w:lang w:val="en-US" w:eastAsia="zh-CN"/>
        </w:rPr>
        <w:t>是中国人民银行数研所《数字人民币硬钱包轨交延迟交易技术方案》的细化描述</w:t>
      </w:r>
      <w:r>
        <w:rPr>
          <w:rFonts w:hAnsi="宋体"/>
          <w:color w:val="000000"/>
          <w:sz w:val="24"/>
          <w:szCs w:val="24"/>
        </w:rPr>
        <w:t>。</w:t>
      </w:r>
    </w:p>
    <w:p w14:paraId="03F7D82C">
      <w:pPr>
        <w:numPr>
          <w:ilvl w:val="0"/>
          <w:numId w:val="2"/>
        </w:numPr>
        <w:spacing w:before="156" w:beforeLines="50" w:after="156" w:afterLines="50" w:line="300" w:lineRule="auto"/>
        <w:outlineLvl w:val="0"/>
        <w:rPr>
          <w:rFonts w:ascii="黑体" w:hAnsi="黑体" w:eastAsia="黑体"/>
          <w:b/>
          <w:bCs/>
          <w:color w:val="000000"/>
          <w:sz w:val="24"/>
        </w:rPr>
      </w:pPr>
      <w:r>
        <w:rPr>
          <w:rFonts w:hint="eastAsia" w:ascii="黑体" w:hAnsi="黑体" w:eastAsia="黑体"/>
          <w:b/>
          <w:bCs/>
          <w:color w:val="000000"/>
          <w:sz w:val="24"/>
        </w:rPr>
        <w:t>重大分歧意见的处理经过和依据</w:t>
      </w:r>
    </w:p>
    <w:p w14:paraId="5F8AC178">
      <w:pPr>
        <w:pStyle w:val="9"/>
        <w:spacing w:line="300" w:lineRule="auto"/>
        <w:ind w:firstLine="480"/>
        <w:rPr>
          <w:rFonts w:hAnsi="宋体"/>
          <w:color w:val="000000"/>
          <w:sz w:val="24"/>
          <w:szCs w:val="24"/>
        </w:rPr>
      </w:pPr>
      <w:r>
        <w:rPr>
          <w:rFonts w:hint="eastAsia" w:hAnsi="宋体"/>
          <w:color w:val="000000"/>
          <w:sz w:val="24"/>
          <w:szCs w:val="24"/>
        </w:rPr>
        <w:t>无。</w:t>
      </w:r>
    </w:p>
    <w:p w14:paraId="587A1CD4">
      <w:pPr>
        <w:numPr>
          <w:ilvl w:val="0"/>
          <w:numId w:val="2"/>
        </w:numPr>
        <w:spacing w:before="156" w:beforeLines="50" w:after="156" w:afterLines="50" w:line="300" w:lineRule="auto"/>
        <w:outlineLvl w:val="0"/>
        <w:rPr>
          <w:rFonts w:ascii="黑体" w:hAnsi="黑体" w:eastAsia="黑体"/>
          <w:b/>
          <w:bCs/>
          <w:color w:val="000000"/>
          <w:sz w:val="24"/>
        </w:rPr>
      </w:pPr>
      <w:r>
        <w:rPr>
          <w:rFonts w:hint="eastAsia" w:ascii="黑体" w:hAnsi="黑体" w:eastAsia="黑体"/>
          <w:b/>
          <w:bCs/>
          <w:color w:val="000000"/>
          <w:sz w:val="24"/>
        </w:rPr>
        <w:t>贯彻标准的要求和措施建议</w:t>
      </w:r>
    </w:p>
    <w:p w14:paraId="71F80C95">
      <w:pPr>
        <w:pStyle w:val="9"/>
        <w:spacing w:line="360" w:lineRule="auto"/>
        <w:ind w:firstLine="480"/>
        <w:rPr>
          <w:rFonts w:hAnsi="宋体"/>
          <w:color w:val="000000"/>
          <w:szCs w:val="21"/>
        </w:rPr>
      </w:pPr>
      <w:r>
        <w:rPr>
          <w:rFonts w:hAnsi="宋体"/>
          <w:color w:val="000000"/>
          <w:sz w:val="24"/>
          <w:szCs w:val="24"/>
        </w:rPr>
        <w:t>本</w:t>
      </w:r>
      <w:r>
        <w:rPr>
          <w:rFonts w:hint="eastAsia" w:hAnsi="宋体"/>
          <w:color w:val="000000"/>
          <w:sz w:val="24"/>
          <w:szCs w:val="24"/>
        </w:rPr>
        <w:t>标准</w:t>
      </w:r>
      <w:r>
        <w:rPr>
          <w:rFonts w:hAnsi="宋体"/>
          <w:color w:val="000000"/>
          <w:sz w:val="24"/>
          <w:szCs w:val="24"/>
        </w:rPr>
        <w:t>将作为AFC系统建设的指导性文件，</w:t>
      </w:r>
      <w:r>
        <w:rPr>
          <w:rFonts w:hint="eastAsia" w:hAnsi="宋体"/>
          <w:color w:val="000000"/>
          <w:sz w:val="24"/>
          <w:szCs w:val="24"/>
        </w:rPr>
        <w:t>是对《城市轨道交通自动售检票系统》（T/CIITA201-2021）的补充</w:t>
      </w:r>
      <w:r>
        <w:rPr>
          <w:rFonts w:hint="eastAsia" w:hAnsi="宋体"/>
          <w:color w:val="000000"/>
          <w:sz w:val="24"/>
          <w:szCs w:val="24"/>
          <w:lang w:eastAsia="zh-CN"/>
        </w:rPr>
        <w:t>，</w:t>
      </w:r>
      <w:r>
        <w:rPr>
          <w:rFonts w:hint="eastAsia" w:hAnsi="宋体"/>
          <w:color w:val="000000"/>
          <w:sz w:val="24"/>
          <w:szCs w:val="24"/>
          <w:lang w:val="en-US" w:eastAsia="zh-CN"/>
        </w:rPr>
        <w:t>是中国人民银行数研所《数字人民币硬钱包轨交延迟交易技术方案》的细化描述</w:t>
      </w:r>
      <w:r>
        <w:rPr>
          <w:rFonts w:hAnsi="宋体"/>
          <w:color w:val="000000"/>
          <w:sz w:val="24"/>
          <w:szCs w:val="24"/>
        </w:rPr>
        <w:t>。</w:t>
      </w:r>
    </w:p>
    <w:p w14:paraId="6C10D0B6">
      <w:pPr>
        <w:numPr>
          <w:ilvl w:val="0"/>
          <w:numId w:val="2"/>
        </w:numPr>
        <w:spacing w:before="156" w:beforeLines="50" w:after="156" w:afterLines="50" w:line="300" w:lineRule="auto"/>
        <w:outlineLvl w:val="0"/>
        <w:rPr>
          <w:rFonts w:ascii="黑体" w:hAnsi="黑体" w:eastAsia="黑体"/>
          <w:b/>
          <w:bCs/>
          <w:color w:val="000000"/>
          <w:sz w:val="24"/>
        </w:rPr>
      </w:pPr>
      <w:r>
        <w:rPr>
          <w:rFonts w:hint="eastAsia" w:ascii="黑体" w:hAnsi="黑体" w:eastAsia="黑体"/>
          <w:b/>
          <w:bCs/>
          <w:color w:val="000000"/>
          <w:sz w:val="24"/>
        </w:rPr>
        <w:t>替代或废止现行相关标准的建议</w:t>
      </w:r>
    </w:p>
    <w:p w14:paraId="43E6CD9E">
      <w:pPr>
        <w:pStyle w:val="9"/>
        <w:spacing w:line="300" w:lineRule="auto"/>
        <w:ind w:firstLine="480"/>
        <w:rPr>
          <w:rFonts w:hAnsi="宋体"/>
          <w:color w:val="000000"/>
          <w:sz w:val="24"/>
          <w:szCs w:val="24"/>
        </w:rPr>
      </w:pPr>
      <w:r>
        <w:rPr>
          <w:rFonts w:hint="eastAsia" w:hAnsi="宋体"/>
          <w:color w:val="000000"/>
          <w:sz w:val="24"/>
          <w:szCs w:val="24"/>
        </w:rPr>
        <w:t>无。</w:t>
      </w:r>
    </w:p>
    <w:p w14:paraId="5F956DD6">
      <w:pPr>
        <w:numPr>
          <w:ilvl w:val="0"/>
          <w:numId w:val="2"/>
        </w:numPr>
        <w:spacing w:before="156" w:beforeLines="50" w:after="156" w:afterLines="50" w:line="300" w:lineRule="auto"/>
        <w:outlineLvl w:val="0"/>
        <w:rPr>
          <w:rFonts w:ascii="黑体" w:hAnsi="黑体" w:eastAsia="黑体"/>
          <w:b/>
          <w:bCs/>
          <w:color w:val="000000"/>
          <w:sz w:val="24"/>
        </w:rPr>
      </w:pPr>
      <w:r>
        <w:rPr>
          <w:rFonts w:hint="eastAsia" w:ascii="黑体" w:hAnsi="黑体" w:eastAsia="黑体"/>
          <w:b/>
          <w:bCs/>
          <w:color w:val="000000"/>
          <w:sz w:val="24"/>
        </w:rPr>
        <w:t>其它应予说明的事项</w:t>
      </w:r>
    </w:p>
    <w:p w14:paraId="18EF6A7C">
      <w:pPr>
        <w:pStyle w:val="9"/>
        <w:spacing w:line="300" w:lineRule="auto"/>
        <w:ind w:firstLine="480"/>
        <w:rPr>
          <w:rFonts w:hAnsi="宋体"/>
          <w:color w:val="000000"/>
          <w:sz w:val="24"/>
          <w:szCs w:val="24"/>
        </w:rPr>
      </w:pPr>
      <w:r>
        <w:rPr>
          <w:rFonts w:hint="eastAsia" w:hAnsi="宋体"/>
          <w:color w:val="000000"/>
          <w:sz w:val="24"/>
          <w:szCs w:val="24"/>
        </w:rPr>
        <w:t>无。</w:t>
      </w:r>
    </w:p>
    <w:p w14:paraId="1521E958">
      <w:pPr>
        <w:spacing w:line="360" w:lineRule="auto"/>
        <w:jc w:val="center"/>
        <w:rPr>
          <w:rFonts w:ascii="宋体" w:hAnsi="宋体"/>
          <w:color w:val="000000"/>
          <w:sz w:val="24"/>
        </w:rPr>
      </w:pPr>
    </w:p>
    <w:p w14:paraId="4096BE18">
      <w:pPr>
        <w:spacing w:line="360" w:lineRule="auto"/>
        <w:jc w:val="right"/>
        <w:rPr>
          <w:rFonts w:ascii="宋体" w:hAnsi="宋体"/>
          <w:color w:val="000000"/>
          <w:sz w:val="24"/>
        </w:rPr>
      </w:pPr>
      <w:r>
        <w:rPr>
          <w:rFonts w:hint="eastAsia" w:ascii="宋体" w:hAnsi="宋体"/>
          <w:color w:val="000000"/>
          <w:sz w:val="24"/>
        </w:rPr>
        <w:t xml:space="preserve">     《</w:t>
      </w:r>
      <w:bookmarkStart w:id="2" w:name="_Toc169852887"/>
      <w:r>
        <w:rPr>
          <w:rFonts w:hint="eastAsia" w:ascii="宋体" w:hAnsi="宋体"/>
          <w:color w:val="000000"/>
          <w:sz w:val="24"/>
        </w:rPr>
        <w:t>数字人民币在轨道交通自动售检票系统中的应用</w:t>
      </w:r>
      <w:bookmarkEnd w:id="2"/>
      <w:r>
        <w:rPr>
          <w:rFonts w:hint="eastAsia" w:ascii="宋体" w:hAnsi="宋体"/>
          <w:color w:val="000000"/>
          <w:sz w:val="24"/>
        </w:rPr>
        <w:t>》编制工作组</w:t>
      </w:r>
    </w:p>
    <w:p w14:paraId="72B0AD6E">
      <w:pPr>
        <w:spacing w:line="360" w:lineRule="auto"/>
        <w:jc w:val="right"/>
        <w:rPr>
          <w:rFonts w:hint="default" w:ascii="宋体" w:hAnsi="宋体" w:eastAsia="宋体"/>
          <w:color w:val="000000"/>
          <w:sz w:val="24"/>
          <w:lang w:val="en-US" w:eastAsia="zh-CN"/>
        </w:rPr>
      </w:pPr>
      <w:r>
        <w:rPr>
          <w:rFonts w:hint="eastAsia" w:ascii="宋体" w:hAnsi="宋体"/>
          <w:color w:val="000000"/>
          <w:sz w:val="24"/>
        </w:rPr>
        <w:t>2024-</w:t>
      </w:r>
      <w:r>
        <w:rPr>
          <w:rFonts w:hint="eastAsia" w:ascii="宋体" w:hAnsi="宋体"/>
          <w:color w:val="000000"/>
          <w:sz w:val="24"/>
          <w:lang w:val="en-US" w:eastAsia="zh-CN"/>
        </w:rPr>
        <w:t>11</w:t>
      </w:r>
      <w:r>
        <w:rPr>
          <w:rFonts w:hint="eastAsia" w:ascii="宋体" w:hAnsi="宋体"/>
          <w:color w:val="000000"/>
          <w:sz w:val="24"/>
        </w:rPr>
        <w:t>-</w:t>
      </w:r>
      <w:r>
        <w:rPr>
          <w:rFonts w:hint="eastAsia" w:ascii="宋体" w:hAnsi="宋体"/>
          <w:color w:val="000000"/>
          <w:sz w:val="24"/>
          <w:lang w:val="en-US" w:eastAsia="zh-CN"/>
        </w:rPr>
        <w:t>05</w:t>
      </w:r>
    </w:p>
    <w:p w14:paraId="12E6B4F1"/>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B70410"/>
    <w:multiLevelType w:val="singleLevel"/>
    <w:tmpl w:val="C2B70410"/>
    <w:lvl w:ilvl="0" w:tentative="0">
      <w:start w:val="1"/>
      <w:numFmt w:val="chineseCounting"/>
      <w:suff w:val="nothing"/>
      <w:lvlText w:val="（%1）"/>
      <w:lvlJc w:val="left"/>
      <w:pPr>
        <w:ind w:left="0" w:firstLine="420"/>
      </w:pPr>
      <w:rPr>
        <w:rFonts w:hint="eastAsia"/>
      </w:rPr>
    </w:lvl>
  </w:abstractNum>
  <w:abstractNum w:abstractNumId="1">
    <w:nsid w:val="1EBD6DA3"/>
    <w:multiLevelType w:val="multilevel"/>
    <w:tmpl w:val="1EBD6DA3"/>
    <w:lvl w:ilvl="0" w:tentative="0">
      <w:start w:val="1"/>
      <w:numFmt w:val="decimal"/>
      <w:suff w:val="space"/>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2D4BD87"/>
    <w:multiLevelType w:val="singleLevel"/>
    <w:tmpl w:val="22D4BD87"/>
    <w:lvl w:ilvl="0" w:tentative="0">
      <w:start w:val="1"/>
      <w:numFmt w:val="chineseCounting"/>
      <w:suff w:val="nothing"/>
      <w:lvlText w:val="%1、"/>
      <w:lvlJc w:val="left"/>
      <w:rPr>
        <w:rFonts w:hint="eastAsia"/>
      </w:rPr>
    </w:lvl>
  </w:abstractNum>
  <w:abstractNum w:abstractNumId="3">
    <w:nsid w:val="55F00FF5"/>
    <w:multiLevelType w:val="singleLevel"/>
    <w:tmpl w:val="55F00FF5"/>
    <w:lvl w:ilvl="0" w:tentative="0">
      <w:start w:val="1"/>
      <w:numFmt w:val="chineseCounting"/>
      <w:suff w:val="nothing"/>
      <w:lvlText w:val="（%1）"/>
      <w:lvlJc w:val="left"/>
      <w:pPr>
        <w:ind w:left="0" w:firstLine="420"/>
      </w:pPr>
      <w:rPr>
        <w:rFonts w:hint="eastAsia"/>
      </w:rPr>
    </w:lvl>
  </w:abstractNum>
  <w:abstractNum w:abstractNumId="4">
    <w:nsid w:val="694F4799"/>
    <w:multiLevelType w:val="multilevel"/>
    <w:tmpl w:val="694F4799"/>
    <w:lvl w:ilvl="0" w:tentative="0">
      <w:start w:val="39"/>
      <w:numFmt w:val="none"/>
      <w:pStyle w:val="11"/>
      <w:suff w:val="nothing"/>
      <w:lvlText w:val="%1"/>
      <w:lvlJc w:val="left"/>
      <w:pPr>
        <w:ind w:left="0" w:firstLine="0"/>
      </w:pPr>
      <w:rPr>
        <w:rFonts w:hint="default" w:ascii="Times New Roman" w:hAnsi="Times New Roman"/>
        <w:b/>
        <w:i w:val="0"/>
        <w:sz w:val="21"/>
      </w:rPr>
    </w:lvl>
    <w:lvl w:ilvl="1" w:tentative="0">
      <w:start w:val="3"/>
      <w:numFmt w:val="decimal"/>
      <w:suff w:val="nothing"/>
      <w:lvlText w:val="%1%2　"/>
      <w:lvlJc w:val="left"/>
      <w:pPr>
        <w:ind w:left="142" w:firstLine="0"/>
      </w:pPr>
      <w:rPr>
        <w:rFonts w:hint="eastAsia" w:ascii="黑体" w:hAnsi="Times New Roman" w:eastAsia="黑体"/>
        <w:b w:val="0"/>
        <w:i w:val="0"/>
        <w:sz w:val="21"/>
      </w:rPr>
    </w:lvl>
    <w:lvl w:ilvl="2" w:tentative="0">
      <w:start w:val="1"/>
      <w:numFmt w:val="decimal"/>
      <w:suff w:val="nothing"/>
      <w:lvlText w:val="%1%2.%3　"/>
      <w:lvlJc w:val="left"/>
      <w:pPr>
        <w:tabs>
          <w:tab w:val="left" w:pos="0"/>
        </w:tabs>
        <w:ind w:left="0" w:firstLine="0"/>
      </w:pPr>
      <w:rPr>
        <w:rFonts w:hint="default"/>
        <w:b w:val="0"/>
        <w:i w:val="0"/>
        <w:sz w:val="21"/>
      </w:rPr>
    </w:lvl>
    <w:lvl w:ilvl="3" w:tentative="0">
      <w:start w:val="1"/>
      <w:numFmt w:val="decimal"/>
      <w:suff w:val="nothing"/>
      <w:lvlText w:val="%1%2.%3.%4　"/>
      <w:lvlJc w:val="left"/>
      <w:pPr>
        <w:ind w:left="567" w:firstLine="0"/>
      </w:pPr>
      <w:rPr>
        <w:rFonts w:hint="eastAsia" w:ascii="黑体" w:hAnsi="Times New Roman" w:eastAsia="黑体"/>
        <w:b w:val="0"/>
        <w:i w:val="0"/>
        <w:color w:val="000000"/>
        <w:sz w:val="21"/>
        <w:lang w:val="en-US" w:eastAsia="zh-CN"/>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71D53ECC"/>
    <w:multiLevelType w:val="multilevel"/>
    <w:tmpl w:val="71D53ECC"/>
    <w:lvl w:ilvl="0" w:tentative="0">
      <w:start w:val="1"/>
      <w:numFmt w:val="decimal"/>
      <w:suff w:val="space"/>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D3EAD"/>
    <w:rsid w:val="000D3EAD"/>
    <w:rsid w:val="00130C27"/>
    <w:rsid w:val="00415468"/>
    <w:rsid w:val="006A3915"/>
    <w:rsid w:val="008B7872"/>
    <w:rsid w:val="008C2F93"/>
    <w:rsid w:val="009C171A"/>
    <w:rsid w:val="00BE32F3"/>
    <w:rsid w:val="00C82F18"/>
    <w:rsid w:val="00C86EB0"/>
    <w:rsid w:val="00CB2592"/>
    <w:rsid w:val="00D56BFD"/>
    <w:rsid w:val="00EA0208"/>
    <w:rsid w:val="03B97080"/>
    <w:rsid w:val="0B585767"/>
    <w:rsid w:val="0F7B33B1"/>
    <w:rsid w:val="0FF91E9F"/>
    <w:rsid w:val="121F7404"/>
    <w:rsid w:val="12584D70"/>
    <w:rsid w:val="129215BA"/>
    <w:rsid w:val="14933D8D"/>
    <w:rsid w:val="15C72AB2"/>
    <w:rsid w:val="1AD10C07"/>
    <w:rsid w:val="23D76AD9"/>
    <w:rsid w:val="2684516C"/>
    <w:rsid w:val="2A621D87"/>
    <w:rsid w:val="33CC41E2"/>
    <w:rsid w:val="34127D61"/>
    <w:rsid w:val="38657F26"/>
    <w:rsid w:val="3BD333EF"/>
    <w:rsid w:val="3C9618E6"/>
    <w:rsid w:val="3DCE7C19"/>
    <w:rsid w:val="4383245A"/>
    <w:rsid w:val="484358D4"/>
    <w:rsid w:val="53107C10"/>
    <w:rsid w:val="5326301F"/>
    <w:rsid w:val="59682F71"/>
    <w:rsid w:val="5DCF52CC"/>
    <w:rsid w:val="5E1E62F4"/>
    <w:rsid w:val="5F5029BC"/>
    <w:rsid w:val="6137354B"/>
    <w:rsid w:val="62190095"/>
    <w:rsid w:val="65DF5AD0"/>
    <w:rsid w:val="676E6F20"/>
    <w:rsid w:val="68AB2EBC"/>
    <w:rsid w:val="6B0C3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next w:val="4"/>
    <w:link w:val="13"/>
    <w:unhideWhenUsed/>
    <w:qFormat/>
    <w:uiPriority w:val="99"/>
    <w:pPr>
      <w:spacing w:after="120"/>
    </w:pPr>
  </w:style>
  <w:style w:type="paragraph" w:styleId="4">
    <w:name w:val="Subtitle"/>
    <w:basedOn w:val="1"/>
    <w:next w:val="1"/>
    <w:link w:val="14"/>
    <w:autoRedefine/>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5">
    <w:name w:val="Normal (Web)"/>
    <w:basedOn w:val="1"/>
    <w:unhideWhenUsed/>
    <w:qFormat/>
    <w:uiPriority w:val="99"/>
    <w:pPr>
      <w:spacing w:beforeAutospacing="1" w:afterAutospacing="1"/>
      <w:jc w:val="left"/>
    </w:pPr>
    <w:rPr>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段"/>
    <w:link w:val="1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
    <w:name w:val="段 Char"/>
    <w:link w:val="9"/>
    <w:qFormat/>
    <w:uiPriority w:val="0"/>
    <w:rPr>
      <w:rFonts w:ascii="宋体" w:hAnsi="Times New Roman" w:eastAsia="宋体" w:cs="Times New Roman"/>
      <w:kern w:val="0"/>
      <w:szCs w:val="20"/>
    </w:rPr>
  </w:style>
  <w:style w:type="paragraph" w:customStyle="1" w:styleId="11">
    <w:name w:val="目次、标准名称标题"/>
    <w:basedOn w:val="1"/>
    <w:next w:val="9"/>
    <w:autoRedefine/>
    <w:qFormat/>
    <w:uiPriority w:val="0"/>
    <w:pPr>
      <w:widowControl/>
      <w:numPr>
        <w:ilvl w:val="0"/>
        <w:numId w:val="1"/>
      </w:numPr>
      <w:shd w:val="clear" w:color="FFFFFF" w:fill="FFFFFF"/>
      <w:tabs>
        <w:tab w:val="left" w:pos="6946"/>
      </w:tabs>
      <w:spacing w:line="360" w:lineRule="auto"/>
      <w:jc w:val="center"/>
      <w:outlineLvl w:val="0"/>
    </w:pPr>
    <w:rPr>
      <w:rFonts w:ascii="黑体" w:eastAsia="黑体"/>
      <w:kern w:val="0"/>
      <w:sz w:val="32"/>
      <w:szCs w:val="20"/>
    </w:rPr>
  </w:style>
  <w:style w:type="paragraph" w:styleId="12">
    <w:name w:val="List Paragraph"/>
    <w:basedOn w:val="1"/>
    <w:autoRedefine/>
    <w:unhideWhenUsed/>
    <w:qFormat/>
    <w:uiPriority w:val="99"/>
    <w:pPr>
      <w:ind w:firstLine="420" w:firstLineChars="200"/>
    </w:pPr>
  </w:style>
  <w:style w:type="character" w:customStyle="1" w:styleId="13">
    <w:name w:val="正文文本 Char"/>
    <w:basedOn w:val="8"/>
    <w:link w:val="3"/>
    <w:qFormat/>
    <w:uiPriority w:val="99"/>
    <w:rPr>
      <w:kern w:val="2"/>
      <w:sz w:val="21"/>
      <w:szCs w:val="24"/>
    </w:rPr>
  </w:style>
  <w:style w:type="character" w:customStyle="1" w:styleId="14">
    <w:name w:val="副标题 Char"/>
    <w:basedOn w:val="8"/>
    <w:link w:val="4"/>
    <w:autoRedefine/>
    <w:qFormat/>
    <w:uiPriority w:val="11"/>
    <w:rPr>
      <w:rFonts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1379</Words>
  <Characters>1443</Characters>
  <Lines>32</Lines>
  <Paragraphs>9</Paragraphs>
  <TotalTime>7</TotalTime>
  <ScaleCrop>false</ScaleCrop>
  <LinksUpToDate>false</LinksUpToDate>
  <CharactersWithSpaces>1444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2021-08-24T04:11:00Z</dcterms:created>
  <dc:creator>yangbo01</dc:creator>
  <cp:lastModifiedBy>杨波</cp:lastModifiedBy>
  <cp:lastPrinted>2024-08-29T08:16:00Z</cp:lastPrinted>
  <dcterms:modified xsi:type="dcterms:W3CDTF">2024-11-05T04:54:34Z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81A6FF5DB8DF4B058528E73DCF98DFE8_13</vt:lpwstr>
  </property>
</Properties>
</file>