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ascii="迷你简小标宋" w:hAnsi="宋体" w:eastAsia="迷你简小标宋"/>
          <w:w w:val="90"/>
          <w:sz w:val="44"/>
          <w:szCs w:val="44"/>
        </w:rPr>
      </w:pPr>
      <w:r>
        <w:rPr>
          <w:rFonts w:hint="eastAsia" w:ascii="迷你简小标宋" w:hAnsi="宋体" w:eastAsia="迷你简小标宋"/>
          <w:w w:val="90"/>
          <w:sz w:val="44"/>
          <w:szCs w:val="44"/>
        </w:rPr>
        <w:t>《</w:t>
      </w: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地铁智慧照明技术规范</w:t>
      </w:r>
      <w:r>
        <w:rPr>
          <w:rFonts w:hint="eastAsia" w:ascii="迷你简小标宋" w:hAnsi="宋体" w:eastAsia="迷你简小标宋"/>
          <w:w w:val="90"/>
          <w:sz w:val="44"/>
          <w:szCs w:val="44"/>
        </w:rPr>
        <w:t>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年全国标准化工作要点，大力推动实施标准化战略，持续深化标准化工作改革，加强标准体系建设，提升引领高质量发展的能力。为响应市场需求，需要制定完善的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，满足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产品</w:t>
      </w:r>
      <w:r>
        <w:rPr>
          <w:rFonts w:hint="eastAsia" w:ascii="宋体" w:hAnsi="宋体" w:eastAsia="宋体" w:cs="宋体"/>
          <w:kern w:val="0"/>
          <w:sz w:val="28"/>
          <w:szCs w:val="28"/>
        </w:rPr>
        <w:t>质量提升需要。依据《中华人民共和国标准化法》，以及《团体标准管理规定》相关规定，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永馨智慧科技（杭州）有限公司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 w:cs="宋体"/>
          <w:kern w:val="0"/>
          <w:sz w:val="28"/>
          <w:szCs w:val="28"/>
        </w:rPr>
        <w:t>》团体标准。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620097A2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智慧照明技术是指通过应用现代科技，如物联网、云计算、大数据分析等，实现照明系统的智能化控制和管理。它能够提高能源效率、降低运营成本，并提供更加人性化的照明体验。</w:t>
      </w:r>
    </w:p>
    <w:p w14:paraId="0EB51775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作为现代重要交通工具，地铁为人们带来了高效的出行方式和良好的乘车环境，灯光照明则直接关系到地铁的服务质量、运营安全、运营成本、12345信息等多个方面，在轨道交通智慧化发展的趋势下，想要让出乘环境变得更好更舒适，车站的光环境的设计就必须更加智能化和人性化。</w:t>
      </w:r>
    </w:p>
    <w:p w14:paraId="7C079B84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智慧照明是以节能控制等技术组成的分布式照明控制系统，来实现对照明设备的智能化控制，具有灯光亮度的强弱调节、灯光软启动、定时控制、场景设置等功能，开辟了城市照明“管理节能”的新篇章。近年来，南京地铁围绕智慧、科技、绿色节能三大理念，不断“碳”寻智慧地铁的“发光秘籍”，以智慧照明提升地铁运营效率、改善乘客出行体验、实现低碳环保节能。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综上所述，制定《地铁智慧照明技术规范》团体标准对于推动技术进步、提升服务质量、保障安全运营以及促进可持续发展等方面都具有重要的意义。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永馨智慧科技（杭州）有限公司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关于《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》团体标准立项的公告”要求，成立了标准起草工作组。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智慧照明的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的技术要求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底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提交《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》标准征求意见稿及征求意见稿编制说明，拟定于202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111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初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永馨智慧科技（杭州）有限公司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内容的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本标准征求意见稿包括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/>
          <w:sz w:val="28"/>
          <w:szCs w:val="28"/>
        </w:rPr>
        <w:t xml:space="preserve">个部分，主要内容如下： </w:t>
      </w:r>
    </w:p>
    <w:p w14:paraId="3FC1CB70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1、范围 </w:t>
      </w:r>
    </w:p>
    <w:p w14:paraId="7D6B588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介绍本文件的主要内容以及本文件所适用的领域。 </w:t>
      </w:r>
    </w:p>
    <w:p w14:paraId="33636BB9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2、规范性引用文件 </w:t>
      </w:r>
    </w:p>
    <w:p w14:paraId="3CDCA62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列出了本文件引用的标准文件。 </w:t>
      </w:r>
    </w:p>
    <w:p w14:paraId="4CDE692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3、术语和定义 </w:t>
      </w:r>
    </w:p>
    <w:p w14:paraId="1B77044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列出了本文件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需要</w:t>
      </w:r>
      <w:r>
        <w:rPr>
          <w:rFonts w:hint="eastAsia" w:ascii="宋体" w:hAnsi="宋体" w:eastAsia="宋体"/>
          <w:sz w:val="28"/>
          <w:szCs w:val="28"/>
        </w:rPr>
        <w:t>界定的术语和定义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59AC5AF8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4、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产品分类</w:t>
      </w:r>
    </w:p>
    <w:p w14:paraId="5DBF074F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根据使用功能不同，将硅胶密封件分为堵头、密封圈、其他功能件和防尘堵头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4A2E0D04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系统架构</w:t>
      </w:r>
    </w:p>
    <w:p w14:paraId="5CED13E2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智慧照明系统采用无线 mesh 大规模自组网灯孔协议去中心化结构，图示网络拓扑结构。</w:t>
      </w:r>
    </w:p>
    <w:p w14:paraId="15A003D1">
      <w:pPr>
        <w:numPr>
          <w:ilvl w:val="0"/>
          <w:numId w:val="4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系统设备</w:t>
      </w:r>
    </w:p>
    <w:p w14:paraId="6A39590B">
      <w:pPr>
        <w:numPr>
          <w:ilvl w:val="0"/>
          <w:numId w:val="0"/>
        </w:numPr>
        <w:spacing w:line="360" w:lineRule="auto"/>
        <w:ind w:firstLine="56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包括对控制设备、输入设备、输出设备和传感器等提出相应的技术要求。</w:t>
      </w:r>
    </w:p>
    <w:p w14:paraId="4D796F79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安全要求</w:t>
      </w:r>
    </w:p>
    <w:p w14:paraId="13DF8923">
      <w:pPr>
        <w:numPr>
          <w:ilvl w:val="0"/>
          <w:numId w:val="0"/>
        </w:numPr>
        <w:spacing w:line="360" w:lineRule="auto"/>
        <w:ind w:leftChars="0" w:firstLine="56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规定了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应符合的电气安全、系统信息安全等方面的内容。</w:t>
      </w:r>
    </w:p>
    <w:p w14:paraId="78AD0CFA">
      <w:pPr>
        <w:numPr>
          <w:ilvl w:val="0"/>
          <w:numId w:val="4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运行和维护</w:t>
      </w:r>
    </w:p>
    <w:p w14:paraId="4AD1D04B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  规范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技术运行维护要求。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</w:t>
      </w:r>
      <w:r>
        <w:rPr>
          <w:rFonts w:hint="eastAsia" w:ascii="宋体" w:hAnsi="宋体" w:eastAsia="宋体"/>
          <w:sz w:val="28"/>
          <w:szCs w:val="28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发展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  <w:bookmarkStart w:id="0" w:name="_GoBack"/>
      <w:bookmarkEnd w:id="0"/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地铁智慧照明技术规范</w:t>
      </w:r>
      <w:r>
        <w:rPr>
          <w:rFonts w:hint="eastAsia" w:ascii="宋体" w:hAnsi="宋体" w:eastAsia="宋体"/>
          <w:sz w:val="28"/>
          <w:szCs w:val="28"/>
        </w:rPr>
        <w:t>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2024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10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25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890BFA5"/>
    <w:multiLevelType w:val="singleLevel"/>
    <w:tmpl w:val="E890BFA5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10"/>
  <w:drawingGridVerticalSpacing w:val="29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380E259A"/>
    <w:rsid w:val="608E3F48"/>
    <w:rsid w:val="6B582350"/>
    <w:rsid w:val="7D7864E4"/>
    <w:rsid w:val="7F0136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2194</Words>
  <Characters>2227</Characters>
  <Lines>2</Lines>
  <Paragraphs>1</Paragraphs>
  <TotalTime>2</TotalTime>
  <ScaleCrop>false</ScaleCrop>
  <LinksUpToDate>false</LinksUpToDate>
  <CharactersWithSpaces>2268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2024-10-29T06:23:16Z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E74AD880ED1E481D969A33F3DE7C53B9_12</vt:lpwstr>
  </property>
</Properties>
</file>