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40" w:lineRule="atLeast"/>
        <w:rPr>
          <w:rFonts w:ascii="黑体" w:hAnsi="黑体" w:eastAsia="黑体" w:cs="黑体"/>
          <w:sz w:val="20"/>
          <w:szCs w:val="20"/>
        </w:rPr>
      </w:pPr>
      <w:r>
        <w:rPr>
          <w:rFonts w:ascii="Times New Roman" w:hAnsi="Times New Roman" w:eastAsia="黑体" w:cs="Times New Roman"/>
          <w:sz w:val="20"/>
          <w:szCs w:val="20"/>
        </w:rPr>
        <w:t>ICS</w:t>
      </w:r>
      <w:r>
        <w:rPr>
          <w:rFonts w:hint="eastAsia" w:ascii="黑体" w:hAnsi="黑体" w:eastAsia="黑体" w:cs="黑体"/>
          <w:sz w:val="20"/>
          <w:szCs w:val="20"/>
        </w:rPr>
        <w:t xml:space="preserve"> 号</w:t>
      </w:r>
    </w:p>
    <w:p>
      <w:pPr>
        <w:adjustRightInd w:val="0"/>
        <w:snapToGrid w:val="0"/>
        <w:spacing w:line="240" w:lineRule="atLeast"/>
        <w:rPr>
          <w:rFonts w:ascii="黑体" w:hAnsi="黑体" w:eastAsia="黑体" w:cs="黑体"/>
          <w:sz w:val="20"/>
          <w:szCs w:val="20"/>
        </w:rPr>
      </w:pPr>
      <w:r>
        <w:rPr>
          <w:rFonts w:hint="eastAsia" w:ascii="黑体" w:hAnsi="黑体" w:eastAsia="黑体" w:cs="黑体"/>
          <w:sz w:val="20"/>
          <w:szCs w:val="20"/>
        </w:rPr>
        <w:t>中国标准文献分类号</w:t>
      </w:r>
    </w:p>
    <w:p>
      <w:pPr>
        <w:adjustRightInd w:val="0"/>
        <w:snapToGrid w:val="0"/>
        <w:spacing w:line="240" w:lineRule="atLeast"/>
        <w:jc w:val="right"/>
        <w:rPr>
          <w:rFonts w:ascii="Times New Roman" w:hAnsi="Times New Roman" w:eastAsia="黑体" w:cs="Times New Roman"/>
          <w:b/>
          <w:bCs/>
          <w:sz w:val="96"/>
          <w:szCs w:val="96"/>
        </w:rPr>
      </w:pPr>
      <w:r>
        <w:rPr>
          <w:rFonts w:ascii="Times New Roman" w:hAnsi="Times New Roman" w:eastAsia="黑体" w:cs="Times New Roman"/>
          <w:b/>
          <w:bCs/>
          <w:sz w:val="96"/>
          <w:szCs w:val="96"/>
        </w:rPr>
        <w:t>T/SZNB</w:t>
      </w:r>
    </w:p>
    <w:p>
      <w:pPr>
        <w:adjustRightInd w:val="0"/>
        <w:snapToGrid w:val="0"/>
        <w:spacing w:line="240" w:lineRule="atLeast"/>
        <w:jc w:val="distribute"/>
        <w:rPr>
          <w:rFonts w:ascii="Times New Roman" w:hAnsi="Times New Roman" w:eastAsia="黑体" w:cs="Times New Roman"/>
          <w:b/>
          <w:bCs/>
          <w:sz w:val="72"/>
          <w:szCs w:val="72"/>
        </w:rPr>
      </w:pPr>
      <w:r>
        <w:rPr>
          <w:rFonts w:hint="eastAsia" w:ascii="Times New Roman" w:hAnsi="Times New Roman" w:eastAsia="黑体" w:cs="Times New Roman"/>
          <w:b/>
          <w:bCs/>
          <w:sz w:val="72"/>
          <w:szCs w:val="72"/>
        </w:rPr>
        <w:t>团体标准</w:t>
      </w:r>
    </w:p>
    <w:p>
      <w:pPr>
        <w:wordWrap w:val="0"/>
        <w:adjustRightInd w:val="0"/>
        <w:snapToGrid w:val="0"/>
        <w:spacing w:line="240" w:lineRule="atLeast"/>
        <w:jc w:val="right"/>
        <w:rPr>
          <w:rFonts w:ascii="Times New Roman" w:hAnsi="Times New Roman" w:eastAsia="黑体" w:cs="Times New Roman"/>
          <w:b/>
          <w:bCs/>
          <w:sz w:val="28"/>
          <w:szCs w:val="28"/>
        </w:rPr>
      </w:pPr>
    </w:p>
    <w:p>
      <w:pPr>
        <w:wordWrap w:val="0"/>
        <w:adjustRightInd w:val="0"/>
        <w:snapToGrid w:val="0"/>
        <w:spacing w:line="240" w:lineRule="atLeast"/>
        <w:jc w:val="right"/>
        <w:rPr>
          <w:rFonts w:ascii="Times New Roman" w:hAnsi="Times New Roman" w:eastAsia="黑体" w:cs="Times New Roman"/>
          <w:b/>
          <w:bCs/>
          <w:sz w:val="28"/>
          <w:szCs w:val="28"/>
        </w:rPr>
      </w:pPr>
      <w:r>
        <w:rPr>
          <w:rFonts w:hint="eastAsia" w:ascii="Times New Roman" w:hAnsi="Times New Roman" w:eastAsia="黑体" w:cs="Times New Roman"/>
          <w:sz w:val="28"/>
          <w:szCs w:val="28"/>
        </w:rPr>
        <w:t>T/SZNB XXXXX-XXXX</w:t>
      </w:r>
    </w:p>
    <w:p>
      <w:pPr>
        <w:adjustRightInd w:val="0"/>
        <w:snapToGrid w:val="0"/>
        <w:spacing w:line="240" w:lineRule="atLeast"/>
        <w:jc w:val="left"/>
        <w:rPr>
          <w:rFonts w:ascii="Times New Roman" w:hAnsi="Times New Roman" w:eastAsia="黑体" w:cs="Times New Roman"/>
          <w:b/>
          <w:bCs/>
          <w:sz w:val="28"/>
          <w:szCs w:val="28"/>
        </w:rPr>
      </w:pPr>
      <w:r>
        <w:rPr>
          <w:rFonts w:hint="eastAsia" w:ascii="Times New Roman" w:hAnsi="Times New Roman" w:eastAsia="黑体" w:cs="Times New Roman"/>
          <w:b/>
          <w:bCs/>
          <w:sz w:val="28"/>
          <w:szCs w:val="28"/>
          <w:u w:val="single"/>
        </w:rPr>
        <w:t xml:space="preserve">                                                                      </w:t>
      </w:r>
    </w:p>
    <w:p>
      <w:pPr>
        <w:adjustRightInd w:val="0"/>
        <w:snapToGrid w:val="0"/>
        <w:spacing w:line="240" w:lineRule="atLeast"/>
        <w:jc w:val="left"/>
        <w:rPr>
          <w:rFonts w:ascii="Times New Roman" w:hAnsi="Times New Roman" w:eastAsia="黑体" w:cs="Times New Roman"/>
          <w:b/>
          <w:bCs/>
          <w:sz w:val="28"/>
          <w:szCs w:val="28"/>
        </w:rPr>
      </w:pPr>
    </w:p>
    <w:p>
      <w:pPr>
        <w:adjustRightInd w:val="0"/>
        <w:snapToGrid w:val="0"/>
        <w:spacing w:line="240" w:lineRule="atLeast"/>
        <w:jc w:val="left"/>
        <w:rPr>
          <w:rFonts w:ascii="Times New Roman" w:hAnsi="Times New Roman" w:eastAsia="黑体" w:cs="Times New Roman"/>
          <w:b/>
          <w:bCs/>
          <w:sz w:val="28"/>
          <w:szCs w:val="28"/>
        </w:rPr>
      </w:pPr>
    </w:p>
    <w:p>
      <w:pPr>
        <w:adjustRightInd w:val="0"/>
        <w:snapToGrid w:val="0"/>
        <w:spacing w:line="240" w:lineRule="atLeast"/>
        <w:jc w:val="left"/>
        <w:rPr>
          <w:rFonts w:ascii="Times New Roman" w:hAnsi="Times New Roman" w:eastAsia="黑体" w:cs="Times New Roman"/>
          <w:b/>
          <w:bCs/>
          <w:sz w:val="28"/>
          <w:szCs w:val="28"/>
        </w:rPr>
      </w:pPr>
    </w:p>
    <w:p>
      <w:pPr>
        <w:adjustRightInd w:val="0"/>
        <w:snapToGrid w:val="0"/>
        <w:spacing w:line="240" w:lineRule="atLeast"/>
        <w:jc w:val="left"/>
        <w:rPr>
          <w:rFonts w:ascii="Times New Roman" w:hAnsi="Times New Roman" w:eastAsia="黑体" w:cs="Times New Roman"/>
          <w:b/>
          <w:bCs/>
          <w:sz w:val="28"/>
          <w:szCs w:val="28"/>
        </w:rPr>
      </w:pPr>
    </w:p>
    <w:p>
      <w:pPr>
        <w:adjustRightInd w:val="0"/>
        <w:snapToGrid w:val="0"/>
        <w:spacing w:line="240" w:lineRule="atLeast"/>
        <w:jc w:val="left"/>
        <w:rPr>
          <w:rFonts w:ascii="Times New Roman" w:hAnsi="Times New Roman" w:eastAsia="黑体" w:cs="Times New Roman"/>
          <w:b/>
          <w:bCs/>
          <w:sz w:val="28"/>
          <w:szCs w:val="28"/>
        </w:rPr>
      </w:pPr>
    </w:p>
    <w:p>
      <w:pPr>
        <w:adjustRightInd w:val="0"/>
        <w:snapToGrid w:val="0"/>
        <w:spacing w:line="240" w:lineRule="atLeast"/>
        <w:jc w:val="left"/>
        <w:rPr>
          <w:rFonts w:ascii="Times New Roman" w:hAnsi="Times New Roman" w:eastAsia="黑体" w:cs="Times New Roman"/>
          <w:b/>
          <w:bCs/>
          <w:sz w:val="28"/>
          <w:szCs w:val="28"/>
        </w:rPr>
      </w:pPr>
    </w:p>
    <w:p>
      <w:pPr>
        <w:adjustRightInd w:val="0"/>
        <w:snapToGrid w:val="0"/>
        <w:spacing w:line="240" w:lineRule="atLeast"/>
        <w:jc w:val="left"/>
        <w:rPr>
          <w:rFonts w:ascii="Times New Roman" w:hAnsi="Times New Roman" w:eastAsia="黑体" w:cs="Times New Roman"/>
          <w:b/>
          <w:bCs/>
          <w:sz w:val="28"/>
          <w:szCs w:val="28"/>
        </w:rPr>
      </w:pPr>
    </w:p>
    <w:p>
      <w:pPr>
        <w:adjustRightInd w:val="0"/>
        <w:snapToGrid w:val="0"/>
        <w:spacing w:line="240" w:lineRule="atLeast"/>
        <w:jc w:val="left"/>
        <w:rPr>
          <w:rFonts w:ascii="Times New Roman" w:hAnsi="Times New Roman" w:eastAsia="黑体" w:cs="Times New Roman"/>
          <w:b/>
          <w:bCs/>
          <w:sz w:val="28"/>
          <w:szCs w:val="28"/>
        </w:rPr>
      </w:pPr>
    </w:p>
    <w:p>
      <w:pPr>
        <w:adjustRightInd w:val="0"/>
        <w:snapToGrid w:val="0"/>
        <w:spacing w:line="240" w:lineRule="atLeast"/>
        <w:jc w:val="left"/>
        <w:rPr>
          <w:rFonts w:ascii="Times New Roman" w:hAnsi="Times New Roman" w:eastAsia="黑体" w:cs="Times New Roman"/>
          <w:b/>
          <w:bCs/>
          <w:sz w:val="28"/>
          <w:szCs w:val="28"/>
        </w:rPr>
      </w:pPr>
    </w:p>
    <w:p>
      <w:pPr>
        <w:adjustRightInd w:val="0"/>
        <w:snapToGrid w:val="0"/>
        <w:spacing w:line="240" w:lineRule="atLeast"/>
        <w:jc w:val="left"/>
        <w:rPr>
          <w:rFonts w:ascii="Times New Roman" w:hAnsi="Times New Roman" w:eastAsia="黑体" w:cs="Times New Roman"/>
          <w:b/>
          <w:bCs/>
          <w:sz w:val="28"/>
          <w:szCs w:val="28"/>
        </w:rPr>
      </w:pPr>
    </w:p>
    <w:p>
      <w:pPr>
        <w:adjustRightInd w:val="0"/>
        <w:snapToGrid w:val="0"/>
        <w:jc w:val="center"/>
        <w:rPr>
          <w:rFonts w:ascii="Times New Roman" w:hAnsi="Times New Roman" w:eastAsia="黑体" w:cs="Times New Roman"/>
          <w:sz w:val="52"/>
          <w:szCs w:val="52"/>
        </w:rPr>
      </w:pPr>
      <w:r>
        <w:rPr>
          <w:rFonts w:hint="eastAsia" w:ascii="Times New Roman" w:hAnsi="Times New Roman" w:eastAsia="黑体" w:cs="Times New Roman"/>
          <w:sz w:val="52"/>
          <w:szCs w:val="52"/>
        </w:rPr>
        <w:t>水果分级标准 库尔勒香梨</w:t>
      </w:r>
    </w:p>
    <w:p>
      <w:pPr>
        <w:adjustRightInd w:val="0"/>
        <w:snapToGrid w:val="0"/>
        <w:jc w:val="center"/>
        <w:outlineLvl w:val="0"/>
        <w:rPr>
          <w:rFonts w:ascii="Times New Roman" w:hAnsi="Times New Roman" w:eastAsia="黑体" w:cs="Times New Roman"/>
          <w:sz w:val="44"/>
          <w:szCs w:val="44"/>
        </w:rPr>
      </w:pPr>
      <w:bookmarkStart w:id="0" w:name="_Toc26717"/>
      <w:bookmarkStart w:id="1" w:name="_Toc30971"/>
      <w:bookmarkStart w:id="2" w:name="_Toc11760"/>
      <w:r>
        <w:rPr>
          <w:rFonts w:hint="eastAsia" w:ascii="Times New Roman" w:hAnsi="Times New Roman" w:eastAsia="黑体" w:cs="Times New Roman"/>
          <w:sz w:val="44"/>
          <w:szCs w:val="44"/>
        </w:rPr>
        <w:t>Fruit grading standard Korla fragrant pear</w:t>
      </w:r>
      <w:bookmarkEnd w:id="0"/>
      <w:bookmarkEnd w:id="1"/>
      <w:bookmarkEnd w:id="2"/>
    </w:p>
    <w:p>
      <w:pPr>
        <w:adjustRightInd w:val="0"/>
        <w:snapToGrid w:val="0"/>
        <w:jc w:val="center"/>
        <w:outlineLvl w:val="0"/>
        <w:rPr>
          <w:rFonts w:ascii="Times New Roman" w:hAnsi="Times New Roman" w:eastAsia="黑体" w:cs="Times New Roman"/>
          <w:sz w:val="36"/>
          <w:szCs w:val="36"/>
        </w:rPr>
      </w:pPr>
      <w:bookmarkStart w:id="3" w:name="_Toc21"/>
      <w:bookmarkStart w:id="4" w:name="_Toc21063"/>
      <w:bookmarkStart w:id="5" w:name="_Toc7264"/>
      <w:r>
        <w:rPr>
          <w:rFonts w:hint="eastAsia" w:ascii="Times New Roman" w:hAnsi="Times New Roman" w:eastAsia="黑体" w:cs="Times New Roman"/>
          <w:sz w:val="32"/>
          <w:szCs w:val="32"/>
        </w:rPr>
        <w:t>（征求意见稿）</w:t>
      </w:r>
      <w:bookmarkEnd w:id="3"/>
      <w:bookmarkEnd w:id="4"/>
      <w:bookmarkEnd w:id="5"/>
    </w:p>
    <w:p>
      <w:pPr>
        <w:jc w:val="center"/>
        <w:rPr>
          <w:rFonts w:ascii="Times New Roman" w:hAnsi="Times New Roman" w:eastAsia="黑体" w:cs="Times New Roman"/>
          <w:b/>
          <w:bCs/>
          <w:sz w:val="28"/>
          <w:szCs w:val="28"/>
        </w:rPr>
      </w:pPr>
    </w:p>
    <w:p>
      <w:pPr>
        <w:jc w:val="left"/>
        <w:rPr>
          <w:rFonts w:ascii="Times New Roman" w:hAnsi="Times New Roman" w:eastAsia="黑体" w:cs="Times New Roman"/>
          <w:b/>
          <w:bCs/>
          <w:sz w:val="28"/>
          <w:szCs w:val="28"/>
        </w:rPr>
      </w:pPr>
    </w:p>
    <w:p>
      <w:pPr>
        <w:jc w:val="left"/>
        <w:rPr>
          <w:rFonts w:ascii="Times New Roman" w:hAnsi="Times New Roman" w:eastAsia="黑体" w:cs="Times New Roman"/>
          <w:b/>
          <w:bCs/>
          <w:sz w:val="28"/>
          <w:szCs w:val="28"/>
        </w:rPr>
      </w:pPr>
    </w:p>
    <w:p>
      <w:pPr>
        <w:jc w:val="left"/>
        <w:rPr>
          <w:rFonts w:ascii="Times New Roman" w:hAnsi="Times New Roman" w:eastAsia="黑体" w:cs="Times New Roman"/>
          <w:b/>
          <w:bCs/>
          <w:sz w:val="28"/>
          <w:szCs w:val="28"/>
        </w:rPr>
      </w:pPr>
    </w:p>
    <w:p>
      <w:pPr>
        <w:jc w:val="left"/>
        <w:rPr>
          <w:rFonts w:ascii="Times New Roman" w:hAnsi="Times New Roman" w:eastAsia="黑体" w:cs="Times New Roman"/>
          <w:b/>
          <w:bCs/>
          <w:sz w:val="28"/>
          <w:szCs w:val="28"/>
        </w:rPr>
      </w:pPr>
    </w:p>
    <w:p>
      <w:pPr>
        <w:jc w:val="left"/>
        <w:rPr>
          <w:rFonts w:ascii="Times New Roman" w:hAnsi="Times New Roman" w:eastAsia="黑体" w:cs="Times New Roman"/>
          <w:sz w:val="28"/>
          <w:szCs w:val="28"/>
          <w:u w:val="single"/>
        </w:rPr>
      </w:pPr>
      <w:r>
        <w:rPr>
          <w:rFonts w:hint="eastAsia" w:ascii="Times New Roman" w:hAnsi="Times New Roman" w:eastAsia="黑体" w:cs="Times New Roman"/>
          <w:sz w:val="28"/>
          <w:szCs w:val="28"/>
          <w:u w:val="single"/>
        </w:rPr>
        <w:t>XXXX-XX-XX发布                                   XXXX-XX-XX实施</w:t>
      </w:r>
    </w:p>
    <w:p>
      <w:pPr>
        <w:jc w:val="left"/>
        <w:rPr>
          <w:rFonts w:ascii="Times New Roman" w:hAnsi="Times New Roman" w:eastAsia="黑体" w:cs="Times New Roman"/>
          <w:sz w:val="28"/>
          <w:szCs w:val="28"/>
        </w:rPr>
      </w:pPr>
    </w:p>
    <w:p>
      <w:pPr>
        <w:jc w:val="center"/>
        <w:rPr>
          <w:rFonts w:ascii="黑体" w:hAnsi="黑体" w:eastAsia="黑体" w:cs="黑体"/>
          <w:sz w:val="20"/>
          <w:szCs w:val="20"/>
        </w:rPr>
        <w:sectPr>
          <w:headerReference r:id="rId3" w:type="default"/>
          <w:pgSz w:w="11906" w:h="16838"/>
          <w:pgMar w:top="1440" w:right="1080" w:bottom="1440" w:left="1080" w:header="851" w:footer="992" w:gutter="0"/>
          <w:cols w:space="425" w:num="1"/>
          <w:docGrid w:type="lines" w:linePitch="312" w:charSpace="0"/>
        </w:sectPr>
      </w:pPr>
      <w:r>
        <w:rPr>
          <w:rFonts w:hint="eastAsia" w:ascii="Times New Roman" w:hAnsi="Times New Roman" w:eastAsia="黑体" w:cs="Times New Roman"/>
          <w:sz w:val="32"/>
          <w:szCs w:val="32"/>
        </w:rPr>
        <w:t>深圳市农业产业化龙头企业协会     发布</w:t>
      </w:r>
    </w:p>
    <w:p>
      <w:pPr>
        <w:jc w:val="right"/>
        <w:rPr>
          <w:rFonts w:ascii="Times New Roman" w:hAnsi="Times New Roman" w:eastAsia="黑体"/>
          <w:sz w:val="20"/>
          <w:szCs w:val="20"/>
        </w:rPr>
      </w:pPr>
      <w:r>
        <w:rPr>
          <w:rFonts w:hint="eastAsia" w:ascii="黑体" w:hAnsi="黑体" w:eastAsia="黑体" w:cs="黑体"/>
          <w:sz w:val="20"/>
          <w:szCs w:val="20"/>
        </w:rPr>
        <w:t>T/SZNB XXXXX-XXXX</w:t>
      </w:r>
    </w:p>
    <w:p>
      <w:pPr>
        <w:rPr>
          <w:rFonts w:ascii="黑体" w:hAnsi="黑体" w:eastAsia="黑体" w:cs="黑体"/>
          <w:sz w:val="20"/>
          <w:szCs w:val="20"/>
        </w:rPr>
      </w:pPr>
    </w:p>
    <w:p>
      <w:pPr>
        <w:jc w:val="right"/>
        <w:rPr>
          <w:rFonts w:ascii="Times New Roman" w:hAnsi="Times New Roman" w:eastAsia="黑体"/>
          <w:sz w:val="20"/>
          <w:szCs w:val="20"/>
        </w:rPr>
      </w:pPr>
    </w:p>
    <w:p>
      <w:pPr>
        <w:jc w:val="right"/>
        <w:rPr>
          <w:rFonts w:ascii="Times New Roman" w:hAnsi="Times New Roman" w:eastAsia="黑体"/>
          <w:sz w:val="20"/>
          <w:szCs w:val="20"/>
        </w:rPr>
      </w:pPr>
    </w:p>
    <w:p>
      <w:pPr>
        <w:jc w:val="center"/>
        <w:rPr>
          <w:rFonts w:ascii="Times New Roman" w:hAnsi="Times New Roman" w:eastAsia="黑体"/>
          <w:sz w:val="32"/>
          <w:szCs w:val="32"/>
        </w:rPr>
      </w:pPr>
      <w:r>
        <w:rPr>
          <w:rFonts w:hint="eastAsia" w:ascii="Times New Roman" w:hAnsi="Times New Roman" w:eastAsia="黑体"/>
          <w:sz w:val="32"/>
          <w:szCs w:val="32"/>
        </w:rPr>
        <w:t>目   录</w:t>
      </w:r>
    </w:p>
    <w:sdt>
      <w:sdtPr>
        <w:rPr>
          <w:rFonts w:ascii="宋体" w:hAnsi="宋体" w:eastAsia="宋体"/>
        </w:rPr>
        <w:id w:val="147455573"/>
        <w:docPartObj>
          <w:docPartGallery w:val="Table of Contents"/>
          <w:docPartUnique/>
        </w:docPartObj>
      </w:sdtPr>
      <w:sdtEndPr>
        <w:rPr>
          <w:rFonts w:hint="eastAsia" w:ascii="Times New Roman" w:hAnsi="Times New Roman" w:eastAsia="黑体"/>
          <w:szCs w:val="32"/>
        </w:rPr>
      </w:sdtEndPr>
      <w:sdtContent>
        <w:p>
          <w:pPr>
            <w:spacing w:before="0" w:beforeLines="0" w:after="0" w:afterLines="0" w:line="240" w:lineRule="auto"/>
            <w:ind w:left="0" w:leftChars="0" w:right="0" w:rightChars="0" w:firstLine="0" w:firstLineChars="0"/>
            <w:jc w:val="center"/>
          </w:pPr>
          <w:r>
            <w:rPr>
              <w:rFonts w:hint="eastAsia" w:ascii="Times New Roman" w:hAnsi="Times New Roman" w:eastAsia="黑体"/>
              <w:sz w:val="32"/>
              <w:szCs w:val="32"/>
            </w:rPr>
            <w:fldChar w:fldCharType="begin"/>
          </w:r>
          <w:r>
            <w:rPr>
              <w:rFonts w:hint="eastAsia" w:ascii="Times New Roman" w:hAnsi="Times New Roman" w:eastAsia="黑体"/>
              <w:sz w:val="32"/>
              <w:szCs w:val="32"/>
            </w:rPr>
            <w:instrText xml:space="preserve">TOC \o "1-1" \h \u </w:instrText>
          </w:r>
          <w:r>
            <w:rPr>
              <w:rFonts w:hint="eastAsia" w:ascii="Times New Roman" w:hAnsi="Times New Roman" w:eastAsia="黑体"/>
              <w:sz w:val="32"/>
              <w:szCs w:val="32"/>
            </w:rPr>
            <w:fldChar w:fldCharType="separate"/>
          </w:r>
        </w:p>
        <w:p>
          <w:pPr>
            <w:pStyle w:val="6"/>
            <w:tabs>
              <w:tab w:val="right" w:leader="dot" w:pos="9746"/>
            </w:tabs>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\l _Toc6550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前   言</w:t>
          </w:r>
          <w:r>
            <w:rPr>
              <w:rFonts w:hint="eastAsia" w:asciiTheme="minorEastAsia" w:hAnsiTheme="minorEastAsia" w:eastAsiaTheme="minorEastAsia" w:cstheme="minorEastAsia"/>
              <w:sz w:val="20"/>
              <w:szCs w:val="20"/>
            </w:rPr>
            <w:tab/>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PAGEREF _Toc6550 \h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1</w:t>
          </w:r>
          <w:r>
            <w:rPr>
              <w:rFonts w:hint="eastAsia" w:asciiTheme="minorEastAsia" w:hAnsiTheme="minorEastAsia" w:eastAsiaTheme="minorEastAsia" w:cstheme="minorEastAsia"/>
              <w:sz w:val="20"/>
              <w:szCs w:val="20"/>
            </w:rPr>
            <w:fldChar w:fldCharType="end"/>
          </w:r>
          <w:r>
            <w:rPr>
              <w:rFonts w:hint="eastAsia" w:asciiTheme="minorEastAsia" w:hAnsiTheme="minorEastAsia" w:eastAsiaTheme="minorEastAsia" w:cstheme="minorEastAsia"/>
              <w:sz w:val="20"/>
              <w:szCs w:val="20"/>
            </w:rPr>
            <w:fldChar w:fldCharType="end"/>
          </w:r>
        </w:p>
        <w:p>
          <w:pPr>
            <w:pStyle w:val="6"/>
            <w:tabs>
              <w:tab w:val="right" w:leader="dot" w:pos="9746"/>
            </w:tabs>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\l _Toc10642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1  范围</w:t>
          </w:r>
          <w:r>
            <w:rPr>
              <w:rFonts w:hint="eastAsia" w:asciiTheme="minorEastAsia" w:hAnsiTheme="minorEastAsia" w:eastAsiaTheme="minorEastAsia" w:cstheme="minorEastAsia"/>
              <w:sz w:val="20"/>
              <w:szCs w:val="20"/>
            </w:rPr>
            <w:tab/>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PAGEREF _Toc10642 \h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2</w:t>
          </w:r>
          <w:r>
            <w:rPr>
              <w:rFonts w:hint="eastAsia" w:asciiTheme="minorEastAsia" w:hAnsiTheme="minorEastAsia" w:eastAsiaTheme="minorEastAsia" w:cstheme="minorEastAsia"/>
              <w:sz w:val="20"/>
              <w:szCs w:val="20"/>
            </w:rPr>
            <w:fldChar w:fldCharType="end"/>
          </w:r>
          <w:r>
            <w:rPr>
              <w:rFonts w:hint="eastAsia" w:asciiTheme="minorEastAsia" w:hAnsiTheme="minorEastAsia" w:eastAsiaTheme="minorEastAsia" w:cstheme="minorEastAsia"/>
              <w:sz w:val="20"/>
              <w:szCs w:val="20"/>
            </w:rPr>
            <w:fldChar w:fldCharType="end"/>
          </w:r>
        </w:p>
        <w:p>
          <w:pPr>
            <w:pStyle w:val="6"/>
            <w:tabs>
              <w:tab w:val="right" w:leader="dot" w:pos="9746"/>
            </w:tabs>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\l _Toc32567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2  规范性引用文件</w:t>
          </w:r>
          <w:r>
            <w:rPr>
              <w:rFonts w:hint="eastAsia" w:asciiTheme="minorEastAsia" w:hAnsiTheme="minorEastAsia" w:eastAsiaTheme="minorEastAsia" w:cstheme="minorEastAsia"/>
              <w:sz w:val="20"/>
              <w:szCs w:val="20"/>
            </w:rPr>
            <w:tab/>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PAGEREF _Toc32567 \h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2</w:t>
          </w:r>
          <w:r>
            <w:rPr>
              <w:rFonts w:hint="eastAsia" w:asciiTheme="minorEastAsia" w:hAnsiTheme="minorEastAsia" w:eastAsiaTheme="minorEastAsia" w:cstheme="minorEastAsia"/>
              <w:sz w:val="20"/>
              <w:szCs w:val="20"/>
            </w:rPr>
            <w:fldChar w:fldCharType="end"/>
          </w:r>
          <w:r>
            <w:rPr>
              <w:rFonts w:hint="eastAsia" w:asciiTheme="minorEastAsia" w:hAnsiTheme="minorEastAsia" w:eastAsiaTheme="minorEastAsia" w:cstheme="minorEastAsia"/>
              <w:sz w:val="20"/>
              <w:szCs w:val="20"/>
            </w:rPr>
            <w:fldChar w:fldCharType="end"/>
          </w:r>
        </w:p>
        <w:p>
          <w:pPr>
            <w:pStyle w:val="6"/>
            <w:tabs>
              <w:tab w:val="right" w:leader="dot" w:pos="9746"/>
            </w:tabs>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\l _Toc22570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3  术语和定义</w:t>
          </w:r>
          <w:r>
            <w:rPr>
              <w:rFonts w:hint="eastAsia" w:asciiTheme="minorEastAsia" w:hAnsiTheme="minorEastAsia" w:eastAsiaTheme="minorEastAsia" w:cstheme="minorEastAsia"/>
              <w:sz w:val="20"/>
              <w:szCs w:val="20"/>
            </w:rPr>
            <w:tab/>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PAGEREF _Toc22570 \h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2</w:t>
          </w:r>
          <w:r>
            <w:rPr>
              <w:rFonts w:hint="eastAsia" w:asciiTheme="minorEastAsia" w:hAnsiTheme="minorEastAsia" w:eastAsiaTheme="minorEastAsia" w:cstheme="minorEastAsia"/>
              <w:sz w:val="20"/>
              <w:szCs w:val="20"/>
            </w:rPr>
            <w:fldChar w:fldCharType="end"/>
          </w:r>
          <w:r>
            <w:rPr>
              <w:rFonts w:hint="eastAsia" w:asciiTheme="minorEastAsia" w:hAnsiTheme="minorEastAsia" w:eastAsiaTheme="minorEastAsia" w:cstheme="minorEastAsia"/>
              <w:sz w:val="20"/>
              <w:szCs w:val="20"/>
            </w:rPr>
            <w:fldChar w:fldCharType="end"/>
          </w:r>
        </w:p>
        <w:p>
          <w:pPr>
            <w:pStyle w:val="6"/>
            <w:tabs>
              <w:tab w:val="right" w:leader="dot" w:pos="9746"/>
            </w:tabs>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\l _Toc16291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4  质量分级评价</w:t>
          </w:r>
          <w:r>
            <w:rPr>
              <w:rFonts w:hint="eastAsia" w:asciiTheme="minorEastAsia" w:hAnsiTheme="minorEastAsia" w:eastAsiaTheme="minorEastAsia" w:cstheme="minorEastAsia"/>
              <w:sz w:val="20"/>
              <w:szCs w:val="20"/>
            </w:rPr>
            <w:tab/>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PAGEREF _Toc16291 \h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3</w:t>
          </w:r>
          <w:r>
            <w:rPr>
              <w:rFonts w:hint="eastAsia" w:asciiTheme="minorEastAsia" w:hAnsiTheme="minorEastAsia" w:eastAsiaTheme="minorEastAsia" w:cstheme="minorEastAsia"/>
              <w:sz w:val="20"/>
              <w:szCs w:val="20"/>
            </w:rPr>
            <w:fldChar w:fldCharType="end"/>
          </w:r>
          <w:r>
            <w:rPr>
              <w:rFonts w:hint="eastAsia" w:asciiTheme="minorEastAsia" w:hAnsiTheme="minorEastAsia" w:eastAsiaTheme="minorEastAsia" w:cstheme="minorEastAsia"/>
              <w:sz w:val="20"/>
              <w:szCs w:val="20"/>
            </w:rPr>
            <w:fldChar w:fldCharType="end"/>
          </w:r>
        </w:p>
        <w:p>
          <w:pPr>
            <w:pStyle w:val="6"/>
            <w:tabs>
              <w:tab w:val="right" w:leader="dot" w:pos="9746"/>
            </w:tabs>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\l _Toc29296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 xml:space="preserve">5 </w:t>
          </w:r>
          <w:r>
            <w:rPr>
              <w:rFonts w:hint="eastAsia" w:asciiTheme="minorEastAsia" w:hAnsiTheme="minorEastAsia" w:eastAsiaTheme="minorEastAsia" w:cstheme="minorEastAsia"/>
              <w:sz w:val="20"/>
              <w:szCs w:val="20"/>
              <w:lang w:val="en-US" w:eastAsia="zh-CN"/>
            </w:rPr>
            <w:t xml:space="preserve"> </w:t>
          </w:r>
          <w:r>
            <w:rPr>
              <w:rFonts w:hint="eastAsia" w:asciiTheme="minorEastAsia" w:hAnsiTheme="minorEastAsia" w:eastAsiaTheme="minorEastAsia" w:cstheme="minorEastAsia"/>
              <w:sz w:val="20"/>
              <w:szCs w:val="20"/>
            </w:rPr>
            <w:t>容许度要求</w:t>
          </w:r>
          <w:r>
            <w:rPr>
              <w:rFonts w:hint="eastAsia" w:asciiTheme="minorEastAsia" w:hAnsiTheme="minorEastAsia" w:eastAsiaTheme="minorEastAsia" w:cstheme="minorEastAsia"/>
              <w:sz w:val="20"/>
              <w:szCs w:val="20"/>
            </w:rPr>
            <w:tab/>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PAGEREF _Toc29296 \h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4</w:t>
          </w:r>
          <w:r>
            <w:rPr>
              <w:rFonts w:hint="eastAsia" w:asciiTheme="minorEastAsia" w:hAnsiTheme="minorEastAsia" w:eastAsiaTheme="minorEastAsia" w:cstheme="minorEastAsia"/>
              <w:sz w:val="20"/>
              <w:szCs w:val="20"/>
            </w:rPr>
            <w:fldChar w:fldCharType="end"/>
          </w:r>
          <w:r>
            <w:rPr>
              <w:rFonts w:hint="eastAsia" w:asciiTheme="minorEastAsia" w:hAnsiTheme="minorEastAsia" w:eastAsiaTheme="minorEastAsia" w:cstheme="minorEastAsia"/>
              <w:sz w:val="20"/>
              <w:szCs w:val="20"/>
            </w:rPr>
            <w:fldChar w:fldCharType="end"/>
          </w:r>
        </w:p>
        <w:p>
          <w:pPr>
            <w:pStyle w:val="6"/>
            <w:tabs>
              <w:tab w:val="right" w:leader="dot" w:pos="9746"/>
            </w:tabs>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\l _Toc7630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6  试验方法</w:t>
          </w:r>
          <w:r>
            <w:rPr>
              <w:rFonts w:hint="eastAsia" w:asciiTheme="minorEastAsia" w:hAnsiTheme="minorEastAsia" w:eastAsiaTheme="minorEastAsia" w:cstheme="minorEastAsia"/>
              <w:sz w:val="20"/>
              <w:szCs w:val="20"/>
            </w:rPr>
            <w:tab/>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PAGEREF _Toc7630 \h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4</w:t>
          </w:r>
          <w:r>
            <w:rPr>
              <w:rFonts w:hint="eastAsia" w:asciiTheme="minorEastAsia" w:hAnsiTheme="minorEastAsia" w:eastAsiaTheme="minorEastAsia" w:cstheme="minorEastAsia"/>
              <w:sz w:val="20"/>
              <w:szCs w:val="20"/>
            </w:rPr>
            <w:fldChar w:fldCharType="end"/>
          </w:r>
          <w:r>
            <w:rPr>
              <w:rFonts w:hint="eastAsia" w:asciiTheme="minorEastAsia" w:hAnsiTheme="minorEastAsia" w:eastAsiaTheme="minorEastAsia" w:cstheme="minorEastAsia"/>
              <w:sz w:val="20"/>
              <w:szCs w:val="20"/>
            </w:rPr>
            <w:fldChar w:fldCharType="end"/>
          </w:r>
        </w:p>
        <w:p>
          <w:pPr>
            <w:pStyle w:val="6"/>
            <w:tabs>
              <w:tab w:val="right" w:leader="dot" w:pos="9746"/>
            </w:tabs>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\l _Toc4630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7  包装、标志、贮存和运输</w:t>
          </w:r>
          <w:r>
            <w:rPr>
              <w:rFonts w:hint="eastAsia" w:asciiTheme="minorEastAsia" w:hAnsiTheme="minorEastAsia" w:eastAsiaTheme="minorEastAsia" w:cstheme="minorEastAsia"/>
              <w:sz w:val="20"/>
              <w:szCs w:val="20"/>
            </w:rPr>
            <w:tab/>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PAGEREF _Toc4630 \h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5</w:t>
          </w:r>
          <w:r>
            <w:rPr>
              <w:rFonts w:hint="eastAsia" w:asciiTheme="minorEastAsia" w:hAnsiTheme="minorEastAsia" w:eastAsiaTheme="minorEastAsia" w:cstheme="minorEastAsia"/>
              <w:sz w:val="20"/>
              <w:szCs w:val="20"/>
            </w:rPr>
            <w:fldChar w:fldCharType="end"/>
          </w:r>
          <w:r>
            <w:rPr>
              <w:rFonts w:hint="eastAsia" w:asciiTheme="minorEastAsia" w:hAnsiTheme="minorEastAsia" w:eastAsiaTheme="minorEastAsia" w:cstheme="minorEastAsia"/>
              <w:sz w:val="20"/>
              <w:szCs w:val="20"/>
            </w:rPr>
            <w:fldChar w:fldCharType="end"/>
          </w:r>
        </w:p>
        <w:p>
          <w:pPr>
            <w:pStyle w:val="6"/>
            <w:tabs>
              <w:tab w:val="right" w:leader="dot" w:pos="9746"/>
            </w:tabs>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\l _Toc19719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附  录  A</w:t>
          </w:r>
          <w:r>
            <w:rPr>
              <w:rFonts w:hint="eastAsia" w:asciiTheme="minorEastAsia" w:hAnsiTheme="minorEastAsia" w:eastAsiaTheme="minorEastAsia" w:cstheme="minorEastAsia"/>
              <w:sz w:val="20"/>
              <w:szCs w:val="20"/>
            </w:rPr>
            <w:tab/>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PAGEREF _Toc19719 \h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7</w:t>
          </w:r>
          <w:r>
            <w:rPr>
              <w:rFonts w:hint="eastAsia" w:asciiTheme="minorEastAsia" w:hAnsiTheme="minorEastAsia" w:eastAsiaTheme="minorEastAsia" w:cstheme="minorEastAsia"/>
              <w:sz w:val="20"/>
              <w:szCs w:val="20"/>
            </w:rPr>
            <w:fldChar w:fldCharType="end"/>
          </w:r>
          <w:r>
            <w:rPr>
              <w:rFonts w:hint="eastAsia" w:asciiTheme="minorEastAsia" w:hAnsiTheme="minorEastAsia" w:eastAsiaTheme="minorEastAsia" w:cstheme="minorEastAsia"/>
              <w:sz w:val="20"/>
              <w:szCs w:val="20"/>
            </w:rPr>
            <w:fldChar w:fldCharType="end"/>
          </w:r>
        </w:p>
        <w:p>
          <w:pPr>
            <w:pStyle w:val="6"/>
            <w:tabs>
              <w:tab w:val="right" w:leader="dot" w:pos="9746"/>
            </w:tabs>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\l _Toc23042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 xml:space="preserve">附  录  </w:t>
          </w:r>
          <w:r>
            <w:rPr>
              <w:rFonts w:hint="eastAsia" w:asciiTheme="minorEastAsia" w:hAnsiTheme="minorEastAsia" w:eastAsiaTheme="minorEastAsia" w:cstheme="minorEastAsia"/>
              <w:sz w:val="20"/>
              <w:szCs w:val="20"/>
              <w:lang w:val="en-US" w:eastAsia="zh-CN"/>
            </w:rPr>
            <w:t>B</w:t>
          </w:r>
          <w:r>
            <w:rPr>
              <w:rFonts w:hint="eastAsia" w:asciiTheme="minorEastAsia" w:hAnsiTheme="minorEastAsia" w:eastAsiaTheme="minorEastAsia" w:cstheme="minorEastAsia"/>
              <w:sz w:val="20"/>
              <w:szCs w:val="20"/>
            </w:rPr>
            <w:tab/>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PAGEREF _Toc23042 \h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11</w:t>
          </w:r>
          <w:r>
            <w:rPr>
              <w:rFonts w:hint="eastAsia" w:asciiTheme="minorEastAsia" w:hAnsiTheme="minorEastAsia" w:eastAsiaTheme="minorEastAsia" w:cstheme="minorEastAsia"/>
              <w:sz w:val="20"/>
              <w:szCs w:val="20"/>
            </w:rPr>
            <w:fldChar w:fldCharType="end"/>
          </w:r>
          <w:r>
            <w:rPr>
              <w:rFonts w:hint="eastAsia" w:asciiTheme="minorEastAsia" w:hAnsiTheme="minorEastAsia" w:eastAsiaTheme="minorEastAsia" w:cstheme="minorEastAsia"/>
              <w:sz w:val="20"/>
              <w:szCs w:val="20"/>
            </w:rPr>
            <w:fldChar w:fldCharType="end"/>
          </w:r>
        </w:p>
        <w:p>
          <w:pPr>
            <w:spacing w:before="0" w:beforeLines="0" w:after="0" w:afterLines="0" w:line="240" w:lineRule="auto"/>
            <w:ind w:left="0" w:leftChars="0" w:right="0" w:rightChars="0" w:firstLine="0" w:firstLineChars="0"/>
            <w:jc w:val="center"/>
            <w:rPr>
              <w:rFonts w:ascii="Times New Roman" w:hAnsi="Times New Roman" w:eastAsia="黑体"/>
              <w:szCs w:val="32"/>
            </w:rPr>
          </w:pPr>
          <w:r>
            <w:rPr>
              <w:rFonts w:hint="eastAsia" w:ascii="Times New Roman" w:hAnsi="Times New Roman" w:eastAsia="黑体"/>
              <w:szCs w:val="32"/>
            </w:rPr>
            <w:fldChar w:fldCharType="end"/>
          </w:r>
        </w:p>
      </w:sdtContent>
    </w:sdt>
    <w:p>
      <w:pPr>
        <w:jc w:val="left"/>
        <w:rPr>
          <w:rFonts w:ascii="Times New Roman" w:hAnsi="Times New Roman" w:eastAsia="黑体"/>
          <w:szCs w:val="32"/>
        </w:rPr>
      </w:pPr>
    </w:p>
    <w:p>
      <w:pPr>
        <w:adjustRightInd w:val="0"/>
        <w:snapToGrid w:val="0"/>
        <w:spacing w:line="460" w:lineRule="exact"/>
        <w:ind w:firstLine="640" w:firstLineChars="200"/>
        <w:jc w:val="left"/>
        <w:rPr>
          <w:rFonts w:ascii="Times New Roman" w:hAnsi="Times New Roman" w:eastAsia="黑体"/>
          <w:sz w:val="32"/>
          <w:szCs w:val="32"/>
        </w:rPr>
      </w:pPr>
    </w:p>
    <w:p>
      <w:pPr>
        <w:jc w:val="right"/>
        <w:rPr>
          <w:rFonts w:ascii="黑体" w:hAnsi="黑体" w:eastAsia="黑体" w:cs="黑体"/>
          <w:sz w:val="20"/>
          <w:szCs w:val="20"/>
        </w:rPr>
        <w:sectPr>
          <w:footerReference r:id="rId4" w:type="default"/>
          <w:pgSz w:w="11906" w:h="16838"/>
          <w:pgMar w:top="1440" w:right="1080" w:bottom="1440" w:left="1080" w:header="851" w:footer="992" w:gutter="0"/>
          <w:pgNumType w:start="1"/>
          <w:cols w:space="425" w:num="1"/>
          <w:docGrid w:type="lines" w:linePitch="312" w:charSpace="0"/>
        </w:sectPr>
      </w:pPr>
    </w:p>
    <w:p>
      <w:pPr>
        <w:jc w:val="right"/>
        <w:rPr>
          <w:rFonts w:ascii="Times New Roman" w:hAnsi="Times New Roman" w:eastAsia="黑体"/>
          <w:sz w:val="20"/>
          <w:szCs w:val="20"/>
        </w:rPr>
      </w:pPr>
      <w:r>
        <w:rPr>
          <w:rFonts w:hint="eastAsia" w:ascii="黑体" w:hAnsi="黑体" w:eastAsia="黑体" w:cs="黑体"/>
          <w:sz w:val="20"/>
          <w:szCs w:val="20"/>
        </w:rPr>
        <w:t>T/SZNB XXXXX-XXXX</w:t>
      </w:r>
    </w:p>
    <w:p>
      <w:pPr>
        <w:jc w:val="right"/>
        <w:rPr>
          <w:rFonts w:ascii="Times New Roman" w:hAnsi="Times New Roman" w:eastAsia="黑体" w:cs="Times New Roman"/>
          <w:sz w:val="20"/>
          <w:szCs w:val="20"/>
        </w:rPr>
      </w:pPr>
    </w:p>
    <w:p>
      <w:pPr>
        <w:jc w:val="right"/>
        <w:rPr>
          <w:rFonts w:ascii="Times New Roman" w:hAnsi="Times New Roman" w:eastAsia="黑体" w:cs="Times New Roman"/>
          <w:sz w:val="20"/>
          <w:szCs w:val="20"/>
        </w:rPr>
      </w:pPr>
    </w:p>
    <w:p>
      <w:pPr>
        <w:jc w:val="right"/>
        <w:rPr>
          <w:rFonts w:ascii="Times New Roman" w:hAnsi="Times New Roman" w:eastAsia="黑体" w:cs="Times New Roman"/>
          <w:sz w:val="20"/>
          <w:szCs w:val="20"/>
        </w:rPr>
      </w:pPr>
    </w:p>
    <w:p>
      <w:pPr>
        <w:jc w:val="center"/>
        <w:outlineLvl w:val="0"/>
        <w:rPr>
          <w:rFonts w:ascii="Times New Roman" w:hAnsi="Times New Roman" w:eastAsia="黑体" w:cs="Times New Roman"/>
          <w:sz w:val="32"/>
          <w:szCs w:val="32"/>
        </w:rPr>
      </w:pPr>
      <w:bookmarkStart w:id="6" w:name="_Toc6550"/>
      <w:r>
        <w:rPr>
          <w:rFonts w:hint="eastAsia" w:ascii="Times New Roman" w:hAnsi="Times New Roman" w:eastAsia="黑体" w:cs="Times New Roman"/>
          <w:sz w:val="32"/>
          <w:szCs w:val="32"/>
        </w:rPr>
        <w:t>前   言</w:t>
      </w:r>
      <w:bookmarkEnd w:id="6"/>
    </w:p>
    <w:p>
      <w:pPr>
        <w:adjustRightInd w:val="0"/>
        <w:snapToGrid w:val="0"/>
        <w:spacing w:line="460" w:lineRule="exact"/>
        <w:ind w:firstLine="640" w:firstLineChars="200"/>
        <w:jc w:val="left"/>
        <w:rPr>
          <w:rFonts w:ascii="Times New Roman" w:hAnsi="Times New Roman" w:eastAsia="黑体" w:cs="Times New Roman"/>
          <w:sz w:val="32"/>
          <w:szCs w:val="32"/>
        </w:rPr>
      </w:pPr>
    </w:p>
    <w:p>
      <w:pPr>
        <w:adjustRightInd w:val="0"/>
        <w:snapToGrid w:val="0"/>
        <w:ind w:firstLine="436" w:firstLineChars="200"/>
        <w:rPr>
          <w:rFonts w:hint="eastAsia" w:asciiTheme="minorEastAsia" w:hAnsiTheme="minorEastAsia" w:eastAsiaTheme="minorEastAsia" w:cstheme="minorEastAsia"/>
          <w:spacing w:val="-1"/>
          <w:sz w:val="20"/>
          <w:szCs w:val="20"/>
        </w:rPr>
      </w:pPr>
      <w:r>
        <w:rPr>
          <w:rFonts w:hint="eastAsia" w:asciiTheme="minorEastAsia" w:hAnsiTheme="minorEastAsia" w:eastAsiaTheme="minorEastAsia" w:cstheme="minorEastAsia"/>
          <w:spacing w:val="9"/>
          <w:sz w:val="20"/>
          <w:szCs w:val="20"/>
        </w:rPr>
        <w:t>本文件按照</w:t>
      </w:r>
      <w:r>
        <w:rPr>
          <w:rFonts w:hint="eastAsia" w:asciiTheme="minorEastAsia" w:hAnsiTheme="minorEastAsia" w:eastAsiaTheme="minorEastAsia" w:cstheme="minorEastAsia"/>
          <w:sz w:val="20"/>
          <w:szCs w:val="20"/>
        </w:rPr>
        <w:t>GB</w:t>
      </w:r>
      <w:r>
        <w:rPr>
          <w:rFonts w:hint="eastAsia" w:asciiTheme="minorEastAsia" w:hAnsiTheme="minorEastAsia" w:eastAsiaTheme="minorEastAsia" w:cstheme="minorEastAsia"/>
          <w:spacing w:val="9"/>
          <w:sz w:val="20"/>
          <w:szCs w:val="20"/>
        </w:rPr>
        <w:t>/T 1.1-2020《标准化工作导则 第1部分：标准化文件的结构</w:t>
      </w:r>
      <w:r>
        <w:rPr>
          <w:rFonts w:hint="eastAsia" w:asciiTheme="minorEastAsia" w:hAnsiTheme="minorEastAsia" w:eastAsiaTheme="minorEastAsia" w:cstheme="minorEastAsia"/>
          <w:spacing w:val="8"/>
          <w:sz w:val="20"/>
          <w:szCs w:val="20"/>
        </w:rPr>
        <w:t>和起草规则》的规定起</w:t>
      </w:r>
      <w:r>
        <w:rPr>
          <w:rFonts w:hint="eastAsia" w:asciiTheme="minorEastAsia" w:hAnsiTheme="minorEastAsia" w:eastAsiaTheme="minorEastAsia" w:cstheme="minorEastAsia"/>
          <w:sz w:val="20"/>
          <w:szCs w:val="20"/>
        </w:rPr>
        <w:t xml:space="preserve"> </w:t>
      </w:r>
      <w:r>
        <w:rPr>
          <w:rFonts w:hint="eastAsia" w:asciiTheme="minorEastAsia" w:hAnsiTheme="minorEastAsia" w:eastAsiaTheme="minorEastAsia" w:cstheme="minorEastAsia"/>
          <w:spacing w:val="-1"/>
          <w:sz w:val="20"/>
          <w:szCs w:val="20"/>
        </w:rPr>
        <w:t>草。</w:t>
      </w:r>
    </w:p>
    <w:p>
      <w:pPr>
        <w:adjustRightInd w:val="0"/>
        <w:snapToGrid w:val="0"/>
        <w:ind w:firstLine="396" w:firstLineChars="200"/>
        <w:rPr>
          <w:rFonts w:hint="eastAsia" w:asciiTheme="minorEastAsia" w:hAnsiTheme="minorEastAsia" w:eastAsiaTheme="minorEastAsia" w:cstheme="minorEastAsia"/>
          <w:spacing w:val="-1"/>
          <w:sz w:val="20"/>
          <w:szCs w:val="20"/>
        </w:rPr>
      </w:pPr>
      <w:r>
        <w:rPr>
          <w:rFonts w:hint="eastAsia" w:asciiTheme="minorEastAsia" w:hAnsiTheme="minorEastAsia" w:eastAsiaTheme="minorEastAsia" w:cstheme="minorEastAsia"/>
          <w:spacing w:val="-1"/>
          <w:sz w:val="20"/>
          <w:szCs w:val="20"/>
        </w:rPr>
        <w:t>请注意本文件的某些内容可能涉及专利，本文件的发布机构不承担识别专利的责任。</w:t>
      </w:r>
    </w:p>
    <w:p>
      <w:pPr>
        <w:adjustRightInd w:val="0"/>
        <w:snapToGrid w:val="0"/>
        <w:ind w:firstLine="396" w:firstLineChars="200"/>
        <w:rPr>
          <w:rFonts w:hint="eastAsia" w:asciiTheme="minorEastAsia" w:hAnsiTheme="minorEastAsia" w:eastAsiaTheme="minorEastAsia" w:cstheme="minorEastAsia"/>
          <w:spacing w:val="-1"/>
          <w:sz w:val="20"/>
          <w:szCs w:val="20"/>
        </w:rPr>
      </w:pPr>
      <w:r>
        <w:rPr>
          <w:rFonts w:hint="eastAsia" w:asciiTheme="minorEastAsia" w:hAnsiTheme="minorEastAsia" w:eastAsiaTheme="minorEastAsia" w:cstheme="minorEastAsia"/>
          <w:spacing w:val="-1"/>
          <w:sz w:val="20"/>
          <w:szCs w:val="20"/>
        </w:rPr>
        <w:t>本文件由深圳市农业产业化龙头企业协会提出、归口并实施。</w:t>
      </w:r>
    </w:p>
    <w:p>
      <w:pPr>
        <w:adjustRightInd w:val="0"/>
        <w:snapToGrid w:val="0"/>
        <w:ind w:firstLine="396" w:firstLineChars="200"/>
        <w:rPr>
          <w:rFonts w:hint="eastAsia" w:asciiTheme="minorEastAsia" w:hAnsiTheme="minorEastAsia" w:eastAsiaTheme="minorEastAsia" w:cstheme="minorEastAsia"/>
          <w:spacing w:val="-1"/>
          <w:sz w:val="20"/>
          <w:szCs w:val="20"/>
        </w:rPr>
      </w:pPr>
      <w:r>
        <w:rPr>
          <w:rFonts w:hint="eastAsia" w:asciiTheme="minorEastAsia" w:hAnsiTheme="minorEastAsia" w:eastAsiaTheme="minorEastAsia" w:cstheme="minorEastAsia"/>
          <w:spacing w:val="-1"/>
          <w:sz w:val="20"/>
          <w:szCs w:val="20"/>
        </w:rPr>
        <w:t>本文件起草单位：深圳市计量质量检测研究院、</w:t>
      </w:r>
      <w:r>
        <w:rPr>
          <w:rFonts w:hint="eastAsia" w:asciiTheme="minorEastAsia" w:hAnsiTheme="minorEastAsia" w:eastAsiaTheme="minorEastAsia" w:cstheme="minorEastAsia"/>
          <w:sz w:val="20"/>
          <w:szCs w:val="20"/>
        </w:rPr>
        <w:t>深圳市农产品集团股份有限公司、</w:t>
      </w:r>
      <w:r>
        <w:rPr>
          <w:rFonts w:hint="eastAsia" w:asciiTheme="minorEastAsia" w:hAnsiTheme="minorEastAsia" w:eastAsiaTheme="minorEastAsia" w:cstheme="minorEastAsia"/>
          <w:spacing w:val="-1"/>
          <w:sz w:val="20"/>
          <w:szCs w:val="20"/>
        </w:rPr>
        <w:t>深圳凯吉星农产品检测认证有限公司</w:t>
      </w:r>
    </w:p>
    <w:p>
      <w:pPr>
        <w:adjustRightInd w:val="0"/>
        <w:snapToGrid w:val="0"/>
        <w:ind w:firstLine="396" w:firstLineChars="200"/>
        <w:rPr>
          <w:rFonts w:hint="eastAsia" w:asciiTheme="minorEastAsia" w:hAnsiTheme="minorEastAsia" w:eastAsiaTheme="minorEastAsia" w:cstheme="minorEastAsia"/>
          <w:spacing w:val="-1"/>
          <w:sz w:val="20"/>
          <w:szCs w:val="20"/>
        </w:rPr>
      </w:pPr>
      <w:r>
        <w:rPr>
          <w:rFonts w:hint="eastAsia" w:asciiTheme="minorEastAsia" w:hAnsiTheme="minorEastAsia" w:eastAsiaTheme="minorEastAsia" w:cstheme="minorEastAsia"/>
          <w:spacing w:val="-1"/>
          <w:sz w:val="20"/>
          <w:szCs w:val="20"/>
        </w:rPr>
        <w:t>本文件主要起草人：XXXXXX</w:t>
      </w:r>
    </w:p>
    <w:p>
      <w:pPr>
        <w:adjustRightInd w:val="0"/>
        <w:snapToGrid w:val="0"/>
        <w:rPr>
          <w:rFonts w:ascii="宋体" w:hAnsi="宋体" w:eastAsia="宋体" w:cs="宋体"/>
          <w:spacing w:val="-1"/>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left"/>
        <w:rPr>
          <w:rFonts w:ascii="Times New Roman" w:hAnsi="Times New Roman" w:eastAsia="黑体" w:cs="Times New Roman"/>
          <w:sz w:val="20"/>
          <w:szCs w:val="20"/>
        </w:rPr>
      </w:pPr>
    </w:p>
    <w:p>
      <w:pPr>
        <w:jc w:val="right"/>
        <w:rPr>
          <w:rFonts w:ascii="Times New Roman" w:hAnsi="Times New Roman" w:eastAsia="黑体"/>
          <w:sz w:val="20"/>
          <w:szCs w:val="20"/>
        </w:rPr>
      </w:pPr>
      <w:r>
        <w:rPr>
          <w:rFonts w:hint="eastAsia" w:ascii="黑体" w:hAnsi="黑体" w:eastAsia="黑体" w:cs="黑体"/>
          <w:sz w:val="20"/>
          <w:szCs w:val="20"/>
        </w:rPr>
        <w:t>T/SZNB XXXXX-XXXX</w:t>
      </w:r>
    </w:p>
    <w:p>
      <w:pPr>
        <w:jc w:val="right"/>
        <w:rPr>
          <w:rFonts w:ascii="Times New Roman" w:hAnsi="Times New Roman" w:eastAsia="黑体" w:cs="Times New Roman"/>
          <w:sz w:val="20"/>
          <w:szCs w:val="20"/>
        </w:rPr>
      </w:pPr>
    </w:p>
    <w:p>
      <w:pPr>
        <w:jc w:val="right"/>
        <w:rPr>
          <w:rFonts w:ascii="Times New Roman" w:hAnsi="Times New Roman" w:eastAsia="黑体" w:cs="Times New Roman"/>
          <w:sz w:val="20"/>
          <w:szCs w:val="20"/>
        </w:rPr>
      </w:pPr>
    </w:p>
    <w:p>
      <w:pPr>
        <w:jc w:val="right"/>
        <w:rPr>
          <w:rFonts w:ascii="Times New Roman" w:hAnsi="Times New Roman" w:eastAsia="黑体" w:cs="Times New Roman"/>
          <w:sz w:val="20"/>
          <w:szCs w:val="20"/>
        </w:rPr>
      </w:pPr>
    </w:p>
    <w:p>
      <w:pPr>
        <w:jc w:val="center"/>
        <w:rPr>
          <w:rFonts w:ascii="Times New Roman" w:hAnsi="Times New Roman" w:eastAsia="黑体" w:cs="Times New Roman"/>
          <w:sz w:val="32"/>
          <w:szCs w:val="32"/>
        </w:rPr>
      </w:pPr>
      <w:r>
        <w:rPr>
          <w:rFonts w:hint="eastAsia" w:ascii="Times New Roman" w:hAnsi="Times New Roman" w:eastAsia="黑体" w:cs="Times New Roman"/>
          <w:sz w:val="32"/>
          <w:szCs w:val="32"/>
        </w:rPr>
        <w:t>库尔勒香梨</w:t>
      </w:r>
    </w:p>
    <w:p>
      <w:pPr>
        <w:jc w:val="left"/>
        <w:rPr>
          <w:rFonts w:ascii="Times New Roman" w:hAnsi="Times New Roman" w:eastAsia="黑体" w:cs="Times New Roman"/>
          <w:sz w:val="32"/>
          <w:szCs w:val="32"/>
        </w:rPr>
      </w:pPr>
    </w:p>
    <w:p>
      <w:pPr>
        <w:adjustRightInd w:val="0"/>
        <w:snapToGrid w:val="0"/>
        <w:jc w:val="left"/>
        <w:outlineLvl w:val="0"/>
        <w:rPr>
          <w:rFonts w:ascii="黑体" w:hAnsi="黑体" w:eastAsia="黑体" w:cs="黑体"/>
          <w:sz w:val="20"/>
          <w:szCs w:val="20"/>
        </w:rPr>
      </w:pPr>
      <w:bookmarkStart w:id="7" w:name="_Toc10642"/>
      <w:r>
        <w:rPr>
          <w:rFonts w:hint="eastAsia" w:ascii="黑体" w:hAnsi="黑体" w:eastAsia="黑体" w:cs="黑体"/>
          <w:sz w:val="20"/>
          <w:szCs w:val="20"/>
        </w:rPr>
        <w:t>1  范围</w:t>
      </w:r>
      <w:bookmarkEnd w:id="7"/>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本文件规定了库尔勒香梨的术语和定义、质量</w:t>
      </w:r>
      <w:r>
        <w:rPr>
          <w:rFonts w:hint="eastAsia" w:asciiTheme="minorEastAsia" w:hAnsiTheme="minorEastAsia" w:cstheme="minorEastAsia"/>
          <w:sz w:val="20"/>
          <w:szCs w:val="20"/>
          <w:lang w:eastAsia="zh-CN"/>
        </w:rPr>
        <w:t>分级评价</w:t>
      </w:r>
      <w:r>
        <w:rPr>
          <w:rFonts w:hint="eastAsia" w:asciiTheme="minorEastAsia" w:hAnsiTheme="minorEastAsia" w:cstheme="minorEastAsia"/>
          <w:sz w:val="20"/>
          <w:szCs w:val="20"/>
        </w:rPr>
        <w:t>、</w:t>
      </w:r>
      <w:r>
        <w:rPr>
          <w:rFonts w:hint="eastAsia" w:asciiTheme="minorEastAsia" w:hAnsiTheme="minorEastAsia" w:cstheme="minorEastAsia"/>
          <w:sz w:val="20"/>
          <w:szCs w:val="20"/>
          <w:lang w:eastAsia="zh-CN"/>
        </w:rPr>
        <w:t>允许度要求、</w:t>
      </w:r>
      <w:r>
        <w:rPr>
          <w:rFonts w:hint="eastAsia" w:asciiTheme="minorEastAsia" w:hAnsiTheme="minorEastAsia" w:cstheme="minorEastAsia"/>
          <w:sz w:val="20"/>
          <w:szCs w:val="20"/>
        </w:rPr>
        <w:t>试验方法、包装、标志、贮存和运输。</w:t>
      </w: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本文件适用于以新鲜或原有状态供消费者直接食用的库尔勒香梨的质量分级评价，用于加工的库尔勒香梨除外。</w:t>
      </w:r>
    </w:p>
    <w:p>
      <w:pPr>
        <w:adjustRightInd w:val="0"/>
        <w:snapToGrid w:val="0"/>
        <w:jc w:val="left"/>
        <w:rPr>
          <w:rFonts w:ascii="黑体" w:hAnsi="黑体" w:eastAsia="黑体" w:cs="黑体"/>
          <w:sz w:val="20"/>
          <w:szCs w:val="20"/>
        </w:rPr>
      </w:pPr>
    </w:p>
    <w:p>
      <w:pPr>
        <w:adjustRightInd w:val="0"/>
        <w:snapToGrid w:val="0"/>
        <w:jc w:val="left"/>
        <w:rPr>
          <w:rFonts w:ascii="黑体" w:hAnsi="黑体" w:eastAsia="黑体" w:cs="黑体"/>
          <w:sz w:val="20"/>
          <w:szCs w:val="20"/>
        </w:rPr>
      </w:pPr>
    </w:p>
    <w:p>
      <w:pPr>
        <w:adjustRightInd w:val="0"/>
        <w:snapToGrid w:val="0"/>
        <w:jc w:val="left"/>
        <w:outlineLvl w:val="0"/>
        <w:rPr>
          <w:rFonts w:ascii="黑体" w:hAnsi="黑体" w:eastAsia="黑体" w:cs="黑体"/>
          <w:sz w:val="20"/>
          <w:szCs w:val="20"/>
        </w:rPr>
      </w:pPr>
      <w:bookmarkStart w:id="8" w:name="_Toc32567"/>
      <w:r>
        <w:rPr>
          <w:rFonts w:hint="eastAsia" w:ascii="黑体" w:hAnsi="黑体" w:eastAsia="黑体" w:cs="黑体"/>
          <w:sz w:val="20"/>
          <w:szCs w:val="20"/>
        </w:rPr>
        <w:t>2  规范性引用文件</w:t>
      </w:r>
      <w:bookmarkEnd w:id="8"/>
    </w:p>
    <w:p>
      <w:pPr>
        <w:adjustRightInd w:val="0"/>
        <w:snapToGrid w:val="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asciiTheme="minorEastAsia" w:hAnsiTheme="minorEastAsia" w:cstheme="minorEastAsia"/>
          <w:sz w:val="20"/>
          <w:szCs w:val="20"/>
        </w:rPr>
        <w:t>下列文件中的内容通过文中的规范性引用而构成本文件必不可少的条款。其中，注日期的引用文件，仅该日期对应的版本适用于本文件；不注日期的引用文件，其最新版本（包括所有的修改单）适用于本文件。</w:t>
      </w:r>
    </w:p>
    <w:p>
      <w:pPr>
        <w:adjustRightInd w:val="0"/>
        <w:snapToGrid w:val="0"/>
        <w:ind w:firstLine="400" w:firstLineChars="200"/>
        <w:jc w:val="left"/>
        <w:rPr>
          <w:rFonts w:ascii="黑体" w:hAnsi="黑体" w:eastAsia="黑体" w:cs="黑体"/>
          <w:sz w:val="20"/>
          <w:szCs w:val="20"/>
        </w:rPr>
      </w:pPr>
      <w:r>
        <w:rPr>
          <w:rFonts w:hint="eastAsia" w:asciiTheme="minorEastAsia" w:hAnsiTheme="minorEastAsia" w:cstheme="minorEastAsia"/>
          <w:sz w:val="20"/>
          <w:szCs w:val="20"/>
        </w:rPr>
        <w:t>GB 2760  食品安全国家标准 食品添加剂使用标准</w:t>
      </w: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GB 2762  食品安全国家标准 食品污染物限量</w:t>
      </w: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GB 2763  食品安全国家标准 食品中农药最大残留限量</w:t>
      </w:r>
    </w:p>
    <w:p>
      <w:pPr>
        <w:adjustRightInd w:val="0"/>
        <w:snapToGrid w:val="0"/>
        <w:ind w:firstLine="400" w:firstLineChars="200"/>
        <w:jc w:val="left"/>
        <w:rPr>
          <w:rFonts w:ascii="黑体" w:hAnsi="黑体" w:eastAsia="黑体" w:cs="黑体"/>
          <w:sz w:val="20"/>
          <w:szCs w:val="20"/>
        </w:rPr>
      </w:pPr>
      <w:r>
        <w:rPr>
          <w:rFonts w:asciiTheme="minorEastAsia" w:hAnsiTheme="minorEastAsia" w:cstheme="minorEastAsia"/>
          <w:sz w:val="20"/>
          <w:szCs w:val="20"/>
        </w:rPr>
        <w:t>GB 12456 食品安全国家标准 食品中总酸的测定</w:t>
      </w:r>
    </w:p>
    <w:p>
      <w:pPr>
        <w:adjustRightInd w:val="0"/>
        <w:snapToGrid w:val="0"/>
        <w:ind w:firstLine="400"/>
        <w:jc w:val="left"/>
        <w:rPr>
          <w:rFonts w:asciiTheme="minorEastAsia" w:hAnsiTheme="minorEastAsia" w:cstheme="minorEastAsia"/>
          <w:sz w:val="20"/>
          <w:szCs w:val="20"/>
        </w:rPr>
      </w:pPr>
      <w:r>
        <w:rPr>
          <w:rFonts w:hint="eastAsia" w:asciiTheme="minorEastAsia" w:hAnsiTheme="minorEastAsia" w:cstheme="minorEastAsia"/>
          <w:sz w:val="20"/>
          <w:szCs w:val="20"/>
        </w:rPr>
        <w:t>GB 5009.3 食品安全国家标准 食品中水分的测定</w:t>
      </w:r>
    </w:p>
    <w:p>
      <w:pPr>
        <w:adjustRightInd w:val="0"/>
        <w:snapToGrid w:val="0"/>
        <w:ind w:firstLine="400"/>
        <w:jc w:val="left"/>
        <w:rPr>
          <w:rFonts w:asciiTheme="minorEastAsia" w:hAnsiTheme="minorEastAsia" w:cstheme="minorEastAsia"/>
          <w:sz w:val="20"/>
          <w:szCs w:val="20"/>
        </w:rPr>
      </w:pPr>
      <w:r>
        <w:rPr>
          <w:rFonts w:hint="eastAsia" w:asciiTheme="minorEastAsia" w:hAnsiTheme="minorEastAsia" w:cstheme="minorEastAsia"/>
          <w:sz w:val="20"/>
          <w:szCs w:val="20"/>
        </w:rPr>
        <w:t>GB 5009.268 食品中多元素的测定</w:t>
      </w:r>
    </w:p>
    <w:p>
      <w:pPr>
        <w:adjustRightInd w:val="0"/>
        <w:snapToGrid w:val="0"/>
        <w:ind w:firstLine="400"/>
        <w:jc w:val="left"/>
        <w:rPr>
          <w:rFonts w:asciiTheme="minorEastAsia" w:hAnsiTheme="minorEastAsia" w:cstheme="minorEastAsia"/>
          <w:sz w:val="20"/>
          <w:szCs w:val="20"/>
        </w:rPr>
      </w:pPr>
      <w:r>
        <w:rPr>
          <w:rFonts w:asciiTheme="minorEastAsia" w:hAnsiTheme="minorEastAsia" w:cstheme="minorEastAsia"/>
          <w:sz w:val="20"/>
          <w:szCs w:val="20"/>
        </w:rPr>
        <w:t>NY/T 2637 水果和蔬菜可溶性固形物含量的测定折射仪法</w:t>
      </w:r>
    </w:p>
    <w:p>
      <w:pPr>
        <w:adjustRightInd w:val="0"/>
        <w:snapToGrid w:val="0"/>
        <w:ind w:firstLine="400" w:firstLineChars="200"/>
        <w:jc w:val="left"/>
        <w:rPr>
          <w:rFonts w:asciiTheme="minorEastAsia" w:hAnsiTheme="minorEastAsia" w:cstheme="minorEastAsia"/>
          <w:sz w:val="20"/>
          <w:szCs w:val="20"/>
        </w:rPr>
      </w:pPr>
    </w:p>
    <w:p>
      <w:pPr>
        <w:adjustRightInd w:val="0"/>
        <w:snapToGrid w:val="0"/>
        <w:spacing w:line="360" w:lineRule="auto"/>
        <w:jc w:val="left"/>
        <w:outlineLvl w:val="0"/>
        <w:rPr>
          <w:rFonts w:ascii="黑体" w:hAnsi="黑体" w:eastAsia="黑体" w:cs="黑体"/>
          <w:sz w:val="20"/>
          <w:szCs w:val="20"/>
        </w:rPr>
      </w:pPr>
      <w:bookmarkStart w:id="9" w:name="_Toc22570"/>
      <w:r>
        <w:rPr>
          <w:rFonts w:hint="eastAsia" w:ascii="黑体" w:hAnsi="黑体" w:eastAsia="黑体" w:cs="黑体"/>
          <w:sz w:val="20"/>
          <w:szCs w:val="20"/>
        </w:rPr>
        <w:t>3  术语和定义</w:t>
      </w:r>
      <w:bookmarkEnd w:id="9"/>
    </w:p>
    <w:p>
      <w:pPr>
        <w:adjustRightInd w:val="0"/>
        <w:snapToGrid w:val="0"/>
        <w:spacing w:line="360" w:lineRule="auto"/>
        <w:ind w:firstLine="420" w:firstLineChars="200"/>
        <w:jc w:val="left"/>
        <w:rPr>
          <w:rFonts w:ascii="黑体" w:hAnsi="黑体" w:eastAsia="黑体" w:cs="黑体"/>
          <w:sz w:val="20"/>
          <w:szCs w:val="20"/>
        </w:rPr>
      </w:pPr>
      <w:r>
        <w:rPr>
          <w:rFonts w:hint="eastAsia" w:ascii="宋体" w:hAnsi="宋体" w:eastAsia="宋体" w:cs="宋体"/>
          <w:szCs w:val="21"/>
        </w:rPr>
        <w:t>下列术语和定义适用于本标准。</w:t>
      </w: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3.1  果形 Fruit shape</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库尔勒香梨成熟时，果实所具有的外部形态特征。</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ascii="黑体" w:hAnsi="黑体" w:eastAsia="黑体" w:cs="黑体"/>
          <w:sz w:val="20"/>
          <w:szCs w:val="20"/>
        </w:rPr>
        <w:t>3.</w:t>
      </w:r>
      <w:r>
        <w:rPr>
          <w:rFonts w:hint="eastAsia" w:ascii="黑体" w:hAnsi="黑体" w:eastAsia="黑体" w:cs="黑体"/>
          <w:sz w:val="20"/>
          <w:szCs w:val="20"/>
        </w:rPr>
        <w:t>2</w:t>
      </w:r>
      <w:r>
        <w:rPr>
          <w:rFonts w:ascii="黑体" w:hAnsi="黑体" w:eastAsia="黑体" w:cs="黑体"/>
          <w:sz w:val="20"/>
          <w:szCs w:val="20"/>
        </w:rPr>
        <w:t xml:space="preserve">  </w:t>
      </w:r>
      <w:r>
        <w:rPr>
          <w:rFonts w:hint="eastAsia" w:ascii="黑体" w:hAnsi="黑体" w:eastAsia="黑体" w:cs="黑体"/>
          <w:sz w:val="20"/>
          <w:szCs w:val="20"/>
        </w:rPr>
        <w:t>果梗 Stalk</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也称果柄，指果实与果台之间的连接部分。</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3.3粗皮果 Rough fruit</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指萼部或全部呈蟾皮状或橘皮状，皮色发暗无光泽，果肉较硬的果实。</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3.4青头果 Green head fruit</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指萼端和臀部色泽暗绿、果肉较硬的果实。</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3.5药斑果 Spotted fruit</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 xml:space="preserve">指因喷酒农药或叶面肥等造成的果面有无法清除的色斑、斑点或凹陷或凸起的果实。 </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hint="eastAsia" w:ascii="黑体" w:hAnsi="黑体" w:eastAsia="黑体" w:cs="黑体"/>
          <w:sz w:val="20"/>
          <w:szCs w:val="20"/>
        </w:rPr>
      </w:pPr>
    </w:p>
    <w:p>
      <w:pPr>
        <w:adjustRightInd w:val="0"/>
        <w:snapToGrid w:val="0"/>
        <w:ind w:firstLine="400" w:firstLineChars="200"/>
        <w:jc w:val="left"/>
        <w:rPr>
          <w:rFonts w:hint="eastAsia" w:ascii="黑体" w:hAnsi="黑体" w:eastAsia="黑体" w:cs="黑体"/>
          <w:sz w:val="20"/>
          <w:szCs w:val="20"/>
        </w:rPr>
      </w:pPr>
    </w:p>
    <w:p>
      <w:pPr>
        <w:jc w:val="right"/>
        <w:rPr>
          <w:rFonts w:ascii="Times New Roman" w:hAnsi="Times New Roman" w:eastAsia="黑体"/>
          <w:sz w:val="20"/>
          <w:szCs w:val="20"/>
        </w:rPr>
      </w:pPr>
      <w:r>
        <w:rPr>
          <w:rFonts w:hint="eastAsia" w:ascii="黑体" w:hAnsi="黑体" w:eastAsia="黑体" w:cs="黑体"/>
          <w:sz w:val="20"/>
          <w:szCs w:val="20"/>
        </w:rPr>
        <w:t>T/SZNB XXXXX-XXXX</w:t>
      </w: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3.6病虫果 Fruit with disease and pest</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指病原物或害虫为害过的果实。</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3.7畸形果 Abnormal fruit</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有明显凹陷或凸起以及外形异常的果实。</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3.8机械伤果 Mechanically damaged fruit</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指果面因物理损伤造成未愈合伤痕的果实。</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3.9疤痕果 Fruit with defect feature</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指因风、雹、霜冻及其它损伤所遗留己愈合伤痕的果实。</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ascii="黑体" w:hAnsi="黑体" w:eastAsia="黑体" w:cs="黑体"/>
          <w:sz w:val="20"/>
          <w:szCs w:val="20"/>
        </w:rPr>
        <w:t>3.</w:t>
      </w:r>
      <w:r>
        <w:rPr>
          <w:rFonts w:hint="eastAsia" w:ascii="黑体" w:hAnsi="黑体" w:eastAsia="黑体" w:cs="黑体"/>
          <w:sz w:val="20"/>
          <w:szCs w:val="20"/>
        </w:rPr>
        <w:t>10</w:t>
      </w:r>
      <w:r>
        <w:rPr>
          <w:rFonts w:ascii="黑体" w:hAnsi="黑体" w:eastAsia="黑体" w:cs="黑体"/>
          <w:sz w:val="20"/>
          <w:szCs w:val="20"/>
        </w:rPr>
        <w:t xml:space="preserve">  </w:t>
      </w:r>
      <w:r>
        <w:rPr>
          <w:rFonts w:hint="eastAsia" w:ascii="黑体" w:hAnsi="黑体" w:eastAsia="黑体" w:cs="黑体"/>
          <w:sz w:val="20"/>
          <w:szCs w:val="20"/>
        </w:rPr>
        <w:t>果实硬度 Fruit firmness</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指成熟果实单位面积果面所能承受的压力。</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ascii="黑体" w:hAnsi="黑体" w:eastAsia="黑体" w:cs="黑体"/>
          <w:sz w:val="20"/>
          <w:szCs w:val="20"/>
        </w:rPr>
        <w:t>3.</w:t>
      </w:r>
      <w:r>
        <w:rPr>
          <w:rFonts w:hint="eastAsia" w:ascii="黑体" w:hAnsi="黑体" w:eastAsia="黑体" w:cs="黑体"/>
          <w:sz w:val="20"/>
          <w:szCs w:val="20"/>
        </w:rPr>
        <w:t>11</w:t>
      </w:r>
      <w:r>
        <w:rPr>
          <w:rFonts w:ascii="黑体" w:hAnsi="黑体" w:eastAsia="黑体" w:cs="黑体"/>
          <w:sz w:val="20"/>
          <w:szCs w:val="20"/>
        </w:rPr>
        <w:t xml:space="preserve"> </w:t>
      </w:r>
      <w:r>
        <w:rPr>
          <w:rFonts w:hint="eastAsia" w:ascii="黑体" w:hAnsi="黑体" w:eastAsia="黑体" w:cs="黑体"/>
          <w:sz w:val="20"/>
          <w:szCs w:val="20"/>
        </w:rPr>
        <w:t>可溶性固形物 Soluble solids content</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成熟果实果汁中能溶于水的糖、酸、维生素、矿物质等内容物。</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3.12容许度 Tolerance</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人为规定的对某项要求的允许限度。</w:t>
      </w:r>
    </w:p>
    <w:p>
      <w:pPr>
        <w:adjustRightInd w:val="0"/>
        <w:snapToGrid w:val="0"/>
        <w:ind w:firstLine="400" w:firstLineChars="200"/>
        <w:jc w:val="left"/>
        <w:rPr>
          <w:rFonts w:asciiTheme="minorEastAsia" w:hAnsiTheme="minorEastAsia" w:cstheme="minorEastAsia"/>
          <w:sz w:val="20"/>
          <w:szCs w:val="20"/>
        </w:rPr>
      </w:pPr>
    </w:p>
    <w:p>
      <w:pPr>
        <w:adjustRightInd w:val="0"/>
        <w:snapToGrid w:val="0"/>
        <w:jc w:val="left"/>
        <w:outlineLvl w:val="0"/>
        <w:rPr>
          <w:rFonts w:ascii="黑体" w:hAnsi="黑体" w:eastAsia="黑体" w:cs="黑体"/>
          <w:sz w:val="20"/>
          <w:szCs w:val="20"/>
        </w:rPr>
      </w:pPr>
      <w:bookmarkStart w:id="10" w:name="_Toc16291"/>
      <w:r>
        <w:rPr>
          <w:rFonts w:hint="eastAsia" w:ascii="黑体" w:hAnsi="黑体" w:eastAsia="黑体" w:cs="黑体"/>
          <w:sz w:val="20"/>
          <w:szCs w:val="20"/>
        </w:rPr>
        <w:t>4  质量分级评价</w:t>
      </w:r>
      <w:bookmarkEnd w:id="10"/>
    </w:p>
    <w:p>
      <w:pPr>
        <w:adjustRightInd w:val="0"/>
        <w:snapToGrid w:val="0"/>
        <w:jc w:val="left"/>
        <w:rPr>
          <w:rFonts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黑体" w:hAnsi="黑体" w:eastAsia="黑体" w:cs="黑体"/>
          <w:b w:val="0"/>
          <w:bCs w:val="0"/>
          <w:sz w:val="20"/>
          <w:szCs w:val="20"/>
          <w:u w:val="none"/>
          <w:lang w:val="en-US" w:eastAsia="zh-CN"/>
        </w:rPr>
      </w:pPr>
      <w:r>
        <w:rPr>
          <w:rFonts w:hint="eastAsia" w:ascii="黑体" w:hAnsi="黑体" w:eastAsia="黑体" w:cs="黑体"/>
          <w:b w:val="0"/>
          <w:bCs w:val="0"/>
          <w:sz w:val="20"/>
          <w:szCs w:val="20"/>
          <w:u w:val="none"/>
          <w:lang w:val="en-US" w:eastAsia="zh-CN"/>
        </w:rPr>
        <w:t>4.1 追溯要求</w:t>
      </w:r>
    </w:p>
    <w:p>
      <w:pPr>
        <w:jc w:val="left"/>
        <w:rPr>
          <w:rFonts w:ascii="黑体" w:hAnsi="黑体" w:eastAsia="黑体" w:cs="黑体"/>
          <w:szCs w:val="21"/>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具有承诺达标合格证及追溯相关信息。</w:t>
      </w:r>
    </w:p>
    <w:p>
      <w:pPr>
        <w:ind w:firstLine="420" w:firstLineChars="200"/>
        <w:jc w:val="left"/>
        <w:rPr>
          <w:rFonts w:ascii="宋体" w:hAnsi="宋体" w:eastAsia="宋体" w:cs="宋体"/>
          <w:szCs w:val="21"/>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黑体" w:hAnsi="黑体" w:eastAsia="黑体" w:cs="黑体"/>
          <w:b w:val="0"/>
          <w:bCs w:val="0"/>
          <w:sz w:val="20"/>
          <w:szCs w:val="20"/>
          <w:u w:val="none"/>
          <w:lang w:val="en-US" w:eastAsia="zh-CN"/>
        </w:rPr>
      </w:pPr>
      <w:r>
        <w:rPr>
          <w:rFonts w:hint="eastAsia" w:ascii="黑体" w:hAnsi="黑体" w:eastAsia="黑体" w:cs="黑体"/>
          <w:b w:val="0"/>
          <w:bCs w:val="0"/>
          <w:sz w:val="20"/>
          <w:szCs w:val="20"/>
          <w:u w:val="none"/>
          <w:lang w:val="en-US" w:eastAsia="zh-CN"/>
        </w:rPr>
        <w:t>4.2 安全要求</w:t>
      </w:r>
    </w:p>
    <w:p>
      <w:pPr>
        <w:jc w:val="left"/>
        <w:rPr>
          <w:rFonts w:ascii="黑体" w:hAnsi="黑体" w:eastAsia="黑体" w:cs="黑体"/>
          <w:szCs w:val="21"/>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黑体" w:hAnsi="黑体" w:eastAsia="黑体" w:cs="黑体"/>
          <w:b w:val="0"/>
          <w:bCs w:val="0"/>
          <w:sz w:val="20"/>
          <w:szCs w:val="20"/>
          <w:u w:val="none"/>
          <w:lang w:val="en-US" w:eastAsia="zh-CN"/>
        </w:rPr>
      </w:pPr>
      <w:r>
        <w:rPr>
          <w:rFonts w:hint="eastAsia" w:ascii="黑体" w:hAnsi="黑体" w:eastAsia="黑体" w:cs="黑体"/>
          <w:b w:val="0"/>
          <w:bCs w:val="0"/>
          <w:sz w:val="20"/>
          <w:szCs w:val="20"/>
          <w:u w:val="none"/>
          <w:lang w:val="en-US" w:eastAsia="zh-CN"/>
        </w:rPr>
        <w:t>4.2.1 污染物限量应符合GB 2762的规定。</w:t>
      </w: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黑体" w:hAnsi="黑体" w:eastAsia="黑体" w:cs="黑体"/>
          <w:b w:val="0"/>
          <w:bCs w:val="0"/>
          <w:sz w:val="20"/>
          <w:szCs w:val="20"/>
          <w:u w:val="none"/>
          <w:lang w:val="en-US" w:eastAsia="zh-CN"/>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黑体" w:hAnsi="黑体" w:eastAsia="黑体" w:cs="黑体"/>
          <w:b w:val="0"/>
          <w:bCs w:val="0"/>
          <w:sz w:val="20"/>
          <w:szCs w:val="20"/>
          <w:u w:val="none"/>
          <w:lang w:val="en-US" w:eastAsia="zh-CN"/>
        </w:rPr>
      </w:pPr>
      <w:r>
        <w:rPr>
          <w:rFonts w:hint="eastAsia" w:ascii="黑体" w:hAnsi="黑体" w:eastAsia="黑体" w:cs="黑体"/>
          <w:b w:val="0"/>
          <w:bCs w:val="0"/>
          <w:sz w:val="20"/>
          <w:szCs w:val="20"/>
          <w:u w:val="none"/>
          <w:lang w:val="en-US" w:eastAsia="zh-CN"/>
        </w:rPr>
        <w:t>4.2.2 农药最大残留限量应符合GB 2763的规定。</w:t>
      </w:r>
    </w:p>
    <w:p>
      <w:pPr>
        <w:jc w:val="left"/>
        <w:rPr>
          <w:rFonts w:ascii="宋体" w:hAnsi="宋体" w:eastAsia="宋体" w:cs="宋体"/>
          <w:szCs w:val="21"/>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黑体" w:hAnsi="黑体" w:eastAsia="黑体" w:cs="黑体"/>
          <w:b w:val="0"/>
          <w:bCs w:val="0"/>
          <w:sz w:val="20"/>
          <w:szCs w:val="20"/>
          <w:u w:val="none"/>
          <w:lang w:val="en-US" w:eastAsia="zh-CN"/>
        </w:rPr>
      </w:pPr>
      <w:r>
        <w:rPr>
          <w:rFonts w:hint="eastAsia" w:ascii="黑体" w:hAnsi="黑体" w:eastAsia="黑体" w:cs="黑体"/>
          <w:b w:val="0"/>
          <w:bCs w:val="0"/>
          <w:sz w:val="20"/>
          <w:szCs w:val="20"/>
          <w:u w:val="none"/>
          <w:lang w:val="en-US" w:eastAsia="zh-CN"/>
        </w:rPr>
        <w:t>4.3 品质等级要求</w:t>
      </w:r>
    </w:p>
    <w:p>
      <w:pPr>
        <w:jc w:val="left"/>
        <w:rPr>
          <w:rFonts w:ascii="黑体" w:hAnsi="黑体" w:eastAsia="黑体" w:cs="黑体"/>
          <w:szCs w:val="21"/>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香梨分为四个等级，各品质等级要求见表1。</w:t>
      </w:r>
    </w:p>
    <w:p>
      <w:pPr>
        <w:ind w:firstLine="420" w:firstLineChars="200"/>
        <w:jc w:val="left"/>
        <w:rPr>
          <w:rFonts w:ascii="宋体" w:hAnsi="宋体" w:eastAsia="宋体" w:cs="宋体"/>
          <w:color w:val="000000"/>
          <w:kern w:val="0"/>
          <w:szCs w:val="21"/>
          <w:lang w:bidi="ar"/>
        </w:rPr>
      </w:pPr>
    </w:p>
    <w:p>
      <w:pPr>
        <w:ind w:firstLine="420" w:firstLineChars="200"/>
        <w:jc w:val="left"/>
        <w:rPr>
          <w:rFonts w:ascii="宋体" w:hAnsi="宋体" w:eastAsia="宋体" w:cs="宋体"/>
          <w:color w:val="000000"/>
          <w:kern w:val="0"/>
          <w:szCs w:val="21"/>
          <w:lang w:bidi="ar"/>
        </w:rPr>
      </w:pPr>
    </w:p>
    <w:p>
      <w:pPr>
        <w:ind w:firstLine="420" w:firstLineChars="200"/>
        <w:jc w:val="left"/>
        <w:rPr>
          <w:rFonts w:ascii="宋体" w:hAnsi="宋体" w:eastAsia="宋体" w:cs="宋体"/>
          <w:color w:val="000000"/>
          <w:kern w:val="0"/>
          <w:szCs w:val="21"/>
          <w:lang w:bidi="ar"/>
        </w:rPr>
      </w:pPr>
    </w:p>
    <w:p>
      <w:pPr>
        <w:ind w:firstLine="420" w:firstLineChars="200"/>
        <w:jc w:val="left"/>
        <w:rPr>
          <w:rFonts w:ascii="宋体" w:hAnsi="宋体" w:eastAsia="宋体" w:cs="宋体"/>
          <w:color w:val="000000"/>
          <w:kern w:val="0"/>
          <w:szCs w:val="21"/>
          <w:lang w:bidi="ar"/>
        </w:rPr>
      </w:pPr>
    </w:p>
    <w:p>
      <w:pPr>
        <w:ind w:firstLine="420" w:firstLineChars="200"/>
        <w:jc w:val="left"/>
        <w:rPr>
          <w:rFonts w:ascii="宋体" w:hAnsi="宋体" w:eastAsia="宋体" w:cs="宋体"/>
          <w:color w:val="000000"/>
          <w:kern w:val="0"/>
          <w:szCs w:val="21"/>
          <w:lang w:bidi="ar"/>
        </w:rPr>
      </w:pPr>
    </w:p>
    <w:p>
      <w:pPr>
        <w:ind w:firstLine="420" w:firstLineChars="200"/>
        <w:jc w:val="left"/>
        <w:rPr>
          <w:rFonts w:ascii="宋体" w:hAnsi="宋体" w:eastAsia="宋体" w:cs="宋体"/>
          <w:color w:val="000000"/>
          <w:kern w:val="0"/>
          <w:szCs w:val="21"/>
          <w:lang w:bidi="ar"/>
        </w:rPr>
      </w:pPr>
    </w:p>
    <w:p>
      <w:pPr>
        <w:ind w:firstLine="420" w:firstLineChars="200"/>
        <w:jc w:val="left"/>
        <w:rPr>
          <w:rFonts w:ascii="宋体" w:hAnsi="宋体" w:eastAsia="宋体" w:cs="宋体"/>
          <w:color w:val="000000"/>
          <w:kern w:val="0"/>
          <w:szCs w:val="21"/>
          <w:lang w:bidi="ar"/>
        </w:rPr>
      </w:pPr>
    </w:p>
    <w:p>
      <w:pPr>
        <w:jc w:val="right"/>
        <w:rPr>
          <w:rFonts w:ascii="Times New Roman" w:hAnsi="Times New Roman" w:eastAsia="黑体"/>
          <w:sz w:val="20"/>
          <w:szCs w:val="20"/>
        </w:rPr>
      </w:pPr>
      <w:r>
        <w:rPr>
          <w:rFonts w:hint="eastAsia" w:ascii="黑体" w:hAnsi="黑体" w:eastAsia="黑体" w:cs="黑体"/>
          <w:sz w:val="20"/>
          <w:szCs w:val="20"/>
        </w:rPr>
        <w:t>T/SZNB XXXXX-XXXX</w:t>
      </w:r>
    </w:p>
    <w:p>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表1 </w:t>
      </w:r>
      <w:r>
        <w:rPr>
          <w:rFonts w:hint="eastAsia" w:ascii="宋体" w:hAnsi="宋体" w:cs="宋体"/>
          <w:color w:val="000000"/>
          <w:kern w:val="0"/>
          <w:szCs w:val="21"/>
          <w:lang w:bidi="ar"/>
        </w:rPr>
        <w:t>香梨</w:t>
      </w:r>
      <w:r>
        <w:rPr>
          <w:rFonts w:hint="eastAsia" w:ascii="宋体" w:hAnsi="宋体" w:eastAsia="宋体" w:cs="宋体"/>
          <w:color w:val="000000"/>
          <w:kern w:val="0"/>
          <w:szCs w:val="21"/>
          <w:lang w:bidi="ar"/>
        </w:rPr>
        <w:t>品质等级要求</w:t>
      </w:r>
    </w:p>
    <w:tbl>
      <w:tblPr>
        <w:tblStyle w:val="7"/>
        <w:tblW w:w="99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1712"/>
        <w:gridCol w:w="2178"/>
        <w:gridCol w:w="2178"/>
        <w:gridCol w:w="2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23" w:type="dxa"/>
            <w:gridSpan w:val="2"/>
            <w:vMerge w:val="restart"/>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项 </w:t>
            </w:r>
            <w:r>
              <w:rPr>
                <w:rStyle w:val="11"/>
                <w:rFonts w:hint="default"/>
                <w:lang w:bidi="ar"/>
              </w:rPr>
              <w:t xml:space="preserve"> 目</w:t>
            </w:r>
          </w:p>
        </w:tc>
        <w:tc>
          <w:tcPr>
            <w:tcW w:w="6535" w:type="dxa"/>
            <w:gridSpan w:val="3"/>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等 </w:t>
            </w:r>
            <w:r>
              <w:rPr>
                <w:rStyle w:val="11"/>
                <w:rFonts w:hint="default"/>
                <w:lang w:bidi="ar"/>
              </w:rPr>
              <w:t xml:space="preserve">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23" w:type="dxa"/>
            <w:gridSpan w:val="2"/>
            <w:vMerge w:val="continue"/>
            <w:vAlign w:val="center"/>
          </w:tcPr>
          <w:p>
            <w:pPr>
              <w:jc w:val="center"/>
              <w:rPr>
                <w:rFonts w:ascii="宋体" w:hAnsi="宋体" w:eastAsia="宋体" w:cs="宋体"/>
                <w:color w:val="000000"/>
                <w:kern w:val="0"/>
                <w:szCs w:val="21"/>
                <w:lang w:bidi="ar"/>
              </w:rPr>
            </w:pPr>
          </w:p>
        </w:tc>
        <w:tc>
          <w:tcPr>
            <w:tcW w:w="2178" w:type="dxa"/>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A+</w:t>
            </w:r>
          </w:p>
        </w:tc>
        <w:tc>
          <w:tcPr>
            <w:tcW w:w="2178" w:type="dxa"/>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A</w:t>
            </w:r>
          </w:p>
        </w:tc>
        <w:tc>
          <w:tcPr>
            <w:tcW w:w="2179" w:type="dxa"/>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11" w:type="dxa"/>
            <w:vMerge w:val="restart"/>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感官指标</w:t>
            </w:r>
          </w:p>
        </w:tc>
        <w:tc>
          <w:tcPr>
            <w:tcW w:w="1712" w:type="dxa"/>
            <w:vAlign w:val="center"/>
          </w:tcPr>
          <w:p>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外观</w:t>
            </w:r>
          </w:p>
        </w:tc>
        <w:tc>
          <w:tcPr>
            <w:tcW w:w="4356" w:type="dxa"/>
            <w:gridSpan w:val="2"/>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果形端正、果面光洁、果皮细润、果实新鲜,萼片宿存或脱落,果梗完整。</w:t>
            </w:r>
          </w:p>
        </w:tc>
        <w:tc>
          <w:tcPr>
            <w:tcW w:w="2179" w:type="dxa"/>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果形端正、果面光洁、</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果皮细润、果实新鲜,</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萼片宿存或脱落,果</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梗完整或基本完整。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11" w:type="dxa"/>
            <w:vMerge w:val="continue"/>
            <w:vAlign w:val="center"/>
          </w:tcPr>
          <w:p>
            <w:pPr>
              <w:jc w:val="center"/>
              <w:rPr>
                <w:rFonts w:ascii="宋体" w:hAnsi="宋体" w:eastAsia="宋体" w:cs="宋体"/>
                <w:color w:val="000000"/>
                <w:kern w:val="0"/>
                <w:szCs w:val="21"/>
                <w:lang w:bidi="ar"/>
              </w:rPr>
            </w:pPr>
          </w:p>
        </w:tc>
        <w:tc>
          <w:tcPr>
            <w:tcW w:w="1712" w:type="dxa"/>
            <w:vAlign w:val="center"/>
          </w:tcPr>
          <w:p>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果面缺陷</w:t>
            </w:r>
          </w:p>
        </w:tc>
        <w:tc>
          <w:tcPr>
            <w:tcW w:w="4356" w:type="dxa"/>
            <w:gridSpan w:val="2"/>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无粗皮果、青头果、药斑果、病虫果、畸形果、机械伤果。无疤痕果。</w:t>
            </w:r>
          </w:p>
        </w:tc>
        <w:tc>
          <w:tcPr>
            <w:tcW w:w="2179" w:type="dxa"/>
            <w:vAlign w:val="center"/>
          </w:tcPr>
          <w:p>
            <w:pPr>
              <w:widowControl/>
              <w:jc w:val="left"/>
              <w:textAlignment w:val="center"/>
            </w:pPr>
            <w:r>
              <w:rPr>
                <w:rFonts w:hint="eastAsia" w:ascii="宋体" w:hAnsi="宋体" w:eastAsia="宋体" w:cs="宋体"/>
                <w:color w:val="000000"/>
                <w:kern w:val="0"/>
                <w:szCs w:val="21"/>
                <w:lang w:bidi="ar"/>
              </w:rPr>
              <w:t>无粗皮果、青头果、药斑果、病虫果、畸形果、机械伤果。允许有疤痕，单果总面积≤0.8cm</w:t>
            </w:r>
            <w:r>
              <w:rPr>
                <w:rStyle w:val="12"/>
                <w:rFonts w:hint="default"/>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3423" w:type="dxa"/>
            <w:gridSpan w:val="2"/>
            <w:vAlign w:val="center"/>
          </w:tcPr>
          <w:p>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单果质量（g）</w:t>
            </w:r>
          </w:p>
        </w:tc>
        <w:tc>
          <w:tcPr>
            <w:tcW w:w="2178" w:type="dxa"/>
            <w:vAlign w:val="center"/>
          </w:tcPr>
          <w:p>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≥120,≤160</w:t>
            </w:r>
          </w:p>
        </w:tc>
        <w:tc>
          <w:tcPr>
            <w:tcW w:w="2178" w:type="dxa"/>
            <w:vAlign w:val="center"/>
          </w:tcPr>
          <w:p>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≥100,&lt;120</w:t>
            </w:r>
          </w:p>
        </w:tc>
        <w:tc>
          <w:tcPr>
            <w:tcW w:w="2179" w:type="dxa"/>
            <w:vAlign w:val="center"/>
          </w:tcPr>
          <w:p>
            <w:pPr>
              <w:jc w:val="center"/>
            </w:pPr>
            <w:r>
              <w:rPr>
                <w:rFonts w:hint="eastAsia" w:ascii="宋体" w:hAnsi="宋体" w:eastAsia="宋体" w:cs="宋体"/>
                <w:color w:val="000000"/>
                <w:kern w:val="0"/>
                <w:szCs w:val="21"/>
                <w:lang w:bidi="ar"/>
              </w:rPr>
              <w:t>≥80,&lt;100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3423" w:type="dxa"/>
            <w:gridSpan w:val="2"/>
            <w:vAlign w:val="center"/>
          </w:tcPr>
          <w:p>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果实硬度(kg</w:t>
            </w:r>
            <w:r>
              <w:rPr>
                <w:rFonts w:hint="eastAsia" w:ascii="宋体" w:hAnsi="宋体" w:eastAsia="宋体" w:cs="宋体"/>
                <w:color w:val="000000"/>
                <w:kern w:val="0"/>
                <w:szCs w:val="21"/>
                <w:lang w:val="en-US" w:eastAsia="zh-CN" w:bidi="ar"/>
              </w:rPr>
              <w:t>f</w:t>
            </w:r>
            <w:r>
              <w:rPr>
                <w:rFonts w:hint="eastAsia" w:ascii="宋体" w:hAnsi="宋体" w:eastAsia="宋体" w:cs="宋体"/>
                <w:color w:val="000000"/>
                <w:kern w:val="0"/>
                <w:szCs w:val="21"/>
                <w:lang w:bidi="ar"/>
              </w:rPr>
              <w:t>/cm</w:t>
            </w:r>
            <w:r>
              <w:rPr>
                <w:rStyle w:val="12"/>
                <w:rFonts w:hint="default"/>
                <w:lang w:bidi="ar"/>
              </w:rPr>
              <w:t>2</w:t>
            </w:r>
            <w:r>
              <w:rPr>
                <w:rStyle w:val="11"/>
                <w:rFonts w:hint="default"/>
                <w:lang w:bidi="ar"/>
              </w:rPr>
              <w:t xml:space="preserve">)        </w:t>
            </w:r>
          </w:p>
        </w:tc>
        <w:tc>
          <w:tcPr>
            <w:tcW w:w="4356" w:type="dxa"/>
            <w:gridSpan w:val="2"/>
            <w:vAlign w:val="center"/>
          </w:tcPr>
          <w:p>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4.0～6.5</w:t>
            </w:r>
          </w:p>
        </w:tc>
        <w:tc>
          <w:tcPr>
            <w:tcW w:w="2179" w:type="dxa"/>
            <w:vAlign w:val="center"/>
          </w:tcPr>
          <w:p>
            <w:pPr>
              <w:jc w:val="center"/>
            </w:pPr>
            <w:r>
              <w:rPr>
                <w:rFonts w:hint="eastAsia" w:ascii="宋体" w:hAnsi="宋体" w:eastAsia="宋体" w:cs="宋体"/>
                <w:color w:val="000000"/>
                <w:kern w:val="0"/>
                <w:szCs w:val="21"/>
                <w:lang w:bidi="ar"/>
              </w:rPr>
              <w:t>5.0～7.0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3423" w:type="dxa"/>
            <w:gridSpan w:val="2"/>
            <w:vAlign w:val="center"/>
          </w:tcPr>
          <w:p>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可溶性固形物（%）</w:t>
            </w:r>
            <w:r>
              <w:rPr>
                <w:rStyle w:val="11"/>
                <w:rFonts w:hint="default"/>
                <w:lang w:bidi="ar"/>
              </w:rPr>
              <w:t xml:space="preserve">          ≥</w:t>
            </w:r>
          </w:p>
        </w:tc>
        <w:tc>
          <w:tcPr>
            <w:tcW w:w="2178" w:type="dxa"/>
            <w:vAlign w:val="center"/>
          </w:tcPr>
          <w:p>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12.5</w:t>
            </w:r>
          </w:p>
        </w:tc>
        <w:tc>
          <w:tcPr>
            <w:tcW w:w="2178" w:type="dxa"/>
            <w:vAlign w:val="center"/>
          </w:tcPr>
          <w:p>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12.0</w:t>
            </w:r>
          </w:p>
        </w:tc>
        <w:tc>
          <w:tcPr>
            <w:tcW w:w="2179" w:type="dxa"/>
            <w:vAlign w:val="center"/>
          </w:tcPr>
          <w:p>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3423" w:type="dxa"/>
            <w:gridSpan w:val="2"/>
            <w:vAlign w:val="center"/>
          </w:tcPr>
          <w:p>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总酸（%）</w:t>
            </w:r>
            <w:r>
              <w:rPr>
                <w:rStyle w:val="11"/>
                <w:rFonts w:hint="default"/>
                <w:lang w:bidi="ar"/>
              </w:rPr>
              <w:t xml:space="preserve">                  ≤ </w:t>
            </w:r>
          </w:p>
        </w:tc>
        <w:tc>
          <w:tcPr>
            <w:tcW w:w="4356" w:type="dxa"/>
            <w:gridSpan w:val="2"/>
            <w:vAlign w:val="center"/>
          </w:tcPr>
          <w:p>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0.9</w:t>
            </w:r>
          </w:p>
        </w:tc>
        <w:tc>
          <w:tcPr>
            <w:tcW w:w="2179" w:type="dxa"/>
            <w:vAlign w:val="center"/>
          </w:tcPr>
          <w:p>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3423" w:type="dxa"/>
            <w:gridSpan w:val="2"/>
            <w:vAlign w:val="center"/>
          </w:tcPr>
          <w:p>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 w:val="22"/>
                <w:szCs w:val="22"/>
                <w:lang w:bidi="ar"/>
              </w:rPr>
              <w:t>固酸比</w:t>
            </w:r>
          </w:p>
        </w:tc>
        <w:tc>
          <w:tcPr>
            <w:tcW w:w="2178" w:type="dxa"/>
            <w:vAlign w:val="center"/>
          </w:tcPr>
          <w:p>
            <w:pPr>
              <w:jc w:val="center"/>
              <w:rPr>
                <w:rFonts w:ascii="宋体" w:hAnsi="宋体" w:eastAsia="宋体" w:cs="宋体"/>
                <w:color w:val="000000"/>
                <w:kern w:val="0"/>
                <w:szCs w:val="21"/>
                <w:lang w:bidi="ar"/>
              </w:rPr>
            </w:pPr>
            <w:r>
              <w:rPr>
                <w:rStyle w:val="11"/>
                <w:rFonts w:hint="default"/>
                <w:lang w:bidi="ar"/>
              </w:rPr>
              <w:t>≥140:1</w:t>
            </w:r>
          </w:p>
        </w:tc>
        <w:tc>
          <w:tcPr>
            <w:tcW w:w="2178" w:type="dxa"/>
            <w:vAlign w:val="center"/>
          </w:tcPr>
          <w:p>
            <w:pPr>
              <w:jc w:val="center"/>
              <w:rPr>
                <w:rFonts w:ascii="宋体" w:hAnsi="宋体" w:eastAsia="宋体" w:cs="宋体"/>
                <w:color w:val="000000"/>
                <w:kern w:val="0"/>
                <w:szCs w:val="21"/>
                <w:lang w:bidi="ar"/>
              </w:rPr>
            </w:pPr>
            <w:r>
              <w:rPr>
                <w:rStyle w:val="11"/>
                <w:rFonts w:hint="default"/>
                <w:lang w:bidi="ar"/>
              </w:rPr>
              <w:t>≥130:1</w:t>
            </w:r>
          </w:p>
        </w:tc>
        <w:tc>
          <w:tcPr>
            <w:tcW w:w="2179" w:type="dxa"/>
            <w:vAlign w:val="center"/>
          </w:tcPr>
          <w:p>
            <w:pPr>
              <w:jc w:val="center"/>
              <w:rPr>
                <w:rFonts w:ascii="宋体" w:hAnsi="宋体" w:eastAsia="宋体" w:cs="宋体"/>
                <w:color w:val="000000"/>
                <w:kern w:val="0"/>
                <w:szCs w:val="21"/>
                <w:lang w:bidi="ar"/>
              </w:rPr>
            </w:pPr>
            <w:r>
              <w:rPr>
                <w:rStyle w:val="11"/>
                <w:rFonts w:hint="default"/>
                <w:lang w:bidi="ar"/>
              </w:rPr>
              <w:t>≥120:1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3423" w:type="dxa"/>
            <w:gridSpan w:val="2"/>
            <w:vAlign w:val="center"/>
          </w:tcPr>
          <w:p>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水分（%）</w:t>
            </w:r>
            <w:r>
              <w:rPr>
                <w:rStyle w:val="11"/>
                <w:rFonts w:hint="default"/>
                <w:lang w:bidi="ar"/>
              </w:rPr>
              <w:t xml:space="preserve">                </w:t>
            </w:r>
            <w:r>
              <w:rPr>
                <w:rStyle w:val="11"/>
                <w:rFonts w:hint="eastAsia" w:eastAsia="宋体"/>
                <w:lang w:val="en-US" w:eastAsia="zh-CN" w:bidi="ar"/>
              </w:rPr>
              <w:t xml:space="preserve"> </w:t>
            </w:r>
            <w:r>
              <w:rPr>
                <w:rStyle w:val="11"/>
                <w:rFonts w:hint="default"/>
                <w:lang w:bidi="ar"/>
              </w:rPr>
              <w:t xml:space="preserve"> ≥  </w:t>
            </w:r>
          </w:p>
        </w:tc>
        <w:tc>
          <w:tcPr>
            <w:tcW w:w="2178" w:type="dxa"/>
            <w:vAlign w:val="center"/>
          </w:tcPr>
          <w:p>
            <w:pPr>
              <w:jc w:val="center"/>
              <w:rPr>
                <w:rFonts w:hint="eastAsia" w:ascii="宋体" w:hAnsi="宋体" w:eastAsia="宋体" w:cs="宋体"/>
                <w:color w:val="000000"/>
                <w:kern w:val="0"/>
                <w:szCs w:val="21"/>
                <w:lang w:eastAsia="zh-CN" w:bidi="ar"/>
              </w:rPr>
            </w:pPr>
            <w:r>
              <w:rPr>
                <w:rFonts w:hint="eastAsia" w:ascii="宋体" w:hAnsi="宋体" w:eastAsia="宋体" w:cs="宋体"/>
                <w:color w:val="000000"/>
                <w:kern w:val="0"/>
                <w:szCs w:val="21"/>
                <w:lang w:bidi="ar"/>
              </w:rPr>
              <w:t>8</w:t>
            </w:r>
            <w:r>
              <w:rPr>
                <w:rFonts w:hint="eastAsia" w:ascii="宋体" w:hAnsi="宋体" w:eastAsia="宋体" w:cs="宋体"/>
                <w:color w:val="000000"/>
                <w:kern w:val="0"/>
                <w:szCs w:val="21"/>
                <w:lang w:val="en-US" w:eastAsia="zh-CN" w:bidi="ar"/>
              </w:rPr>
              <w:t>0</w:t>
            </w:r>
          </w:p>
        </w:tc>
        <w:tc>
          <w:tcPr>
            <w:tcW w:w="2178" w:type="dxa"/>
            <w:vAlign w:val="center"/>
          </w:tcPr>
          <w:p>
            <w:pPr>
              <w:jc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75</w:t>
            </w:r>
          </w:p>
        </w:tc>
        <w:tc>
          <w:tcPr>
            <w:tcW w:w="2179" w:type="dxa"/>
            <w:vAlign w:val="center"/>
          </w:tcPr>
          <w:p>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3423" w:type="dxa"/>
            <w:gridSpan w:val="2"/>
            <w:vAlign w:val="center"/>
          </w:tcPr>
          <w:p>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 w:val="22"/>
                <w:szCs w:val="22"/>
                <w:lang w:bidi="ar"/>
              </w:rPr>
              <w:t xml:space="preserve">钾（mg/kg）          </w:t>
            </w:r>
            <w:r>
              <w:rPr>
                <w:rFonts w:hint="eastAsia" w:ascii="宋体" w:hAnsi="宋体" w:eastAsia="宋体" w:cs="宋体"/>
                <w:color w:val="000000"/>
                <w:kern w:val="0"/>
                <w:sz w:val="22"/>
                <w:szCs w:val="22"/>
                <w:lang w:val="en-US" w:eastAsia="zh-CN" w:bidi="ar"/>
              </w:rPr>
              <w:t xml:space="preserve">  </w:t>
            </w:r>
            <w:r>
              <w:rPr>
                <w:rFonts w:hint="eastAsia" w:ascii="宋体" w:hAnsi="宋体" w:eastAsia="宋体" w:cs="宋体"/>
                <w:color w:val="000000"/>
                <w:kern w:val="0"/>
                <w:sz w:val="22"/>
                <w:szCs w:val="22"/>
                <w:lang w:bidi="ar"/>
              </w:rPr>
              <w:t xml:space="preserve">   </w:t>
            </w:r>
            <w:r>
              <w:rPr>
                <w:rFonts w:hint="eastAsia" w:ascii="宋体" w:hAnsi="宋体" w:eastAsia="宋体" w:cs="宋体"/>
                <w:color w:val="000000"/>
                <w:kern w:val="0"/>
                <w:szCs w:val="21"/>
                <w:lang w:bidi="ar"/>
              </w:rPr>
              <w:t>≥</w:t>
            </w:r>
          </w:p>
        </w:tc>
        <w:tc>
          <w:tcPr>
            <w:tcW w:w="2178" w:type="dxa"/>
            <w:vAlign w:val="center"/>
          </w:tcPr>
          <w:p>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w:t>
            </w:r>
            <w:r>
              <w:rPr>
                <w:rFonts w:hint="eastAsia" w:ascii="宋体" w:hAnsi="宋体" w:eastAsia="宋体" w:cs="宋体"/>
                <w:color w:val="000000"/>
                <w:kern w:val="0"/>
                <w:szCs w:val="21"/>
                <w:lang w:val="en-US" w:eastAsia="zh-CN" w:bidi="ar"/>
              </w:rPr>
              <w:t>0</w:t>
            </w:r>
            <w:r>
              <w:rPr>
                <w:rFonts w:hint="eastAsia" w:ascii="宋体" w:hAnsi="宋体" w:eastAsia="宋体" w:cs="宋体"/>
                <w:color w:val="000000"/>
                <w:kern w:val="0"/>
                <w:szCs w:val="21"/>
                <w:lang w:bidi="ar"/>
              </w:rPr>
              <w:t>00</w:t>
            </w:r>
          </w:p>
        </w:tc>
        <w:tc>
          <w:tcPr>
            <w:tcW w:w="2178" w:type="dxa"/>
            <w:vAlign w:val="center"/>
          </w:tcPr>
          <w:p>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2179" w:type="dxa"/>
            <w:vAlign w:val="center"/>
          </w:tcPr>
          <w:p>
            <w:pPr>
              <w:jc w:val="center"/>
            </w:pPr>
            <w:r>
              <w:rPr>
                <w:rFonts w:hint="eastAsia"/>
              </w:rPr>
              <w:t>——</w:t>
            </w:r>
          </w:p>
          <w:p>
            <w:pPr>
              <w:jc w:val="both"/>
            </w:pPr>
          </w:p>
        </w:tc>
      </w:tr>
    </w:tbl>
    <w:p>
      <w:pPr>
        <w:spacing w:line="360" w:lineRule="auto"/>
        <w:jc w:val="center"/>
        <w:rPr>
          <w:rFonts w:hint="eastAsia" w:ascii="宋体" w:hAnsi="宋体" w:eastAsia="宋体" w:cs="宋体"/>
          <w:color w:val="000000"/>
          <w:kern w:val="0"/>
          <w:szCs w:val="21"/>
          <w:lang w:bidi="ar"/>
        </w:rPr>
      </w:pPr>
    </w:p>
    <w:p>
      <w:pPr>
        <w:adjustRightInd w:val="0"/>
        <w:snapToGrid w:val="0"/>
        <w:jc w:val="left"/>
        <w:outlineLvl w:val="0"/>
        <w:rPr>
          <w:rFonts w:hint="eastAsia" w:ascii="黑体" w:hAnsi="黑体" w:eastAsia="黑体" w:cs="黑体"/>
          <w:sz w:val="20"/>
          <w:szCs w:val="20"/>
        </w:rPr>
      </w:pPr>
      <w:bookmarkStart w:id="11" w:name="_Toc29296"/>
      <w:r>
        <w:rPr>
          <w:rFonts w:hint="eastAsia" w:ascii="黑体" w:hAnsi="黑体" w:eastAsia="黑体" w:cs="黑体"/>
          <w:sz w:val="20"/>
          <w:szCs w:val="20"/>
        </w:rPr>
        <w:t xml:space="preserve">5 </w:t>
      </w:r>
      <w:r>
        <w:rPr>
          <w:rFonts w:hint="eastAsia" w:ascii="黑体" w:hAnsi="黑体" w:eastAsia="黑体" w:cs="黑体"/>
          <w:sz w:val="20"/>
          <w:szCs w:val="20"/>
          <w:lang w:val="en-US" w:eastAsia="zh-CN"/>
        </w:rPr>
        <w:t xml:space="preserve"> </w:t>
      </w:r>
      <w:r>
        <w:rPr>
          <w:rFonts w:hint="eastAsia" w:ascii="黑体" w:hAnsi="黑体" w:eastAsia="黑体" w:cs="黑体"/>
          <w:sz w:val="20"/>
          <w:szCs w:val="20"/>
        </w:rPr>
        <w:t>容许度要求</w:t>
      </w:r>
      <w:bookmarkEnd w:id="11"/>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A+、A级香梨不允许有果实不符合本等级规定的感官指标要求。</w:t>
      </w: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B级香梨允许有不超过抽检总个数5%的疤痕果(单果总面积≤0.8</w:t>
      </w:r>
      <w:r>
        <w:rPr>
          <w:rFonts w:hint="eastAsia" w:ascii="宋体" w:hAnsi="宋体" w:eastAsia="宋体" w:cs="宋体"/>
          <w:color w:val="000000"/>
          <w:kern w:val="0"/>
          <w:szCs w:val="21"/>
          <w:lang w:bidi="ar"/>
        </w:rPr>
        <w:t>cm</w:t>
      </w:r>
      <w:r>
        <w:rPr>
          <w:rStyle w:val="12"/>
          <w:rFonts w:hint="default"/>
          <w:lang w:bidi="ar"/>
        </w:rPr>
        <w:t>2</w:t>
      </w:r>
      <w:r>
        <w:rPr>
          <w:rFonts w:hint="eastAsia" w:asciiTheme="minorEastAsia" w:hAnsiTheme="minorEastAsia" w:eastAsiaTheme="minorEastAsia" w:cstheme="minorEastAsia"/>
          <w:b w:val="0"/>
          <w:bCs w:val="0"/>
          <w:sz w:val="20"/>
          <w:szCs w:val="20"/>
          <w:u w:val="none"/>
          <w:lang w:val="en-US" w:eastAsia="zh-CN"/>
        </w:rPr>
        <w:t>)。</w:t>
      </w: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C级香梨允许有不超过抽检总个数10%的疤痕果(单果总面积≤1.0cm</w:t>
      </w:r>
      <w:r>
        <w:rPr>
          <w:rFonts w:hint="eastAsia" w:asciiTheme="minorEastAsia" w:hAnsiTheme="minorEastAsia" w:eastAsiaTheme="minorEastAsia" w:cstheme="minorEastAsia"/>
          <w:b w:val="0"/>
          <w:bCs w:val="0"/>
          <w:sz w:val="20"/>
          <w:szCs w:val="20"/>
          <w:u w:val="none"/>
          <w:vertAlign w:val="superscript"/>
          <w:lang w:val="en-US" w:eastAsia="zh-CN"/>
        </w:rPr>
        <w:t>2</w:t>
      </w:r>
      <w:r>
        <w:rPr>
          <w:rFonts w:hint="eastAsia" w:asciiTheme="minorEastAsia" w:hAnsiTheme="minorEastAsia" w:eastAsiaTheme="minorEastAsia" w:cstheme="minorEastAsia"/>
          <w:b w:val="0"/>
          <w:bCs w:val="0"/>
          <w:sz w:val="20"/>
          <w:szCs w:val="20"/>
          <w:u w:val="none"/>
          <w:lang w:val="en-US" w:eastAsia="zh-CN"/>
        </w:rPr>
        <w:t>)。</w:t>
      </w: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各等级容许度规定允许的不合格果应符合下一相邻等级的质量要求,不得有隔等果。</w:t>
      </w:r>
    </w:p>
    <w:p>
      <w:pPr>
        <w:adjustRightInd w:val="0"/>
        <w:snapToGrid w:val="0"/>
        <w:ind w:firstLine="400" w:firstLineChars="200"/>
        <w:jc w:val="left"/>
        <w:rPr>
          <w:rFonts w:asciiTheme="minorEastAsia" w:hAnsiTheme="minorEastAsia" w:cstheme="minorEastAsia"/>
          <w:sz w:val="20"/>
          <w:szCs w:val="20"/>
        </w:rPr>
      </w:pPr>
    </w:p>
    <w:p>
      <w:pPr>
        <w:adjustRightInd w:val="0"/>
        <w:snapToGrid w:val="0"/>
        <w:jc w:val="left"/>
        <w:outlineLvl w:val="0"/>
        <w:rPr>
          <w:rFonts w:hint="eastAsia" w:ascii="黑体" w:hAnsi="黑体" w:eastAsia="黑体" w:cs="黑体"/>
          <w:sz w:val="20"/>
          <w:szCs w:val="20"/>
        </w:rPr>
      </w:pPr>
      <w:bookmarkStart w:id="12" w:name="_Toc7630"/>
      <w:r>
        <w:rPr>
          <w:rFonts w:hint="eastAsia" w:ascii="黑体" w:hAnsi="黑体" w:eastAsia="黑体" w:cs="黑体"/>
          <w:sz w:val="20"/>
          <w:szCs w:val="20"/>
        </w:rPr>
        <w:t>6  试验方法</w:t>
      </w:r>
      <w:bookmarkEnd w:id="12"/>
    </w:p>
    <w:p>
      <w:pPr>
        <w:adjustRightInd w:val="0"/>
        <w:snapToGrid w:val="0"/>
        <w:jc w:val="left"/>
        <w:rPr>
          <w:rFonts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从各等级样品中随机抽取20</w:t>
      </w:r>
      <w:r>
        <w:rPr>
          <w:rFonts w:hint="eastAsia" w:ascii="宋体" w:hAnsi="宋体" w:eastAsia="宋体" w:cs="宋体"/>
          <w:b w:val="0"/>
          <w:bCs w:val="0"/>
          <w:sz w:val="20"/>
          <w:szCs w:val="20"/>
          <w:u w:val="none"/>
          <w:lang w:val="en-US" w:eastAsia="zh-CN"/>
        </w:rPr>
        <w:t>～</w:t>
      </w:r>
      <w:r>
        <w:rPr>
          <w:rFonts w:hint="eastAsia" w:asciiTheme="minorEastAsia" w:hAnsiTheme="minorEastAsia" w:eastAsiaTheme="minorEastAsia" w:cstheme="minorEastAsia"/>
          <w:b w:val="0"/>
          <w:bCs w:val="0"/>
          <w:sz w:val="20"/>
          <w:szCs w:val="20"/>
          <w:u w:val="none"/>
          <w:lang w:val="en-US" w:eastAsia="zh-CN"/>
        </w:rPr>
        <w:t>30个样果，依照先外观后理化检验的顺序进行检验。</w:t>
      </w:r>
    </w:p>
    <w:p>
      <w:pPr>
        <w:adjustRightInd w:val="0"/>
        <w:snapToGrid w:val="0"/>
        <w:ind w:firstLine="400" w:firstLineChars="200"/>
        <w:jc w:val="left"/>
        <w:rPr>
          <w:rFonts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黑体" w:hAnsi="黑体" w:eastAsia="黑体" w:cs="黑体"/>
          <w:b w:val="0"/>
          <w:bCs w:val="0"/>
          <w:sz w:val="20"/>
          <w:szCs w:val="20"/>
          <w:u w:val="none"/>
          <w:lang w:val="en-US" w:eastAsia="zh-CN"/>
        </w:rPr>
      </w:pPr>
      <w:r>
        <w:rPr>
          <w:rFonts w:hint="eastAsia" w:ascii="黑体" w:hAnsi="黑体" w:eastAsia="黑体" w:cs="黑体"/>
          <w:b w:val="0"/>
          <w:bCs w:val="0"/>
          <w:sz w:val="20"/>
          <w:szCs w:val="20"/>
          <w:u w:val="none"/>
          <w:lang w:val="en-US" w:eastAsia="zh-CN"/>
        </w:rPr>
        <w:t>6.1 追溯要求检验</w:t>
      </w:r>
    </w:p>
    <w:p>
      <w:pPr>
        <w:adjustRightInd w:val="0"/>
        <w:snapToGrid w:val="0"/>
        <w:ind w:firstLine="400" w:firstLineChars="200"/>
        <w:jc w:val="left"/>
        <w:rPr>
          <w:rFonts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查看产品或包装是否具有承诺达标合格证及追溯相关信息。</w:t>
      </w:r>
    </w:p>
    <w:p>
      <w:pPr>
        <w:jc w:val="left"/>
        <w:rPr>
          <w:rFonts w:ascii="宋体" w:hAnsi="宋体" w:eastAsia="宋体" w:cs="宋体"/>
          <w:szCs w:val="21"/>
        </w:rPr>
      </w:pPr>
    </w:p>
    <w:p>
      <w:pPr>
        <w:jc w:val="left"/>
        <w:rPr>
          <w:rFonts w:ascii="宋体" w:hAnsi="宋体" w:eastAsia="宋体" w:cs="宋体"/>
          <w:szCs w:val="21"/>
        </w:rPr>
      </w:pPr>
    </w:p>
    <w:p>
      <w:pPr>
        <w:jc w:val="right"/>
        <w:rPr>
          <w:rFonts w:ascii="Times New Roman" w:hAnsi="Times New Roman" w:eastAsia="黑体"/>
          <w:sz w:val="20"/>
          <w:szCs w:val="20"/>
        </w:rPr>
      </w:pPr>
      <w:r>
        <w:rPr>
          <w:rFonts w:hint="eastAsia" w:ascii="黑体" w:hAnsi="黑体" w:eastAsia="黑体" w:cs="黑体"/>
          <w:sz w:val="20"/>
          <w:szCs w:val="20"/>
        </w:rPr>
        <w:t>T/SZNB XXXXX-XXXX</w:t>
      </w: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黑体" w:hAnsi="黑体" w:eastAsia="黑体" w:cs="黑体"/>
          <w:b w:val="0"/>
          <w:bCs w:val="0"/>
          <w:sz w:val="20"/>
          <w:szCs w:val="20"/>
          <w:u w:val="none"/>
          <w:lang w:val="en-US" w:eastAsia="zh-CN"/>
        </w:rPr>
      </w:pPr>
      <w:r>
        <w:rPr>
          <w:rFonts w:hint="eastAsia" w:ascii="黑体" w:hAnsi="黑体" w:eastAsia="黑体" w:cs="黑体"/>
          <w:b w:val="0"/>
          <w:bCs w:val="0"/>
          <w:sz w:val="20"/>
          <w:szCs w:val="20"/>
          <w:u w:val="none"/>
          <w:lang w:val="en-US" w:eastAsia="zh-CN"/>
        </w:rPr>
        <w:t>6.2安全要求检验</w:t>
      </w:r>
    </w:p>
    <w:p>
      <w:pPr>
        <w:adjustRightInd w:val="0"/>
        <w:snapToGrid w:val="0"/>
        <w:ind w:firstLine="402" w:firstLineChars="200"/>
        <w:jc w:val="left"/>
        <w:rPr>
          <w:rFonts w:hint="eastAsia" w:ascii="黑体" w:hAnsi="黑体" w:eastAsia="黑体" w:cs="黑体"/>
          <w:b/>
          <w:bCs/>
          <w:sz w:val="20"/>
          <w:szCs w:val="20"/>
          <w:lang w:val="en-US" w:eastAsia="zh-CN"/>
        </w:rPr>
      </w:pPr>
      <w:r>
        <w:rPr>
          <w:rFonts w:hint="eastAsia" w:ascii="黑体" w:hAnsi="黑体" w:eastAsia="黑体" w:cs="黑体"/>
          <w:b/>
          <w:bCs/>
          <w:sz w:val="20"/>
          <w:szCs w:val="20"/>
          <w:lang w:val="en-US" w:eastAsia="zh-CN"/>
        </w:rPr>
        <w:t xml:space="preserve"> </w:t>
      </w: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6.2.1污染物限量按照GB</w:t>
      </w:r>
      <w:r>
        <w:rPr>
          <w:rFonts w:hint="eastAsia" w:ascii="黑体" w:hAnsi="黑体" w:eastAsia="黑体" w:cs="黑体"/>
          <w:sz w:val="20"/>
          <w:szCs w:val="20"/>
          <w:lang w:val="en-US" w:eastAsia="zh-CN"/>
        </w:rPr>
        <w:t xml:space="preserve"> </w:t>
      </w:r>
      <w:r>
        <w:rPr>
          <w:rFonts w:hint="eastAsia" w:ascii="黑体" w:hAnsi="黑体" w:eastAsia="黑体" w:cs="黑体"/>
          <w:sz w:val="20"/>
          <w:szCs w:val="20"/>
        </w:rPr>
        <w:t>2762规定的检验方法检验。</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6.2.2农药最大残留限量按照GB</w:t>
      </w:r>
      <w:r>
        <w:rPr>
          <w:rFonts w:hint="eastAsia" w:ascii="黑体" w:hAnsi="黑体" w:eastAsia="黑体" w:cs="黑体"/>
          <w:sz w:val="20"/>
          <w:szCs w:val="20"/>
          <w:lang w:val="en-US" w:eastAsia="zh-CN"/>
        </w:rPr>
        <w:t xml:space="preserve"> </w:t>
      </w:r>
      <w:r>
        <w:rPr>
          <w:rFonts w:hint="eastAsia" w:ascii="黑体" w:hAnsi="黑体" w:eastAsia="黑体" w:cs="黑体"/>
          <w:sz w:val="20"/>
          <w:szCs w:val="20"/>
        </w:rPr>
        <w:t>2763规定的检验方法检验。</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6.3  感官指标</w:t>
      </w:r>
    </w:p>
    <w:p>
      <w:pPr>
        <w:adjustRightInd w:val="0"/>
        <w:snapToGrid w:val="0"/>
        <w:ind w:firstLine="400" w:firstLineChars="200"/>
        <w:jc w:val="left"/>
        <w:rPr>
          <w:rFonts w:ascii="黑体" w:hAnsi="黑体" w:eastAsia="黑体" w:cs="黑体"/>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6.3.1  检验工具</w:t>
      </w:r>
    </w:p>
    <w:p>
      <w:pPr>
        <w:adjustRightInd w:val="0"/>
        <w:snapToGrid w:val="0"/>
        <w:ind w:firstLine="400" w:firstLineChars="200"/>
        <w:jc w:val="left"/>
        <w:rPr>
          <w:rFonts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10倍放大镜、精确度为0.1 mm 的钢直尺或卷尺。</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6.3.2  检验方法</w:t>
      </w:r>
    </w:p>
    <w:p>
      <w:pPr>
        <w:adjustRightInd w:val="0"/>
        <w:snapToGrid w:val="0"/>
        <w:ind w:firstLine="400" w:firstLineChars="200"/>
        <w:jc w:val="left"/>
        <w:rPr>
          <w:rFonts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果实的果形、果面、果皮、萼片、果梗、</w:t>
      </w:r>
      <w:r>
        <w:rPr>
          <w:rFonts w:hint="eastAsia" w:asciiTheme="minorEastAsia" w:hAnsiTheme="minorEastAsia" w:cstheme="minorEastAsia"/>
          <w:b w:val="0"/>
          <w:bCs w:val="0"/>
          <w:sz w:val="20"/>
          <w:szCs w:val="20"/>
          <w:u w:val="none"/>
          <w:lang w:val="en-US" w:eastAsia="zh-CN"/>
        </w:rPr>
        <w:t>果</w:t>
      </w:r>
      <w:r>
        <w:rPr>
          <w:rFonts w:hint="eastAsia" w:asciiTheme="minorEastAsia" w:hAnsiTheme="minorEastAsia" w:eastAsiaTheme="minorEastAsia" w:cstheme="minorEastAsia"/>
          <w:b w:val="0"/>
          <w:bCs w:val="0"/>
          <w:sz w:val="20"/>
          <w:szCs w:val="20"/>
          <w:u w:val="none"/>
          <w:lang w:val="en-US" w:eastAsia="zh-CN"/>
        </w:rPr>
        <w:t>面疤痕均采用目测评定，将检出的不符合品质要求的果实称量，并做记录。果梗及果面疤痕还应结合测量工具进行。</w:t>
      </w:r>
    </w:p>
    <w:p>
      <w:pPr>
        <w:adjustRightInd w:val="0"/>
        <w:snapToGrid w:val="0"/>
        <w:ind w:left="420" w:leftChars="200" w:firstLine="418" w:firstLineChars="209"/>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6.4  单果重量</w:t>
      </w:r>
    </w:p>
    <w:p>
      <w:pPr>
        <w:adjustRightInd w:val="0"/>
        <w:snapToGrid w:val="0"/>
        <w:ind w:firstLine="400" w:firstLineChars="200"/>
        <w:jc w:val="left"/>
        <w:rPr>
          <w:rFonts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用感量为0.01g的天平逐个称量，计算相应单果重量合格率。</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6.5  果实硬度</w:t>
      </w:r>
    </w:p>
    <w:p>
      <w:pPr>
        <w:adjustRightInd w:val="0"/>
        <w:snapToGrid w:val="0"/>
        <w:ind w:firstLine="400" w:firstLineChars="200"/>
        <w:jc w:val="left"/>
        <w:rPr>
          <w:rFonts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在抽取的果实样品中，随机抽取20</w:t>
      </w:r>
      <w:r>
        <w:rPr>
          <w:rFonts w:hint="eastAsia" w:ascii="宋体" w:hAnsi="宋体" w:eastAsia="宋体" w:cs="宋体"/>
          <w:b w:val="0"/>
          <w:bCs w:val="0"/>
          <w:sz w:val="20"/>
          <w:szCs w:val="20"/>
          <w:u w:val="none"/>
          <w:lang w:val="en-US" w:eastAsia="zh-CN"/>
        </w:rPr>
        <w:t>～</w:t>
      </w:r>
      <w:r>
        <w:rPr>
          <w:rFonts w:hint="eastAsia" w:asciiTheme="minorEastAsia" w:hAnsiTheme="minorEastAsia" w:eastAsiaTheme="minorEastAsia" w:cstheme="minorEastAsia"/>
          <w:b w:val="0"/>
          <w:bCs w:val="0"/>
          <w:sz w:val="20"/>
          <w:szCs w:val="20"/>
          <w:u w:val="none"/>
          <w:lang w:val="en-US" w:eastAsia="zh-CN"/>
        </w:rPr>
        <w:t>30个样果，冷藏样品的，应先将样品放置与室温一致时测量，逐个在果实横径相对两面最大处各选1个测试部位。用果实硬度计垂直地对准果面测试处，均匀缓慢用力，插入硬度计测头，测头直径</w:t>
      </w:r>
      <w:r>
        <w:rPr>
          <w:rFonts w:hint="eastAsia" w:asciiTheme="minorEastAsia" w:hAnsiTheme="minorEastAsia" w:eastAsiaTheme="minorEastAsia" w:cstheme="minorEastAsia"/>
          <w:b w:val="0"/>
          <w:bCs w:val="0"/>
          <w:sz w:val="20"/>
          <w:szCs w:val="20"/>
          <w:highlight w:val="none"/>
          <w:u w:val="none"/>
          <w:lang w:val="en-US" w:eastAsia="zh-CN"/>
        </w:rPr>
        <w:t xml:space="preserve">8 </w:t>
      </w:r>
      <w:r>
        <w:rPr>
          <w:rFonts w:hint="eastAsia" w:asciiTheme="minorEastAsia" w:hAnsiTheme="minorEastAsia" w:cstheme="minorEastAsia"/>
          <w:b w:val="0"/>
          <w:bCs w:val="0"/>
          <w:sz w:val="20"/>
          <w:szCs w:val="20"/>
          <w:highlight w:val="none"/>
          <w:u w:val="none"/>
          <w:lang w:val="en-US" w:eastAsia="zh-CN"/>
        </w:rPr>
        <w:t>m</w:t>
      </w:r>
      <w:r>
        <w:rPr>
          <w:rFonts w:hint="eastAsia" w:asciiTheme="minorEastAsia" w:hAnsiTheme="minorEastAsia" w:eastAsiaTheme="minorEastAsia" w:cstheme="minorEastAsia"/>
          <w:b w:val="0"/>
          <w:bCs w:val="0"/>
          <w:sz w:val="20"/>
          <w:szCs w:val="20"/>
          <w:highlight w:val="none"/>
          <w:u w:val="none"/>
          <w:lang w:val="en-US" w:eastAsia="zh-CN"/>
        </w:rPr>
        <w:t>m，</w:t>
      </w:r>
      <w:r>
        <w:rPr>
          <w:rFonts w:hint="eastAsia" w:asciiTheme="minorEastAsia" w:hAnsiTheme="minorEastAsia" w:eastAsiaTheme="minorEastAsia" w:cstheme="minorEastAsia"/>
          <w:b w:val="0"/>
          <w:bCs w:val="0"/>
          <w:sz w:val="20"/>
          <w:szCs w:val="20"/>
          <w:u w:val="none"/>
          <w:lang w:val="en-US" w:eastAsia="zh-CN"/>
        </w:rPr>
        <w:t>不得转动压入，测头进入水果的深度应与测头上的标示一致，记录读数，保留两位小数，以“kg</w:t>
      </w:r>
      <w:r>
        <w:rPr>
          <w:rFonts w:hint="eastAsia" w:asciiTheme="minorEastAsia" w:hAnsiTheme="minorEastAsia" w:cstheme="minorEastAsia"/>
          <w:b w:val="0"/>
          <w:bCs w:val="0"/>
          <w:sz w:val="20"/>
          <w:szCs w:val="20"/>
          <w:u w:val="none"/>
          <w:lang w:val="en-US" w:eastAsia="zh-CN"/>
        </w:rPr>
        <w:t>f</w:t>
      </w:r>
      <w:r>
        <w:rPr>
          <w:rFonts w:hint="eastAsia" w:asciiTheme="minorEastAsia" w:hAnsiTheme="minorEastAsia" w:eastAsiaTheme="minorEastAsia" w:cstheme="minorEastAsia"/>
          <w:b w:val="0"/>
          <w:bCs w:val="0"/>
          <w:sz w:val="20"/>
          <w:szCs w:val="20"/>
          <w:u w:val="none"/>
          <w:lang w:val="en-US" w:eastAsia="zh-CN"/>
        </w:rPr>
        <w:t>/cm</w:t>
      </w:r>
      <w:r>
        <w:rPr>
          <w:rFonts w:hint="eastAsia" w:asciiTheme="minorEastAsia" w:hAnsiTheme="minorEastAsia" w:cstheme="minorEastAsia"/>
          <w:b w:val="0"/>
          <w:bCs w:val="0"/>
          <w:sz w:val="20"/>
          <w:szCs w:val="20"/>
          <w:u w:val="none"/>
          <w:vertAlign w:val="superscript"/>
          <w:lang w:val="en-US" w:eastAsia="zh-CN"/>
        </w:rPr>
        <w:t>2</w:t>
      </w:r>
      <w:r>
        <w:rPr>
          <w:rFonts w:hint="eastAsia" w:asciiTheme="minorEastAsia" w:hAnsiTheme="minorEastAsia" w:eastAsiaTheme="minorEastAsia" w:cstheme="minorEastAsia"/>
          <w:b w:val="0"/>
          <w:bCs w:val="0"/>
          <w:sz w:val="20"/>
          <w:szCs w:val="20"/>
          <w:u w:val="none"/>
          <w:lang w:val="en-US" w:eastAsia="zh-CN"/>
        </w:rPr>
        <w:t>”表示测试结果，取其平均值，计算至小数点后一位。</w:t>
      </w:r>
    </w:p>
    <w:p>
      <w:pPr>
        <w:adjustRightInd w:val="0"/>
        <w:snapToGrid w:val="0"/>
        <w:ind w:left="420" w:leftChars="200" w:firstLine="418" w:firstLineChars="209"/>
        <w:jc w:val="left"/>
        <w:rPr>
          <w:rFonts w:asciiTheme="minorEastAsia" w:hAnsiTheme="minorEastAsia" w:cstheme="minorEastAsia"/>
          <w:sz w:val="20"/>
          <w:szCs w:val="20"/>
        </w:rPr>
      </w:pPr>
    </w:p>
    <w:p>
      <w:pPr>
        <w:adjustRightInd w:val="0"/>
        <w:snapToGrid w:val="0"/>
        <w:ind w:left="420" w:leftChars="200"/>
        <w:jc w:val="left"/>
        <w:rPr>
          <w:rFonts w:ascii="黑体" w:hAnsi="黑体" w:eastAsia="黑体" w:cs="黑体"/>
          <w:sz w:val="20"/>
          <w:szCs w:val="20"/>
        </w:rPr>
      </w:pPr>
      <w:r>
        <w:rPr>
          <w:rFonts w:hint="eastAsia" w:ascii="黑体" w:hAnsi="黑体" w:eastAsia="黑体" w:cs="黑体"/>
          <w:sz w:val="20"/>
          <w:szCs w:val="20"/>
        </w:rPr>
        <w:t>6.6  可溶性固形物</w:t>
      </w:r>
    </w:p>
    <w:p>
      <w:pPr>
        <w:adjustRightInd w:val="0"/>
        <w:snapToGrid w:val="0"/>
        <w:ind w:firstLine="400" w:firstLineChars="200"/>
        <w:jc w:val="left"/>
        <w:rPr>
          <w:rFonts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按NY/T 2637规定的方法执行。</w:t>
      </w:r>
    </w:p>
    <w:p>
      <w:pPr>
        <w:adjustRightInd w:val="0"/>
        <w:snapToGrid w:val="0"/>
        <w:ind w:left="420" w:leftChars="200" w:firstLine="418" w:firstLineChars="209"/>
        <w:jc w:val="left"/>
        <w:rPr>
          <w:rFonts w:asciiTheme="minorEastAsia" w:hAnsiTheme="minorEastAsia" w:cstheme="minorEastAsia"/>
          <w:sz w:val="20"/>
          <w:szCs w:val="20"/>
        </w:rPr>
      </w:pPr>
    </w:p>
    <w:p>
      <w:pPr>
        <w:adjustRightInd w:val="0"/>
        <w:snapToGrid w:val="0"/>
        <w:ind w:left="420" w:leftChars="200"/>
        <w:jc w:val="left"/>
        <w:rPr>
          <w:rFonts w:ascii="黑体" w:hAnsi="黑体" w:eastAsia="黑体" w:cs="黑体"/>
          <w:sz w:val="20"/>
          <w:szCs w:val="20"/>
        </w:rPr>
      </w:pPr>
      <w:r>
        <w:rPr>
          <w:rFonts w:hint="eastAsia" w:ascii="黑体" w:hAnsi="黑体" w:eastAsia="黑体" w:cs="黑体"/>
          <w:sz w:val="20"/>
          <w:szCs w:val="20"/>
        </w:rPr>
        <w:t>6.7  总酸</w:t>
      </w:r>
    </w:p>
    <w:p>
      <w:pPr>
        <w:adjustRightInd w:val="0"/>
        <w:snapToGrid w:val="0"/>
        <w:ind w:left="420" w:leftChars="200"/>
        <w:jc w:val="left"/>
        <w:rPr>
          <w:rFonts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按GB 12456 规定的方法执行。</w:t>
      </w: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jc w:val="left"/>
        <w:rPr>
          <w:rFonts w:ascii="黑体" w:hAnsi="黑体" w:eastAsia="黑体" w:cs="黑体"/>
          <w:sz w:val="20"/>
          <w:szCs w:val="20"/>
        </w:rPr>
      </w:pPr>
      <w:r>
        <w:rPr>
          <w:rFonts w:hint="eastAsia" w:ascii="黑体" w:hAnsi="黑体" w:eastAsia="黑体" w:cs="黑体"/>
          <w:sz w:val="20"/>
          <w:szCs w:val="20"/>
        </w:rPr>
        <w:t>6.8  固酸比</w:t>
      </w:r>
    </w:p>
    <w:p>
      <w:pPr>
        <w:adjustRightInd w:val="0"/>
        <w:snapToGrid w:val="0"/>
        <w:ind w:left="420" w:leftChars="200"/>
        <w:jc w:val="left"/>
        <w:rPr>
          <w:rFonts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测定的可溶性固形物和总酸的数值，按照以下公式计算：</w:t>
      </w:r>
    </w:p>
    <w:p>
      <w:pPr>
        <w:adjustRightInd w:val="0"/>
        <w:snapToGrid w:val="0"/>
        <w:ind w:left="420" w:leftChars="200" w:firstLine="3800" w:firstLineChars="1900"/>
        <w:jc w:val="both"/>
        <w:rPr>
          <w:rFonts w:asciiTheme="minorEastAsia" w:hAnsiTheme="minorEastAsia" w:cstheme="minorEastAsia"/>
          <w:sz w:val="20"/>
          <w:szCs w:val="20"/>
          <w:highlight w:val="none"/>
        </w:rPr>
      </w:pPr>
      <w:r>
        <w:rPr>
          <w:rFonts w:hint="eastAsia" w:asciiTheme="minorEastAsia" w:hAnsiTheme="minorEastAsia" w:cstheme="minorEastAsia"/>
          <w:sz w:val="20"/>
          <w:szCs w:val="20"/>
          <w:highlight w:val="none"/>
        </w:rPr>
        <w:t>固酸比＝</w:t>
      </w:r>
      <w:r>
        <w:rPr>
          <w:rFonts w:hint="eastAsia" w:asciiTheme="minorEastAsia" w:hAnsiTheme="minorEastAsia" w:cstheme="minorEastAsia"/>
          <w:i/>
          <w:iCs/>
          <w:sz w:val="20"/>
          <w:szCs w:val="20"/>
          <w:highlight w:val="none"/>
        </w:rPr>
        <w:t>p/x</w:t>
      </w:r>
    </w:p>
    <w:p>
      <w:pPr>
        <w:adjustRightInd w:val="0"/>
        <w:snapToGrid w:val="0"/>
        <w:ind w:left="420" w:leftChars="200" w:firstLine="400" w:firstLineChars="200"/>
        <w:jc w:val="left"/>
        <w:rPr>
          <w:rFonts w:asciiTheme="minorEastAsia" w:hAnsiTheme="minorEastAsia" w:cstheme="minorEastAsia"/>
          <w:sz w:val="20"/>
          <w:szCs w:val="20"/>
          <w:highlight w:val="none"/>
        </w:rPr>
      </w:pPr>
      <w:r>
        <w:rPr>
          <w:rFonts w:hint="eastAsia" w:asciiTheme="minorEastAsia" w:hAnsiTheme="minorEastAsia" w:cstheme="minorEastAsia"/>
          <w:sz w:val="20"/>
          <w:szCs w:val="20"/>
          <w:highlight w:val="none"/>
        </w:rPr>
        <w:t>式中：</w:t>
      </w:r>
    </w:p>
    <w:p>
      <w:pPr>
        <w:adjustRightInd w:val="0"/>
        <w:snapToGrid w:val="0"/>
        <w:ind w:left="420" w:leftChars="200" w:firstLine="400" w:firstLineChars="200"/>
        <w:jc w:val="left"/>
        <w:rPr>
          <w:rFonts w:asciiTheme="minorEastAsia" w:hAnsiTheme="minorEastAsia" w:cstheme="minorEastAsia"/>
          <w:i/>
          <w:iCs/>
          <w:sz w:val="20"/>
          <w:szCs w:val="20"/>
          <w:highlight w:val="none"/>
        </w:rPr>
      </w:pPr>
      <w:r>
        <w:rPr>
          <w:rFonts w:hint="eastAsia" w:asciiTheme="minorEastAsia" w:hAnsiTheme="minorEastAsia" w:cstheme="minorEastAsia"/>
          <w:i/>
          <w:iCs/>
          <w:sz w:val="20"/>
          <w:szCs w:val="20"/>
          <w:highlight w:val="none"/>
        </w:rPr>
        <w:t>p——</w:t>
      </w:r>
      <w:r>
        <w:rPr>
          <w:rFonts w:hint="eastAsia" w:asciiTheme="minorEastAsia" w:hAnsiTheme="minorEastAsia" w:cstheme="minorEastAsia"/>
          <w:sz w:val="20"/>
          <w:szCs w:val="20"/>
          <w:highlight w:val="none"/>
        </w:rPr>
        <w:t>可溶性固形物；</w:t>
      </w:r>
    </w:p>
    <w:p>
      <w:pPr>
        <w:adjustRightInd w:val="0"/>
        <w:snapToGrid w:val="0"/>
        <w:ind w:left="420" w:leftChars="200" w:firstLine="400" w:firstLineChars="200"/>
        <w:jc w:val="left"/>
        <w:rPr>
          <w:rFonts w:asciiTheme="minorEastAsia" w:hAnsiTheme="minorEastAsia" w:cstheme="minorEastAsia"/>
          <w:sz w:val="20"/>
          <w:szCs w:val="20"/>
          <w:highlight w:val="none"/>
        </w:rPr>
      </w:pPr>
      <w:r>
        <w:rPr>
          <w:rFonts w:hint="eastAsia" w:asciiTheme="minorEastAsia" w:hAnsiTheme="minorEastAsia" w:cstheme="minorEastAsia"/>
          <w:i/>
          <w:iCs/>
          <w:sz w:val="20"/>
          <w:szCs w:val="20"/>
          <w:highlight w:val="none"/>
        </w:rPr>
        <w:t>x——</w:t>
      </w:r>
      <w:r>
        <w:rPr>
          <w:rFonts w:hint="eastAsia" w:asciiTheme="minorEastAsia" w:hAnsiTheme="minorEastAsia" w:cstheme="minorEastAsia"/>
          <w:sz w:val="20"/>
          <w:szCs w:val="20"/>
          <w:highlight w:val="none"/>
        </w:rPr>
        <w:t>总酸。</w:t>
      </w:r>
    </w:p>
    <w:p>
      <w:pPr>
        <w:adjustRightInd w:val="0"/>
        <w:snapToGrid w:val="0"/>
        <w:ind w:left="420" w:leftChars="200" w:firstLine="400" w:firstLineChars="200"/>
        <w:jc w:val="left"/>
        <w:rPr>
          <w:rFonts w:asciiTheme="minorEastAsia" w:hAnsiTheme="minorEastAsia" w:cstheme="minorEastAsia"/>
          <w:sz w:val="20"/>
          <w:szCs w:val="20"/>
        </w:rPr>
      </w:pPr>
    </w:p>
    <w:p>
      <w:pPr>
        <w:adjustRightInd w:val="0"/>
        <w:snapToGrid w:val="0"/>
        <w:ind w:left="420" w:leftChars="200"/>
        <w:jc w:val="left"/>
        <w:rPr>
          <w:rFonts w:ascii="黑体" w:hAnsi="黑体" w:eastAsia="黑体" w:cs="黑体"/>
          <w:sz w:val="20"/>
          <w:szCs w:val="20"/>
        </w:rPr>
      </w:pPr>
      <w:r>
        <w:rPr>
          <w:rFonts w:hint="eastAsia" w:ascii="黑体" w:hAnsi="黑体" w:eastAsia="黑体" w:cs="黑体"/>
          <w:sz w:val="20"/>
          <w:szCs w:val="20"/>
        </w:rPr>
        <w:t>6.9  水分</w:t>
      </w:r>
    </w:p>
    <w:p>
      <w:pPr>
        <w:adjustRightInd w:val="0"/>
        <w:snapToGrid w:val="0"/>
        <w:ind w:left="420" w:leftChars="200"/>
        <w:jc w:val="left"/>
        <w:rPr>
          <w:rFonts w:ascii="黑体" w:hAnsi="黑体" w:eastAsia="黑体" w:cs="黑体"/>
          <w:sz w:val="20"/>
          <w:szCs w:val="20"/>
        </w:rPr>
      </w:pPr>
    </w:p>
    <w:p>
      <w:pPr>
        <w:adjustRightInd w:val="0"/>
        <w:snapToGrid w:val="0"/>
        <w:ind w:left="420" w:leftChars="200"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按GB 5009.3 规定的方法执行。</w:t>
      </w:r>
    </w:p>
    <w:p>
      <w:pPr>
        <w:adjustRightInd w:val="0"/>
        <w:snapToGrid w:val="0"/>
        <w:ind w:left="420" w:leftChars="200" w:firstLine="400" w:firstLineChars="200"/>
        <w:jc w:val="left"/>
        <w:rPr>
          <w:rFonts w:asciiTheme="minorEastAsia" w:hAnsiTheme="minorEastAsia" w:cstheme="minorEastAsia"/>
          <w:sz w:val="20"/>
          <w:szCs w:val="20"/>
        </w:rPr>
      </w:pPr>
    </w:p>
    <w:p>
      <w:pPr>
        <w:adjustRightInd w:val="0"/>
        <w:snapToGrid w:val="0"/>
        <w:ind w:left="420" w:leftChars="200"/>
        <w:jc w:val="left"/>
        <w:rPr>
          <w:rFonts w:ascii="黑体" w:hAnsi="黑体" w:eastAsia="黑体" w:cs="黑体"/>
          <w:sz w:val="20"/>
          <w:szCs w:val="20"/>
        </w:rPr>
      </w:pPr>
      <w:r>
        <w:rPr>
          <w:rFonts w:hint="eastAsia" w:ascii="黑体" w:hAnsi="黑体" w:eastAsia="黑体" w:cs="黑体"/>
          <w:sz w:val="20"/>
          <w:szCs w:val="20"/>
        </w:rPr>
        <w:t>6.1</w:t>
      </w:r>
      <w:r>
        <w:rPr>
          <w:rFonts w:hint="eastAsia" w:ascii="黑体" w:hAnsi="黑体" w:eastAsia="黑体" w:cs="黑体"/>
          <w:sz w:val="20"/>
          <w:szCs w:val="20"/>
          <w:lang w:val="en-US" w:eastAsia="zh-CN"/>
        </w:rPr>
        <w:t>0</w:t>
      </w:r>
      <w:r>
        <w:rPr>
          <w:rFonts w:hint="eastAsia" w:ascii="黑体" w:hAnsi="黑体" w:eastAsia="黑体" w:cs="黑体"/>
          <w:sz w:val="20"/>
          <w:szCs w:val="20"/>
        </w:rPr>
        <w:t xml:space="preserve">  钾</w:t>
      </w:r>
    </w:p>
    <w:p>
      <w:pPr>
        <w:adjustRightInd w:val="0"/>
        <w:snapToGrid w:val="0"/>
        <w:ind w:left="420" w:leftChars="200"/>
        <w:jc w:val="left"/>
        <w:rPr>
          <w:rFonts w:ascii="黑体" w:hAnsi="黑体" w:eastAsia="黑体" w:cs="黑体"/>
          <w:sz w:val="20"/>
          <w:szCs w:val="20"/>
        </w:rPr>
      </w:pPr>
    </w:p>
    <w:p>
      <w:pPr>
        <w:adjustRightInd w:val="0"/>
        <w:snapToGrid w:val="0"/>
        <w:ind w:left="420" w:leftChars="200" w:firstLine="400" w:firstLineChars="200"/>
        <w:jc w:val="left"/>
        <w:rPr>
          <w:rFonts w:asciiTheme="minorEastAsia" w:hAnsiTheme="minorEastAsia" w:cstheme="minorEastAsia"/>
          <w:sz w:val="20"/>
          <w:szCs w:val="20"/>
        </w:rPr>
      </w:pPr>
      <w:r>
        <w:rPr>
          <w:rFonts w:hint="eastAsia" w:asciiTheme="minorEastAsia" w:hAnsiTheme="minorEastAsia" w:cstheme="minorEastAsia"/>
          <w:sz w:val="20"/>
          <w:szCs w:val="20"/>
        </w:rPr>
        <w:t>按GB 5009.268 规定的方法执行。</w:t>
      </w:r>
    </w:p>
    <w:p>
      <w:pPr>
        <w:adjustRightInd w:val="0"/>
        <w:snapToGrid w:val="0"/>
        <w:ind w:firstLine="400" w:firstLineChars="200"/>
        <w:jc w:val="left"/>
        <w:rPr>
          <w:rFonts w:ascii="黑体" w:hAnsi="黑体" w:eastAsia="黑体" w:cs="黑体"/>
          <w:sz w:val="20"/>
          <w:szCs w:val="20"/>
        </w:rPr>
      </w:pPr>
    </w:p>
    <w:p>
      <w:pPr>
        <w:jc w:val="right"/>
        <w:rPr>
          <w:rFonts w:ascii="Times New Roman" w:hAnsi="Times New Roman" w:eastAsia="黑体"/>
          <w:sz w:val="20"/>
          <w:szCs w:val="20"/>
        </w:rPr>
      </w:pPr>
      <w:r>
        <w:rPr>
          <w:rFonts w:hint="eastAsia" w:ascii="黑体" w:hAnsi="黑体" w:eastAsia="黑体" w:cs="黑体"/>
          <w:sz w:val="20"/>
          <w:szCs w:val="20"/>
        </w:rPr>
        <w:t>T/SZNB XXXXX-XXXX</w:t>
      </w:r>
    </w:p>
    <w:p>
      <w:pPr>
        <w:adjustRightInd w:val="0"/>
        <w:snapToGrid w:val="0"/>
        <w:ind w:firstLine="400" w:firstLineChars="200"/>
        <w:jc w:val="left"/>
        <w:rPr>
          <w:rFonts w:ascii="黑体" w:hAnsi="黑体" w:eastAsia="黑体" w:cs="黑体"/>
          <w:sz w:val="20"/>
          <w:szCs w:val="20"/>
        </w:rPr>
      </w:pPr>
    </w:p>
    <w:p>
      <w:pPr>
        <w:adjustRightInd w:val="0"/>
        <w:snapToGrid w:val="0"/>
        <w:jc w:val="left"/>
        <w:outlineLvl w:val="0"/>
        <w:rPr>
          <w:rFonts w:hint="eastAsia" w:ascii="黑体" w:hAnsi="黑体" w:eastAsia="黑体" w:cs="黑体"/>
          <w:sz w:val="20"/>
          <w:szCs w:val="20"/>
        </w:rPr>
      </w:pPr>
      <w:bookmarkStart w:id="13" w:name="_Toc4630"/>
      <w:r>
        <w:rPr>
          <w:rFonts w:hint="eastAsia" w:ascii="黑体" w:hAnsi="黑体" w:eastAsia="黑体" w:cs="黑体"/>
          <w:sz w:val="20"/>
          <w:szCs w:val="20"/>
        </w:rPr>
        <w:t>7  包装、标志、贮存和运输</w:t>
      </w:r>
      <w:bookmarkEnd w:id="13"/>
    </w:p>
    <w:p>
      <w:pPr>
        <w:adjustRightInd w:val="0"/>
        <w:snapToGrid w:val="0"/>
        <w:jc w:val="left"/>
        <w:rPr>
          <w:rFonts w:hint="eastAsia" w:ascii="黑体" w:hAnsi="黑体" w:eastAsia="黑体" w:cs="黑体"/>
          <w:sz w:val="20"/>
          <w:szCs w:val="20"/>
        </w:rPr>
      </w:pPr>
    </w:p>
    <w:p>
      <w:pPr>
        <w:adjustRightInd w:val="0"/>
        <w:snapToGrid w:val="0"/>
        <w:ind w:firstLine="400" w:firstLineChars="200"/>
        <w:jc w:val="left"/>
        <w:rPr>
          <w:rFonts w:hint="eastAsia" w:ascii="黑体" w:hAnsi="黑体" w:eastAsia="黑体" w:cs="黑体"/>
          <w:sz w:val="20"/>
          <w:szCs w:val="20"/>
        </w:rPr>
      </w:pPr>
      <w:r>
        <w:rPr>
          <w:rFonts w:hint="eastAsia" w:ascii="黑体" w:hAnsi="黑体" w:eastAsia="黑体" w:cs="黑体"/>
          <w:sz w:val="20"/>
          <w:szCs w:val="20"/>
        </w:rPr>
        <w:t>7.1  包装</w:t>
      </w:r>
    </w:p>
    <w:p>
      <w:pPr>
        <w:adjustRightInd w:val="0"/>
        <w:snapToGrid w:val="0"/>
        <w:ind w:firstLine="400" w:firstLineChars="200"/>
        <w:jc w:val="left"/>
        <w:rPr>
          <w:rFonts w:hint="eastAsia" w:ascii="黑体" w:hAnsi="黑体" w:eastAsia="黑体" w:cs="黑体"/>
          <w:sz w:val="20"/>
          <w:szCs w:val="20"/>
        </w:rPr>
      </w:pPr>
    </w:p>
    <w:p>
      <w:pPr>
        <w:adjustRightInd w:val="0"/>
        <w:snapToGrid w:val="0"/>
        <w:ind w:firstLine="400" w:firstLineChars="200"/>
        <w:jc w:val="left"/>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7.1.1同一批产品应包装一致，每包装应是同一等级的产品，不得混装。</w:t>
      </w:r>
    </w:p>
    <w:p>
      <w:pPr>
        <w:adjustRightInd w:val="0"/>
        <w:snapToGrid w:val="0"/>
        <w:ind w:firstLine="400" w:firstLineChars="200"/>
        <w:jc w:val="left"/>
        <w:rPr>
          <w:rFonts w:hint="eastAsia" w:ascii="黑体" w:hAnsi="黑体" w:eastAsia="黑体" w:cs="黑体"/>
          <w:sz w:val="20"/>
          <w:szCs w:val="20"/>
          <w:lang w:val="en-US" w:eastAsia="zh-CN"/>
        </w:rPr>
      </w:pPr>
    </w:p>
    <w:p>
      <w:pPr>
        <w:adjustRightInd w:val="0"/>
        <w:snapToGrid w:val="0"/>
        <w:ind w:firstLine="400" w:firstLineChars="200"/>
        <w:jc w:val="left"/>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7.1.2包装内商品应排列整齐，松紧适度，朝向一致，果梗应横向插空摆放，避免折损或损伤邻近果实；表层和底层质量应一致，装果时不能混入杂物。</w:t>
      </w:r>
    </w:p>
    <w:p>
      <w:pPr>
        <w:adjustRightInd w:val="0"/>
        <w:snapToGrid w:val="0"/>
        <w:ind w:left="399" w:leftChars="190" w:firstLine="0" w:firstLineChars="0"/>
        <w:jc w:val="left"/>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cr/>
      </w:r>
      <w:r>
        <w:rPr>
          <w:rFonts w:hint="eastAsia" w:ascii="黑体" w:hAnsi="黑体" w:eastAsia="黑体" w:cs="黑体"/>
          <w:sz w:val="20"/>
          <w:szCs w:val="20"/>
          <w:lang w:val="en-US" w:eastAsia="zh-CN"/>
        </w:rPr>
        <w:t>7.1.3包装材料质量应符合GB/T 33129的规定。</w:t>
      </w:r>
    </w:p>
    <w:p>
      <w:pPr>
        <w:adjustRightInd w:val="0"/>
        <w:snapToGrid w:val="0"/>
        <w:ind w:left="400" w:hanging="400" w:hangingChars="200"/>
        <w:jc w:val="left"/>
        <w:rPr>
          <w:rFonts w:ascii="黑体" w:hAnsi="黑体" w:eastAsia="黑体" w:cs="黑体"/>
          <w:sz w:val="20"/>
          <w:szCs w:val="20"/>
        </w:rPr>
      </w:pPr>
    </w:p>
    <w:p>
      <w:pPr>
        <w:adjustRightInd w:val="0"/>
        <w:snapToGrid w:val="0"/>
        <w:ind w:firstLine="400" w:firstLineChars="200"/>
        <w:jc w:val="left"/>
        <w:rPr>
          <w:rFonts w:hint="eastAsia" w:ascii="黑体" w:hAnsi="黑体" w:eastAsia="黑体" w:cs="黑体"/>
          <w:sz w:val="20"/>
          <w:szCs w:val="20"/>
        </w:rPr>
      </w:pPr>
      <w:r>
        <w:rPr>
          <w:rFonts w:hint="eastAsia" w:ascii="黑体" w:hAnsi="黑体" w:eastAsia="黑体" w:cs="黑体"/>
          <w:sz w:val="20"/>
          <w:szCs w:val="20"/>
        </w:rPr>
        <w:t>7.2  标志</w:t>
      </w:r>
    </w:p>
    <w:p>
      <w:pPr>
        <w:adjustRightInd w:val="0"/>
        <w:snapToGrid w:val="0"/>
        <w:ind w:firstLine="400" w:firstLineChars="200"/>
        <w:jc w:val="left"/>
        <w:rPr>
          <w:rFonts w:hint="eastAsia"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在包装上打印或系挂标签卡，标明产品名称、等级、净重、产地、包装日期、包装者或代号、生产单位</w:t>
      </w:r>
      <w:r>
        <w:rPr>
          <w:rFonts w:hint="eastAsia" w:asciiTheme="minorEastAsia" w:hAnsiTheme="minorEastAsia" w:cstheme="minorEastAsia"/>
          <w:b w:val="0"/>
          <w:bCs w:val="0"/>
          <w:sz w:val="20"/>
          <w:szCs w:val="20"/>
          <w:u w:val="none"/>
          <w:lang w:val="en-US" w:eastAsia="zh-CN"/>
        </w:rPr>
        <w:t>、</w:t>
      </w:r>
      <w:r>
        <w:rPr>
          <w:rFonts w:hint="eastAsia" w:asciiTheme="minorEastAsia" w:hAnsiTheme="minorEastAsia" w:eastAsiaTheme="minorEastAsia" w:cstheme="minorEastAsia"/>
          <w:b w:val="0"/>
          <w:bCs w:val="0"/>
          <w:sz w:val="20"/>
          <w:szCs w:val="20"/>
          <w:u w:val="none"/>
          <w:lang w:val="en-US" w:eastAsia="zh-CN"/>
        </w:rPr>
        <w:t>承诺达标合格证</w:t>
      </w:r>
      <w:r>
        <w:rPr>
          <w:rFonts w:hint="eastAsia" w:asciiTheme="minorEastAsia" w:hAnsiTheme="minorEastAsia" w:cstheme="minorEastAsia"/>
          <w:b w:val="0"/>
          <w:bCs w:val="0"/>
          <w:sz w:val="20"/>
          <w:szCs w:val="20"/>
          <w:u w:val="none"/>
          <w:lang w:val="en-US" w:eastAsia="zh-CN"/>
        </w:rPr>
        <w:t>、可</w:t>
      </w:r>
      <w:r>
        <w:rPr>
          <w:rFonts w:hint="eastAsia" w:asciiTheme="minorEastAsia" w:hAnsiTheme="minorEastAsia" w:eastAsiaTheme="minorEastAsia" w:cstheme="minorEastAsia"/>
          <w:b w:val="0"/>
          <w:bCs w:val="0"/>
          <w:sz w:val="20"/>
          <w:szCs w:val="20"/>
          <w:u w:val="none"/>
          <w:lang w:val="en-US" w:eastAsia="zh-CN"/>
        </w:rPr>
        <w:t>追溯</w:t>
      </w:r>
      <w:r>
        <w:rPr>
          <w:rFonts w:hint="eastAsia" w:asciiTheme="minorEastAsia" w:hAnsiTheme="minorEastAsia" w:cstheme="minorEastAsia"/>
          <w:b w:val="0"/>
          <w:bCs w:val="0"/>
          <w:sz w:val="20"/>
          <w:szCs w:val="20"/>
          <w:u w:val="none"/>
          <w:lang w:val="en-US" w:eastAsia="zh-CN"/>
        </w:rPr>
        <w:t>的</w:t>
      </w:r>
      <w:r>
        <w:rPr>
          <w:rFonts w:hint="eastAsia" w:asciiTheme="minorEastAsia" w:hAnsiTheme="minorEastAsia" w:eastAsiaTheme="minorEastAsia" w:cstheme="minorEastAsia"/>
          <w:b w:val="0"/>
          <w:bCs w:val="0"/>
          <w:sz w:val="20"/>
          <w:szCs w:val="20"/>
          <w:u w:val="none"/>
          <w:lang w:val="en-US" w:eastAsia="zh-CN"/>
        </w:rPr>
        <w:t>相关信</w:t>
      </w:r>
      <w:r>
        <w:rPr>
          <w:rFonts w:hint="eastAsia" w:asciiTheme="minorEastAsia" w:hAnsiTheme="minorEastAsia" w:cstheme="minorEastAsia"/>
          <w:b w:val="0"/>
          <w:bCs w:val="0"/>
          <w:sz w:val="20"/>
          <w:szCs w:val="20"/>
          <w:u w:val="none"/>
          <w:lang w:val="en-US" w:eastAsia="zh-CN"/>
        </w:rPr>
        <w:t>息</w:t>
      </w:r>
      <w:r>
        <w:rPr>
          <w:rFonts w:hint="eastAsia" w:asciiTheme="minorEastAsia" w:hAnsiTheme="minorEastAsia" w:eastAsiaTheme="minorEastAsia" w:cstheme="minorEastAsia"/>
          <w:b w:val="0"/>
          <w:bCs w:val="0"/>
          <w:sz w:val="20"/>
          <w:szCs w:val="20"/>
          <w:u w:val="none"/>
          <w:lang w:val="en-US" w:eastAsia="zh-CN"/>
        </w:rPr>
        <w:t>等。同一批产品，其包装标志应统一。</w:t>
      </w:r>
    </w:p>
    <w:p>
      <w:pPr>
        <w:adjustRightInd w:val="0"/>
        <w:snapToGrid w:val="0"/>
        <w:ind w:left="401" w:leftChars="191" w:firstLine="500" w:firstLineChars="250"/>
        <w:jc w:val="left"/>
        <w:rPr>
          <w:rFonts w:ascii="黑体" w:hAnsi="黑体" w:eastAsia="黑体" w:cs="黑体"/>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7.3  贮存</w:t>
      </w:r>
    </w:p>
    <w:p>
      <w:pPr>
        <w:adjustRightInd w:val="0"/>
        <w:snapToGrid w:val="0"/>
        <w:jc w:val="left"/>
        <w:rPr>
          <w:rFonts w:ascii="黑体" w:hAnsi="黑体" w:eastAsia="黑体" w:cs="黑体"/>
          <w:sz w:val="20"/>
          <w:szCs w:val="20"/>
        </w:rPr>
      </w:pPr>
    </w:p>
    <w:p>
      <w:pPr>
        <w:adjustRightInd w:val="0"/>
        <w:snapToGrid w:val="0"/>
        <w:ind w:left="399" w:leftChars="190" w:firstLine="0" w:firstLineChars="0"/>
        <w:jc w:val="left"/>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7.3.1  验收后的产品，及时组织调运或贮存，按等级分别存放。</w:t>
      </w:r>
    </w:p>
    <w:p>
      <w:pPr>
        <w:adjustRightInd w:val="0"/>
        <w:snapToGrid w:val="0"/>
        <w:ind w:left="399" w:leftChars="190" w:firstLine="0" w:firstLineChars="0"/>
        <w:jc w:val="left"/>
        <w:rPr>
          <w:rFonts w:hint="eastAsia" w:ascii="黑体" w:hAnsi="黑体" w:eastAsia="黑体" w:cs="黑体"/>
          <w:sz w:val="20"/>
          <w:szCs w:val="20"/>
          <w:lang w:val="en-US" w:eastAsia="zh-CN"/>
        </w:rPr>
      </w:pPr>
    </w:p>
    <w:p>
      <w:pPr>
        <w:adjustRightInd w:val="0"/>
        <w:snapToGrid w:val="0"/>
        <w:ind w:firstLine="400" w:firstLineChars="200"/>
        <w:jc w:val="left"/>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7.3.2  贮存中，果箱堆垛应层、排整齐，堆时应松紧适度，每垛不超过8层，每层不超过 13 箱每层底部应使用托盘或托架衬填，保证垛与垛之间，箱与箱之间通风良好，并注重防冻、防热、防水、防晒、防鼠害等。</w:t>
      </w:r>
    </w:p>
    <w:p>
      <w:pPr>
        <w:adjustRightInd w:val="0"/>
        <w:snapToGrid w:val="0"/>
        <w:ind w:left="399" w:leftChars="190" w:firstLine="0" w:firstLineChars="0"/>
        <w:jc w:val="left"/>
        <w:rPr>
          <w:rFonts w:hint="eastAsia" w:ascii="黑体" w:hAnsi="黑体" w:eastAsia="黑体" w:cs="黑体"/>
          <w:sz w:val="20"/>
          <w:szCs w:val="20"/>
          <w:lang w:val="en-US" w:eastAsia="zh-CN"/>
        </w:rPr>
      </w:pPr>
    </w:p>
    <w:p>
      <w:pPr>
        <w:adjustRightInd w:val="0"/>
        <w:snapToGrid w:val="0"/>
        <w:ind w:left="399" w:leftChars="190" w:firstLine="0" w:firstLineChars="0"/>
        <w:jc w:val="left"/>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7.3.3  库内贮藏温度应在-2℃</w:t>
      </w:r>
      <w:r>
        <w:rPr>
          <w:rFonts w:hint="eastAsia" w:ascii="宋体" w:hAnsi="宋体" w:eastAsia="宋体" w:cs="宋体"/>
          <w:color w:val="000000"/>
          <w:kern w:val="0"/>
          <w:szCs w:val="21"/>
          <w:lang w:bidi="ar"/>
        </w:rPr>
        <w:t>～</w:t>
      </w:r>
      <w:r>
        <w:rPr>
          <w:rFonts w:hint="eastAsia" w:ascii="黑体" w:hAnsi="黑体" w:eastAsia="黑体" w:cs="黑体"/>
          <w:sz w:val="20"/>
          <w:szCs w:val="20"/>
          <w:lang w:val="en-US" w:eastAsia="zh-CN"/>
        </w:rPr>
        <w:t>0℃，贮存期库温波动不超过±1℃。</w:t>
      </w:r>
    </w:p>
    <w:p>
      <w:pPr>
        <w:adjustRightInd w:val="0"/>
        <w:snapToGrid w:val="0"/>
        <w:jc w:val="left"/>
        <w:rPr>
          <w:rFonts w:ascii="黑体" w:hAnsi="黑体" w:eastAsia="黑体" w:cs="黑体"/>
          <w:sz w:val="20"/>
          <w:szCs w:val="20"/>
        </w:rPr>
      </w:pPr>
    </w:p>
    <w:p>
      <w:pPr>
        <w:adjustRightInd w:val="0"/>
        <w:snapToGrid w:val="0"/>
        <w:ind w:firstLine="400" w:firstLineChars="200"/>
        <w:jc w:val="left"/>
        <w:rPr>
          <w:rFonts w:ascii="黑体" w:hAnsi="黑体" w:eastAsia="黑体" w:cs="黑体"/>
          <w:sz w:val="20"/>
          <w:szCs w:val="20"/>
        </w:rPr>
      </w:pPr>
      <w:r>
        <w:rPr>
          <w:rFonts w:hint="eastAsia" w:ascii="黑体" w:hAnsi="黑体" w:eastAsia="黑体" w:cs="黑体"/>
          <w:sz w:val="20"/>
          <w:szCs w:val="20"/>
        </w:rPr>
        <w:t>7.4  运输</w:t>
      </w:r>
    </w:p>
    <w:p>
      <w:pPr>
        <w:adjustRightInd w:val="0"/>
        <w:snapToGrid w:val="0"/>
        <w:ind w:firstLine="400" w:firstLineChars="200"/>
        <w:jc w:val="left"/>
        <w:rPr>
          <w:rFonts w:ascii="黑体" w:hAnsi="黑体" w:eastAsia="黑体" w:cs="黑体"/>
          <w:sz w:val="20"/>
          <w:szCs w:val="20"/>
        </w:rPr>
      </w:pP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r>
        <w:rPr>
          <w:rFonts w:hint="eastAsia" w:asciiTheme="minorEastAsia" w:hAnsiTheme="minorEastAsia" w:eastAsiaTheme="minorEastAsia" w:cstheme="minorEastAsia"/>
          <w:b w:val="0"/>
          <w:bCs w:val="0"/>
          <w:sz w:val="20"/>
          <w:szCs w:val="20"/>
          <w:u w:val="none"/>
          <w:lang w:val="en-US" w:eastAsia="zh-CN"/>
        </w:rPr>
        <w:t>运输工具应清洁卫生</w:t>
      </w:r>
      <w:r>
        <w:rPr>
          <w:rFonts w:hint="eastAsia" w:ascii="黑体" w:hAnsi="黑体" w:eastAsia="黑体" w:cs="黑体"/>
          <w:sz w:val="20"/>
          <w:szCs w:val="20"/>
          <w:lang w:val="en-US" w:eastAsia="zh-CN"/>
        </w:rPr>
        <w:t>，</w:t>
      </w:r>
      <w:r>
        <w:rPr>
          <w:rFonts w:hint="eastAsia" w:asciiTheme="minorEastAsia" w:hAnsiTheme="minorEastAsia" w:eastAsiaTheme="minorEastAsia" w:cstheme="minorEastAsia"/>
          <w:b w:val="0"/>
          <w:bCs w:val="0"/>
          <w:sz w:val="20"/>
          <w:szCs w:val="20"/>
          <w:u w:val="none"/>
          <w:lang w:val="en-US" w:eastAsia="zh-CN"/>
        </w:rPr>
        <w:t>无污染物</w:t>
      </w:r>
      <w:r>
        <w:rPr>
          <w:rFonts w:hint="eastAsia" w:ascii="黑体" w:hAnsi="黑体" w:eastAsia="黑体" w:cs="黑体"/>
          <w:sz w:val="20"/>
          <w:szCs w:val="20"/>
          <w:lang w:val="en-US" w:eastAsia="zh-CN"/>
        </w:rPr>
        <w:t>，</w:t>
      </w:r>
      <w:r>
        <w:rPr>
          <w:rFonts w:hint="eastAsia" w:asciiTheme="minorEastAsia" w:hAnsiTheme="minorEastAsia" w:eastAsiaTheme="minorEastAsia" w:cstheme="minorEastAsia"/>
          <w:b w:val="0"/>
          <w:bCs w:val="0"/>
          <w:sz w:val="20"/>
          <w:szCs w:val="20"/>
          <w:u w:val="none"/>
          <w:lang w:val="en-US" w:eastAsia="zh-CN"/>
        </w:rPr>
        <w:t>并具有相应的防护措施</w:t>
      </w:r>
      <w:r>
        <w:rPr>
          <w:rFonts w:hint="eastAsia" w:asciiTheme="minorEastAsia" w:hAnsiTheme="minorEastAsia" w:cstheme="minorEastAsia"/>
          <w:b w:val="0"/>
          <w:bCs w:val="0"/>
          <w:sz w:val="20"/>
          <w:szCs w:val="20"/>
          <w:u w:val="none"/>
          <w:lang w:val="en-US" w:eastAsia="zh-CN"/>
        </w:rPr>
        <w:t>。</w:t>
      </w:r>
      <w:r>
        <w:rPr>
          <w:rFonts w:hint="eastAsia" w:asciiTheme="minorEastAsia" w:hAnsiTheme="minorEastAsia" w:eastAsiaTheme="minorEastAsia" w:cstheme="minorEastAsia"/>
          <w:b w:val="0"/>
          <w:bCs w:val="0"/>
          <w:sz w:val="20"/>
          <w:szCs w:val="20"/>
          <w:u w:val="none"/>
          <w:lang w:val="en-US" w:eastAsia="zh-CN"/>
        </w:rPr>
        <w:t>运输中不得与其他有毒</w:t>
      </w:r>
      <w:r>
        <w:rPr>
          <w:rFonts w:hint="eastAsia" w:asciiTheme="minorEastAsia" w:hAnsiTheme="minorEastAsia" w:cstheme="minorEastAsia"/>
          <w:b w:val="0"/>
          <w:bCs w:val="0"/>
          <w:sz w:val="20"/>
          <w:szCs w:val="20"/>
          <w:u w:val="none"/>
          <w:lang w:val="en-US" w:eastAsia="zh-CN"/>
        </w:rPr>
        <w:t>、</w:t>
      </w:r>
      <w:r>
        <w:rPr>
          <w:rFonts w:hint="eastAsia" w:asciiTheme="minorEastAsia" w:hAnsiTheme="minorEastAsia" w:eastAsiaTheme="minorEastAsia" w:cstheme="minorEastAsia"/>
          <w:b w:val="0"/>
          <w:bCs w:val="0"/>
          <w:sz w:val="20"/>
          <w:szCs w:val="20"/>
          <w:u w:val="none"/>
          <w:lang w:val="en-US" w:eastAsia="zh-CN"/>
        </w:rPr>
        <w:t>有异味</w:t>
      </w:r>
      <w:r>
        <w:rPr>
          <w:rFonts w:hint="eastAsia" w:asciiTheme="minorEastAsia" w:hAnsiTheme="minorEastAsia" w:cstheme="minorEastAsia"/>
          <w:b w:val="0"/>
          <w:bCs w:val="0"/>
          <w:sz w:val="20"/>
          <w:szCs w:val="20"/>
          <w:u w:val="none"/>
          <w:lang w:val="en-US" w:eastAsia="zh-CN"/>
        </w:rPr>
        <w:t>、</w:t>
      </w:r>
      <w:r>
        <w:rPr>
          <w:rFonts w:hint="eastAsia" w:asciiTheme="minorEastAsia" w:hAnsiTheme="minorEastAsia" w:eastAsiaTheme="minorEastAsia" w:cstheme="minorEastAsia"/>
          <w:b w:val="0"/>
          <w:bCs w:val="0"/>
          <w:sz w:val="20"/>
          <w:szCs w:val="20"/>
          <w:u w:val="none"/>
          <w:lang w:val="en-US" w:eastAsia="zh-CN"/>
        </w:rPr>
        <w:t>有害的物品混装</w:t>
      </w:r>
      <w:r>
        <w:rPr>
          <w:rFonts w:hint="eastAsia" w:asciiTheme="minorEastAsia" w:hAnsiTheme="minorEastAsia" w:cstheme="minorEastAsia"/>
          <w:b w:val="0"/>
          <w:bCs w:val="0"/>
          <w:sz w:val="20"/>
          <w:szCs w:val="20"/>
          <w:u w:val="none"/>
          <w:lang w:val="en-US" w:eastAsia="zh-CN"/>
        </w:rPr>
        <w:t>、</w:t>
      </w:r>
      <w:r>
        <w:rPr>
          <w:rFonts w:hint="eastAsia" w:asciiTheme="minorEastAsia" w:hAnsiTheme="minorEastAsia" w:eastAsiaTheme="minorEastAsia" w:cstheme="minorEastAsia"/>
          <w:b w:val="0"/>
          <w:bCs w:val="0"/>
          <w:sz w:val="20"/>
          <w:szCs w:val="20"/>
          <w:u w:val="none"/>
          <w:lang w:val="en-US" w:eastAsia="zh-CN"/>
        </w:rPr>
        <w:t>混运</w:t>
      </w:r>
      <w:r>
        <w:rPr>
          <w:rFonts w:hint="eastAsia" w:ascii="黑体" w:hAnsi="黑体" w:eastAsia="黑体" w:cs="黑体"/>
          <w:sz w:val="20"/>
          <w:szCs w:val="20"/>
          <w:lang w:val="en-US" w:eastAsia="zh-CN"/>
        </w:rPr>
        <w:t>，</w:t>
      </w:r>
      <w:r>
        <w:rPr>
          <w:rFonts w:hint="eastAsia" w:asciiTheme="minorEastAsia" w:hAnsiTheme="minorEastAsia" w:eastAsiaTheme="minorEastAsia" w:cstheme="minorEastAsia"/>
          <w:b w:val="0"/>
          <w:bCs w:val="0"/>
          <w:sz w:val="20"/>
          <w:szCs w:val="20"/>
          <w:u w:val="none"/>
          <w:lang w:val="en-US" w:eastAsia="zh-CN"/>
        </w:rPr>
        <w:t>装卸堆垛时应轻装轻卸</w:t>
      </w:r>
      <w:r>
        <w:rPr>
          <w:rFonts w:hint="eastAsia" w:ascii="黑体" w:hAnsi="黑体" w:eastAsia="黑体" w:cs="黑体"/>
          <w:sz w:val="20"/>
          <w:szCs w:val="20"/>
          <w:lang w:val="en-US" w:eastAsia="zh-CN"/>
        </w:rPr>
        <w:t>，</w:t>
      </w:r>
      <w:r>
        <w:rPr>
          <w:rFonts w:hint="eastAsia" w:asciiTheme="minorEastAsia" w:hAnsiTheme="minorEastAsia" w:eastAsiaTheme="minorEastAsia" w:cstheme="minorEastAsia"/>
          <w:b w:val="0"/>
          <w:bCs w:val="0"/>
          <w:sz w:val="20"/>
          <w:szCs w:val="20"/>
          <w:u w:val="none"/>
          <w:lang w:val="en-US" w:eastAsia="zh-CN"/>
        </w:rPr>
        <w:t>轻拿轻放</w:t>
      </w:r>
      <w:r>
        <w:rPr>
          <w:rFonts w:hint="eastAsia" w:ascii="黑体" w:hAnsi="黑体" w:eastAsia="黑体" w:cs="黑体"/>
          <w:sz w:val="20"/>
          <w:szCs w:val="20"/>
          <w:lang w:val="en-US" w:eastAsia="zh-CN"/>
        </w:rPr>
        <w:t>，</w:t>
      </w:r>
      <w:r>
        <w:rPr>
          <w:rFonts w:hint="eastAsia" w:asciiTheme="minorEastAsia" w:hAnsiTheme="minorEastAsia" w:eastAsiaTheme="minorEastAsia" w:cstheme="minorEastAsia"/>
          <w:b w:val="0"/>
          <w:bCs w:val="0"/>
          <w:sz w:val="20"/>
          <w:szCs w:val="20"/>
          <w:u w:val="none"/>
          <w:lang w:val="en-US" w:eastAsia="zh-CN"/>
        </w:rPr>
        <w:t>严禁抛</w:t>
      </w:r>
      <w:r>
        <w:rPr>
          <w:rFonts w:hint="eastAsia" w:asciiTheme="minorEastAsia" w:hAnsiTheme="minorEastAsia" w:cstheme="minorEastAsia"/>
          <w:b w:val="0"/>
          <w:bCs w:val="0"/>
          <w:sz w:val="20"/>
          <w:szCs w:val="20"/>
          <w:u w:val="none"/>
          <w:lang w:val="en-US" w:eastAsia="zh-CN"/>
        </w:rPr>
        <w:t>、</w:t>
      </w:r>
      <w:r>
        <w:rPr>
          <w:rFonts w:hint="eastAsia" w:asciiTheme="minorEastAsia" w:hAnsiTheme="minorEastAsia" w:eastAsiaTheme="minorEastAsia" w:cstheme="minorEastAsia"/>
          <w:b w:val="0"/>
          <w:bCs w:val="0"/>
          <w:sz w:val="20"/>
          <w:szCs w:val="20"/>
          <w:u w:val="none"/>
          <w:lang w:val="en-US" w:eastAsia="zh-CN"/>
        </w:rPr>
        <w:t>掷</w:t>
      </w:r>
      <w:r>
        <w:rPr>
          <w:rFonts w:hint="eastAsia" w:asciiTheme="minorEastAsia" w:hAnsiTheme="minorEastAsia" w:cstheme="minorEastAsia"/>
          <w:b w:val="0"/>
          <w:bCs w:val="0"/>
          <w:sz w:val="20"/>
          <w:szCs w:val="20"/>
          <w:u w:val="none"/>
          <w:lang w:val="en-US" w:eastAsia="zh-CN"/>
        </w:rPr>
        <w:t>、</w:t>
      </w:r>
      <w:r>
        <w:rPr>
          <w:rFonts w:hint="eastAsia" w:asciiTheme="minorEastAsia" w:hAnsiTheme="minorEastAsia" w:eastAsiaTheme="minorEastAsia" w:cstheme="minorEastAsia"/>
          <w:b w:val="0"/>
          <w:bCs w:val="0"/>
          <w:sz w:val="20"/>
          <w:szCs w:val="20"/>
          <w:u w:val="none"/>
          <w:lang w:val="en-US" w:eastAsia="zh-CN"/>
        </w:rPr>
        <w:t>碰撞</w:t>
      </w:r>
      <w:r>
        <w:rPr>
          <w:rFonts w:hint="eastAsia" w:asciiTheme="minorEastAsia" w:hAnsiTheme="minorEastAsia" w:cstheme="minorEastAsia"/>
          <w:b w:val="0"/>
          <w:bCs w:val="0"/>
          <w:sz w:val="20"/>
          <w:szCs w:val="20"/>
          <w:u w:val="none"/>
          <w:lang w:val="en-US" w:eastAsia="zh-CN"/>
        </w:rPr>
        <w:t>、</w:t>
      </w:r>
      <w:r>
        <w:rPr>
          <w:rFonts w:hint="eastAsia" w:asciiTheme="minorEastAsia" w:hAnsiTheme="minorEastAsia" w:eastAsiaTheme="minorEastAsia" w:cstheme="minorEastAsia"/>
          <w:b w:val="0"/>
          <w:bCs w:val="0"/>
          <w:sz w:val="20"/>
          <w:szCs w:val="20"/>
          <w:u w:val="none"/>
          <w:lang w:val="en-US" w:eastAsia="zh-CN"/>
        </w:rPr>
        <w:t>摔跌</w:t>
      </w:r>
      <w:r>
        <w:rPr>
          <w:rFonts w:hint="eastAsia" w:asciiTheme="minorEastAsia" w:hAnsiTheme="minorEastAsia" w:cstheme="minorEastAsia"/>
          <w:b w:val="0"/>
          <w:bCs w:val="0"/>
          <w:sz w:val="20"/>
          <w:szCs w:val="20"/>
          <w:u w:val="none"/>
          <w:lang w:val="en-US" w:eastAsia="zh-CN"/>
        </w:rPr>
        <w:t>。</w:t>
      </w:r>
    </w:p>
    <w:p>
      <w:pPr>
        <w:keepNext w:val="0"/>
        <w:keepLines w:val="0"/>
        <w:pageBreakBefore w:val="0"/>
        <w:widowControl w:val="0"/>
        <w:kinsoku/>
        <w:wordWrap/>
        <w:overflowPunct/>
        <w:topLinePunct w:val="0"/>
        <w:autoSpaceDE/>
        <w:autoSpaceDN/>
        <w:bidi w:val="0"/>
        <w:adjustRightInd w:val="0"/>
        <w:snapToGrid w:val="0"/>
        <w:ind w:firstLine="400" w:firstLineChars="200"/>
        <w:jc w:val="left"/>
        <w:textAlignment w:val="auto"/>
        <w:rPr>
          <w:rFonts w:hint="eastAsia" w:asciiTheme="minorEastAsia" w:hAnsiTheme="minorEastAsia" w:eastAsiaTheme="minorEastAsia" w:cstheme="minorEastAsia"/>
          <w:b w:val="0"/>
          <w:bCs w:val="0"/>
          <w:sz w:val="20"/>
          <w:szCs w:val="20"/>
          <w:u w:val="none"/>
          <w:lang w:val="en-US" w:eastAsia="zh-CN"/>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jc w:val="right"/>
        <w:rPr>
          <w:rFonts w:ascii="Times New Roman" w:hAnsi="Times New Roman" w:eastAsia="黑体"/>
          <w:sz w:val="20"/>
          <w:szCs w:val="20"/>
        </w:rPr>
      </w:pPr>
      <w:bookmarkStart w:id="19" w:name="_GoBack"/>
      <w:bookmarkEnd w:id="19"/>
      <w:r>
        <w:rPr>
          <w:rFonts w:hint="eastAsia" w:ascii="黑体" w:hAnsi="黑体" w:eastAsia="黑体" w:cs="黑体"/>
          <w:sz w:val="20"/>
          <w:szCs w:val="20"/>
        </w:rPr>
        <w:t>T/SZNB XXXXX-XXXX</w:t>
      </w: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adjustRightInd w:val="0"/>
        <w:snapToGrid w:val="0"/>
        <w:ind w:left="420" w:leftChars="200" w:firstLine="400"/>
        <w:jc w:val="left"/>
        <w:rPr>
          <w:rFonts w:asciiTheme="minorEastAsia" w:hAnsiTheme="minorEastAsia" w:cstheme="minorEastAsia"/>
          <w:sz w:val="20"/>
          <w:szCs w:val="20"/>
        </w:rPr>
      </w:pPr>
    </w:p>
    <w:p>
      <w:pPr>
        <w:jc w:val="center"/>
        <w:outlineLvl w:val="0"/>
        <w:rPr>
          <w:rFonts w:ascii="黑体" w:hAnsi="黑体" w:eastAsia="黑体" w:cs="黑体"/>
          <w:sz w:val="20"/>
          <w:szCs w:val="20"/>
        </w:rPr>
      </w:pPr>
      <w:bookmarkStart w:id="14" w:name="_Toc19719"/>
      <w:r>
        <w:rPr>
          <w:rFonts w:hint="eastAsia" w:ascii="黑体" w:hAnsi="黑体" w:eastAsia="黑体" w:cs="黑体"/>
          <w:sz w:val="20"/>
          <w:szCs w:val="20"/>
        </w:rPr>
        <w:t>附  录  A</w:t>
      </w:r>
      <w:bookmarkEnd w:id="14"/>
    </w:p>
    <w:p>
      <w:pPr>
        <w:jc w:val="center"/>
        <w:outlineLvl w:val="0"/>
        <w:rPr>
          <w:rFonts w:ascii="黑体" w:hAnsi="黑体" w:eastAsia="黑体" w:cs="黑体"/>
          <w:sz w:val="20"/>
          <w:szCs w:val="20"/>
        </w:rPr>
      </w:pPr>
      <w:bookmarkStart w:id="15" w:name="_Toc20433"/>
      <w:bookmarkStart w:id="16" w:name="_Toc9223"/>
      <w:r>
        <w:rPr>
          <w:rFonts w:hint="eastAsia" w:ascii="黑体" w:hAnsi="黑体" w:eastAsia="黑体" w:cs="黑体"/>
          <w:sz w:val="20"/>
          <w:szCs w:val="20"/>
        </w:rPr>
        <w:t>（资料性附录）</w:t>
      </w:r>
      <w:bookmarkEnd w:id="15"/>
      <w:bookmarkEnd w:id="16"/>
    </w:p>
    <w:p>
      <w:pPr>
        <w:jc w:val="center"/>
        <w:rPr>
          <w:rFonts w:ascii="黑体" w:hAnsi="黑体" w:eastAsia="黑体" w:cs="黑体"/>
          <w:sz w:val="20"/>
          <w:szCs w:val="20"/>
        </w:rPr>
      </w:pPr>
    </w:p>
    <w:p>
      <w:pPr>
        <w:adjustRightInd w:val="0"/>
        <w:snapToGrid w:val="0"/>
        <w:ind w:firstLine="402" w:firstLineChars="200"/>
        <w:jc w:val="left"/>
        <w:rPr>
          <w:rFonts w:asciiTheme="minorEastAsia" w:hAnsiTheme="minorEastAsia" w:cstheme="minorEastAsia"/>
          <w:sz w:val="20"/>
          <w:szCs w:val="20"/>
        </w:rPr>
      </w:pPr>
      <w:r>
        <w:rPr>
          <w:rFonts w:hint="eastAsia" w:asciiTheme="minorEastAsia" w:hAnsiTheme="minorEastAsia" w:cstheme="minorEastAsia"/>
          <w:b/>
          <w:bCs/>
          <w:sz w:val="20"/>
          <w:szCs w:val="20"/>
        </w:rPr>
        <w:t>A.1 库尔勒香梨标准果示例</w:t>
      </w:r>
    </w:p>
    <w:p>
      <w:pPr>
        <w:adjustRightInd w:val="0"/>
        <w:snapToGrid w:val="0"/>
        <w:ind w:firstLine="400" w:firstLineChars="200"/>
        <w:jc w:val="left"/>
        <w:rPr>
          <w:rFonts w:asciiTheme="minorEastAsia" w:hAnsiTheme="minorEastAsia" w:cstheme="minorEastAsia"/>
          <w:sz w:val="20"/>
          <w:szCs w:val="20"/>
        </w:rPr>
      </w:pPr>
    </w:p>
    <w:p>
      <w:pPr>
        <w:adjustRightInd w:val="0"/>
        <w:snapToGrid w:val="0"/>
        <w:ind w:firstLine="420" w:firstLineChars="200"/>
        <w:jc w:val="center"/>
        <w:rPr>
          <w:rFonts w:hint="eastAsia" w:eastAsiaTheme="minorEastAsia"/>
          <w:lang w:eastAsia="zh-CN"/>
        </w:rPr>
      </w:pPr>
      <w:r>
        <w:rPr>
          <w:rFonts w:hint="eastAsia" w:eastAsiaTheme="minorEastAsia"/>
          <w:lang w:eastAsia="zh-CN"/>
        </w:rPr>
        <w:drawing>
          <wp:inline distT="0" distB="0" distL="114300" distR="114300">
            <wp:extent cx="2497455" cy="3963670"/>
            <wp:effectExtent l="0" t="0" r="17145" b="17780"/>
            <wp:docPr id="11" name="图片 11" descr="A+级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级正面"/>
                    <pic:cNvPicPr>
                      <a:picLocks noChangeAspect="1"/>
                    </pic:cNvPicPr>
                  </pic:nvPicPr>
                  <pic:blipFill>
                    <a:blip r:embed="rId7"/>
                    <a:srcRect l="12500" t="10699" r="20092" b="9080"/>
                    <a:stretch>
                      <a:fillRect/>
                    </a:stretch>
                  </pic:blipFill>
                  <pic:spPr>
                    <a:xfrm>
                      <a:off x="0" y="0"/>
                      <a:ext cx="2497455" cy="3963670"/>
                    </a:xfrm>
                    <a:prstGeom prst="rect">
                      <a:avLst/>
                    </a:prstGeom>
                  </pic:spPr>
                </pic:pic>
              </a:graphicData>
            </a:graphic>
          </wp:inline>
        </w:drawing>
      </w:r>
    </w:p>
    <w:p>
      <w:pPr>
        <w:adjustRightInd w:val="0"/>
        <w:snapToGrid w:val="0"/>
        <w:ind w:firstLine="420" w:firstLineChars="200"/>
        <w:jc w:val="center"/>
        <w:rPr>
          <w:rFonts w:hint="eastAsia"/>
          <w:lang w:val="en-US" w:eastAsia="zh-CN"/>
        </w:rPr>
      </w:pPr>
      <w:r>
        <w:rPr>
          <w:rFonts w:hint="eastAsia"/>
          <w:lang w:val="en-US" w:eastAsia="zh-CN"/>
        </w:rPr>
        <w:t>A+级</w:t>
      </w:r>
    </w:p>
    <w:p>
      <w:pPr>
        <w:adjustRightInd w:val="0"/>
        <w:snapToGrid w:val="0"/>
        <w:ind w:firstLine="420" w:firstLineChars="200"/>
        <w:jc w:val="center"/>
        <w:rPr>
          <w:rFonts w:hint="default"/>
          <w:lang w:val="en-US" w:eastAsia="zh-CN"/>
        </w:rPr>
      </w:pPr>
    </w:p>
    <w:p>
      <w:pPr>
        <w:adjustRightInd w:val="0"/>
        <w:snapToGrid w:val="0"/>
        <w:ind w:firstLine="420" w:firstLineChars="200"/>
        <w:jc w:val="center"/>
        <w:rPr>
          <w:rFonts w:hint="eastAsia" w:eastAsiaTheme="minorEastAsia"/>
          <w:lang w:eastAsia="zh-CN"/>
        </w:rPr>
      </w:pPr>
      <w:r>
        <w:rPr>
          <w:rFonts w:hint="eastAsia" w:eastAsiaTheme="minorEastAsia"/>
          <w:lang w:eastAsia="zh-CN"/>
        </w:rPr>
        <w:drawing>
          <wp:inline distT="0" distB="0" distL="114300" distR="114300">
            <wp:extent cx="2350135" cy="4019550"/>
            <wp:effectExtent l="0" t="0" r="12065" b="0"/>
            <wp:docPr id="10" name="图片 10" descr="A级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级正面"/>
                    <pic:cNvPicPr>
                      <a:picLocks noChangeAspect="1"/>
                    </pic:cNvPicPr>
                  </pic:nvPicPr>
                  <pic:blipFill>
                    <a:blip r:embed="rId8"/>
                    <a:srcRect l="16923" r="10781" b="4588"/>
                    <a:stretch>
                      <a:fillRect/>
                    </a:stretch>
                  </pic:blipFill>
                  <pic:spPr>
                    <a:xfrm>
                      <a:off x="0" y="0"/>
                      <a:ext cx="2350135" cy="4019550"/>
                    </a:xfrm>
                    <a:prstGeom prst="rect">
                      <a:avLst/>
                    </a:prstGeom>
                  </pic:spPr>
                </pic:pic>
              </a:graphicData>
            </a:graphic>
          </wp:inline>
        </w:drawing>
      </w:r>
    </w:p>
    <w:p>
      <w:pPr>
        <w:adjustRightInd w:val="0"/>
        <w:snapToGrid w:val="0"/>
        <w:ind w:firstLine="420" w:firstLineChars="200"/>
        <w:jc w:val="center"/>
        <w:rPr>
          <w:rFonts w:hint="eastAsia"/>
          <w:lang w:val="en-US" w:eastAsia="zh-CN"/>
        </w:rPr>
      </w:pPr>
      <w:r>
        <w:rPr>
          <w:rFonts w:hint="eastAsia"/>
          <w:lang w:val="en-US" w:eastAsia="zh-CN"/>
        </w:rPr>
        <w:t>A级</w:t>
      </w:r>
    </w:p>
    <w:p>
      <w:pPr>
        <w:adjustRightInd w:val="0"/>
        <w:snapToGrid w:val="0"/>
        <w:ind w:firstLine="420" w:firstLineChars="200"/>
        <w:jc w:val="center"/>
        <w:rPr>
          <w:rFonts w:hint="default"/>
          <w:lang w:val="en-US" w:eastAsia="zh-CN"/>
        </w:rPr>
      </w:pPr>
    </w:p>
    <w:p>
      <w:pPr>
        <w:adjustRightInd w:val="0"/>
        <w:snapToGrid w:val="0"/>
        <w:ind w:firstLine="420" w:firstLineChars="200"/>
        <w:jc w:val="center"/>
        <w:rPr>
          <w:rFonts w:hint="eastAsia" w:eastAsiaTheme="minorEastAsia"/>
          <w:lang w:eastAsia="zh-CN"/>
        </w:rPr>
      </w:pPr>
      <w:r>
        <w:rPr>
          <w:rFonts w:hint="eastAsia" w:eastAsiaTheme="minorEastAsia"/>
          <w:lang w:eastAsia="zh-CN"/>
        </w:rPr>
        <w:drawing>
          <wp:inline distT="0" distB="0" distL="114300" distR="114300">
            <wp:extent cx="2520315" cy="3658235"/>
            <wp:effectExtent l="0" t="0" r="13335" b="18415"/>
            <wp:docPr id="9" name="图片 9" descr="B级-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级-正面"/>
                    <pic:cNvPicPr>
                      <a:picLocks noChangeAspect="1"/>
                    </pic:cNvPicPr>
                  </pic:nvPicPr>
                  <pic:blipFill>
                    <a:blip r:embed="rId9"/>
                    <a:srcRect l="24502" r="25417" b="3135"/>
                    <a:stretch>
                      <a:fillRect/>
                    </a:stretch>
                  </pic:blipFill>
                  <pic:spPr>
                    <a:xfrm>
                      <a:off x="0" y="0"/>
                      <a:ext cx="2520315" cy="3658235"/>
                    </a:xfrm>
                    <a:prstGeom prst="rect">
                      <a:avLst/>
                    </a:prstGeom>
                  </pic:spPr>
                </pic:pic>
              </a:graphicData>
            </a:graphic>
          </wp:inline>
        </w:drawing>
      </w:r>
    </w:p>
    <w:p>
      <w:pPr>
        <w:adjustRightInd w:val="0"/>
        <w:snapToGrid w:val="0"/>
        <w:ind w:firstLine="420" w:firstLineChars="200"/>
        <w:jc w:val="center"/>
        <w:rPr>
          <w:rFonts w:hint="default" w:eastAsiaTheme="minorEastAsia"/>
          <w:lang w:val="en-US" w:eastAsia="zh-CN"/>
        </w:rPr>
      </w:pPr>
      <w:r>
        <w:rPr>
          <w:rFonts w:hint="eastAsia"/>
          <w:lang w:val="en-US" w:eastAsia="zh-CN"/>
        </w:rPr>
        <w:t>B级</w:t>
      </w:r>
    </w:p>
    <w:p>
      <w:pPr>
        <w:adjustRightInd w:val="0"/>
        <w:snapToGrid w:val="0"/>
        <w:ind w:firstLine="420" w:firstLineChars="200"/>
        <w:jc w:val="center"/>
      </w:pPr>
    </w:p>
    <w:p>
      <w:pPr>
        <w:adjustRightInd w:val="0"/>
        <w:snapToGrid w:val="0"/>
        <w:ind w:firstLine="402" w:firstLineChars="200"/>
        <w:jc w:val="left"/>
        <w:rPr>
          <w:rFonts w:hint="eastAsia" w:asciiTheme="minorEastAsia" w:hAnsiTheme="minorEastAsia" w:cstheme="minorEastAsia"/>
          <w:b/>
          <w:bCs/>
          <w:sz w:val="20"/>
          <w:szCs w:val="20"/>
        </w:rPr>
      </w:pPr>
    </w:p>
    <w:p>
      <w:pPr>
        <w:adjustRightInd w:val="0"/>
        <w:snapToGrid w:val="0"/>
        <w:ind w:firstLine="402" w:firstLineChars="200"/>
        <w:jc w:val="left"/>
        <w:rPr>
          <w:rFonts w:hint="eastAsia" w:asciiTheme="minorEastAsia" w:hAnsiTheme="minorEastAsia" w:cstheme="minorEastAsia"/>
          <w:b/>
          <w:bCs/>
          <w:sz w:val="20"/>
          <w:szCs w:val="20"/>
        </w:rPr>
      </w:pPr>
    </w:p>
    <w:p>
      <w:pPr>
        <w:adjustRightInd w:val="0"/>
        <w:snapToGrid w:val="0"/>
        <w:ind w:firstLine="402" w:firstLineChars="200"/>
        <w:jc w:val="left"/>
        <w:rPr>
          <w:rFonts w:hint="eastAsia" w:asciiTheme="minorEastAsia" w:hAnsiTheme="minorEastAsia" w:cstheme="minorEastAsia"/>
          <w:b/>
          <w:bCs/>
          <w:sz w:val="20"/>
          <w:szCs w:val="20"/>
        </w:rPr>
      </w:pPr>
    </w:p>
    <w:p>
      <w:pPr>
        <w:jc w:val="right"/>
        <w:rPr>
          <w:rFonts w:ascii="Times New Roman" w:hAnsi="Times New Roman" w:eastAsia="黑体"/>
          <w:sz w:val="20"/>
          <w:szCs w:val="20"/>
        </w:rPr>
      </w:pPr>
      <w:r>
        <w:rPr>
          <w:rFonts w:hint="eastAsia" w:ascii="黑体" w:hAnsi="黑体" w:eastAsia="黑体" w:cs="黑体"/>
          <w:sz w:val="20"/>
          <w:szCs w:val="20"/>
        </w:rPr>
        <w:t>T/SZNB XXXXX-XXXX</w:t>
      </w:r>
    </w:p>
    <w:p>
      <w:pPr>
        <w:adjustRightInd w:val="0"/>
        <w:snapToGrid w:val="0"/>
        <w:ind w:firstLine="402" w:firstLineChars="200"/>
        <w:jc w:val="left"/>
        <w:rPr>
          <w:rFonts w:asciiTheme="minorEastAsia" w:hAnsiTheme="minorEastAsia" w:cstheme="minorEastAsia"/>
          <w:b/>
          <w:bCs/>
          <w:sz w:val="20"/>
          <w:szCs w:val="20"/>
        </w:rPr>
      </w:pPr>
      <w:r>
        <w:rPr>
          <w:rFonts w:hint="eastAsia" w:asciiTheme="minorEastAsia" w:hAnsiTheme="minorEastAsia" w:cstheme="minorEastAsia"/>
          <w:b/>
          <w:bCs/>
          <w:sz w:val="20"/>
          <w:szCs w:val="20"/>
        </w:rPr>
        <w:t>A.2 萼片脱落果示例</w:t>
      </w:r>
    </w:p>
    <w:p>
      <w:pPr>
        <w:adjustRightInd w:val="0"/>
        <w:snapToGrid w:val="0"/>
        <w:ind w:firstLine="402" w:firstLineChars="200"/>
        <w:jc w:val="left"/>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r>
        <w:rPr>
          <w:rFonts w:hint="eastAsia" w:asciiTheme="minorEastAsia" w:hAnsiTheme="minorEastAsia" w:cstheme="minorEastAsia"/>
          <w:b/>
          <w:bCs/>
          <w:sz w:val="20"/>
          <w:szCs w:val="20"/>
        </w:rPr>
        <w:drawing>
          <wp:inline distT="0" distB="0" distL="114300" distR="114300">
            <wp:extent cx="2799080" cy="302387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rcRect r="52683"/>
                    <a:stretch>
                      <a:fillRect/>
                    </a:stretch>
                  </pic:blipFill>
                  <pic:spPr>
                    <a:xfrm>
                      <a:off x="0" y="0"/>
                      <a:ext cx="2799080" cy="3023870"/>
                    </a:xfrm>
                    <a:prstGeom prst="rect">
                      <a:avLst/>
                    </a:prstGeom>
                    <a:ln>
                      <a:noFill/>
                    </a:ln>
                  </pic:spPr>
                </pic:pic>
              </a:graphicData>
            </a:graphic>
          </wp:inline>
        </w:drawing>
      </w: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left"/>
        <w:rPr>
          <w:rFonts w:asciiTheme="minorEastAsia" w:hAnsiTheme="minorEastAsia" w:cstheme="minorEastAsia"/>
          <w:b/>
          <w:bCs/>
          <w:sz w:val="20"/>
          <w:szCs w:val="20"/>
        </w:rPr>
      </w:pPr>
    </w:p>
    <w:p>
      <w:pPr>
        <w:adjustRightInd w:val="0"/>
        <w:snapToGrid w:val="0"/>
        <w:ind w:firstLine="402" w:firstLineChars="200"/>
        <w:jc w:val="left"/>
        <w:rPr>
          <w:rFonts w:asciiTheme="minorEastAsia" w:hAnsiTheme="minorEastAsia" w:cstheme="minorEastAsia"/>
          <w:b/>
          <w:bCs/>
          <w:sz w:val="20"/>
          <w:szCs w:val="20"/>
        </w:rPr>
      </w:pPr>
    </w:p>
    <w:p>
      <w:pPr>
        <w:adjustRightInd w:val="0"/>
        <w:snapToGrid w:val="0"/>
        <w:ind w:firstLine="402" w:firstLineChars="200"/>
        <w:jc w:val="left"/>
        <w:rPr>
          <w:rFonts w:asciiTheme="minorEastAsia" w:hAnsiTheme="minorEastAsia" w:cstheme="minorEastAsia"/>
          <w:b/>
          <w:bCs/>
          <w:sz w:val="20"/>
          <w:szCs w:val="20"/>
        </w:rPr>
      </w:pPr>
    </w:p>
    <w:p>
      <w:pPr>
        <w:adjustRightInd w:val="0"/>
        <w:snapToGrid w:val="0"/>
        <w:ind w:firstLine="402" w:firstLineChars="200"/>
        <w:jc w:val="left"/>
        <w:rPr>
          <w:rFonts w:asciiTheme="minorEastAsia" w:hAnsiTheme="minorEastAsia" w:cstheme="minorEastAsia"/>
          <w:b/>
          <w:bCs/>
          <w:sz w:val="20"/>
          <w:szCs w:val="20"/>
        </w:rPr>
      </w:pPr>
    </w:p>
    <w:p>
      <w:pPr>
        <w:adjustRightInd w:val="0"/>
        <w:snapToGrid w:val="0"/>
        <w:ind w:firstLine="402" w:firstLineChars="200"/>
        <w:jc w:val="left"/>
        <w:rPr>
          <w:rFonts w:asciiTheme="minorEastAsia" w:hAnsiTheme="minorEastAsia" w:cstheme="minorEastAsia"/>
          <w:b/>
          <w:bCs/>
          <w:sz w:val="20"/>
          <w:szCs w:val="20"/>
        </w:rPr>
      </w:pPr>
    </w:p>
    <w:p>
      <w:pPr>
        <w:adjustRightInd w:val="0"/>
        <w:snapToGrid w:val="0"/>
        <w:ind w:firstLine="402" w:firstLineChars="200"/>
        <w:jc w:val="left"/>
        <w:rPr>
          <w:rFonts w:asciiTheme="minorEastAsia" w:hAnsiTheme="minorEastAsia" w:cstheme="minorEastAsia"/>
          <w:b/>
          <w:bCs/>
          <w:sz w:val="20"/>
          <w:szCs w:val="20"/>
        </w:rPr>
      </w:pPr>
      <w:r>
        <w:rPr>
          <w:rFonts w:hint="eastAsia" w:asciiTheme="minorEastAsia" w:hAnsiTheme="minorEastAsia" w:cstheme="minorEastAsia"/>
          <w:b/>
          <w:bCs/>
          <w:sz w:val="20"/>
          <w:szCs w:val="20"/>
        </w:rPr>
        <w:t>A.3 萼片宿存果示例</w:t>
      </w:r>
    </w:p>
    <w:p>
      <w:pPr>
        <w:adjustRightInd w:val="0"/>
        <w:snapToGrid w:val="0"/>
        <w:ind w:firstLine="402" w:firstLineChars="200"/>
        <w:jc w:val="left"/>
        <w:rPr>
          <w:rFonts w:asciiTheme="minorEastAsia" w:hAnsiTheme="minorEastAsia" w:cstheme="minorEastAsia"/>
          <w:b/>
          <w:bCs/>
          <w:sz w:val="20"/>
          <w:szCs w:val="20"/>
        </w:rPr>
      </w:pPr>
    </w:p>
    <w:p>
      <w:pPr>
        <w:adjustRightInd w:val="0"/>
        <w:snapToGrid w:val="0"/>
        <w:ind w:firstLine="402" w:firstLineChars="200"/>
        <w:jc w:val="left"/>
        <w:rPr>
          <w:rFonts w:asciiTheme="minorEastAsia" w:hAnsiTheme="minorEastAsia" w:cstheme="minorEastAsia"/>
          <w:b/>
          <w:bCs/>
          <w:sz w:val="20"/>
          <w:szCs w:val="20"/>
        </w:rPr>
      </w:pPr>
    </w:p>
    <w:p>
      <w:pPr>
        <w:adjustRightInd w:val="0"/>
        <w:snapToGrid w:val="0"/>
        <w:ind w:firstLine="402" w:firstLineChars="200"/>
        <w:jc w:val="left"/>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r>
        <w:rPr>
          <w:rFonts w:asciiTheme="minorEastAsia" w:hAnsiTheme="minorEastAsia" w:cstheme="minorEastAsia"/>
          <w:b/>
          <w:bCs/>
          <w:sz w:val="20"/>
          <w:szCs w:val="20"/>
        </w:rPr>
        <w:drawing>
          <wp:inline distT="0" distB="0" distL="114300" distR="114300">
            <wp:extent cx="2540635" cy="2479040"/>
            <wp:effectExtent l="0" t="0" r="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rcRect l="47576"/>
                    <a:stretch>
                      <a:fillRect/>
                    </a:stretch>
                  </pic:blipFill>
                  <pic:spPr>
                    <a:xfrm>
                      <a:off x="0" y="0"/>
                      <a:ext cx="2540635" cy="2479040"/>
                    </a:xfrm>
                    <a:prstGeom prst="rect">
                      <a:avLst/>
                    </a:prstGeom>
                    <a:ln>
                      <a:noFill/>
                    </a:ln>
                  </pic:spPr>
                </pic:pic>
              </a:graphicData>
            </a:graphic>
          </wp:inline>
        </w:drawing>
      </w: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jc w:val="right"/>
        <w:rPr>
          <w:rFonts w:ascii="Times New Roman" w:hAnsi="Times New Roman" w:eastAsia="黑体"/>
          <w:sz w:val="20"/>
          <w:szCs w:val="20"/>
        </w:rPr>
      </w:pPr>
      <w:r>
        <w:rPr>
          <w:rFonts w:hint="eastAsia" w:ascii="黑体" w:hAnsi="黑体" w:eastAsia="黑体" w:cs="黑体"/>
          <w:sz w:val="20"/>
          <w:szCs w:val="20"/>
        </w:rPr>
        <w:t>T/SZNB XXXXX-XXXX</w:t>
      </w: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left"/>
        <w:rPr>
          <w:rFonts w:asciiTheme="minorEastAsia" w:hAnsiTheme="minorEastAsia" w:cstheme="minorEastAsia"/>
          <w:b/>
          <w:bCs/>
          <w:sz w:val="20"/>
          <w:szCs w:val="20"/>
        </w:rPr>
      </w:pPr>
      <w:r>
        <w:rPr>
          <w:rFonts w:hint="eastAsia" w:asciiTheme="minorEastAsia" w:hAnsiTheme="minorEastAsia" w:cstheme="minorEastAsia"/>
          <w:b/>
          <w:bCs/>
          <w:sz w:val="20"/>
          <w:szCs w:val="20"/>
        </w:rPr>
        <w:t>A.4 病果示例</w:t>
      </w:r>
    </w:p>
    <w:p>
      <w:pPr>
        <w:adjustRightInd w:val="0"/>
        <w:snapToGrid w:val="0"/>
        <w:ind w:firstLine="402" w:firstLineChars="200"/>
        <w:jc w:val="left"/>
        <w:rPr>
          <w:rFonts w:asciiTheme="minorEastAsia" w:hAnsiTheme="minorEastAsia" w:cstheme="minorEastAsia"/>
          <w:b/>
          <w:bCs/>
          <w:sz w:val="20"/>
          <w:szCs w:val="20"/>
        </w:rPr>
      </w:pPr>
    </w:p>
    <w:p>
      <w:pPr>
        <w:adjustRightInd w:val="0"/>
        <w:snapToGrid w:val="0"/>
        <w:ind w:firstLine="420" w:firstLineChars="200"/>
        <w:jc w:val="center"/>
        <w:rPr>
          <w:rFonts w:asciiTheme="minorEastAsia" w:hAnsiTheme="minorEastAsia" w:cstheme="minorEastAsia"/>
          <w:b/>
          <w:bCs/>
          <w:sz w:val="20"/>
          <w:szCs w:val="20"/>
        </w:rPr>
      </w:pPr>
      <w:r>
        <w:drawing>
          <wp:inline distT="0" distB="0" distL="114300" distR="114300">
            <wp:extent cx="2913380" cy="2865755"/>
            <wp:effectExtent l="0" t="0" r="0" b="1079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13380" cy="2865755"/>
                    </a:xfrm>
                    <a:prstGeom prst="rect">
                      <a:avLst/>
                    </a:prstGeom>
                  </pic:spPr>
                </pic:pic>
              </a:graphicData>
            </a:graphic>
          </wp:inline>
        </w:drawing>
      </w: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jc w:val="both"/>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center"/>
        <w:rPr>
          <w:rFonts w:asciiTheme="minorEastAsia" w:hAnsiTheme="minorEastAsia" w:cstheme="minorEastAsia"/>
          <w:b/>
          <w:bCs/>
          <w:sz w:val="20"/>
          <w:szCs w:val="20"/>
        </w:rPr>
      </w:pPr>
    </w:p>
    <w:p>
      <w:pPr>
        <w:jc w:val="right"/>
        <w:rPr>
          <w:rFonts w:ascii="Times New Roman" w:hAnsi="Times New Roman" w:eastAsia="黑体"/>
          <w:sz w:val="20"/>
          <w:szCs w:val="20"/>
        </w:rPr>
      </w:pPr>
      <w:r>
        <w:rPr>
          <w:rFonts w:hint="eastAsia" w:ascii="黑体" w:hAnsi="黑体" w:eastAsia="黑体" w:cs="黑体"/>
          <w:sz w:val="20"/>
          <w:szCs w:val="20"/>
        </w:rPr>
        <w:t>T/SZNB XXXXX-XXXX</w:t>
      </w:r>
    </w:p>
    <w:p>
      <w:pPr>
        <w:adjustRightInd w:val="0"/>
        <w:snapToGrid w:val="0"/>
        <w:ind w:firstLine="402" w:firstLineChars="200"/>
        <w:jc w:val="center"/>
        <w:rPr>
          <w:rFonts w:asciiTheme="minorEastAsia" w:hAnsiTheme="minorEastAsia" w:cstheme="minorEastAsia"/>
          <w:b/>
          <w:bCs/>
          <w:sz w:val="20"/>
          <w:szCs w:val="20"/>
        </w:rPr>
      </w:pPr>
    </w:p>
    <w:p>
      <w:pPr>
        <w:jc w:val="center"/>
        <w:outlineLvl w:val="0"/>
        <w:rPr>
          <w:rFonts w:hint="eastAsia" w:ascii="黑体" w:hAnsi="黑体" w:eastAsia="黑体" w:cs="黑体"/>
          <w:sz w:val="20"/>
          <w:szCs w:val="20"/>
          <w:lang w:eastAsia="zh-CN"/>
        </w:rPr>
      </w:pPr>
      <w:bookmarkStart w:id="17" w:name="_Toc23042"/>
      <w:r>
        <w:rPr>
          <w:rFonts w:hint="eastAsia" w:ascii="黑体" w:hAnsi="黑体" w:eastAsia="黑体" w:cs="黑体"/>
          <w:sz w:val="20"/>
          <w:szCs w:val="20"/>
        </w:rPr>
        <w:t xml:space="preserve">附  录  </w:t>
      </w:r>
      <w:r>
        <w:rPr>
          <w:rFonts w:hint="eastAsia" w:ascii="黑体" w:hAnsi="黑体" w:eastAsia="黑体" w:cs="黑体"/>
          <w:sz w:val="20"/>
          <w:szCs w:val="20"/>
          <w:lang w:val="en-US" w:eastAsia="zh-CN"/>
        </w:rPr>
        <w:t>B</w:t>
      </w:r>
      <w:bookmarkEnd w:id="17"/>
    </w:p>
    <w:p>
      <w:pPr>
        <w:jc w:val="center"/>
        <w:outlineLvl w:val="0"/>
        <w:rPr>
          <w:rFonts w:ascii="黑体" w:hAnsi="黑体" w:eastAsia="黑体" w:cs="黑体"/>
          <w:sz w:val="20"/>
          <w:szCs w:val="20"/>
        </w:rPr>
      </w:pPr>
      <w:bookmarkStart w:id="18" w:name="_Toc3345"/>
      <w:r>
        <w:rPr>
          <w:rFonts w:hint="eastAsia" w:ascii="黑体" w:hAnsi="黑体" w:eastAsia="黑体" w:cs="黑体"/>
          <w:sz w:val="20"/>
          <w:szCs w:val="20"/>
        </w:rPr>
        <w:t>（资料性附录）</w:t>
      </w:r>
      <w:bookmarkEnd w:id="18"/>
    </w:p>
    <w:p>
      <w:pPr>
        <w:adjustRightInd w:val="0"/>
        <w:snapToGrid w:val="0"/>
        <w:ind w:firstLine="402" w:firstLineChars="200"/>
        <w:jc w:val="center"/>
        <w:rPr>
          <w:rFonts w:asciiTheme="minorEastAsia" w:hAnsiTheme="minorEastAsia" w:cstheme="minorEastAsia"/>
          <w:b/>
          <w:bCs/>
          <w:sz w:val="20"/>
          <w:szCs w:val="20"/>
        </w:rPr>
      </w:pPr>
    </w:p>
    <w:p>
      <w:pPr>
        <w:adjustRightInd w:val="0"/>
        <w:snapToGrid w:val="0"/>
        <w:ind w:firstLine="402" w:firstLineChars="200"/>
        <w:jc w:val="left"/>
        <w:rPr>
          <w:rFonts w:hint="eastAsia" w:asciiTheme="minorEastAsia" w:hAnsiTheme="minorEastAsia" w:cstheme="minorEastAsia"/>
          <w:b/>
          <w:bCs/>
          <w:sz w:val="20"/>
          <w:szCs w:val="20"/>
          <w:lang w:val="en-US" w:eastAsia="zh-CN"/>
        </w:rPr>
      </w:pPr>
      <w:r>
        <w:rPr>
          <w:rFonts w:hint="eastAsia" w:asciiTheme="minorEastAsia" w:hAnsiTheme="minorEastAsia" w:cstheme="minorEastAsia"/>
          <w:b/>
          <w:bCs/>
          <w:sz w:val="20"/>
          <w:szCs w:val="20"/>
          <w:lang w:val="en-US" w:eastAsia="zh-CN"/>
        </w:rPr>
        <w:t>B.库尔勒香梨产品评级雷达图</w:t>
      </w:r>
    </w:p>
    <w:p>
      <w:pPr>
        <w:ind w:firstLine="420"/>
        <w:rPr>
          <w:rFonts w:hint="eastAsia"/>
        </w:rPr>
      </w:pPr>
    </w:p>
    <w:p>
      <w:pPr>
        <w:ind w:firstLine="420"/>
        <w:jc w:val="center"/>
        <w:rPr>
          <w:rFonts w:hint="eastAsia"/>
        </w:rPr>
      </w:pPr>
      <w:r>
        <w:drawing>
          <wp:inline distT="0" distB="0" distL="114300" distR="114300">
            <wp:extent cx="3496945" cy="2566670"/>
            <wp:effectExtent l="4445" t="4445" r="22860" b="1968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u w:val="single"/>
        </w:rPr>
      </w:pPr>
      <w:r>
        <w:rPr>
          <w:rFonts w:hint="eastAsia"/>
        </w:rPr>
        <w:t xml:space="preserve">                                  </w:t>
      </w:r>
      <w:r>
        <w:rPr>
          <w:rFonts w:hint="eastAsia"/>
          <w:u w:val="single"/>
        </w:rPr>
        <w:t xml:space="preserve">                      </w:t>
      </w:r>
    </w:p>
    <w:sectPr>
      <w:footerReference r:id="rId5"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YTBmM2ExNDA5MTI5NmEwNjA4YTk5MmRmY2Y2MzgifQ=="/>
  </w:docVars>
  <w:rsids>
    <w:rsidRoot w:val="00172A27"/>
    <w:rsid w:val="000600DE"/>
    <w:rsid w:val="000E00C4"/>
    <w:rsid w:val="001317CE"/>
    <w:rsid w:val="00172A27"/>
    <w:rsid w:val="00246B07"/>
    <w:rsid w:val="003A33EA"/>
    <w:rsid w:val="00782B5D"/>
    <w:rsid w:val="007F59FE"/>
    <w:rsid w:val="008A5B13"/>
    <w:rsid w:val="009317D1"/>
    <w:rsid w:val="00DD635E"/>
    <w:rsid w:val="00DF3CD1"/>
    <w:rsid w:val="00F1709F"/>
    <w:rsid w:val="00F916AB"/>
    <w:rsid w:val="04AE18D1"/>
    <w:rsid w:val="09A950D4"/>
    <w:rsid w:val="0A8530D4"/>
    <w:rsid w:val="0AB22670"/>
    <w:rsid w:val="0C9D1510"/>
    <w:rsid w:val="0DF63BB1"/>
    <w:rsid w:val="107A5C99"/>
    <w:rsid w:val="11405FA6"/>
    <w:rsid w:val="140F75F6"/>
    <w:rsid w:val="142B0848"/>
    <w:rsid w:val="156C11E0"/>
    <w:rsid w:val="15742FCA"/>
    <w:rsid w:val="17647C7C"/>
    <w:rsid w:val="17F06755"/>
    <w:rsid w:val="187077B5"/>
    <w:rsid w:val="18A20777"/>
    <w:rsid w:val="1A2B1F25"/>
    <w:rsid w:val="1A440C91"/>
    <w:rsid w:val="1BEA4674"/>
    <w:rsid w:val="1D3B0E37"/>
    <w:rsid w:val="1E2C658F"/>
    <w:rsid w:val="1EB76E7B"/>
    <w:rsid w:val="1FAA7D69"/>
    <w:rsid w:val="2128270A"/>
    <w:rsid w:val="2165632D"/>
    <w:rsid w:val="238A41F2"/>
    <w:rsid w:val="254026D2"/>
    <w:rsid w:val="29A00637"/>
    <w:rsid w:val="2AA37BE1"/>
    <w:rsid w:val="2B4A1A8A"/>
    <w:rsid w:val="317A57A7"/>
    <w:rsid w:val="31BB7257"/>
    <w:rsid w:val="37641614"/>
    <w:rsid w:val="38D64977"/>
    <w:rsid w:val="3AE75BFE"/>
    <w:rsid w:val="3C9708C1"/>
    <w:rsid w:val="3D737C11"/>
    <w:rsid w:val="3E5B6424"/>
    <w:rsid w:val="3FB377C0"/>
    <w:rsid w:val="40640C02"/>
    <w:rsid w:val="4127540F"/>
    <w:rsid w:val="467A3826"/>
    <w:rsid w:val="496417A1"/>
    <w:rsid w:val="497E0E3E"/>
    <w:rsid w:val="4C512AD5"/>
    <w:rsid w:val="4E12415A"/>
    <w:rsid w:val="57FF75EE"/>
    <w:rsid w:val="582B31F3"/>
    <w:rsid w:val="58AB4B16"/>
    <w:rsid w:val="593C6315"/>
    <w:rsid w:val="5C075F33"/>
    <w:rsid w:val="5E2B6979"/>
    <w:rsid w:val="5E4214B4"/>
    <w:rsid w:val="5EB64043"/>
    <w:rsid w:val="5FF23595"/>
    <w:rsid w:val="62713F31"/>
    <w:rsid w:val="634C6D8B"/>
    <w:rsid w:val="64253FE1"/>
    <w:rsid w:val="64CA6DEE"/>
    <w:rsid w:val="66212E26"/>
    <w:rsid w:val="6A104169"/>
    <w:rsid w:val="6A5247FE"/>
    <w:rsid w:val="6AA77490"/>
    <w:rsid w:val="6C861C34"/>
    <w:rsid w:val="6EF50077"/>
    <w:rsid w:val="6F5778B8"/>
    <w:rsid w:val="764741E2"/>
    <w:rsid w:val="770B59E1"/>
    <w:rsid w:val="77B265EF"/>
    <w:rsid w:val="77D726AA"/>
    <w:rsid w:val="7A756E44"/>
    <w:rsid w:val="7AEE7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8">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0"/>
  </w:style>
  <w:style w:type="character" w:styleId="9">
    <w:name w:val="Emphasis"/>
    <w:basedOn w:val="8"/>
    <w:qFormat/>
    <w:uiPriority w:val="0"/>
    <w:rPr>
      <w:i/>
    </w:rPr>
  </w:style>
  <w:style w:type="paragraph" w:customStyle="1" w:styleId="10">
    <w:name w:val="WPSOffice手动目录 1"/>
    <w:qFormat/>
    <w:uiPriority w:val="0"/>
    <w:rPr>
      <w:rFonts w:asciiTheme="minorHAnsi" w:hAnsiTheme="minorHAnsi" w:eastAsiaTheme="minorEastAsia" w:cstheme="minorBidi"/>
      <w:lang w:val="en-US" w:eastAsia="zh-CN" w:bidi="ar-SA"/>
    </w:rPr>
  </w:style>
  <w:style w:type="character" w:customStyle="1" w:styleId="11">
    <w:name w:val="font11"/>
    <w:basedOn w:val="8"/>
    <w:qFormat/>
    <w:uiPriority w:val="0"/>
    <w:rPr>
      <w:rFonts w:hint="eastAsia" w:ascii="宋体" w:hAnsi="宋体" w:eastAsia="宋体" w:cs="宋体"/>
      <w:color w:val="000000"/>
      <w:sz w:val="21"/>
      <w:szCs w:val="21"/>
      <w:u w:val="none"/>
    </w:rPr>
  </w:style>
  <w:style w:type="character" w:customStyle="1" w:styleId="12">
    <w:name w:val="font41"/>
    <w:basedOn w:val="8"/>
    <w:qFormat/>
    <w:uiPriority w:val="0"/>
    <w:rPr>
      <w:rFonts w:hint="eastAsia" w:ascii="宋体" w:hAnsi="宋体" w:eastAsia="宋体" w:cs="宋体"/>
      <w:color w:val="000000"/>
      <w:sz w:val="21"/>
      <w:szCs w:val="21"/>
      <w:u w:val="none"/>
      <w:vertAlign w:val="superscript"/>
    </w:rPr>
  </w:style>
  <w:style w:type="character" w:customStyle="1" w:styleId="13">
    <w:name w:val="批注框文本 Char"/>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chart" Target="charts/chart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库尔勒香梨产品评级雷达图</a:t>
            </a:r>
          </a:p>
        </c:rich>
      </c:tx>
      <c:layout>
        <c:manualLayout>
          <c:xMode val="edge"/>
          <c:yMode val="edge"/>
          <c:x val="0.212361111111111"/>
          <c:y val="0.0208333333333333"/>
        </c:manualLayout>
      </c:layout>
      <c:overlay val="0"/>
      <c:spPr>
        <a:noFill/>
        <a:ln>
          <a:noFill/>
        </a:ln>
        <a:effectLst/>
      </c:spPr>
    </c:title>
    <c:autoTitleDeleted val="0"/>
    <c:plotArea>
      <c:layout/>
      <c:radarChart>
        <c:radarStyle val="marker"/>
        <c:varyColors val="0"/>
        <c:ser>
          <c:idx val="0"/>
          <c:order val="0"/>
          <c:spPr>
            <a:ln w="28575" cap="rnd">
              <a:solidFill>
                <a:schemeClr val="accent1"/>
              </a:solidFill>
              <a:round/>
            </a:ln>
            <a:effectLst/>
          </c:spPr>
          <c:marker>
            <c:symbol val="none"/>
          </c:marker>
          <c:dLbls>
            <c:delete val="1"/>
          </c:dLbls>
          <c:cat>
            <c:strRef>
              <c:f>[工作簿1]Sheet1!$B$2:$B$6</c:f>
              <c:strCache>
                <c:ptCount val="5"/>
                <c:pt idx="0">
                  <c:v>甜度</c:v>
                </c:pt>
                <c:pt idx="1">
                  <c:v>硬度</c:v>
                </c:pt>
                <c:pt idx="2">
                  <c:v>果汁含量</c:v>
                </c:pt>
                <c:pt idx="3">
                  <c:v>口感</c:v>
                </c:pt>
                <c:pt idx="4">
                  <c:v>附加指标</c:v>
                </c:pt>
              </c:strCache>
            </c:strRef>
          </c:cat>
          <c:val>
            <c:numRef>
              <c:f>[工作簿1]Sheet1!$C$2:$C$6</c:f>
              <c:numCache>
                <c:formatCode>General</c:formatCode>
                <c:ptCount val="5"/>
                <c:pt idx="0">
                  <c:v>20</c:v>
                </c:pt>
                <c:pt idx="1">
                  <c:v>20</c:v>
                </c:pt>
                <c:pt idx="2">
                  <c:v>20</c:v>
                </c:pt>
                <c:pt idx="3">
                  <c:v>25</c:v>
                </c:pt>
                <c:pt idx="4">
                  <c:v>15</c:v>
                </c:pt>
              </c:numCache>
            </c:numRef>
          </c:val>
        </c:ser>
        <c:dLbls>
          <c:showLegendKey val="0"/>
          <c:showVal val="0"/>
          <c:showCatName val="0"/>
          <c:showSerName val="0"/>
          <c:showPercent val="0"/>
          <c:showBubbleSize val="0"/>
        </c:dLbls>
        <c:axId val="990735300"/>
        <c:axId val="502684551"/>
      </c:radarChart>
      <c:catAx>
        <c:axId val="9907353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2684551"/>
        <c:crosses val="autoZero"/>
        <c:auto val="1"/>
        <c:lblAlgn val="ctr"/>
        <c:lblOffset val="100"/>
        <c:noMultiLvlLbl val="0"/>
      </c:catAx>
      <c:valAx>
        <c:axId val="502684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07353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SMQ</Company>
  <Pages>11</Pages>
  <Words>664</Words>
  <Characters>3788</Characters>
  <Lines>31</Lines>
  <Paragraphs>8</Paragraphs>
  <TotalTime>1</TotalTime>
  <ScaleCrop>false</ScaleCrop>
  <LinksUpToDate>false</LinksUpToDate>
  <CharactersWithSpaces>4444</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2024-10-21T10:09:00Z</dcterms:created>
  <dc:creator>Fafa</dc:creator>
  <cp:lastModifiedBy>jiayl</cp:lastModifiedBy>
  <dcterms:modified xsi:type="dcterms:W3CDTF">2024-10-29T10:32:40Z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862A5D3034F44B47873CF621067308D5_13</vt:lpwstr>
  </property>
</Properties>
</file>