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8CA46A">
      <w:pPr>
        <w:spacing w:line="360" w:lineRule="auto"/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深圳市农产品质量提升联盟标准编制说明</w:t>
      </w:r>
    </w:p>
    <w:p w14:paraId="51B35129">
      <w:pPr>
        <w:spacing w:line="360" w:lineRule="auto"/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 xml:space="preserve">水果分级标准 </w:t>
      </w: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蓝莓</w:t>
      </w:r>
    </w:p>
    <w:p w14:paraId="45014F55">
      <w:pPr>
        <w:numPr>
          <w:ilvl w:val="0"/>
          <w:numId w:val="0"/>
        </w:numPr>
        <w:spacing w:line="360" w:lineRule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一、基本情况</w:t>
      </w:r>
    </w:p>
    <w:p w14:paraId="01203778">
      <w:pPr>
        <w:numPr>
          <w:ilvl w:val="0"/>
          <w:numId w:val="0"/>
        </w:numPr>
        <w:spacing w:line="360" w:lineRule="auto"/>
        <w:ind w:firstLine="64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（一）任务来源</w:t>
      </w:r>
    </w:p>
    <w:p w14:paraId="2DD86F5B">
      <w:pPr>
        <w:numPr>
          <w:ilvl w:val="0"/>
          <w:numId w:val="0"/>
        </w:numPr>
        <w:spacing w:line="360" w:lineRule="auto"/>
        <w:ind w:firstLine="64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default" w:ascii="仿宋_GB2312" w:eastAsia="仿宋_GB2312"/>
          <w:sz w:val="32"/>
          <w:szCs w:val="32"/>
          <w:lang w:val="en-US" w:eastAsia="zh-CN"/>
        </w:rPr>
        <w:t>为落实农业农村部关于加快水果提档升级的有关部署，加强水果“三品一标”建设和质量安全监管，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按照</w:t>
      </w:r>
      <w:r>
        <w:rPr>
          <w:rFonts w:hint="default" w:ascii="仿宋_GB2312" w:eastAsia="仿宋_GB2312"/>
          <w:sz w:val="32"/>
          <w:szCs w:val="32"/>
          <w:lang w:val="en-US" w:eastAsia="zh-CN"/>
        </w:rPr>
        <w:t>深圳市市场监督管理局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关于开展《深圳市水果质量分级试点工作方案》要求，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成立深圳水果质量分级试点工作专班</w:t>
      </w:r>
      <w:r>
        <w:rPr>
          <w:rFonts w:hint="eastAsia" w:eastAsia="仿宋_GB2312" w:cs="Times New Roman"/>
          <w:sz w:val="32"/>
          <w:szCs w:val="32"/>
          <w:highlight w:val="none"/>
          <w:lang w:eastAsia="zh-CN"/>
        </w:rPr>
        <w:t>，由标准研制组负责制定《水果分级标准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 xml:space="preserve"> 蓝莓</w:t>
      </w:r>
      <w:r>
        <w:rPr>
          <w:rFonts w:hint="eastAsia" w:eastAsia="仿宋_GB2312" w:cs="Times New Roman"/>
          <w:sz w:val="32"/>
          <w:szCs w:val="32"/>
          <w:highlight w:val="none"/>
          <w:lang w:eastAsia="zh-CN"/>
        </w:rPr>
        <w:t>》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。</w:t>
      </w:r>
    </w:p>
    <w:p w14:paraId="060A2F6B">
      <w:pPr>
        <w:numPr>
          <w:ilvl w:val="0"/>
          <w:numId w:val="1"/>
        </w:numPr>
        <w:spacing w:line="360" w:lineRule="auto"/>
        <w:ind w:firstLine="64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起草单位、起草人</w:t>
      </w:r>
    </w:p>
    <w:p w14:paraId="13AC4407">
      <w:pPr>
        <w:numPr>
          <w:ilvl w:val="0"/>
          <w:numId w:val="0"/>
        </w:numPr>
        <w:spacing w:line="360" w:lineRule="auto"/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起草单位：光筑农业集团有限公司、深圳市计量质量检测研究院、深圳凯吉星农产品检测认证有限公司</w:t>
      </w:r>
    </w:p>
    <w:p w14:paraId="7B606351">
      <w:pPr>
        <w:pStyle w:val="5"/>
        <w:ind w:left="0" w:leftChars="0" w:firstLine="640" w:firstLineChars="200"/>
        <w:rPr>
          <w:rFonts w:hint="default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起草人：邹渝丰、蒋晶晶、任佳影、张允楠、苑婷婷、莫春茹、高素君、岑干君</w:t>
      </w:r>
    </w:p>
    <w:p w14:paraId="47FB053A">
      <w:pPr>
        <w:numPr>
          <w:ilvl w:val="0"/>
          <w:numId w:val="1"/>
        </w:numPr>
        <w:spacing w:line="360" w:lineRule="auto"/>
        <w:ind w:left="0" w:leftChars="0" w:firstLine="640" w:firstLineChars="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立项背景和意义</w:t>
      </w:r>
    </w:p>
    <w:p w14:paraId="5982E7F3">
      <w:pPr>
        <w:numPr>
          <w:ilvl w:val="0"/>
          <w:numId w:val="0"/>
        </w:numPr>
        <w:spacing w:line="240" w:lineRule="auto"/>
        <w:ind w:left="0" w:leftChars="0" w:firstLine="64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default" w:ascii="仿宋_GB2312" w:eastAsia="仿宋_GB2312"/>
          <w:sz w:val="32"/>
          <w:szCs w:val="32"/>
          <w:lang w:val="en-US" w:eastAsia="zh-CN"/>
        </w:rPr>
        <w:t>为适应当前农产品消费结构升级大趋势，加快构建以质量提升为核心的优质水果发展体系，根据《深圳市水果质量分级试点工作方案》要求，研制包括在内的水果质量分级标准。在深圳市农产品质量提升联盟内应用，并逐步向社会推广，推动水果产业提档升级。</w:t>
      </w:r>
    </w:p>
    <w:p w14:paraId="2B6E2C33">
      <w:pPr>
        <w:numPr>
          <w:ilvl w:val="0"/>
          <w:numId w:val="0"/>
        </w:numPr>
        <w:spacing w:line="360" w:lineRule="auto"/>
        <w:ind w:left="640" w:leftChars="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（四）简要起草过程</w:t>
      </w:r>
    </w:p>
    <w:p w14:paraId="5C848458">
      <w:pPr>
        <w:spacing w:line="240" w:lineRule="auto"/>
        <w:ind w:left="0" w:leftChars="0"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接到项目委托任务后，我单位即成立了标准起草工作组，根据《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深圳市水果质量分级试点工作方案</w:t>
      </w:r>
      <w:r>
        <w:rPr>
          <w:rFonts w:hint="eastAsia" w:ascii="仿宋_GB2312" w:eastAsia="仿宋_GB2312"/>
          <w:sz w:val="32"/>
          <w:szCs w:val="32"/>
        </w:rPr>
        <w:t>》等相关要求，制定了起草工作方案，并进行了分工落实，主要过程如下:</w:t>
      </w:r>
    </w:p>
    <w:p w14:paraId="6F6D843E">
      <w:pPr>
        <w:spacing w:line="240" w:lineRule="auto"/>
        <w:ind w:left="0" w:leftChars="0"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第一步:进行国内外相关标准、论文等信息资料的查询，了解国内外标准及相关研究现状。</w:t>
      </w:r>
    </w:p>
    <w:p w14:paraId="2AEFFF98">
      <w:pPr>
        <w:spacing w:line="240" w:lineRule="auto"/>
        <w:ind w:left="0" w:leftChars="0"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第二步:通过咨询、</w:t>
      </w:r>
      <w:r>
        <w:rPr>
          <w:rFonts w:hint="eastAsia" w:ascii="仿宋_GB2312" w:eastAsia="仿宋_GB2312"/>
          <w:sz w:val="32"/>
          <w:szCs w:val="32"/>
          <w:lang w:eastAsia="zh-CN"/>
        </w:rPr>
        <w:t>水果分级动员会</w:t>
      </w:r>
      <w:r>
        <w:rPr>
          <w:rFonts w:hint="eastAsia" w:ascii="仿宋_GB2312" w:eastAsia="仿宋_GB2312"/>
          <w:sz w:val="32"/>
          <w:szCs w:val="32"/>
        </w:rPr>
        <w:t>等形式对</w:t>
      </w:r>
      <w:r>
        <w:rPr>
          <w:rFonts w:hint="eastAsia" w:ascii="仿宋_GB2312" w:eastAsia="仿宋_GB2312"/>
          <w:sz w:val="32"/>
          <w:szCs w:val="32"/>
          <w:lang w:eastAsia="zh-CN"/>
        </w:rPr>
        <w:t>苹果</w:t>
      </w:r>
      <w:r>
        <w:rPr>
          <w:rFonts w:hint="eastAsia" w:ascii="仿宋_GB2312" w:eastAsia="仿宋_GB2312"/>
          <w:sz w:val="32"/>
          <w:szCs w:val="32"/>
        </w:rPr>
        <w:t>相关生产</w:t>
      </w:r>
      <w:r>
        <w:rPr>
          <w:rFonts w:hint="eastAsia" w:ascii="仿宋_GB2312" w:eastAsia="仿宋_GB2312"/>
          <w:sz w:val="32"/>
          <w:szCs w:val="32"/>
          <w:lang w:eastAsia="zh-CN"/>
        </w:rPr>
        <w:t>经营</w:t>
      </w:r>
      <w:r>
        <w:rPr>
          <w:rFonts w:hint="eastAsia" w:ascii="仿宋_GB2312" w:eastAsia="仿宋_GB2312"/>
          <w:sz w:val="32"/>
          <w:szCs w:val="32"/>
        </w:rPr>
        <w:t>进行调研。</w:t>
      </w:r>
    </w:p>
    <w:p w14:paraId="23596C74">
      <w:pPr>
        <w:spacing w:line="240" w:lineRule="auto"/>
        <w:ind w:left="0" w:leftChars="0"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第三步:根据国内</w:t>
      </w:r>
      <w:r>
        <w:rPr>
          <w:rFonts w:hint="eastAsia" w:ascii="仿宋_GB2312" w:eastAsia="仿宋_GB2312"/>
          <w:sz w:val="32"/>
          <w:szCs w:val="32"/>
          <w:lang w:eastAsia="zh-CN"/>
        </w:rPr>
        <w:t>苹果行业</w:t>
      </w:r>
      <w:r>
        <w:rPr>
          <w:rFonts w:hint="eastAsia" w:ascii="仿宋_GB2312" w:eastAsia="仿宋_GB2312"/>
          <w:sz w:val="32"/>
          <w:szCs w:val="32"/>
        </w:rPr>
        <w:t>的生产现状，结合国内外</w:t>
      </w:r>
      <w:r>
        <w:rPr>
          <w:rFonts w:hint="eastAsia" w:ascii="仿宋_GB2312" w:eastAsia="仿宋_GB2312"/>
          <w:sz w:val="32"/>
          <w:szCs w:val="32"/>
          <w:lang w:eastAsia="zh-CN"/>
        </w:rPr>
        <w:t>苹果行业</w:t>
      </w:r>
      <w:r>
        <w:rPr>
          <w:rFonts w:hint="eastAsia" w:ascii="仿宋_GB2312" w:eastAsia="仿宋_GB2312"/>
          <w:sz w:val="32"/>
          <w:szCs w:val="32"/>
        </w:rPr>
        <w:t>生产发展趋势，通过数据收集、样品采集、标准比对等，确定主要技术指标，编制标准征求意见稿。</w:t>
      </w:r>
    </w:p>
    <w:p w14:paraId="4C0FF7B8">
      <w:pPr>
        <w:spacing w:line="240" w:lineRule="auto"/>
        <w:ind w:left="0" w:leftChars="0"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第四步:将征求意见稿在</w:t>
      </w:r>
      <w:r>
        <w:rPr>
          <w:rFonts w:hint="eastAsia" w:ascii="仿宋_GB2312" w:eastAsia="仿宋_GB2312"/>
          <w:sz w:val="32"/>
          <w:szCs w:val="32"/>
          <w:lang w:eastAsia="zh-CN"/>
        </w:rPr>
        <w:t>苹果生产企业</w:t>
      </w:r>
      <w:r>
        <w:rPr>
          <w:rFonts w:hint="eastAsia" w:ascii="仿宋_GB2312" w:eastAsia="仿宋_GB2312"/>
          <w:sz w:val="32"/>
          <w:szCs w:val="32"/>
        </w:rPr>
        <w:t>、批发</w:t>
      </w:r>
      <w:r>
        <w:rPr>
          <w:rFonts w:hint="eastAsia" w:ascii="仿宋_GB2312" w:eastAsia="仿宋_GB2312"/>
          <w:sz w:val="32"/>
          <w:szCs w:val="32"/>
          <w:lang w:eastAsia="zh-CN"/>
        </w:rPr>
        <w:t>商</w:t>
      </w:r>
      <w:r>
        <w:rPr>
          <w:rFonts w:hint="eastAsia" w:ascii="仿宋_GB2312" w:eastAsia="仿宋_GB2312"/>
          <w:sz w:val="32"/>
          <w:szCs w:val="32"/>
        </w:rPr>
        <w:t>、检测机构</w:t>
      </w:r>
      <w:r>
        <w:rPr>
          <w:rFonts w:hint="eastAsia" w:ascii="仿宋_GB2312" w:eastAsia="仿宋_GB2312"/>
          <w:sz w:val="32"/>
          <w:szCs w:val="32"/>
          <w:lang w:eastAsia="zh-CN"/>
        </w:rPr>
        <w:t>及联盟成员进行</w:t>
      </w:r>
      <w:r>
        <w:rPr>
          <w:rFonts w:hint="eastAsia" w:ascii="仿宋_GB2312" w:eastAsia="仿宋_GB2312"/>
          <w:sz w:val="32"/>
          <w:szCs w:val="32"/>
        </w:rPr>
        <w:t>广泛征求意见，根据</w:t>
      </w:r>
      <w:r>
        <w:rPr>
          <w:rFonts w:hint="eastAsia" w:ascii="仿宋_GB2312" w:eastAsia="仿宋_GB2312"/>
          <w:sz w:val="32"/>
          <w:szCs w:val="32"/>
          <w:lang w:eastAsia="zh-CN"/>
        </w:rPr>
        <w:t>反馈</w:t>
      </w:r>
      <w:r>
        <w:rPr>
          <w:rFonts w:hint="eastAsia" w:ascii="仿宋_GB2312" w:eastAsia="仿宋_GB2312"/>
          <w:sz w:val="32"/>
          <w:szCs w:val="32"/>
        </w:rPr>
        <w:t>意见进行汇总修改，同时委托</w:t>
      </w:r>
      <w:r>
        <w:rPr>
          <w:rFonts w:hint="eastAsia" w:ascii="仿宋_GB2312" w:eastAsia="仿宋_GB2312"/>
          <w:sz w:val="32"/>
          <w:szCs w:val="32"/>
          <w:lang w:eastAsia="zh-CN"/>
        </w:rPr>
        <w:t>检测</w:t>
      </w:r>
      <w:r>
        <w:rPr>
          <w:rFonts w:hint="eastAsia" w:ascii="仿宋_GB2312" w:eastAsia="仿宋_GB2312"/>
          <w:sz w:val="32"/>
          <w:szCs w:val="32"/>
        </w:rPr>
        <w:t>机构进行指标验证和校核，根据结果完善标准，形成标准文本送审稿。</w:t>
      </w:r>
    </w:p>
    <w:p w14:paraId="11C47EE8">
      <w:pPr>
        <w:spacing w:line="240" w:lineRule="auto"/>
        <w:ind w:left="0" w:leftChars="0"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第五步:按要求完成专家评审,根据评审意见完善标准，形成标准报批稿报送相关单位报批。</w:t>
      </w:r>
    </w:p>
    <w:p w14:paraId="017C4A77">
      <w:pPr>
        <w:numPr>
          <w:ilvl w:val="0"/>
          <w:numId w:val="2"/>
        </w:numPr>
        <w:spacing w:line="360" w:lineRule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与现行有关法律法规和其他标准的关系</w:t>
      </w:r>
    </w:p>
    <w:p w14:paraId="32F3A293">
      <w:pPr>
        <w:numPr>
          <w:ilvl w:val="0"/>
          <w:numId w:val="0"/>
        </w:numPr>
        <w:spacing w:line="360" w:lineRule="auto"/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（一）与现行法律、法规的关系</w:t>
      </w:r>
    </w:p>
    <w:p w14:paraId="2FB1DEEB">
      <w:pPr>
        <w:numPr>
          <w:ilvl w:val="0"/>
          <w:numId w:val="0"/>
        </w:numPr>
        <w:spacing w:line="360" w:lineRule="auto"/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本标准是以我国相关法律、法规和标准为基础，依据《中华人民共和国农产品质量安全法》、《中华人民共和国食品安全法》等，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结合</w:t>
      </w:r>
      <w:r>
        <w:rPr>
          <w:rFonts w:hint="eastAsia" w:ascii="仿宋_GB2312" w:eastAsia="仿宋_GB2312"/>
          <w:sz w:val="32"/>
          <w:szCs w:val="32"/>
          <w:lang w:eastAsia="zh-CN"/>
        </w:rPr>
        <w:t>“深圳企业+市外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种植</w:t>
      </w:r>
      <w:r>
        <w:rPr>
          <w:rFonts w:hint="eastAsia" w:ascii="仿宋_GB2312" w:eastAsia="仿宋_GB2312"/>
          <w:sz w:val="32"/>
          <w:szCs w:val="32"/>
          <w:lang w:eastAsia="zh-CN"/>
        </w:rPr>
        <w:t>”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发展模式</w:t>
      </w:r>
      <w:r>
        <w:rPr>
          <w:rFonts w:hint="eastAsia" w:ascii="仿宋_GB2312" w:eastAsia="仿宋_GB2312"/>
          <w:sz w:val="32"/>
          <w:szCs w:val="32"/>
          <w:lang w:eastAsia="zh-CN"/>
        </w:rPr>
        <w:t>和国内苹果行业发展需要制定出来的推荐性标准，是为适应新形势下国家对水果产业高质量发展需要而提出与制定的，与现行法律法规无冲突。</w:t>
      </w:r>
    </w:p>
    <w:p w14:paraId="29C19FD3">
      <w:pPr>
        <w:pStyle w:val="5"/>
        <w:numPr>
          <w:ilvl w:val="0"/>
          <w:numId w:val="3"/>
        </w:numPr>
        <w:ind w:left="0" w:leftChars="0"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食品安全国家标准、国家标准、行业标准等现行标准的关系</w:t>
      </w:r>
    </w:p>
    <w:p w14:paraId="7CB7CA5D">
      <w:pPr>
        <w:pStyle w:val="5"/>
        <w:numPr>
          <w:ilvl w:val="0"/>
          <w:numId w:val="0"/>
        </w:numPr>
        <w:spacing w:after="0"/>
        <w:ind w:left="0" w:leftChars="0" w:firstLine="64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通过对比GB 2762《食品安全国家标准食品中污染物限量》、GB 2763《食品安全国家标准食品中农药最大残留限量》、GB/T 27658《蓝莓》、NY/T 3033《农产品等级规格 蓝莓》等标准，本标准与目前涉及蓝莓相关</w:t>
      </w:r>
      <w:r>
        <w:rPr>
          <w:rFonts w:hint="eastAsia" w:ascii="仿宋_GB2312" w:eastAsia="仿宋_GB2312"/>
          <w:sz w:val="32"/>
          <w:szCs w:val="32"/>
          <w:lang w:eastAsia="zh-CN"/>
        </w:rPr>
        <w:t>食品安全国家标准、国家标准、行业标准等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无冲突。</w:t>
      </w:r>
    </w:p>
    <w:p w14:paraId="4412C44D">
      <w:pPr>
        <w:pStyle w:val="5"/>
        <w:numPr>
          <w:ilvl w:val="0"/>
          <w:numId w:val="3"/>
        </w:numPr>
        <w:ind w:left="0" w:leftChars="0"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与国外标准的关系</w:t>
      </w:r>
    </w:p>
    <w:p w14:paraId="7CAB1D96">
      <w:pPr>
        <w:pStyle w:val="5"/>
        <w:numPr>
          <w:ilvl w:val="0"/>
          <w:numId w:val="0"/>
        </w:numPr>
        <w:jc w:val="left"/>
        <w:rPr>
          <w:rFonts w:hint="eastAsia"/>
          <w:lang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eastAsia="仿宋_GB2312"/>
          <w:sz w:val="32"/>
          <w:szCs w:val="32"/>
          <w:lang w:eastAsia="zh-CN"/>
        </w:rPr>
        <w:t>通过对比CODEX STAN 103-1981《国际食品法典标准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  <w:lang w:eastAsia="zh-CN"/>
        </w:rPr>
        <w:t>速冻蓝莓》、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ISO 6664:1983《越橘和蓝莓 冷藏指南》、欧盟EC 396/2005《关于植物源和动物源食品和饲料中的农药最大残留》、日本肯定列表、韩国肯定列表、美国联邦法规汇编（CFR）第40章第180节，以及俄罗斯ГH 1.2.2701-10《环境测区农药卫生限量标准》</w:t>
      </w:r>
      <w:r>
        <w:rPr>
          <w:rFonts w:hint="eastAsia" w:ascii="仿宋_GB2312" w:eastAsia="仿宋_GB2312"/>
          <w:sz w:val="32"/>
          <w:szCs w:val="32"/>
          <w:lang w:eastAsia="zh-CN"/>
        </w:rPr>
        <w:t>等国外标准，本标准与国外标准无冲突。</w:t>
      </w:r>
    </w:p>
    <w:p w14:paraId="06094DFB">
      <w:pPr>
        <w:numPr>
          <w:ilvl w:val="0"/>
          <w:numId w:val="2"/>
        </w:numPr>
        <w:spacing w:line="360" w:lineRule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主要技术内容确定依据</w:t>
      </w:r>
    </w:p>
    <w:p w14:paraId="23D08B40">
      <w:pPr>
        <w:numPr>
          <w:ilvl w:val="0"/>
          <w:numId w:val="4"/>
        </w:numPr>
        <w:spacing w:line="360" w:lineRule="auto"/>
        <w:ind w:left="640" w:leftChars="0" w:firstLine="0" w:firstLineChars="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标准编制原则</w:t>
      </w:r>
    </w:p>
    <w:p w14:paraId="2FAD3719">
      <w:pPr>
        <w:numPr>
          <w:ilvl w:val="0"/>
          <w:numId w:val="0"/>
        </w:numPr>
        <w:spacing w:line="240" w:lineRule="auto"/>
        <w:ind w:left="0" w:leftChars="0" w:firstLine="64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default" w:ascii="仿宋_GB2312" w:eastAsia="仿宋_GB2312"/>
          <w:sz w:val="32"/>
          <w:szCs w:val="32"/>
          <w:lang w:val="en-US" w:eastAsia="zh-CN"/>
        </w:rPr>
        <w:t>本标准的编制遵循科学性、规范性、适用性和可操作性原则，标准按GB/T 1. 1《标准化工作导则第1部分:标准的结构和编写》给出的规则进行起草。</w:t>
      </w:r>
    </w:p>
    <w:p w14:paraId="52AC5A9D">
      <w:pPr>
        <w:numPr>
          <w:ilvl w:val="0"/>
          <w:numId w:val="0"/>
        </w:numPr>
        <w:spacing w:line="240" w:lineRule="auto"/>
        <w:ind w:left="0" w:leftChars="0" w:firstLine="64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default" w:ascii="仿宋_GB2312" w:eastAsia="仿宋_GB2312"/>
          <w:sz w:val="32"/>
          <w:szCs w:val="32"/>
          <w:lang w:val="en-US" w:eastAsia="zh-CN"/>
        </w:rPr>
        <w:t>标准内容制定遵循以下原则: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追溯要求</w:t>
      </w:r>
      <w:r>
        <w:rPr>
          <w:rFonts w:hint="default" w:ascii="仿宋_GB2312" w:eastAsia="仿宋_GB2312"/>
          <w:sz w:val="32"/>
          <w:szCs w:val="32"/>
          <w:lang w:val="en-US" w:eastAsia="zh-CN"/>
        </w:rPr>
        <w:t>、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安全要求</w:t>
      </w:r>
      <w:r>
        <w:rPr>
          <w:rFonts w:hint="default" w:ascii="仿宋_GB2312" w:eastAsia="仿宋_GB2312"/>
          <w:sz w:val="32"/>
          <w:szCs w:val="32"/>
          <w:lang w:val="en-US" w:eastAsia="zh-CN"/>
        </w:rPr>
        <w:t>、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外观要求</w:t>
      </w:r>
      <w:r>
        <w:rPr>
          <w:rFonts w:hint="default" w:ascii="仿宋_GB2312" w:eastAsia="仿宋_GB2312"/>
          <w:sz w:val="32"/>
          <w:szCs w:val="32"/>
          <w:lang w:val="en-US" w:eastAsia="zh-CN"/>
        </w:rPr>
        <w:t>等指标在符合</w:t>
      </w:r>
      <w:r>
        <w:rPr>
          <w:rFonts w:hint="eastAsia" w:ascii="仿宋_GB2312" w:eastAsia="仿宋_GB2312"/>
          <w:sz w:val="32"/>
          <w:szCs w:val="32"/>
          <w:lang w:eastAsia="zh-CN"/>
        </w:rPr>
        <w:t>《中华人民共和国农产品质量安全法》、</w:t>
      </w:r>
      <w:r>
        <w:rPr>
          <w:rFonts w:hint="default" w:ascii="仿宋_GB2312" w:eastAsia="仿宋_GB2312"/>
          <w:sz w:val="32"/>
          <w:szCs w:val="32"/>
          <w:lang w:val="en-US" w:eastAsia="zh-CN"/>
        </w:rPr>
        <w:t>食品安全国家强制性标准前提下，结合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深圳市</w:t>
      </w:r>
      <w:r>
        <w:rPr>
          <w:rFonts w:hint="default" w:ascii="仿宋_GB2312" w:eastAsia="仿宋_GB2312"/>
          <w:sz w:val="32"/>
          <w:szCs w:val="32"/>
          <w:lang w:val="en-US" w:eastAsia="zh-CN"/>
        </w:rPr>
        <w:t>实际需求、比较分析国家标准、行业标准、地方标准，在保证技术指标科学性的前提下，选用更严格的指标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；</w:t>
      </w:r>
      <w:r>
        <w:rPr>
          <w:rFonts w:hint="default" w:ascii="仿宋_GB2312" w:eastAsia="仿宋_GB2312"/>
          <w:sz w:val="32"/>
          <w:szCs w:val="32"/>
          <w:lang w:val="en-US" w:eastAsia="zh-CN"/>
        </w:rPr>
        <w:t>遵循“科学、严谨、高品质”原则下，重点突出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品质</w:t>
      </w:r>
      <w:r>
        <w:rPr>
          <w:rFonts w:hint="default" w:ascii="仿宋_GB2312" w:eastAsia="仿宋_GB2312"/>
          <w:sz w:val="32"/>
          <w:szCs w:val="32"/>
          <w:lang w:val="en-US" w:eastAsia="zh-CN"/>
        </w:rPr>
        <w:t>指标，形成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在</w:t>
      </w:r>
      <w:r>
        <w:rPr>
          <w:rFonts w:hint="default" w:ascii="仿宋_GB2312" w:eastAsia="仿宋_GB2312"/>
          <w:sz w:val="32"/>
          <w:szCs w:val="32"/>
          <w:lang w:val="en-US" w:eastAsia="zh-CN"/>
        </w:rPr>
        <w:t>国家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法律法规、</w:t>
      </w:r>
      <w:r>
        <w:rPr>
          <w:rFonts w:hint="default" w:ascii="仿宋_GB2312" w:eastAsia="仿宋_GB2312"/>
          <w:sz w:val="32"/>
          <w:szCs w:val="32"/>
          <w:lang w:val="en-US" w:eastAsia="zh-CN"/>
        </w:rPr>
        <w:t>安全标准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的基础上，</w:t>
      </w:r>
      <w:r>
        <w:rPr>
          <w:rFonts w:hint="default" w:ascii="仿宋_GB2312" w:eastAsia="仿宋_GB2312"/>
          <w:sz w:val="32"/>
          <w:szCs w:val="32"/>
          <w:lang w:val="en-US" w:eastAsia="zh-CN"/>
        </w:rPr>
        <w:t>满足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深圳市场</w:t>
      </w:r>
      <w:r>
        <w:rPr>
          <w:rFonts w:hint="default" w:ascii="仿宋_GB2312" w:eastAsia="仿宋_GB2312"/>
          <w:sz w:val="32"/>
          <w:szCs w:val="32"/>
          <w:lang w:val="en-US" w:eastAsia="zh-CN"/>
        </w:rPr>
        <w:t>更高要求的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苹果分级</w:t>
      </w:r>
      <w:r>
        <w:rPr>
          <w:rFonts w:hint="default" w:ascii="仿宋_GB2312" w:eastAsia="仿宋_GB2312"/>
          <w:sz w:val="32"/>
          <w:szCs w:val="32"/>
          <w:lang w:val="en-US" w:eastAsia="zh-CN"/>
        </w:rPr>
        <w:t>标准。</w:t>
      </w:r>
    </w:p>
    <w:p w14:paraId="413DE9FE">
      <w:pPr>
        <w:numPr>
          <w:ilvl w:val="0"/>
          <w:numId w:val="4"/>
        </w:numPr>
        <w:spacing w:line="360" w:lineRule="auto"/>
        <w:ind w:left="640" w:leftChars="0" w:firstLine="0" w:firstLineChars="0"/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主要技术内容确定的依据</w:t>
      </w:r>
    </w:p>
    <w:p w14:paraId="6184ECAF">
      <w:pPr>
        <w:pStyle w:val="5"/>
        <w:numPr>
          <w:ilvl w:val="0"/>
          <w:numId w:val="0"/>
        </w:numPr>
        <w:ind w:leftChars="400"/>
        <w:rPr>
          <w:rFonts w:hint="eastAsia" w:ascii="仿宋_GB2312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="Times New Roman"/>
          <w:kern w:val="2"/>
          <w:sz w:val="32"/>
          <w:szCs w:val="32"/>
          <w:lang w:val="en-US" w:eastAsia="zh-CN" w:bidi="ar-SA"/>
        </w:rPr>
        <w:t>1.技术要求</w:t>
      </w:r>
    </w:p>
    <w:p w14:paraId="01611227">
      <w:pPr>
        <w:pStyle w:val="5"/>
        <w:numPr>
          <w:ilvl w:val="0"/>
          <w:numId w:val="0"/>
        </w:numPr>
        <w:spacing w:after="0"/>
        <w:ind w:left="0" w:leftChars="0" w:firstLine="640" w:firstLineChars="200"/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="Times New Roman"/>
          <w:kern w:val="2"/>
          <w:sz w:val="32"/>
          <w:szCs w:val="32"/>
          <w:lang w:val="en-US" w:eastAsia="zh-CN" w:bidi="ar-SA"/>
        </w:rPr>
        <w:t>对追溯要求、安全要求、外观要求、品质等级要求作出了规定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。</w:t>
      </w:r>
    </w:p>
    <w:p w14:paraId="073F015B">
      <w:pPr>
        <w:pStyle w:val="5"/>
        <w:numPr>
          <w:ilvl w:val="0"/>
          <w:numId w:val="5"/>
        </w:numPr>
        <w:spacing w:after="0"/>
        <w:ind w:left="0" w:leftChars="0"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 w:cs="Times New Roman"/>
          <w:kern w:val="2"/>
          <w:sz w:val="32"/>
          <w:szCs w:val="32"/>
          <w:lang w:val="en-US" w:eastAsia="zh-CN" w:bidi="ar-SA"/>
        </w:rPr>
        <w:t>追溯要求：按照</w:t>
      </w:r>
      <w:r>
        <w:rPr>
          <w:rFonts w:hint="eastAsia" w:ascii="仿宋_GB2312" w:eastAsia="仿宋_GB2312"/>
          <w:sz w:val="32"/>
          <w:szCs w:val="32"/>
          <w:lang w:eastAsia="zh-CN"/>
        </w:rPr>
        <w:t>《中华人民共和国农产品质量安全法》等法律法规设置农产品承诺达标合格证及追溯相关要求。</w:t>
      </w:r>
    </w:p>
    <w:p w14:paraId="31076601">
      <w:pPr>
        <w:pStyle w:val="5"/>
        <w:numPr>
          <w:ilvl w:val="0"/>
          <w:numId w:val="5"/>
        </w:numPr>
        <w:spacing w:after="0"/>
        <w:ind w:left="0" w:leftChars="0" w:firstLine="64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安全要求：按照GB 2762《食品安全国家标准食品中污染物限量》、GB 2763《食品安全国家标准食品中农药最大残留限量》设置污染物和农药残留等安全指标限值要求。</w:t>
      </w:r>
    </w:p>
    <w:p w14:paraId="7C22318D">
      <w:pPr>
        <w:pStyle w:val="5"/>
        <w:numPr>
          <w:ilvl w:val="0"/>
          <w:numId w:val="5"/>
        </w:numPr>
        <w:spacing w:after="0"/>
        <w:ind w:left="0" w:leftChars="0" w:firstLine="64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外观要求：参照GB/T 27658《蓝莓》、NY/T 3033《农产品等级规格 蓝莓》等标准要求设置果形、果粉、果蒂撕裂、成熟度作为外观指标限值要求。</w:t>
      </w:r>
    </w:p>
    <w:p w14:paraId="4887237C">
      <w:pPr>
        <w:pStyle w:val="5"/>
        <w:numPr>
          <w:ilvl w:val="0"/>
          <w:numId w:val="5"/>
        </w:numPr>
        <w:spacing w:after="0"/>
        <w:ind w:left="0" w:leftChars="0" w:firstLine="64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品质等级要求：参照NY/T 3033《农产品等级规格 蓝莓》、DB52/T 1192《地理标志产品 麻江蓝莓》、DB2113/T 0012《地理标志产品 凌源蓝莓》、DB22/T 2167《地理标志产品  长白山蓝莓》等标准要求，结合国内蓝莓生产企业内部质量控制指标，设置可溶性固形物、总酸、硬度、水分、花青素作为品质指标限值要求。</w:t>
      </w:r>
    </w:p>
    <w:p w14:paraId="15ABC2D1">
      <w:pPr>
        <w:pStyle w:val="5"/>
        <w:numPr>
          <w:ilvl w:val="0"/>
          <w:numId w:val="0"/>
        </w:numPr>
        <w:spacing w:after="0"/>
        <w:ind w:left="640" w:leftChars="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2.数据分析及确认</w:t>
      </w:r>
    </w:p>
    <w:p w14:paraId="5930D5A6">
      <w:pPr>
        <w:pStyle w:val="5"/>
        <w:numPr>
          <w:ilvl w:val="0"/>
          <w:numId w:val="0"/>
        </w:numPr>
        <w:spacing w:after="0"/>
        <w:ind w:left="0" w:leftChars="0"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经统计，</w:t>
      </w:r>
      <w:r>
        <w:rPr>
          <w:rFonts w:hint="default" w:ascii="仿宋_GB2312" w:eastAsia="仿宋_GB2312"/>
          <w:sz w:val="32"/>
          <w:szCs w:val="32"/>
          <w:lang w:val="en-US" w:eastAsia="zh-CN"/>
        </w:rPr>
        <w:t>目前我国现行有效的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蓝莓</w:t>
      </w:r>
      <w:r>
        <w:rPr>
          <w:rFonts w:hint="default" w:ascii="仿宋_GB2312" w:eastAsia="仿宋_GB2312"/>
          <w:sz w:val="32"/>
          <w:szCs w:val="32"/>
          <w:lang w:val="en-US" w:eastAsia="zh-CN"/>
        </w:rPr>
        <w:t>产品标准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对可溶性固形物、总酸、花青素</w:t>
      </w:r>
      <w:r>
        <w:rPr>
          <w:rFonts w:hint="default" w:ascii="仿宋_GB2312" w:eastAsia="仿宋_GB2312"/>
          <w:sz w:val="32"/>
          <w:szCs w:val="32"/>
          <w:lang w:val="en-US" w:eastAsia="zh-CN"/>
        </w:rPr>
        <w:t>指标的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限值要求主要如下：</w:t>
      </w:r>
    </w:p>
    <w:p w14:paraId="0F3B9561">
      <w:pPr>
        <w:pStyle w:val="5"/>
        <w:numPr>
          <w:ilvl w:val="0"/>
          <w:numId w:val="0"/>
        </w:numPr>
        <w:spacing w:after="0"/>
        <w:jc w:val="both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DB22/T 2167《地理标志产品  长白山蓝莓》</w:t>
      </w:r>
    </w:p>
    <w:p w14:paraId="41CE4F21">
      <w:pPr>
        <w:pStyle w:val="5"/>
        <w:numPr>
          <w:ilvl w:val="0"/>
          <w:numId w:val="0"/>
        </w:numPr>
        <w:spacing w:after="0"/>
        <w:jc w:val="center"/>
        <w:rPr>
          <w:rFonts w:hint="default" w:ascii="仿宋_GB2312" w:eastAsia="仿宋_GB2312"/>
          <w:sz w:val="32"/>
          <w:szCs w:val="32"/>
          <w:lang w:val="en-US" w:eastAsia="zh-CN"/>
        </w:rPr>
      </w:pPr>
      <w:r>
        <w:drawing>
          <wp:inline distT="0" distB="0" distL="114300" distR="114300">
            <wp:extent cx="5644515" cy="1259840"/>
            <wp:effectExtent l="0" t="0" r="13335" b="16510"/>
            <wp:docPr id="5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44515" cy="12598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59F79DAF">
      <w:pPr>
        <w:pStyle w:val="5"/>
        <w:numPr>
          <w:ilvl w:val="0"/>
          <w:numId w:val="0"/>
        </w:numPr>
        <w:spacing w:after="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default" w:ascii="仿宋_GB2312" w:eastAsia="仿宋_GB2312"/>
          <w:sz w:val="32"/>
          <w:szCs w:val="32"/>
          <w:lang w:val="en-US" w:eastAsia="zh-CN"/>
        </w:rPr>
        <w:t>DB2113/T 0012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《地理标志产品 凌源蓝莓》</w:t>
      </w:r>
    </w:p>
    <w:p w14:paraId="393EFBC5">
      <w:pPr>
        <w:pStyle w:val="5"/>
        <w:numPr>
          <w:ilvl w:val="0"/>
          <w:numId w:val="0"/>
        </w:numPr>
        <w:spacing w:after="0"/>
      </w:pPr>
      <w:r>
        <w:drawing>
          <wp:inline distT="0" distB="0" distL="114300" distR="114300">
            <wp:extent cx="5738495" cy="1511935"/>
            <wp:effectExtent l="0" t="0" r="14605" b="12065"/>
            <wp:docPr id="7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8495" cy="151193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25EAD775">
      <w:pPr>
        <w:pStyle w:val="5"/>
        <w:numPr>
          <w:ilvl w:val="0"/>
          <w:numId w:val="0"/>
        </w:numPr>
        <w:spacing w:after="0"/>
        <w:jc w:val="both"/>
        <w:rPr>
          <w:rFonts w:hint="eastAsia" w:ascii="仿宋_GB2312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eastAsia="仿宋_GB2312" w:cs="Times New Roman"/>
          <w:kern w:val="2"/>
          <w:sz w:val="32"/>
          <w:szCs w:val="32"/>
          <w:lang w:val="en-US" w:eastAsia="zh-CN" w:bidi="ar-SA"/>
        </w:rPr>
        <w:t>DB52/T 1192</w:t>
      </w:r>
      <w:r>
        <w:rPr>
          <w:rFonts w:hint="eastAsia" w:ascii="仿宋_GB2312" w:eastAsia="仿宋_GB2312" w:cs="Times New Roman"/>
          <w:kern w:val="2"/>
          <w:sz w:val="32"/>
          <w:szCs w:val="32"/>
          <w:lang w:val="en-US" w:eastAsia="zh-CN" w:bidi="ar-SA"/>
        </w:rPr>
        <w:t>《地理标志产品 麻江蓝莓》</w:t>
      </w:r>
    </w:p>
    <w:p w14:paraId="082C05EB">
      <w:pPr>
        <w:pStyle w:val="5"/>
        <w:numPr>
          <w:ilvl w:val="0"/>
          <w:numId w:val="0"/>
        </w:numPr>
        <w:spacing w:after="0"/>
        <w:jc w:val="both"/>
        <w:rPr>
          <w:rFonts w:hint="default" w:ascii="仿宋_GB2312" w:eastAsia="仿宋_GB2312" w:cs="Times New Roman"/>
          <w:kern w:val="2"/>
          <w:sz w:val="32"/>
          <w:szCs w:val="32"/>
          <w:lang w:val="en-US" w:eastAsia="zh-CN" w:bidi="ar-SA"/>
        </w:rPr>
      </w:pPr>
      <w:r>
        <w:drawing>
          <wp:inline distT="0" distB="0" distL="114300" distR="114300">
            <wp:extent cx="5379085" cy="1440180"/>
            <wp:effectExtent l="0" t="0" r="12065" b="7620"/>
            <wp:docPr id="8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379085" cy="14401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17673DA0">
      <w:pPr>
        <w:pStyle w:val="5"/>
        <w:numPr>
          <w:ilvl w:val="0"/>
          <w:numId w:val="0"/>
        </w:numPr>
        <w:spacing w:after="0"/>
        <w:jc w:val="both"/>
        <w:rPr>
          <w:rFonts w:hint="eastAsia" w:ascii="仿宋_GB2312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NY/T 3033</w:t>
      </w:r>
      <w:r>
        <w:rPr>
          <w:rFonts w:hint="eastAsia" w:ascii="仿宋_GB2312" w:eastAsia="仿宋_GB2312" w:cs="Times New Roman"/>
          <w:kern w:val="2"/>
          <w:sz w:val="32"/>
          <w:szCs w:val="32"/>
          <w:lang w:val="en-US" w:eastAsia="zh-CN" w:bidi="ar-SA"/>
        </w:rPr>
        <w:t>《农产品等级规格 蓝莓》</w:t>
      </w:r>
    </w:p>
    <w:p w14:paraId="62AB4511">
      <w:pPr>
        <w:pStyle w:val="5"/>
        <w:numPr>
          <w:ilvl w:val="0"/>
          <w:numId w:val="0"/>
        </w:numPr>
        <w:spacing w:after="0"/>
        <w:jc w:val="both"/>
        <w:rPr>
          <w:rFonts w:hint="eastAsia" w:ascii="仿宋_GB2312" w:eastAsia="仿宋_GB2312" w:cs="Times New Roman"/>
          <w:kern w:val="2"/>
          <w:sz w:val="32"/>
          <w:szCs w:val="32"/>
          <w:lang w:val="en-US" w:eastAsia="zh-CN" w:bidi="ar-SA"/>
        </w:rPr>
      </w:pPr>
      <w:r>
        <w:drawing>
          <wp:inline distT="0" distB="0" distL="114300" distR="114300">
            <wp:extent cx="5441315" cy="1043940"/>
            <wp:effectExtent l="0" t="0" r="6985" b="3810"/>
            <wp:docPr id="14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41315" cy="10439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03B61C23">
      <w:pPr>
        <w:numPr>
          <w:ilvl w:val="0"/>
          <w:numId w:val="0"/>
        </w:numPr>
        <w:spacing w:line="360" w:lineRule="auto"/>
        <w:ind w:firstLine="64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综合以上分析，蓝莓品质指标要求见下表：</w:t>
      </w:r>
    </w:p>
    <w:tbl>
      <w:tblPr>
        <w:tblStyle w:val="6"/>
        <w:tblW w:w="4981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05"/>
        <w:gridCol w:w="1860"/>
        <w:gridCol w:w="1860"/>
        <w:gridCol w:w="1865"/>
      </w:tblGrid>
      <w:tr w14:paraId="6A3963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11" w:type="pct"/>
            <w:vMerge w:val="restart"/>
            <w:noWrap w:val="0"/>
            <w:vAlign w:val="center"/>
          </w:tcPr>
          <w:p w14:paraId="40D719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  <w:u w:val="none"/>
                <w:lang w:val="en-US" w:eastAsia="zh-CN"/>
              </w:rPr>
              <w:t>项  目</w:t>
            </w:r>
          </w:p>
        </w:tc>
        <w:tc>
          <w:tcPr>
            <w:tcW w:w="3288" w:type="pct"/>
            <w:gridSpan w:val="3"/>
            <w:noWrap w:val="0"/>
            <w:vAlign w:val="center"/>
          </w:tcPr>
          <w:p w14:paraId="73661F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  <w:u w:val="none"/>
                <w:lang w:val="en-US" w:eastAsia="zh-CN"/>
              </w:rPr>
              <w:t>等      级</w:t>
            </w:r>
          </w:p>
        </w:tc>
      </w:tr>
      <w:tr w14:paraId="38328F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11" w:type="pct"/>
            <w:vMerge w:val="continue"/>
            <w:noWrap w:val="0"/>
            <w:vAlign w:val="center"/>
          </w:tcPr>
          <w:p w14:paraId="697FCE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095" w:type="pct"/>
            <w:noWrap w:val="0"/>
            <w:vAlign w:val="center"/>
          </w:tcPr>
          <w:p w14:paraId="1768E3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  <w:u w:val="none"/>
                <w:lang w:val="en-US" w:eastAsia="zh-CN"/>
              </w:rPr>
              <w:t>A+</w:t>
            </w:r>
          </w:p>
        </w:tc>
        <w:tc>
          <w:tcPr>
            <w:tcW w:w="1095" w:type="pct"/>
            <w:noWrap w:val="0"/>
            <w:vAlign w:val="center"/>
          </w:tcPr>
          <w:p w14:paraId="65EA7A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  <w:u w:val="none"/>
                <w:lang w:val="en-US" w:eastAsia="zh-CN"/>
              </w:rPr>
              <w:t>A</w:t>
            </w:r>
          </w:p>
        </w:tc>
        <w:tc>
          <w:tcPr>
            <w:tcW w:w="1098" w:type="pct"/>
            <w:noWrap w:val="0"/>
            <w:vAlign w:val="center"/>
          </w:tcPr>
          <w:p w14:paraId="11CF88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  <w:u w:val="none"/>
                <w:lang w:val="en-US" w:eastAsia="zh-CN"/>
              </w:rPr>
              <w:t>B</w:t>
            </w:r>
          </w:p>
        </w:tc>
      </w:tr>
      <w:tr w14:paraId="082B73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11" w:type="pct"/>
            <w:noWrap w:val="0"/>
            <w:vAlign w:val="center"/>
          </w:tcPr>
          <w:p w14:paraId="3EEAFF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0"/>
                <w:szCs w:val="20"/>
                <w:u w:val="none"/>
                <w:lang w:val="en-US" w:eastAsia="zh-CN"/>
              </w:rPr>
              <w:t xml:space="preserve">果实横径（mm）        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  <w:u w:val="none"/>
                <w:lang w:val="en-US" w:eastAsia="zh-CN"/>
              </w:rPr>
              <w:t>≥</w:t>
            </w:r>
          </w:p>
        </w:tc>
        <w:tc>
          <w:tcPr>
            <w:tcW w:w="1095" w:type="pct"/>
            <w:noWrap w:val="0"/>
            <w:vAlign w:val="center"/>
          </w:tcPr>
          <w:p w14:paraId="4BDA87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0"/>
                <w:szCs w:val="20"/>
                <w:u w:val="none"/>
                <w:lang w:val="en-US" w:eastAsia="zh-CN"/>
              </w:rPr>
              <w:t>22</w:t>
            </w:r>
          </w:p>
        </w:tc>
        <w:tc>
          <w:tcPr>
            <w:tcW w:w="1095" w:type="pct"/>
            <w:noWrap w:val="0"/>
            <w:vAlign w:val="center"/>
          </w:tcPr>
          <w:p w14:paraId="4CE073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0"/>
                <w:szCs w:val="20"/>
                <w:u w:val="none"/>
                <w:lang w:val="en-US" w:eastAsia="zh-CN"/>
              </w:rPr>
              <w:t>18</w:t>
            </w:r>
          </w:p>
        </w:tc>
        <w:tc>
          <w:tcPr>
            <w:tcW w:w="1098" w:type="pct"/>
            <w:noWrap w:val="0"/>
            <w:vAlign w:val="center"/>
          </w:tcPr>
          <w:p w14:paraId="2E7D15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0"/>
                <w:szCs w:val="20"/>
                <w:u w:val="none"/>
                <w:lang w:val="en-US" w:eastAsia="zh-CN"/>
              </w:rPr>
              <w:t>15</w:t>
            </w:r>
          </w:p>
        </w:tc>
      </w:tr>
      <w:tr w14:paraId="3F7CAA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11" w:type="pct"/>
            <w:noWrap w:val="0"/>
            <w:vAlign w:val="center"/>
          </w:tcPr>
          <w:p w14:paraId="19AEC8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  <w:u w:val="none"/>
                <w:lang w:val="en-US" w:eastAsia="zh-CN"/>
              </w:rPr>
              <w:t xml:space="preserve">可溶性固形物（%）       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0"/>
                <w:szCs w:val="20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  <w:u w:val="none"/>
                <w:lang w:val="en-US" w:eastAsia="zh-CN"/>
              </w:rPr>
              <w:t>≥</w:t>
            </w:r>
          </w:p>
        </w:tc>
        <w:tc>
          <w:tcPr>
            <w:tcW w:w="1095" w:type="pct"/>
            <w:noWrap w:val="0"/>
            <w:vAlign w:val="center"/>
          </w:tcPr>
          <w:p w14:paraId="2DE859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  <w:u w:val="none"/>
                <w:lang w:val="en-US" w:eastAsia="zh-CN"/>
              </w:rPr>
              <w:t>1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0"/>
                <w:szCs w:val="20"/>
                <w:u w:val="none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  <w:u w:val="none"/>
                <w:lang w:val="en-US" w:eastAsia="zh-CN"/>
              </w:rPr>
              <w:t>.0</w:t>
            </w:r>
          </w:p>
        </w:tc>
        <w:tc>
          <w:tcPr>
            <w:tcW w:w="1095" w:type="pct"/>
            <w:noWrap w:val="0"/>
            <w:vAlign w:val="center"/>
          </w:tcPr>
          <w:p w14:paraId="73364C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0"/>
                <w:szCs w:val="20"/>
                <w:u w:val="none"/>
                <w:lang w:val="en-US" w:eastAsia="zh-CN"/>
              </w:rPr>
              <w:t>9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  <w:u w:val="none"/>
                <w:lang w:val="en-US" w:eastAsia="zh-CN"/>
              </w:rPr>
              <w:t>.0</w:t>
            </w:r>
          </w:p>
        </w:tc>
        <w:tc>
          <w:tcPr>
            <w:tcW w:w="1098" w:type="pct"/>
            <w:noWrap w:val="0"/>
            <w:vAlign w:val="center"/>
          </w:tcPr>
          <w:p w14:paraId="50A59C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0"/>
                <w:szCs w:val="20"/>
                <w:u w:val="none"/>
                <w:lang w:val="en-US" w:eastAsia="zh-CN"/>
              </w:rPr>
              <w:t>8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  <w:u w:val="none"/>
                <w:lang w:val="en-US" w:eastAsia="zh-CN"/>
              </w:rPr>
              <w:t>.0</w:t>
            </w:r>
          </w:p>
        </w:tc>
      </w:tr>
      <w:tr w14:paraId="0AC26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11" w:type="pct"/>
            <w:noWrap w:val="0"/>
            <w:vAlign w:val="center"/>
          </w:tcPr>
          <w:p w14:paraId="7FDDB4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  <w:u w:val="none"/>
                <w:lang w:val="en-US" w:eastAsia="zh-CN"/>
              </w:rPr>
              <w:t>总酸（以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0"/>
                <w:szCs w:val="20"/>
                <w:u w:val="none"/>
                <w:lang w:val="en-US" w:eastAsia="zh-CN"/>
              </w:rPr>
              <w:t>柠檬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  <w:u w:val="none"/>
                <w:lang w:val="en-US" w:eastAsia="zh-CN"/>
              </w:rPr>
              <w:t xml:space="preserve">酸计）（%） 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0"/>
                <w:szCs w:val="20"/>
                <w:u w:val="none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  <w:u w:val="none"/>
                <w:lang w:val="en-US" w:eastAsia="zh-CN"/>
              </w:rPr>
              <w:t xml:space="preserve">≤      </w:t>
            </w:r>
          </w:p>
        </w:tc>
        <w:tc>
          <w:tcPr>
            <w:tcW w:w="1095" w:type="pct"/>
            <w:noWrap w:val="0"/>
            <w:vAlign w:val="center"/>
          </w:tcPr>
          <w:p w14:paraId="1CF808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  <w:u w:val="none"/>
                <w:lang w:val="en-US" w:eastAsia="zh-CN"/>
              </w:rPr>
              <w:t>2.0</w:t>
            </w:r>
          </w:p>
        </w:tc>
        <w:tc>
          <w:tcPr>
            <w:tcW w:w="1095" w:type="pct"/>
            <w:noWrap w:val="0"/>
            <w:vAlign w:val="center"/>
          </w:tcPr>
          <w:p w14:paraId="055C66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  <w:u w:val="none"/>
                <w:lang w:val="en-US" w:eastAsia="zh-CN"/>
              </w:rPr>
              <w:t>2.5</w:t>
            </w:r>
          </w:p>
        </w:tc>
        <w:tc>
          <w:tcPr>
            <w:tcW w:w="1098" w:type="pct"/>
            <w:noWrap w:val="0"/>
            <w:vAlign w:val="center"/>
          </w:tcPr>
          <w:p w14:paraId="20764E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  <w:u w:val="none"/>
                <w:lang w:val="en-US" w:eastAsia="zh-CN"/>
              </w:rPr>
              <w:t>3.0</w:t>
            </w:r>
          </w:p>
        </w:tc>
      </w:tr>
      <w:tr w14:paraId="26625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11" w:type="pct"/>
            <w:noWrap w:val="0"/>
            <w:vAlign w:val="center"/>
          </w:tcPr>
          <w:p w14:paraId="0CA6DB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  <w:u w:val="none"/>
                <w:lang w:val="en-US" w:eastAsia="zh-CN"/>
              </w:rPr>
              <w:t>硬度(Kg/cm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  <w:u w:val="none"/>
                <w:vertAlign w:val="superscript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  <w:u w:val="none"/>
                <w:lang w:val="en-US" w:eastAsia="zh-CN"/>
              </w:rPr>
              <w:t>)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0"/>
                <w:szCs w:val="20"/>
                <w:u w:val="none"/>
                <w:lang w:val="en-US" w:eastAsia="zh-CN"/>
              </w:rPr>
              <w:t xml:space="preserve">         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  <w:u w:val="none"/>
                <w:lang w:val="en-US" w:eastAsia="zh-CN"/>
              </w:rPr>
              <w:t>≥</w:t>
            </w:r>
          </w:p>
        </w:tc>
        <w:tc>
          <w:tcPr>
            <w:tcW w:w="1095" w:type="pct"/>
            <w:noWrap w:val="0"/>
            <w:vAlign w:val="center"/>
          </w:tcPr>
          <w:p w14:paraId="4A61CE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0"/>
                <w:szCs w:val="20"/>
                <w:u w:val="none"/>
                <w:lang w:val="en-US" w:eastAsia="zh-CN"/>
              </w:rPr>
              <w:t>2.0</w:t>
            </w:r>
          </w:p>
        </w:tc>
        <w:tc>
          <w:tcPr>
            <w:tcW w:w="1095" w:type="pct"/>
            <w:noWrap w:val="0"/>
            <w:vAlign w:val="center"/>
          </w:tcPr>
          <w:p w14:paraId="2F4BD4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0"/>
                <w:szCs w:val="20"/>
                <w:u w:val="none"/>
                <w:lang w:val="en-US" w:eastAsia="zh-CN"/>
              </w:rPr>
              <w:t>1.8</w:t>
            </w:r>
          </w:p>
        </w:tc>
        <w:tc>
          <w:tcPr>
            <w:tcW w:w="1098" w:type="pct"/>
            <w:noWrap w:val="0"/>
            <w:vAlign w:val="center"/>
          </w:tcPr>
          <w:p w14:paraId="1324B3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0"/>
                <w:szCs w:val="20"/>
                <w:u w:val="none"/>
                <w:lang w:val="en-US" w:eastAsia="zh-CN"/>
              </w:rPr>
              <w:t>1.6</w:t>
            </w:r>
          </w:p>
        </w:tc>
      </w:tr>
      <w:tr w14:paraId="2241C5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11" w:type="pct"/>
            <w:noWrap w:val="0"/>
            <w:vAlign w:val="center"/>
          </w:tcPr>
          <w:p w14:paraId="5E5CB7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  <w:u w:val="none"/>
                <w:lang w:val="en-US" w:eastAsia="zh-CN"/>
              </w:rPr>
              <w:t xml:space="preserve">水分（%）              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0"/>
                <w:szCs w:val="20"/>
                <w:u w:val="non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  <w:u w:val="none"/>
                <w:lang w:val="en-US" w:eastAsia="zh-CN"/>
              </w:rPr>
              <w:t xml:space="preserve">≥                    </w:t>
            </w:r>
          </w:p>
        </w:tc>
        <w:tc>
          <w:tcPr>
            <w:tcW w:w="1095" w:type="pct"/>
            <w:noWrap w:val="0"/>
            <w:vAlign w:val="center"/>
          </w:tcPr>
          <w:p w14:paraId="5627E1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0"/>
                <w:szCs w:val="20"/>
                <w:u w:val="none"/>
                <w:lang w:val="en-US" w:eastAsia="zh-CN"/>
              </w:rPr>
              <w:t>82</w:t>
            </w:r>
          </w:p>
        </w:tc>
        <w:tc>
          <w:tcPr>
            <w:tcW w:w="1095" w:type="pct"/>
            <w:noWrap w:val="0"/>
            <w:vAlign w:val="center"/>
          </w:tcPr>
          <w:p w14:paraId="717C1B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0"/>
                <w:szCs w:val="20"/>
                <w:u w:val="none"/>
                <w:lang w:val="en-US" w:eastAsia="zh-CN"/>
              </w:rPr>
              <w:t>80</w:t>
            </w:r>
          </w:p>
        </w:tc>
        <w:tc>
          <w:tcPr>
            <w:tcW w:w="1098" w:type="pct"/>
            <w:noWrap w:val="0"/>
            <w:vAlign w:val="center"/>
          </w:tcPr>
          <w:p w14:paraId="15CF9D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0"/>
                <w:szCs w:val="20"/>
                <w:u w:val="none"/>
                <w:lang w:val="en-US" w:eastAsia="zh-CN"/>
              </w:rPr>
              <w:t>78</w:t>
            </w:r>
          </w:p>
        </w:tc>
      </w:tr>
      <w:tr w14:paraId="7605A5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11" w:type="pct"/>
            <w:noWrap w:val="0"/>
            <w:vAlign w:val="center"/>
          </w:tcPr>
          <w:p w14:paraId="791C81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0"/>
                <w:szCs w:val="20"/>
                <w:u w:val="none"/>
                <w:lang w:val="en-US" w:eastAsia="zh-CN"/>
              </w:rPr>
              <w:t>花青素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  <w:u w:val="none"/>
                <w:lang w:val="en-US" w:eastAsia="zh-CN"/>
              </w:rPr>
              <w:t xml:space="preserve">（mg/Kg）       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0"/>
                <w:szCs w:val="20"/>
                <w:u w:val="none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  <w:u w:val="none"/>
                <w:lang w:val="en-US" w:eastAsia="zh-CN"/>
              </w:rPr>
              <w:t>≥</w:t>
            </w:r>
          </w:p>
        </w:tc>
        <w:tc>
          <w:tcPr>
            <w:tcW w:w="1095" w:type="pct"/>
            <w:noWrap w:val="0"/>
            <w:vAlign w:val="center"/>
          </w:tcPr>
          <w:p w14:paraId="5507BF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0"/>
                <w:szCs w:val="20"/>
                <w:u w:val="none"/>
                <w:lang w:val="en-US" w:eastAsia="zh-CN"/>
              </w:rPr>
              <w:t>120</w:t>
            </w:r>
          </w:p>
        </w:tc>
        <w:tc>
          <w:tcPr>
            <w:tcW w:w="2193" w:type="pct"/>
            <w:gridSpan w:val="2"/>
            <w:noWrap w:val="0"/>
            <w:vAlign w:val="center"/>
          </w:tcPr>
          <w:p w14:paraId="30C46C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  <w:u w:val="none"/>
                <w:lang w:val="en-US" w:eastAsia="zh-CN"/>
              </w:rPr>
              <w:t>-</w:t>
            </w:r>
          </w:p>
        </w:tc>
      </w:tr>
    </w:tbl>
    <w:p w14:paraId="3A4EAAF7">
      <w:pPr>
        <w:numPr>
          <w:ilvl w:val="0"/>
          <w:numId w:val="0"/>
        </w:numPr>
        <w:spacing w:line="360" w:lineRule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四、标准可能带来的经济和社会影响评估</w:t>
      </w:r>
    </w:p>
    <w:p w14:paraId="39E2277B">
      <w:pPr>
        <w:numPr>
          <w:ilvl w:val="0"/>
          <w:numId w:val="0"/>
        </w:numPr>
        <w:spacing w:line="360" w:lineRule="auto"/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本标准的发布实施，将有效推动深圳市高品质苹果产品的发展，对开展深圳市农产品监管监测、农产品生产经营等具有积极的指导作用。</w:t>
      </w:r>
    </w:p>
    <w:p w14:paraId="363347DB">
      <w:pPr>
        <w:spacing w:line="360" w:lineRule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五</w:t>
      </w:r>
      <w:r>
        <w:rPr>
          <w:rFonts w:hint="eastAsia" w:ascii="黑体" w:hAnsi="黑体" w:eastAsia="黑体" w:cs="黑体"/>
          <w:sz w:val="32"/>
          <w:szCs w:val="32"/>
        </w:rPr>
        <w:t>、团体标准先进性说明</w:t>
      </w:r>
    </w:p>
    <w:p w14:paraId="3CAD3598">
      <w:pPr>
        <w:spacing w:line="360" w:lineRule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本标准在制定过程中，充分考虑了国内苹果产业现状和行业发展的市场需求，在内容上达到国内先进水平。与现有标准相比，能够更好地满足市场和消费者的实际需求，有利于推动苹果行业的高质量发展。</w:t>
      </w:r>
    </w:p>
    <w:p w14:paraId="41C930A5">
      <w:pPr>
        <w:spacing w:line="360" w:lineRule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六</w:t>
      </w:r>
      <w:r>
        <w:rPr>
          <w:rFonts w:hint="eastAsia" w:ascii="黑体" w:hAnsi="黑体" w:eastAsia="黑体" w:cs="黑体"/>
          <w:sz w:val="32"/>
          <w:szCs w:val="32"/>
        </w:rPr>
        <w:t>、征求意见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的采纳情况</w:t>
      </w:r>
    </w:p>
    <w:p w14:paraId="121DCF80">
      <w:pPr>
        <w:spacing w:line="360" w:lineRule="auto"/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/</w:t>
      </w:r>
    </w:p>
    <w:p w14:paraId="1ABDB750">
      <w:pPr>
        <w:spacing w:line="360" w:lineRule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七</w:t>
      </w:r>
      <w:r>
        <w:rPr>
          <w:rFonts w:hint="eastAsia" w:ascii="黑体" w:hAnsi="黑体" w:eastAsia="黑体" w:cs="黑体"/>
          <w:sz w:val="32"/>
          <w:szCs w:val="32"/>
        </w:rPr>
        <w:t>、其它应予说明的事项</w:t>
      </w:r>
    </w:p>
    <w:p w14:paraId="4E01B292">
      <w:pPr>
        <w:tabs>
          <w:tab w:val="left" w:pos="2373"/>
        </w:tabs>
        <w:bidi w:val="0"/>
        <w:ind w:firstLine="640" w:firstLineChars="200"/>
        <w:jc w:val="left"/>
        <w:rPr>
          <w:lang w:val="en-US" w:eastAsia="zh-CN"/>
        </w:rPr>
      </w:pP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本标准适用于</w:t>
      </w:r>
      <w:r>
        <w:rPr>
          <w:rFonts w:hint="eastAsia" w:ascii="仿宋_GB2312" w:eastAsia="仿宋_GB2312"/>
          <w:sz w:val="32"/>
          <w:szCs w:val="32"/>
          <w:lang w:eastAsia="zh-CN"/>
        </w:rPr>
        <w:t>深圳市农产品质量提升联盟</w:t>
      </w:r>
      <w:r>
        <w:rPr>
          <w:rFonts w:hint="eastAsia" w:ascii="仿宋_GB2312" w:eastAsia="仿宋_GB2312"/>
          <w:sz w:val="32"/>
          <w:szCs w:val="32"/>
        </w:rPr>
        <w:t>高品质</w:t>
      </w:r>
      <w:r>
        <w:rPr>
          <w:rFonts w:hint="eastAsia" w:ascii="仿宋_GB2312" w:eastAsia="仿宋_GB2312"/>
          <w:sz w:val="32"/>
          <w:szCs w:val="32"/>
          <w:lang w:eastAsia="zh-CN"/>
        </w:rPr>
        <w:t>苹果</w:t>
      </w:r>
      <w:r>
        <w:rPr>
          <w:rFonts w:hint="eastAsia" w:ascii="仿宋_GB2312" w:eastAsia="仿宋_GB2312"/>
          <w:sz w:val="32"/>
          <w:szCs w:val="32"/>
        </w:rPr>
        <w:t>，</w:t>
      </w:r>
      <w:r>
        <w:rPr>
          <w:rFonts w:hint="eastAsia" w:ascii="仿宋_GB2312" w:eastAsia="仿宋_GB2312"/>
          <w:sz w:val="32"/>
          <w:szCs w:val="32"/>
          <w:lang w:eastAsia="zh-CN"/>
        </w:rPr>
        <w:t>品质分级</w:t>
      </w:r>
      <w:r>
        <w:rPr>
          <w:rFonts w:hint="eastAsia" w:ascii="仿宋_GB2312" w:eastAsia="仿宋_GB2312"/>
          <w:sz w:val="32"/>
          <w:szCs w:val="32"/>
        </w:rPr>
        <w:t>项目及指标将每年根据</w:t>
      </w:r>
      <w:r>
        <w:rPr>
          <w:rFonts w:hint="eastAsia" w:ascii="仿宋_GB2312" w:eastAsia="仿宋_GB2312"/>
          <w:sz w:val="32"/>
          <w:szCs w:val="32"/>
          <w:lang w:eastAsia="zh-CN"/>
        </w:rPr>
        <w:t>国内苹果</w:t>
      </w:r>
      <w:r>
        <w:rPr>
          <w:rFonts w:hint="eastAsia" w:ascii="仿宋_GB2312" w:eastAsia="仿宋_GB2312"/>
          <w:sz w:val="32"/>
          <w:szCs w:val="32"/>
        </w:rPr>
        <w:t>相关</w:t>
      </w:r>
      <w:r>
        <w:rPr>
          <w:rFonts w:hint="eastAsia" w:ascii="仿宋_GB2312" w:eastAsia="仿宋_GB2312"/>
          <w:sz w:val="32"/>
          <w:szCs w:val="32"/>
          <w:lang w:eastAsia="zh-CN"/>
        </w:rPr>
        <w:t>标准</w:t>
      </w:r>
      <w:r>
        <w:rPr>
          <w:rFonts w:hint="eastAsia" w:ascii="仿宋_GB2312" w:eastAsia="仿宋_GB2312"/>
          <w:sz w:val="32"/>
          <w:szCs w:val="32"/>
        </w:rPr>
        <w:t>要求的变更进行相应调整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3664A20"/>
    <w:multiLevelType w:val="singleLevel"/>
    <w:tmpl w:val="A3664A20"/>
    <w:lvl w:ilvl="0" w:tentative="0">
      <w:start w:val="1"/>
      <w:numFmt w:val="decimal"/>
      <w:suff w:val="nothing"/>
      <w:lvlText w:val="（%1）"/>
      <w:lvlJc w:val="left"/>
    </w:lvl>
  </w:abstractNum>
  <w:abstractNum w:abstractNumId="1">
    <w:nsid w:val="BB1EFE31"/>
    <w:multiLevelType w:val="singleLevel"/>
    <w:tmpl w:val="BB1EFE31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EA02FFF4"/>
    <w:multiLevelType w:val="singleLevel"/>
    <w:tmpl w:val="EA02FFF4"/>
    <w:lvl w:ilvl="0" w:tentative="0">
      <w:start w:val="1"/>
      <w:numFmt w:val="chineseCounting"/>
      <w:suff w:val="nothing"/>
      <w:lvlText w:val="（%1）"/>
      <w:lvlJc w:val="left"/>
      <w:pPr>
        <w:ind w:left="640" w:leftChars="0" w:firstLine="0" w:firstLineChars="0"/>
      </w:pPr>
      <w:rPr>
        <w:rFonts w:hint="eastAsia"/>
      </w:rPr>
    </w:lvl>
  </w:abstractNum>
  <w:abstractNum w:abstractNumId="3">
    <w:nsid w:val="032E5610"/>
    <w:multiLevelType w:val="singleLevel"/>
    <w:tmpl w:val="032E5610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4">
    <w:nsid w:val="408D83F7"/>
    <w:multiLevelType w:val="singleLevel"/>
    <w:tmpl w:val="408D83F7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NhMWZiZjQ4YTFjMmFiYmM5OTAzMDJmZjc3NTQyZGUifQ=="/>
  </w:docVars>
  <w:rsids>
    <w:rsidRoot w:val="007B00FE"/>
    <w:rsid w:val="00251DD7"/>
    <w:rsid w:val="006F037C"/>
    <w:rsid w:val="007B00FE"/>
    <w:rsid w:val="0085363C"/>
    <w:rsid w:val="00A64C49"/>
    <w:rsid w:val="00C837BB"/>
    <w:rsid w:val="00F47C0A"/>
    <w:rsid w:val="011E0236"/>
    <w:rsid w:val="03783E0A"/>
    <w:rsid w:val="045F6B9B"/>
    <w:rsid w:val="05AA0371"/>
    <w:rsid w:val="088E3EF3"/>
    <w:rsid w:val="089A478D"/>
    <w:rsid w:val="09EF4C97"/>
    <w:rsid w:val="0AA7729E"/>
    <w:rsid w:val="0AC97464"/>
    <w:rsid w:val="13433B2C"/>
    <w:rsid w:val="13D84274"/>
    <w:rsid w:val="142D3EF2"/>
    <w:rsid w:val="15074457"/>
    <w:rsid w:val="15426259"/>
    <w:rsid w:val="158C27EA"/>
    <w:rsid w:val="16094038"/>
    <w:rsid w:val="170B670F"/>
    <w:rsid w:val="194A79C2"/>
    <w:rsid w:val="1D9A3406"/>
    <w:rsid w:val="1DC76D67"/>
    <w:rsid w:val="2051788A"/>
    <w:rsid w:val="207277FE"/>
    <w:rsid w:val="21773466"/>
    <w:rsid w:val="25A11A23"/>
    <w:rsid w:val="25E25DA3"/>
    <w:rsid w:val="28A90122"/>
    <w:rsid w:val="28DC7F0B"/>
    <w:rsid w:val="29CE1F49"/>
    <w:rsid w:val="29FF65A7"/>
    <w:rsid w:val="2AE71242"/>
    <w:rsid w:val="2DFD4010"/>
    <w:rsid w:val="2FBE65BC"/>
    <w:rsid w:val="32025E59"/>
    <w:rsid w:val="34B47F8E"/>
    <w:rsid w:val="34F0546A"/>
    <w:rsid w:val="369D33CF"/>
    <w:rsid w:val="36DF3847"/>
    <w:rsid w:val="37397DA9"/>
    <w:rsid w:val="37533A8E"/>
    <w:rsid w:val="38AB0436"/>
    <w:rsid w:val="391D3E4B"/>
    <w:rsid w:val="3BEE3D1E"/>
    <w:rsid w:val="3C795D45"/>
    <w:rsid w:val="3D5D5666"/>
    <w:rsid w:val="3E5756D5"/>
    <w:rsid w:val="3E976956"/>
    <w:rsid w:val="3F0538C0"/>
    <w:rsid w:val="3FEE6A4A"/>
    <w:rsid w:val="410A1661"/>
    <w:rsid w:val="4262727B"/>
    <w:rsid w:val="44851742"/>
    <w:rsid w:val="453C3DB3"/>
    <w:rsid w:val="4856518C"/>
    <w:rsid w:val="49E113CD"/>
    <w:rsid w:val="4A1B465B"/>
    <w:rsid w:val="4A663DFD"/>
    <w:rsid w:val="4B10699D"/>
    <w:rsid w:val="4E4F6905"/>
    <w:rsid w:val="4F2565E8"/>
    <w:rsid w:val="4FEE214E"/>
    <w:rsid w:val="5015592D"/>
    <w:rsid w:val="53420CD4"/>
    <w:rsid w:val="55B07EC1"/>
    <w:rsid w:val="56082A83"/>
    <w:rsid w:val="57C121AB"/>
    <w:rsid w:val="58BB5497"/>
    <w:rsid w:val="5C5F69F5"/>
    <w:rsid w:val="5EE4309A"/>
    <w:rsid w:val="5FB23DB8"/>
    <w:rsid w:val="63440380"/>
    <w:rsid w:val="647C11CB"/>
    <w:rsid w:val="66FC2F4B"/>
    <w:rsid w:val="6787579F"/>
    <w:rsid w:val="67C223E6"/>
    <w:rsid w:val="6848469A"/>
    <w:rsid w:val="6B4D1FC7"/>
    <w:rsid w:val="6BCF356C"/>
    <w:rsid w:val="6C9C4D78"/>
    <w:rsid w:val="72150C78"/>
    <w:rsid w:val="73613DC2"/>
    <w:rsid w:val="75410DEE"/>
    <w:rsid w:val="758B1AF7"/>
    <w:rsid w:val="77C85B5E"/>
    <w:rsid w:val="7A37456E"/>
    <w:rsid w:val="7A7E3F4B"/>
    <w:rsid w:val="7E9A50CB"/>
    <w:rsid w:val="7F256561"/>
    <w:rsid w:val="7FDB6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Body Text First Indent 2"/>
    <w:basedOn w:val="2"/>
    <w:unhideWhenUsed/>
    <w:qFormat/>
    <w:uiPriority w:val="99"/>
    <w:pPr>
      <w:ind w:firstLine="420" w:firstLineChars="200"/>
    </w:pPr>
  </w:style>
  <w:style w:type="table" w:styleId="7">
    <w:name w:val="Table Grid"/>
    <w:basedOn w:val="6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4"/>
    <w:qFormat/>
    <w:uiPriority w:val="0"/>
    <w:rPr>
      <w:sz w:val="18"/>
      <w:szCs w:val="18"/>
    </w:rPr>
  </w:style>
  <w:style w:type="character" w:customStyle="1" w:styleId="10">
    <w:name w:val="页脚 Char"/>
    <w:basedOn w:val="8"/>
    <w:link w:val="3"/>
    <w:autoRedefine/>
    <w:qFormat/>
    <w:uiPriority w:val="99"/>
    <w:rPr>
      <w:sz w:val="18"/>
      <w:szCs w:val="18"/>
    </w:rPr>
  </w:style>
  <w:style w:type="character" w:customStyle="1" w:styleId="11">
    <w:name w:val="font31"/>
    <w:basedOn w:val="8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  <w:vertAlign w:val="superscript"/>
    </w:rPr>
  </w:style>
  <w:style w:type="character" w:customStyle="1" w:styleId="12">
    <w:name w:val="font11"/>
    <w:basedOn w:val="8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ITianKong.Com</Company>
  <Pages>7</Pages>
  <Words>2245</Words>
  <Characters>2448</Characters>
  <Lines>1</Lines>
  <Paragraphs>1</Paragraphs>
  <TotalTime>1</TotalTime>
  <ScaleCrop>false</ScaleCrop>
  <LinksUpToDate>false</LinksUpToDate>
  <CharactersWithSpaces>2596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2019-06-17T00:49:00Z</dcterms:created>
  <dc:creator>陈炜霖</dc:creator>
  <cp:lastModifiedBy>磐涅1394079852</cp:lastModifiedBy>
  <dcterms:modified xsi:type="dcterms:W3CDTF">2024-10-30T03:28:01Z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B735F8F9E00F4BCD851962BABB4EB001_12</vt:lpwstr>
  </property>
</Properties>
</file>