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1CD7F">
      <w:pPr>
        <w:pStyle w:val="22"/>
        <w:framePr w:wrap="around"/>
      </w:pPr>
      <w:r>
        <w:rPr>
          <w:rFonts w:ascii="Times New Roman"/>
        </w:rPr>
        <w:t>ICS</w:t>
      </w:r>
      <w:r>
        <w:rPr>
          <w:rFonts w:hint="eastAsia" w:ascii="MS Gothic" w:hAnsi="MS Gothic" w:eastAsia="MS Gothic" w:cs="MS Gothic"/>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65.020.30</w:t>
      </w:r>
      <w:r>
        <w:fldChar w:fldCharType="end"/>
      </w:r>
      <w:bookmarkEnd w:id="0"/>
    </w:p>
    <w:p w14:paraId="3BF53D28">
      <w:pPr>
        <w:pStyle w:val="22"/>
        <w:framePr w:wrap="around"/>
        <w:rPr>
          <w:rFonts w:hAnsi="黑体"/>
        </w:rPr>
      </w:pPr>
      <w:r>
        <w:rPr>
          <w:rFonts w:hint="eastAsia" w:ascii="Times New Roman"/>
        </w:rPr>
        <w:t>B43</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5EB0E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14:paraId="4A37EDF7">
            <w:pPr>
              <w:pStyle w:val="22"/>
              <w:framePr w:wrap="around"/>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4v7NUAAAAHAQAA&#10;DwAAAAAAAAABACAAAAAiAAAAZHJzL2Rvd25yZXYueG1sUEsBAhQAFAAAAAgAh07iQB80BRkcAgAA&#10;JwQAAA4AAAAAAAAAAQAgAAAAJAEAAGRycy9lMm9Eb2MueG1sUEsFBgAAAAAGAAYAWQEAALIFAAAA&#10;AA==&#10;">
                      <v:fill on="t" focussize="0,0"/>
                      <v:stroke on="f"/>
                      <v:imagedata o:title=""/>
                      <o:lock v:ext="edit" aspectratio="f"/>
                    </v:rect>
                  </w:pict>
                </mc:Fallback>
              </mc:AlternateContent>
            </w:r>
          </w:p>
        </w:tc>
      </w:tr>
    </w:tbl>
    <w:p w14:paraId="4474A1C8">
      <w:pPr>
        <w:pStyle w:val="23"/>
        <w:framePr w:w="7764" w:h="921" w:hRule="exact" w:wrap="around" w:x="2344"/>
        <w:rPr>
          <w:rFonts w:ascii="宋体" w:eastAsia="宋体"/>
          <w:b/>
          <w:w w:val="150"/>
          <w:sz w:val="72"/>
          <w:szCs w:val="48"/>
        </w:rPr>
      </w:pPr>
      <w:r>
        <w:rPr>
          <w:rFonts w:hint="eastAsia" w:ascii="宋体" w:eastAsia="宋体"/>
          <w:b/>
          <w:w w:val="150"/>
          <w:sz w:val="72"/>
          <w:szCs w:val="48"/>
        </w:rPr>
        <w:t>团体标准</w:t>
      </w:r>
    </w:p>
    <w:p w14:paraId="496F55F0">
      <w:pPr>
        <w:pStyle w:val="19"/>
        <w:framePr w:wrap="around"/>
      </w:pPr>
      <w:r>
        <w:rPr>
          <w:rFonts w:hint="eastAsia" w:ascii="Times New Roman"/>
          <w:b/>
        </w:rPr>
        <w:t>T</w:t>
      </w:r>
      <w:r>
        <w:t>/</w:t>
      </w:r>
      <w:r>
        <w:rPr>
          <w:rFonts w:hint="eastAsia"/>
        </w:rPr>
        <w:t>XXXXXX-</w:t>
      </w:r>
      <w:r>
        <w:t>2020</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253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4F40C1B0">
            <w:pPr>
              <w:pStyle w:val="17"/>
              <w:framePr w:wrap="around"/>
            </w:pPr>
          </w:p>
        </w:tc>
      </w:tr>
    </w:tbl>
    <w:p w14:paraId="50C4F285">
      <w:pPr>
        <w:pStyle w:val="19"/>
        <w:framePr w:wrap="around"/>
      </w:pPr>
    </w:p>
    <w:p w14:paraId="2E98A81E">
      <w:pPr>
        <w:pStyle w:val="19"/>
        <w:framePr w:wrap="around"/>
      </w:pPr>
    </w:p>
    <w:p w14:paraId="1808EC20">
      <w:pPr>
        <w:pStyle w:val="16"/>
        <w:framePr w:wrap="around" w:x="1251" w:y="6471"/>
        <w:spacing w:before="156" w:beforeLines="50" w:after="156" w:afterLines="50"/>
        <w:ind w:firstLine="520" w:firstLineChars="100"/>
      </w:pPr>
      <w:bookmarkStart w:id="1" w:name="StdName"/>
      <w:r>
        <w:rPr>
          <w:rFonts w:hint="eastAsia"/>
        </w:rPr>
        <w:t>半固态调味品中邻苯二甲酸酯</w:t>
      </w:r>
    </w:p>
    <w:p w14:paraId="31766289">
      <w:pPr>
        <w:pStyle w:val="16"/>
        <w:framePr w:wrap="around" w:x="1251" w:y="6471"/>
        <w:spacing w:before="156" w:beforeLines="50" w:after="156" w:afterLines="50"/>
        <w:ind w:firstLine="520" w:firstLineChars="100"/>
      </w:pPr>
      <w:r>
        <w:rPr>
          <w:rFonts w:hint="eastAsia"/>
        </w:rPr>
        <w:t>的控制规范</w:t>
      </w:r>
    </w:p>
    <w:p w14:paraId="25AF013B">
      <w:pPr>
        <w:pStyle w:val="16"/>
        <w:framePr w:wrap="around" w:x="1251" w:y="6471"/>
        <w:spacing w:before="156" w:beforeLines="50" w:after="156" w:afterLines="50"/>
      </w:pPr>
    </w:p>
    <w:bookmarkEnd w:id="1"/>
    <w:p w14:paraId="2E50ADBC">
      <w:pPr>
        <w:pStyle w:val="16"/>
        <w:framePr w:wrap="around" w:x="1251" w:y="6471"/>
        <w:ind w:firstLine="5200" w:firstLineChars="1000"/>
      </w:pPr>
    </w:p>
    <w:p w14:paraId="2FFF4C29">
      <w:pPr>
        <w:pStyle w:val="16"/>
        <w:framePr w:wrap="around" w:x="1251" w:y="6471"/>
        <w:ind w:firstLine="4080" w:firstLineChars="1700"/>
        <w:jc w:val="left"/>
      </w:pPr>
      <w:r>
        <w:rPr>
          <w:rFonts w:hint="eastAsia"/>
          <w:sz w:val="24"/>
        </w:rPr>
        <w:t>(草案)</w:t>
      </w:r>
    </w:p>
    <w:p w14:paraId="701984DA">
      <w:pPr>
        <w:pStyle w:val="15"/>
        <w:framePr w:wrap="around" w:x="1251" w:y="6471"/>
      </w:pPr>
    </w:p>
    <w:p w14:paraId="1E0A95BC">
      <w:pPr>
        <w:pStyle w:val="14"/>
        <w:framePr w:wrap="around" w:x="1251" w:y="6471"/>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0"/>
      </w:tblGrid>
      <w:tr w14:paraId="1D7E6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9260" w:type="dxa"/>
            <w:tcBorders>
              <w:top w:val="nil"/>
              <w:left w:val="nil"/>
              <w:bottom w:val="nil"/>
              <w:right w:val="nil"/>
            </w:tcBorders>
          </w:tcPr>
          <w:p w14:paraId="171F0E90">
            <w:pPr>
              <w:pStyle w:val="13"/>
              <w:framePr w:wrap="around" w:x="1251" w:y="6471"/>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1905" r="0" b="127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X9+DXAAAACwEAAA8A&#10;AAAAAAAAAQAgAAAAIgAAAGRycy9kb3ducmV2LnhtbFBLAQIUABQAAAAIAIdO4kCrMtViGAIAACgE&#10;AAAOAAAAAAAAAAEAIAAAACYBAABkcnMvZTJvRG9jLnhtbFBLBQYAAAAABgAGAFkBAACwBQAAAAA=&#10;">
                      <v:fill on="t" focussize="0,0"/>
                      <v:stroke on="f"/>
                      <v:imagedata o:title=""/>
                      <o:lock v:ext="edit" aspectratio="f"/>
                      <w10:anchorlock/>
                    </v:rect>
                  </w:pict>
                </mc:Fallback>
              </mc:AlternateContent>
            </w:r>
          </w:p>
        </w:tc>
      </w:tr>
      <w:tr w14:paraId="4C6E9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9260" w:type="dxa"/>
            <w:tcBorders>
              <w:top w:val="nil"/>
              <w:left w:val="nil"/>
              <w:bottom w:val="nil"/>
              <w:right w:val="nil"/>
            </w:tcBorders>
          </w:tcPr>
          <w:p w14:paraId="15147238">
            <w:pPr>
              <w:pStyle w:val="12"/>
              <w:framePr w:wrap="around" w:x="1251" w:y="6471"/>
            </w:pPr>
            <w:bookmarkStart w:id="2" w:name="WCRQ"/>
            <w:r>
              <w:fldChar w:fldCharType="begin">
                <w:ffData>
                  <w:name w:val="WCRQ"/>
                  <w:enabled/>
                  <w:calcOnExit w:val="0"/>
                  <w:textInput/>
                </w:ffData>
              </w:fldChar>
            </w:r>
            <w:r>
              <w:instrText xml:space="preserve"> FORMTEXT </w:instrText>
            </w:r>
            <w:r>
              <w:fldChar w:fldCharType="separate"/>
            </w:r>
            <w:r>
              <w:t>     </w:t>
            </w:r>
            <w:r>
              <w:fldChar w:fldCharType="end"/>
            </w:r>
            <w:bookmarkEnd w:id="2"/>
          </w:p>
        </w:tc>
      </w:tr>
    </w:tbl>
    <w:p w14:paraId="494E663E">
      <w:pPr>
        <w:pStyle w:val="21"/>
        <w:framePr w:wrap="around"/>
      </w:pPr>
      <w:r>
        <w:rPr>
          <w:rFonts w:hint="eastAsia" w:ascii="黑体"/>
        </w:rPr>
        <w:t>xxxx</w:t>
      </w:r>
      <w:r>
        <w:rPr>
          <w:rFonts w:ascii="黑体"/>
        </w:rPr>
        <w:t>–</w:t>
      </w:r>
      <w:r>
        <w:rPr>
          <w:rFonts w:hint="eastAsia" w:ascii="黑体"/>
        </w:rPr>
        <w:t>xx</w:t>
      </w:r>
      <w:r>
        <w:rPr>
          <w:rFonts w:ascii="黑体"/>
        </w:rPr>
        <w:t>–</w:t>
      </w:r>
      <w:r>
        <w:rPr>
          <w:rFonts w:hint="eastAsia" w:ascii="黑体"/>
        </w:rPr>
        <w:t>xx</w:t>
      </w:r>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CQEJEb4wEA&#10;AKoDAAAOAAAAAAAAAAEAIAAAACUBAABkcnMvZTJvRG9jLnhtbFBLBQYAAAAABgAGAFkBAAB6BQAA&#10;AAA=&#10;">
                <v:fill on="f" focussize="0,0"/>
                <v:stroke color="#000000" joinstyle="round"/>
                <v:imagedata o:title=""/>
                <o:lock v:ext="edit" aspectratio="f"/>
                <w10:anchorlock/>
              </v:line>
            </w:pict>
          </mc:Fallback>
        </mc:AlternateContent>
      </w:r>
    </w:p>
    <w:p w14:paraId="5FB52B18">
      <w:pPr>
        <w:pStyle w:val="18"/>
        <w:framePr w:wrap="around"/>
      </w:pPr>
      <w:r>
        <w:rPr>
          <w:rFonts w:hint="eastAsia" w:ascii="黑体"/>
        </w:rPr>
        <w:t>xxxx</w:t>
      </w:r>
      <w:r>
        <w:rPr>
          <w:rFonts w:ascii="黑体"/>
        </w:rPr>
        <w:t>–</w:t>
      </w:r>
      <w:r>
        <w:rPr>
          <w:rFonts w:hint="eastAsia" w:ascii="黑体"/>
        </w:rPr>
        <w:t>xx</w:t>
      </w:r>
      <w:r>
        <w:rPr>
          <w:rFonts w:ascii="黑体"/>
        </w:rPr>
        <w:t>–</w:t>
      </w:r>
      <w:r>
        <w:rPr>
          <w:rFonts w:hint="eastAsia" w:ascii="黑体"/>
        </w:rPr>
        <w:t>xx</w:t>
      </w:r>
      <w:r>
        <w:rPr>
          <w:rFonts w:hint="eastAsia"/>
        </w:rPr>
        <w:t>实施</w:t>
      </w:r>
    </w:p>
    <w:p w14:paraId="007DB069">
      <w:pPr>
        <w:pStyle w:val="20"/>
        <w:framePr w:w="9709" w:wrap="around" w:x="1406" w:y="14641"/>
        <w:rPr>
          <w:rFonts w:ascii="Times New Roman" w:hAnsi="Times New Roman"/>
          <w:w w:val="150"/>
          <w:sz w:val="24"/>
        </w:rPr>
      </w:pPr>
      <w:bookmarkStart w:id="3" w:name="fm"/>
      <w:r>
        <w:rPr>
          <w:rFonts w:hint="eastAsia" w:ascii="Times New Roman"/>
          <w:spacing w:val="0"/>
          <w:w w:val="100"/>
          <w:sz w:val="48"/>
        </w:rPr>
        <w:t>重庆</w:t>
      </w:r>
      <w:bookmarkEnd w:id="3"/>
      <w:r>
        <w:rPr>
          <w:rFonts w:hint="eastAsia" w:ascii="Times New Roman"/>
          <w:spacing w:val="0"/>
          <w:w w:val="100"/>
          <w:sz w:val="48"/>
        </w:rPr>
        <w:t>市调味品协会</w:t>
      </w:r>
      <w:r>
        <w:rPr>
          <w:w w:val="150"/>
          <w:sz w:val="24"/>
        </w:rPr>
        <w:t>  </w:t>
      </w:r>
      <w:r>
        <w:rPr>
          <w:rFonts w:hint="eastAsia" w:ascii="Times New Roman"/>
          <w:spacing w:val="0"/>
          <w:w w:val="100"/>
          <w:sz w:val="48"/>
          <w:szCs w:val="52"/>
        </w:rPr>
        <w:t>发布</w:t>
      </w:r>
    </w:p>
    <w:p w14:paraId="70E56397">
      <w:pPr>
        <w:jc w:val="center"/>
        <w:rPr>
          <w:rFonts w:ascii="Times New Roman" w:hAnsi="Times New Roman" w:eastAsia="宋体"/>
          <w:sz w:val="24"/>
          <w:szCs w:val="24"/>
        </w:rPr>
      </w:pPr>
    </w:p>
    <w:p w14:paraId="2B2A8195">
      <w:pPr>
        <w:widowControl/>
        <w:jc w:val="left"/>
        <w:rPr>
          <w:rFonts w:ascii="Times New Roman" w:hAnsi="Times New Roman" w:eastAsia="宋体"/>
          <w:sz w:val="24"/>
          <w:szCs w:val="24"/>
        </w:rPr>
      </w:pPr>
      <w:r>
        <w:rPr>
          <w:rFonts w:ascii="Times New Roman" w:hAnsi="Times New Roman" w:eastAsia="宋体"/>
          <w:sz w:val="24"/>
          <w:szCs w:val="24"/>
        </w:rPr>
        <mc:AlternateContent>
          <mc:Choice Requires="wps">
            <w:drawing>
              <wp:anchor distT="0" distB="0" distL="114300" distR="114300" simplePos="0" relativeHeight="251663360" behindDoc="0" locked="1" layoutInCell="1" allowOverlap="1">
                <wp:simplePos x="0" y="0"/>
                <wp:positionH relativeFrom="column">
                  <wp:posOffset>-227330</wp:posOffset>
                </wp:positionH>
                <wp:positionV relativeFrom="page">
                  <wp:posOffset>9264650</wp:posOffset>
                </wp:positionV>
                <wp:extent cx="6120130" cy="0"/>
                <wp:effectExtent l="8890" t="12700" r="5080"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9pt;margin-top:729.5pt;height:0pt;width:481.9pt;mso-position-vertical-relative:page;z-index:251663360;mso-width-relative:page;mso-height-relative:page;" filled="f" stroked="t" coordsize="21600,21600" o:gfxdata="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jeDljYAAAA&#10;DQEAAA8AAAAAAAAAAQAgAAAAIgAAAGRycy9kb3ducmV2LnhtbFBLAQIUABQAAAAIAIdO4kDcgV3G&#10;5AEAAKwDAAAOAAAAAAAAAAEAIAAAACcBAABkcnMvZTJvRG9jLnhtbFBLBQYAAAAABgAGAFkBAAB9&#10;BQAAAAA=&#10;">
                <v:fill on="f" focussize="0,0"/>
                <v:stroke color="#000000" joinstyle="round"/>
                <v:imagedata o:title=""/>
                <o:lock v:ext="edit" aspectratio="f"/>
                <w10:anchorlock/>
              </v:line>
            </w:pict>
          </mc:Fallback>
        </mc:AlternateContent>
      </w:r>
      <w:r>
        <w:rPr>
          <w:rFonts w:ascii="Times New Roman" w:hAnsi="Times New Roman" w:eastAsia="宋体"/>
          <w:sz w:val="24"/>
          <w:szCs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850265</wp:posOffset>
                </wp:positionV>
                <wp:extent cx="612013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66.95pt;height:0pt;width:481.9pt;mso-position-horizontal:left;mso-position-horizontal-relative:margin;z-index:251662336;mso-width-relative:page;mso-height-relative:page;" filled="f" stroked="t" coordsize="21600,21600" o:gfxdata="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42r99QAAAAIAQAA&#10;DwAAAAAAAAABACAAAAAiAAAAZHJzL2Rvd25yZXYueG1sUEsBAhQAFAAAAAgAh07iQO7Um5zkAQAA&#10;rAMAAA4AAAAAAAAAAQAgAAAAIw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sz w:val="24"/>
          <w:szCs w:val="24"/>
        </w:rPr>
        <w:br w:type="page"/>
      </w:r>
    </w:p>
    <w:p w14:paraId="18B9FB89">
      <w:pPr>
        <w:pStyle w:val="26"/>
        <w:rPr>
          <w:rFonts w:ascii="Times New Roman" w:hAnsi="Times New Roman"/>
        </w:rPr>
      </w:pPr>
      <w:r>
        <w:rPr>
          <w:rFonts w:hint="eastAsia" w:ascii="Times New Roman" w:hAnsi="Times New Roman"/>
        </w:rPr>
        <w:t>前</w:t>
      </w:r>
      <w:bookmarkStart w:id="4" w:name="BKQY"/>
      <w:r>
        <w:rPr>
          <w:rFonts w:ascii="Times New Roman" w:hAnsi="Times New Roman"/>
        </w:rPr>
        <w:t>  </w:t>
      </w:r>
      <w:r>
        <w:rPr>
          <w:rFonts w:hint="eastAsia" w:ascii="Times New Roman" w:hAnsi="Times New Roman"/>
        </w:rPr>
        <w:t>言</w:t>
      </w:r>
      <w:bookmarkEnd w:id="4"/>
    </w:p>
    <w:p w14:paraId="31F37868">
      <w:pPr>
        <w:pStyle w:val="25"/>
        <w:ind w:firstLine="400"/>
        <w:rPr>
          <w:rFonts w:ascii="Times New Roman" w:hAnsi="Times New Roman"/>
        </w:rPr>
      </w:pPr>
      <w:r>
        <w:rPr>
          <w:rFonts w:hint="eastAsia" w:ascii="Times New Roman" w:hAnsi="Times New Roman"/>
        </w:rPr>
        <w:t>本标准按照GB/T 1.1-2009《标准化工作导则 第1部分：标准的结构和编写》的规则起草。</w:t>
      </w:r>
    </w:p>
    <w:p w14:paraId="645F0C1D">
      <w:pPr>
        <w:pStyle w:val="25"/>
        <w:ind w:firstLine="400"/>
        <w:rPr>
          <w:rFonts w:ascii="Times New Roman" w:hAnsi="Times New Roman"/>
        </w:rPr>
      </w:pPr>
      <w:r>
        <w:rPr>
          <w:rFonts w:hint="eastAsia" w:ascii="Times New Roman" w:hAnsi="Times New Roman"/>
        </w:rPr>
        <w:t>本标准由重庆市调味品协会归口。</w:t>
      </w:r>
    </w:p>
    <w:p w14:paraId="2D60A8AD">
      <w:pPr>
        <w:pStyle w:val="25"/>
        <w:ind w:firstLine="400"/>
        <w:rPr>
          <w:rFonts w:ascii="Times New Roman" w:hAnsi="Times New Roman"/>
        </w:rPr>
      </w:pPr>
      <w:r>
        <w:rPr>
          <w:rFonts w:hint="eastAsia" w:ascii="Times New Roman" w:hAnsi="Times New Roman"/>
        </w:rPr>
        <w:t>本标准起草单位：</w:t>
      </w:r>
      <w:r>
        <w:rPr>
          <w:rFonts w:ascii="Times New Roman" w:hAnsi="Times New Roman"/>
        </w:rPr>
        <w:t xml:space="preserve"> </w:t>
      </w:r>
    </w:p>
    <w:p w14:paraId="7033BD27">
      <w:pPr>
        <w:pStyle w:val="25"/>
        <w:ind w:firstLine="400"/>
        <w:rPr>
          <w:rFonts w:ascii="Times New Roman" w:hAnsi="Times New Roman"/>
        </w:rPr>
      </w:pPr>
      <w:r>
        <w:rPr>
          <w:rFonts w:hint="eastAsia" w:ascii="Times New Roman" w:hAnsi="Times New Roman"/>
        </w:rPr>
        <w:t>本标准主要起草人:</w:t>
      </w:r>
    </w:p>
    <w:p w14:paraId="0BEC65E0">
      <w:pPr>
        <w:pStyle w:val="25"/>
        <w:ind w:firstLine="400"/>
        <w:rPr>
          <w:rFonts w:ascii="Times New Roman" w:hAnsi="Times New Roman"/>
        </w:rPr>
      </w:pPr>
      <w:r>
        <w:rPr>
          <w:rFonts w:hint="eastAsia" w:ascii="Times New Roman" w:hAnsi="Times New Roman"/>
        </w:rPr>
        <w:t>本标准于20</w:t>
      </w:r>
      <w:r>
        <w:rPr>
          <w:rFonts w:ascii="Times New Roman" w:hAnsi="Times New Roman"/>
        </w:rPr>
        <w:t>20</w:t>
      </w:r>
      <w:r>
        <w:rPr>
          <w:rFonts w:hint="eastAsia" w:ascii="Times New Roman" w:hAnsi="Times New Roman"/>
        </w:rPr>
        <w:t>年xx月xx日首次发布。</w:t>
      </w:r>
    </w:p>
    <w:p w14:paraId="070CFAA6">
      <w:pPr>
        <w:pStyle w:val="25"/>
        <w:ind w:firstLine="400"/>
        <w:rPr>
          <w:rFonts w:ascii="Times New Roman" w:hAnsi="Times New Roman"/>
        </w:rPr>
      </w:pPr>
      <w:r>
        <w:rPr>
          <w:rFonts w:hint="eastAsia" w:ascii="Times New Roman" w:hAnsi="Times New Roman"/>
        </w:rPr>
        <w:t>请注意本文本的某些内容可能涉及专利。本文件的发布机构不承担识别这些专利的责任。</w:t>
      </w:r>
    </w:p>
    <w:p w14:paraId="17F87598">
      <w:pPr>
        <w:jc w:val="center"/>
        <w:rPr>
          <w:rFonts w:ascii="Times New Roman" w:hAnsi="Times New Roman" w:eastAsia="宋体"/>
          <w:sz w:val="24"/>
          <w:szCs w:val="24"/>
        </w:rPr>
      </w:pPr>
    </w:p>
    <w:p w14:paraId="50D750F8">
      <w:pPr>
        <w:widowControl/>
        <w:jc w:val="left"/>
        <w:rPr>
          <w:rFonts w:ascii="Times New Roman" w:hAnsi="Times New Roman" w:eastAsia="宋体"/>
          <w:sz w:val="24"/>
          <w:szCs w:val="24"/>
        </w:rPr>
      </w:pPr>
      <w:r>
        <w:rPr>
          <w:rFonts w:ascii="Times New Roman" w:hAnsi="Times New Roman" w:eastAsia="宋体"/>
          <w:sz w:val="24"/>
          <w:szCs w:val="24"/>
        </w:rPr>
        <w:br w:type="page"/>
      </w:r>
    </w:p>
    <w:p w14:paraId="65E8104B">
      <w:pPr>
        <w:spacing w:before="312" w:beforeLines="100" w:after="312" w:afterLines="100"/>
        <w:jc w:val="center"/>
        <w:outlineLvl w:val="1"/>
        <w:rPr>
          <w:rFonts w:ascii="Times New Roman" w:hAnsi="Times New Roman" w:eastAsia="黑体"/>
          <w:sz w:val="32"/>
        </w:rPr>
      </w:pPr>
      <w:r>
        <w:rPr>
          <w:rFonts w:hint="eastAsia" w:ascii="Times New Roman" w:hAnsi="Times New Roman" w:eastAsia="黑体"/>
          <w:sz w:val="32"/>
        </w:rPr>
        <w:t>半固态调味品中邻苯二甲酸酯的控制规范</w:t>
      </w:r>
    </w:p>
    <w:p w14:paraId="2B534ADC">
      <w:pPr>
        <w:pStyle w:val="34"/>
        <w:spacing w:before="240" w:after="240"/>
        <w:rPr>
          <w:szCs w:val="21"/>
        </w:rPr>
      </w:pPr>
      <w:r>
        <w:rPr>
          <w:rFonts w:hint="eastAsia"/>
          <w:szCs w:val="21"/>
        </w:rPr>
        <w:t>范围</w:t>
      </w:r>
    </w:p>
    <w:p w14:paraId="22F39F01">
      <w:pPr>
        <w:pStyle w:val="34"/>
        <w:numPr>
          <w:numId w:val="0"/>
        </w:numPr>
        <w:spacing w:before="240" w:after="240"/>
        <w:ind w:leftChars="0" w:firstLine="420" w:firstLineChars="200"/>
        <w:rPr>
          <w:szCs w:val="21"/>
        </w:rPr>
      </w:pPr>
      <w:r>
        <w:rPr>
          <w:rFonts w:hint="eastAsia" w:ascii="Times New Roman" w:hAnsi="Times New Roman" w:eastAsia="宋体"/>
          <w:szCs w:val="21"/>
        </w:rPr>
        <w:t>本</w:t>
      </w:r>
      <w:r>
        <w:rPr>
          <w:rFonts w:hint="eastAsia" w:ascii="Times New Roman" w:eastAsia="宋体"/>
          <w:szCs w:val="21"/>
          <w:lang w:val="en-US" w:eastAsia="zh-CN"/>
        </w:rPr>
        <w:t>文件</w:t>
      </w:r>
      <w:r>
        <w:rPr>
          <w:rFonts w:hint="eastAsia" w:ascii="Times New Roman" w:hAnsi="Times New Roman" w:eastAsia="宋体"/>
          <w:szCs w:val="21"/>
        </w:rPr>
        <w:t>适用于半固态调味品（火锅底料、麻辣调料、酸菜鱼调料）中邻苯二甲酸酯类增塑剂的控制。</w:t>
      </w:r>
    </w:p>
    <w:p w14:paraId="2EE5DD50">
      <w:pPr>
        <w:pStyle w:val="34"/>
        <w:spacing w:before="240" w:after="240"/>
        <w:rPr>
          <w:rFonts w:hint="eastAsia"/>
        </w:rPr>
      </w:pPr>
      <w:r>
        <w:rPr>
          <w:rFonts w:hint="eastAsia"/>
          <w:lang w:val="en-US" w:eastAsia="zh-CN"/>
        </w:rPr>
        <w:t>规范性引用文件</w:t>
      </w:r>
    </w:p>
    <w:p w14:paraId="6ECECBD4">
      <w:pPr>
        <w:ind w:firstLine="420" w:firstLineChars="200"/>
        <w:rPr>
          <w:rFonts w:ascii="宋体" w:hAnsi="宋体" w:eastAsia="宋体"/>
        </w:rPr>
      </w:pPr>
      <w:r>
        <w:rPr>
          <w:rFonts w:hint="eastAsia" w:ascii="宋体" w:hAns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F3654D">
      <w:pPr>
        <w:ind w:firstLine="210" w:firstLineChars="100"/>
        <w:rPr>
          <w:rFonts w:hint="eastAsia" w:ascii="宋体" w:hAnsi="宋体" w:eastAsia="宋体" w:cs="宋体"/>
          <w:szCs w:val="21"/>
        </w:rPr>
      </w:pPr>
      <w:r>
        <w:rPr>
          <w:rFonts w:hint="eastAsia" w:ascii="宋体" w:hAnsi="宋体" w:eastAsia="宋体" w:cs="宋体"/>
          <w:szCs w:val="21"/>
        </w:rPr>
        <w:t>GB 5009.271 食品安全国家标准 食品中邻苯二甲酸酯的测定</w:t>
      </w:r>
    </w:p>
    <w:p w14:paraId="12820A1A">
      <w:pPr>
        <w:ind w:firstLine="210" w:firstLineChars="100"/>
        <w:rPr>
          <w:rFonts w:hint="eastAsia" w:ascii="宋体" w:hAnsi="宋体" w:eastAsia="宋体" w:cs="宋体"/>
          <w:szCs w:val="21"/>
        </w:rPr>
      </w:pPr>
      <w:r>
        <w:rPr>
          <w:rFonts w:hint="eastAsia" w:ascii="宋体" w:hAnsi="宋体" w:eastAsia="宋体" w:cs="宋体"/>
          <w:szCs w:val="21"/>
        </w:rPr>
        <w:t>GB 31604.30 食品安全国家标准 食品接触材料及制品邻苯二甲酸酯的测定和迁移量的测定</w:t>
      </w:r>
    </w:p>
    <w:p w14:paraId="2FA387EF">
      <w:pPr>
        <w:ind w:firstLine="210" w:firstLineChars="100"/>
        <w:rPr>
          <w:rFonts w:hint="eastAsia" w:ascii="宋体" w:hAnsi="宋体" w:eastAsia="宋体" w:cs="宋体"/>
          <w:szCs w:val="21"/>
        </w:rPr>
      </w:pPr>
      <w:r>
        <w:rPr>
          <w:rFonts w:hint="eastAsia" w:ascii="宋体" w:hAnsi="宋体" w:eastAsia="宋体" w:cs="宋体"/>
          <w:szCs w:val="21"/>
        </w:rPr>
        <w:t xml:space="preserve">GB/T 20903 调味品的分类 </w:t>
      </w:r>
    </w:p>
    <w:p w14:paraId="31A3D479">
      <w:pPr>
        <w:ind w:firstLine="210" w:firstLineChars="100"/>
        <w:rPr>
          <w:rFonts w:hint="eastAsia" w:ascii="宋体" w:hAnsi="宋体" w:eastAsia="宋体" w:cs="宋体"/>
          <w:szCs w:val="21"/>
        </w:rPr>
      </w:pPr>
      <w:r>
        <w:rPr>
          <w:rFonts w:hint="eastAsia" w:ascii="宋体" w:hAnsi="宋体" w:eastAsia="宋体" w:cs="宋体"/>
          <w:szCs w:val="21"/>
        </w:rPr>
        <w:t>GB/T 35104 肥料中邻苯二甲酸酯类增塑剂含量的测定</w:t>
      </w:r>
    </w:p>
    <w:p w14:paraId="21CA33BB">
      <w:pPr>
        <w:ind w:firstLine="210" w:firstLineChars="100"/>
        <w:rPr>
          <w:rFonts w:hint="eastAsia" w:ascii="宋体" w:hAnsi="宋体" w:eastAsia="宋体" w:cs="宋体"/>
          <w:szCs w:val="21"/>
        </w:rPr>
      </w:pPr>
      <w:r>
        <w:rPr>
          <w:rFonts w:hint="eastAsia" w:ascii="宋体" w:hAnsi="宋体" w:eastAsia="宋体" w:cs="宋体"/>
          <w:szCs w:val="21"/>
        </w:rPr>
        <w:t>GB/T 37860 纸、纸板和纸制品邻苯二甲酸酯的测定</w:t>
      </w:r>
    </w:p>
    <w:p w14:paraId="62C956AA">
      <w:pPr>
        <w:ind w:firstLine="210" w:firstLineChars="100"/>
        <w:rPr>
          <w:rFonts w:hint="eastAsia" w:ascii="宋体" w:hAnsi="宋体" w:eastAsia="宋体" w:cs="宋体"/>
          <w:szCs w:val="21"/>
        </w:rPr>
      </w:pPr>
      <w:r>
        <w:rPr>
          <w:rFonts w:hint="eastAsia" w:ascii="宋体" w:hAnsi="宋体" w:eastAsia="宋体" w:cs="宋体"/>
          <w:szCs w:val="21"/>
        </w:rPr>
        <w:t>LS/T 6131 植物油中邻苯二甲酸酯类化合物的测定</w:t>
      </w:r>
    </w:p>
    <w:p w14:paraId="6F7BA485">
      <w:pPr>
        <w:ind w:firstLine="210" w:firstLineChars="100"/>
        <w:rPr>
          <w:rFonts w:hint="eastAsia" w:ascii="宋体" w:hAnsi="宋体" w:eastAsia="宋体" w:cs="宋体"/>
          <w:szCs w:val="21"/>
        </w:rPr>
      </w:pPr>
      <w:r>
        <w:rPr>
          <w:rFonts w:hint="eastAsia" w:ascii="宋体" w:hAnsi="宋体" w:eastAsia="宋体" w:cs="宋体"/>
          <w:szCs w:val="21"/>
        </w:rPr>
        <w:t>DBS50/ 021 食品安全地方标准 麻辣调料</w:t>
      </w:r>
    </w:p>
    <w:p w14:paraId="23A56DBA">
      <w:pPr>
        <w:ind w:firstLine="210" w:firstLineChars="100"/>
        <w:rPr>
          <w:rFonts w:hint="eastAsia" w:ascii="宋体" w:hAnsi="宋体" w:eastAsia="宋体" w:cs="宋体"/>
          <w:szCs w:val="21"/>
        </w:rPr>
      </w:pPr>
      <w:r>
        <w:rPr>
          <w:rFonts w:hint="eastAsia" w:ascii="宋体" w:hAnsi="宋体" w:eastAsia="宋体" w:cs="宋体"/>
          <w:szCs w:val="21"/>
        </w:rPr>
        <w:t>DBS50/ 025 食品安全地方标准 酸菜鱼调料</w:t>
      </w:r>
    </w:p>
    <w:p w14:paraId="7E395675">
      <w:pPr>
        <w:ind w:firstLine="210" w:firstLineChars="100"/>
        <w:rPr>
          <w:rFonts w:hint="eastAsia" w:ascii="宋体" w:hAnsi="宋体" w:eastAsia="宋体" w:cs="宋体"/>
          <w:szCs w:val="21"/>
        </w:rPr>
      </w:pPr>
      <w:r>
        <w:rPr>
          <w:rFonts w:hint="eastAsia" w:ascii="宋体" w:hAnsi="宋体" w:eastAsia="宋体" w:cs="宋体"/>
          <w:szCs w:val="21"/>
        </w:rPr>
        <w:t>DB32/T 2958 养殖水体中邻苯二甲酸酯的测定</w:t>
      </w:r>
    </w:p>
    <w:p w14:paraId="6A8A6C5D">
      <w:pPr>
        <w:ind w:firstLine="210" w:firstLineChars="100"/>
        <w:rPr>
          <w:rFonts w:hint="eastAsia" w:ascii="宋体" w:hAnsi="宋体" w:eastAsia="宋体" w:cs="宋体"/>
          <w:szCs w:val="21"/>
        </w:rPr>
      </w:pPr>
      <w:r>
        <w:rPr>
          <w:rFonts w:hint="eastAsia" w:ascii="宋体" w:hAnsi="宋体" w:eastAsia="宋体" w:cs="宋体"/>
          <w:szCs w:val="21"/>
        </w:rPr>
        <w:t>《食品及食品添加剂中邻苯二甲酸酯类物质最大残留量的函》中华人民共和国卫生部卫生监督局令 第551号（2011）</w:t>
      </w:r>
    </w:p>
    <w:p w14:paraId="70A44F7D">
      <w:pPr>
        <w:ind w:firstLine="210" w:firstLineChars="100"/>
        <w:rPr>
          <w:rFonts w:hint="eastAsia" w:ascii="宋体" w:hAnsi="宋体" w:eastAsia="宋体" w:cs="宋体"/>
          <w:szCs w:val="21"/>
        </w:rPr>
      </w:pPr>
      <w:r>
        <w:rPr>
          <w:rFonts w:hint="eastAsia" w:ascii="宋体" w:hAnsi="宋体" w:eastAsia="宋体" w:cs="宋体"/>
          <w:szCs w:val="21"/>
        </w:rPr>
        <w:t>国家市场监督管理总局令 第214号（2019） 《关于食品中“塑化剂”污染风险防控的指导意见》</w:t>
      </w:r>
    </w:p>
    <w:p w14:paraId="22C8E527">
      <w:pPr>
        <w:pStyle w:val="34"/>
        <w:spacing w:before="240" w:after="240"/>
        <w:rPr>
          <w:rFonts w:hint="eastAsia"/>
          <w:lang w:val="en-US" w:eastAsia="zh-CN"/>
        </w:rPr>
      </w:pPr>
      <w:r>
        <w:rPr>
          <w:rFonts w:hint="eastAsia"/>
          <w:lang w:val="en-US" w:eastAsia="zh-CN"/>
        </w:rPr>
        <w:t>术语和定义</w:t>
      </w:r>
    </w:p>
    <w:p w14:paraId="4FBE580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Times New Roman" w:hAnsi="Times New Roman" w:eastAsia="宋体"/>
          <w:szCs w:val="21"/>
        </w:rPr>
      </w:pPr>
      <w:r>
        <w:rPr>
          <w:rFonts w:ascii="Times New Roman" w:hAnsi="Times New Roman" w:eastAsia="宋体"/>
          <w:szCs w:val="21"/>
        </w:rPr>
        <w:t>GB</w:t>
      </w:r>
      <w:r>
        <w:rPr>
          <w:rFonts w:hint="eastAsia" w:ascii="Times New Roman" w:hAnsi="Times New Roman" w:eastAsia="宋体"/>
          <w:szCs w:val="21"/>
        </w:rPr>
        <w:t>/</w:t>
      </w:r>
      <w:r>
        <w:rPr>
          <w:rFonts w:ascii="Times New Roman" w:hAnsi="Times New Roman" w:eastAsia="宋体"/>
          <w:szCs w:val="21"/>
        </w:rPr>
        <w:t>T 20903-2007</w:t>
      </w:r>
      <w:r>
        <w:rPr>
          <w:rFonts w:hint="eastAsia" w:ascii="Times New Roman" w:hAnsi="Times New Roman" w:eastAsia="宋体"/>
          <w:szCs w:val="21"/>
        </w:rPr>
        <w:t>、</w:t>
      </w:r>
      <w:r>
        <w:rPr>
          <w:rFonts w:ascii="Times New Roman" w:hAnsi="Times New Roman" w:eastAsia="宋体"/>
          <w:szCs w:val="21"/>
        </w:rPr>
        <w:t>DBS50/ 021—20</w:t>
      </w:r>
      <w:r>
        <w:rPr>
          <w:rFonts w:hint="eastAsia" w:ascii="Times New Roman" w:hAnsi="Times New Roman" w:eastAsia="宋体"/>
          <w:szCs w:val="21"/>
          <w:lang w:val="en-US" w:eastAsia="zh-CN"/>
        </w:rPr>
        <w:t>21</w:t>
      </w:r>
      <w:r>
        <w:rPr>
          <w:rFonts w:hint="eastAsia" w:ascii="Times New Roman" w:hAnsi="Times New Roman" w:eastAsia="宋体"/>
          <w:szCs w:val="21"/>
        </w:rPr>
        <w:t>界定的以及下列术语和定义适用于本文件。</w:t>
      </w:r>
    </w:p>
    <w:p w14:paraId="5A3A144D">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lang w:val="en-US" w:eastAsia="zh-CN"/>
        </w:rPr>
      </w:pPr>
    </w:p>
    <w:p w14:paraId="5DA3CFF6">
      <w:pPr>
        <w:pStyle w:val="36"/>
        <w:keepNext w:val="0"/>
        <w:keepLines w:val="0"/>
        <w:pageBreakBefore w:val="0"/>
        <w:widowControl/>
        <w:numPr>
          <w:numId w:val="0"/>
        </w:numPr>
        <w:kinsoku/>
        <w:wordWrap/>
        <w:overflowPunct/>
        <w:topLinePunct w:val="0"/>
        <w:autoSpaceDE/>
        <w:autoSpaceDN/>
        <w:bidi w:val="0"/>
        <w:adjustRightInd/>
        <w:snapToGrid/>
        <w:spacing w:before="0" w:beforeLines="0" w:after="0" w:afterLines="0"/>
        <w:ind w:leftChars="0" w:firstLine="630" w:firstLineChars="300"/>
        <w:textAlignment w:val="auto"/>
        <w:rPr>
          <w:rFonts w:ascii="Times New Roman" w:hAnsi="Times New Roman" w:eastAsia="黑体"/>
          <w:szCs w:val="21"/>
        </w:rPr>
      </w:pPr>
      <w:r>
        <w:rPr>
          <w:rFonts w:hint="eastAsia"/>
          <w:lang w:val="en-US" w:eastAsia="zh-CN"/>
        </w:rPr>
        <w:t>火锅调料</w:t>
      </w:r>
    </w:p>
    <w:p w14:paraId="68B74760">
      <w:pPr>
        <w:ind w:firstLine="630" w:firstLineChars="300"/>
        <w:rPr>
          <w:rFonts w:ascii="Times New Roman" w:hAnsi="Times New Roman" w:eastAsia="宋体"/>
          <w:szCs w:val="21"/>
        </w:rPr>
      </w:pPr>
      <w:r>
        <w:rPr>
          <w:rFonts w:hint="eastAsia" w:ascii="Times New Roman" w:hAnsi="Times New Roman" w:eastAsia="宋体"/>
          <w:szCs w:val="21"/>
        </w:rPr>
        <w:t>食用火锅时专用的调味料，包括火锅底料和火锅蘸料。</w:t>
      </w:r>
      <w:bookmarkStart w:id="5" w:name="_GoBack"/>
      <w:bookmarkEnd w:id="5"/>
    </w:p>
    <w:p w14:paraId="4DF24A53">
      <w:pPr>
        <w:ind w:firstLine="630" w:firstLineChars="300"/>
        <w:rPr>
          <w:rFonts w:ascii="Times New Roman" w:hAnsi="Times New Roman" w:eastAsia="宋体"/>
          <w:szCs w:val="21"/>
        </w:rPr>
      </w:pPr>
      <w:r>
        <w:rPr>
          <w:rFonts w:hint="eastAsia" w:ascii="Times New Roman" w:hAnsi="Times New Roman" w:eastAsia="宋体"/>
          <w:szCs w:val="21"/>
        </w:rPr>
        <w:t>[来源：</w:t>
      </w:r>
      <w:r>
        <w:rPr>
          <w:rFonts w:ascii="Times New Roman" w:hAnsi="Times New Roman" w:eastAsia="宋体"/>
          <w:szCs w:val="21"/>
        </w:rPr>
        <w:t>GB/T 20903-2007</w:t>
      </w:r>
      <w:r>
        <w:rPr>
          <w:rFonts w:hint="eastAsia" w:ascii="Times New Roman" w:hAnsi="Times New Roman" w:eastAsia="宋体"/>
          <w:szCs w:val="21"/>
        </w:rPr>
        <w:t>，4</w:t>
      </w:r>
      <w:r>
        <w:rPr>
          <w:rFonts w:ascii="Times New Roman" w:hAnsi="Times New Roman" w:eastAsia="宋体"/>
          <w:szCs w:val="21"/>
        </w:rPr>
        <w:t>.17]</w:t>
      </w:r>
    </w:p>
    <w:p w14:paraId="1F8D3A58">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lang w:val="en-US" w:eastAsia="zh-CN"/>
        </w:rPr>
      </w:pPr>
    </w:p>
    <w:p w14:paraId="02D6FF05">
      <w:pPr>
        <w:pStyle w:val="36"/>
        <w:keepNext w:val="0"/>
        <w:keepLines w:val="0"/>
        <w:pageBreakBefore w:val="0"/>
        <w:widowControl/>
        <w:numPr>
          <w:numId w:val="0"/>
        </w:numPr>
        <w:kinsoku/>
        <w:wordWrap/>
        <w:overflowPunct/>
        <w:topLinePunct w:val="0"/>
        <w:autoSpaceDE/>
        <w:autoSpaceDN/>
        <w:bidi w:val="0"/>
        <w:adjustRightInd/>
        <w:snapToGrid/>
        <w:spacing w:before="0" w:beforeLines="0" w:after="0" w:afterLines="0"/>
        <w:ind w:leftChars="0" w:firstLine="630" w:firstLineChars="300"/>
        <w:textAlignment w:val="auto"/>
        <w:rPr>
          <w:rFonts w:hint="default"/>
          <w:lang w:val="en-US" w:eastAsia="zh-CN"/>
        </w:rPr>
      </w:pPr>
      <w:r>
        <w:rPr>
          <w:rFonts w:hint="eastAsia"/>
          <w:lang w:val="en-US" w:eastAsia="zh-CN"/>
        </w:rPr>
        <w:t>火锅底料</w:t>
      </w:r>
    </w:p>
    <w:p w14:paraId="50301E0A">
      <w:pPr>
        <w:ind w:firstLine="630" w:firstLineChars="300"/>
        <w:rPr>
          <w:rFonts w:ascii="Times New Roman" w:hAnsi="Times New Roman" w:eastAsia="宋体"/>
          <w:szCs w:val="21"/>
        </w:rPr>
      </w:pPr>
      <w:r>
        <w:rPr>
          <w:rFonts w:hint="eastAsia" w:ascii="Times New Roman" w:hAnsi="Times New Roman" w:eastAsia="宋体"/>
          <w:szCs w:val="21"/>
        </w:rPr>
        <w:t>以动、植物油脂、辣椒、蔗糖、食盐、味精、香辛料、豆瓣酱等为主要原料，按一定配方和工艺加工制成的，用于调制火锅汤的调味料。</w:t>
      </w:r>
    </w:p>
    <w:p w14:paraId="7B00947D">
      <w:pPr>
        <w:ind w:firstLine="630" w:firstLineChars="300"/>
        <w:rPr>
          <w:rFonts w:ascii="Times New Roman" w:hAnsi="Times New Roman" w:eastAsia="宋体"/>
          <w:szCs w:val="21"/>
        </w:rPr>
      </w:pPr>
      <w:r>
        <w:rPr>
          <w:rFonts w:hint="eastAsia" w:ascii="Times New Roman" w:hAnsi="Times New Roman" w:eastAsia="宋体"/>
          <w:szCs w:val="21"/>
        </w:rPr>
        <w:t>[来源：</w:t>
      </w:r>
      <w:r>
        <w:rPr>
          <w:rFonts w:ascii="Times New Roman" w:hAnsi="Times New Roman" w:eastAsia="宋体"/>
          <w:szCs w:val="21"/>
        </w:rPr>
        <w:t>GB/T 20903-2007</w:t>
      </w:r>
      <w:r>
        <w:rPr>
          <w:rFonts w:hint="eastAsia" w:ascii="Times New Roman" w:hAnsi="Times New Roman" w:eastAsia="宋体"/>
          <w:szCs w:val="21"/>
        </w:rPr>
        <w:t>，4.</w:t>
      </w:r>
      <w:r>
        <w:rPr>
          <w:rFonts w:ascii="Times New Roman" w:hAnsi="Times New Roman" w:eastAsia="宋体"/>
          <w:szCs w:val="21"/>
        </w:rPr>
        <w:t>17.1]</w:t>
      </w:r>
    </w:p>
    <w:p w14:paraId="1FD599FE">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lang w:val="en-US" w:eastAsia="zh-CN"/>
        </w:rPr>
      </w:pPr>
    </w:p>
    <w:p w14:paraId="01FED30A">
      <w:pPr>
        <w:pStyle w:val="36"/>
        <w:keepNext w:val="0"/>
        <w:keepLines w:val="0"/>
        <w:pageBreakBefore w:val="0"/>
        <w:widowControl/>
        <w:numPr>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lang w:val="en-US" w:eastAsia="zh-CN"/>
        </w:rPr>
      </w:pPr>
      <w:r>
        <w:rPr>
          <w:rFonts w:hint="eastAsia"/>
          <w:lang w:val="en-US" w:eastAsia="zh-CN"/>
        </w:rPr>
        <w:t>麻辣调料</w:t>
      </w:r>
    </w:p>
    <w:p w14:paraId="7DD3EF57">
      <w:pPr>
        <w:ind w:firstLine="420"/>
        <w:rPr>
          <w:rFonts w:ascii="Times New Roman" w:hAnsi="Times New Roman" w:eastAsia="宋体"/>
          <w:szCs w:val="21"/>
        </w:rPr>
      </w:pPr>
      <w:r>
        <w:rPr>
          <w:rFonts w:hint="eastAsia" w:ascii="Times New Roman" w:hAnsi="Times New Roman" w:eastAsia="宋体"/>
          <w:szCs w:val="21"/>
        </w:rPr>
        <w:t>以豆瓣、香辛料（辣椒、花椒、姜等）为主要原料，辅以食用盐、食用动植物油，经炒制、包装等工艺制成的预包装麻辣调料。</w:t>
      </w:r>
    </w:p>
    <w:p w14:paraId="21132043">
      <w:pPr>
        <w:ind w:firstLine="420"/>
        <w:rPr>
          <w:rFonts w:ascii="Times New Roman" w:hAnsi="Times New Roman" w:eastAsia="宋体"/>
          <w:szCs w:val="21"/>
        </w:rPr>
      </w:pPr>
      <w:r>
        <w:rPr>
          <w:rFonts w:ascii="Times New Roman" w:hAnsi="Times New Roman" w:eastAsia="宋体"/>
          <w:szCs w:val="21"/>
        </w:rPr>
        <w:t>[</w:t>
      </w:r>
      <w:r>
        <w:rPr>
          <w:rFonts w:hint="eastAsia" w:ascii="Times New Roman" w:hAnsi="Times New Roman" w:eastAsia="宋体"/>
          <w:szCs w:val="21"/>
        </w:rPr>
        <w:t>来源：</w:t>
      </w:r>
      <w:r>
        <w:rPr>
          <w:rFonts w:ascii="Times New Roman" w:hAnsi="Times New Roman" w:eastAsia="宋体"/>
          <w:szCs w:val="21"/>
        </w:rPr>
        <w:t>DBS50/ 021—2014]</w:t>
      </w:r>
    </w:p>
    <w:p w14:paraId="12D83F44">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lang w:val="en-US" w:eastAsia="zh-CN"/>
        </w:rPr>
      </w:pPr>
    </w:p>
    <w:p w14:paraId="32CF0297">
      <w:pPr>
        <w:pStyle w:val="36"/>
        <w:keepNext w:val="0"/>
        <w:keepLines w:val="0"/>
        <w:pageBreakBefore w:val="0"/>
        <w:widowControl/>
        <w:numPr>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lang w:val="en-US" w:eastAsia="zh-CN"/>
        </w:rPr>
      </w:pPr>
      <w:r>
        <w:rPr>
          <w:rFonts w:hint="eastAsia"/>
          <w:lang w:val="en-US" w:eastAsia="zh-CN"/>
        </w:rPr>
        <w:t>酸菜鱼调料</w:t>
      </w:r>
    </w:p>
    <w:p w14:paraId="1BF923C2">
      <w:pPr>
        <w:ind w:firstLine="420"/>
        <w:rPr>
          <w:rFonts w:ascii="Times New Roman" w:hAnsi="Times New Roman" w:eastAsia="宋体"/>
          <w:szCs w:val="21"/>
        </w:rPr>
      </w:pPr>
      <w:r>
        <w:rPr>
          <w:rFonts w:hint="eastAsia" w:ascii="Times New Roman" w:hAnsi="Times New Roman" w:eastAsia="宋体"/>
          <w:szCs w:val="21"/>
        </w:rPr>
        <w:t>以盐水渍菜、食用植物油、食盐等为主要原料，经炒制、包装加工而成的非即食预包装酸菜鱼调料。</w:t>
      </w:r>
    </w:p>
    <w:p w14:paraId="7559944E">
      <w:pPr>
        <w:ind w:firstLine="420"/>
        <w:rPr>
          <w:rFonts w:ascii="Times New Roman" w:hAnsi="Times New Roman" w:eastAsia="宋体"/>
          <w:szCs w:val="21"/>
        </w:rPr>
      </w:pPr>
      <w:r>
        <w:rPr>
          <w:rFonts w:hint="eastAsia" w:ascii="Times New Roman" w:hAnsi="Times New Roman" w:eastAsia="宋体"/>
          <w:szCs w:val="21"/>
        </w:rPr>
        <w:t>[来源：</w:t>
      </w:r>
      <w:r>
        <w:rPr>
          <w:rFonts w:ascii="Times New Roman" w:hAnsi="Times New Roman" w:eastAsia="宋体"/>
          <w:szCs w:val="21"/>
        </w:rPr>
        <w:t>DBS50/ 025—201</w:t>
      </w:r>
      <w:r>
        <w:rPr>
          <w:rFonts w:hint="eastAsia" w:ascii="Times New Roman" w:hAnsi="Times New Roman" w:eastAsia="宋体"/>
          <w:szCs w:val="21"/>
        </w:rPr>
        <w:t>5</w:t>
      </w:r>
      <w:r>
        <w:rPr>
          <w:rFonts w:ascii="Times New Roman" w:hAnsi="Times New Roman" w:eastAsia="宋体"/>
          <w:szCs w:val="21"/>
        </w:rPr>
        <w:t>]</w:t>
      </w:r>
    </w:p>
    <w:p w14:paraId="15091E66">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lang w:val="en-US" w:eastAsia="zh-CN"/>
        </w:rPr>
      </w:pPr>
    </w:p>
    <w:p w14:paraId="3450AA63">
      <w:pPr>
        <w:pStyle w:val="36"/>
        <w:keepNext w:val="0"/>
        <w:keepLines w:val="0"/>
        <w:pageBreakBefore w:val="0"/>
        <w:widowControl/>
        <w:numPr>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lang w:val="en-US" w:eastAsia="zh-CN"/>
        </w:rPr>
      </w:pPr>
      <w:r>
        <w:rPr>
          <w:rFonts w:hint="eastAsia"/>
          <w:lang w:val="en-US" w:eastAsia="zh-CN"/>
        </w:rPr>
        <w:t>邻苯二甲酸酯</w:t>
      </w:r>
    </w:p>
    <w:p w14:paraId="4FE6DBD4">
      <w:pPr>
        <w:ind w:firstLine="420"/>
        <w:rPr>
          <w:rFonts w:ascii="Times New Roman" w:hAnsi="Times New Roman" w:eastAsia="宋体"/>
          <w:szCs w:val="21"/>
        </w:rPr>
      </w:pPr>
      <w:r>
        <w:rPr>
          <w:rFonts w:ascii="Times New Roman" w:hAnsi="Times New Roman" w:eastAsia="宋体"/>
          <w:szCs w:val="21"/>
        </w:rPr>
        <w:t>是一大类脂溶性化合物，普遍用作塑胶材料的塑化剂，被确认为第四类毒性化学物质是一种环境内分泌干扰物又被称为内分泌干扰物。</w:t>
      </w:r>
    </w:p>
    <w:p w14:paraId="23D4FE39">
      <w:pPr>
        <w:pStyle w:val="34"/>
        <w:spacing w:before="240" w:after="240"/>
        <w:rPr>
          <w:rFonts w:hint="eastAsia"/>
          <w:lang w:val="en-US" w:eastAsia="zh-CN"/>
        </w:rPr>
      </w:pPr>
      <w:r>
        <w:rPr>
          <w:rFonts w:hint="eastAsia"/>
          <w:lang w:val="en-US" w:eastAsia="zh-CN"/>
        </w:rPr>
        <w:t>基本要求</w:t>
      </w:r>
    </w:p>
    <w:p w14:paraId="17832CA4">
      <w:pPr>
        <w:pStyle w:val="30"/>
        <w:numPr>
          <w:numId w:val="0"/>
        </w:numPr>
        <w:ind w:leftChars="0" w:firstLine="420" w:firstLineChars="200"/>
        <w:rPr>
          <w:rFonts w:ascii="Times New Roman" w:hAnsi="Times New Roman" w:eastAsia="宋体"/>
          <w:szCs w:val="21"/>
        </w:rPr>
      </w:pPr>
      <w:r>
        <w:rPr>
          <w:rFonts w:hint="eastAsia" w:ascii="Times New Roman" w:hAnsi="Times New Roman" w:eastAsia="宋体"/>
          <w:szCs w:val="21"/>
        </w:rPr>
        <w:t>食品厂应对原材料的生产设施及环境进行严密的检测，包括养殖用水体，土壤、肥料、塑料地面以及设施进行采样检测，确保生产环境中邻苯二甲酸酯含量处于标准允许范围。</w:t>
      </w:r>
    </w:p>
    <w:p w14:paraId="0365533B">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Times New Roman" w:hAnsi="Times New Roman" w:eastAsia="宋体"/>
          <w:szCs w:val="21"/>
        </w:rPr>
      </w:pPr>
      <w:r>
        <w:rPr>
          <w:rFonts w:hint="eastAsia" w:ascii="Times New Roman" w:hAnsi="Times New Roman" w:eastAsia="宋体"/>
          <w:szCs w:val="21"/>
        </w:rPr>
        <w:t>食品厂应建立食品原料采购制度，对原料采购计划、供应商的选择、原料的验收、仓贮、发货、检查等做出明确规定。</w:t>
      </w:r>
    </w:p>
    <w:p w14:paraId="23C8DBA7">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Times New Roman" w:hAnsi="Times New Roman" w:eastAsia="宋体"/>
          <w:szCs w:val="21"/>
        </w:rPr>
      </w:pPr>
      <w:r>
        <w:rPr>
          <w:rFonts w:hint="eastAsia" w:ascii="Times New Roman" w:hAnsi="Times New Roman" w:eastAsia="宋体"/>
          <w:szCs w:val="21"/>
        </w:rPr>
        <w:t>食品厂应要求原料的供应商提供相应原料生产环境的检验报告，包括养殖用水体、土壤、肥料以及设施的检验，确保生产环境中邻苯二甲酸酯含量处于标准允许范围。</w:t>
      </w:r>
    </w:p>
    <w:p w14:paraId="49B2A97E">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Times New Roman" w:hAnsi="Times New Roman" w:eastAsia="宋体"/>
          <w:szCs w:val="21"/>
        </w:rPr>
      </w:pPr>
      <w:r>
        <w:rPr>
          <w:rFonts w:hint="eastAsia" w:ascii="Times New Roman" w:hAnsi="Times New Roman" w:eastAsia="宋体"/>
          <w:szCs w:val="21"/>
        </w:rPr>
        <w:t>食品厂应建立严格的原材料中邻苯二甲酸酯监控管理措施，不得采用无检测证明或检测内容不满足国家标准规定的食品原料，也得使用含有塑化剂得塑料包装材料、密封垫片等食品原料。</w:t>
      </w:r>
    </w:p>
    <w:p w14:paraId="0ADE031D">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Times New Roman" w:hAnsi="Times New Roman" w:eastAsia="宋体"/>
          <w:szCs w:val="21"/>
        </w:rPr>
      </w:pPr>
      <w:r>
        <w:rPr>
          <w:rFonts w:hint="eastAsia" w:ascii="Times New Roman" w:hAnsi="Times New Roman" w:eastAsia="宋体"/>
          <w:szCs w:val="21"/>
        </w:rPr>
        <w:t>原料的来源须选择有质量保证并有固定配方的企业。应对原料供应商的资质、质量保证能力、质量信誉及产品批准相关文件进行审核，应向供应商索要《工商营业执照》、《产品批准文号》等证明文件（复印件），并装订成册以备查阅。在考核的基础上确定合格的原料供应商，并建立供应商名录。购买原料时应从合格供应商名录中选取。</w:t>
      </w:r>
    </w:p>
    <w:p w14:paraId="24279DE4">
      <w:pPr>
        <w:pStyle w:val="3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Times New Roman" w:hAnsi="Times New Roman" w:eastAsia="宋体"/>
          <w:szCs w:val="21"/>
        </w:rPr>
      </w:pPr>
      <w:r>
        <w:rPr>
          <w:rFonts w:hint="eastAsia" w:ascii="Times New Roman" w:hAnsi="Times New Roman" w:eastAsia="宋体"/>
          <w:szCs w:val="21"/>
        </w:rPr>
        <w:t>食品生产者应加强原辅料管控，建立并严格落实原辅料供应商审核和进货查验记录制度。对采购的花椒、牛油、辣椒等原辅料，无法提供合格证明的，要开展塑化剂项目检验，检验合格方可使用。</w:t>
      </w:r>
    </w:p>
    <w:p w14:paraId="7AB40D12">
      <w:pPr>
        <w:pStyle w:val="34"/>
        <w:spacing w:before="240" w:after="240"/>
        <w:rPr>
          <w:rFonts w:hint="eastAsia"/>
          <w:lang w:val="en-US" w:eastAsia="zh-CN"/>
        </w:rPr>
      </w:pPr>
      <w:r>
        <w:rPr>
          <w:rFonts w:hint="eastAsia"/>
          <w:lang w:val="en-US" w:eastAsia="zh-CN"/>
        </w:rPr>
        <w:t>原料的仓储</w:t>
      </w:r>
    </w:p>
    <w:p w14:paraId="36EBC52D">
      <w:pPr>
        <w:pStyle w:val="37"/>
        <w:keepNext w:val="0"/>
        <w:keepLines w:val="0"/>
        <w:pageBreakBefore w:val="0"/>
        <w:widowControl w:val="0"/>
        <w:numPr>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思想开明，能够灵活的与人交往、良好的倾听和表达。</w:t>
      </w:r>
    </w:p>
    <w:p w14:paraId="3A26A1E1">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所购买的原料必须符合食品</w:t>
      </w:r>
    </w:p>
    <w:p w14:paraId="771D117F">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安全法律法规的相关准则，对人体无害。</w:t>
      </w:r>
    </w:p>
    <w:p w14:paraId="31353065">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所有进入库房的原料需经保管员检查合格后，按照实际入库品名、规格、数量填写入库单。禁止发霉、变质、结块或有异味的原料入库。</w:t>
      </w:r>
    </w:p>
    <w:p w14:paraId="608E64E3">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原料堆放由保管员指定存放在干燥、无污染的地方，并定期进行检查。保管员应清查对库房进行清理，保证库房的通风干燥。发现漏雨、地面渗水等现象及时通知相关领导。防止因天气或存放的原因造成食品原料变质。</w:t>
      </w:r>
    </w:p>
    <w:p w14:paraId="0CF24B1C">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储藏的原料在使用生产前，应再次进行抽样检测，确保原料中邻苯二甲酸酯的含量符合国家标准要求。</w:t>
      </w:r>
    </w:p>
    <w:p w14:paraId="21B9E9CC">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保存原料的仓库应有防火、防鼠、防鸟设施。</w:t>
      </w:r>
    </w:p>
    <w:p w14:paraId="05BDDC3E">
      <w:pPr>
        <w:pStyle w:val="36"/>
        <w:keepNext w:val="0"/>
        <w:keepLines w:val="0"/>
        <w:pageBreakBefore w:val="0"/>
        <w:widowControl/>
        <w:numPr>
          <w:numId w:val="4"/>
        </w:numPr>
        <w:kinsoku/>
        <w:wordWrap/>
        <w:overflowPunct/>
        <w:topLinePunct w:val="0"/>
        <w:autoSpaceDE/>
        <w:autoSpaceDN/>
        <w:bidi w:val="0"/>
        <w:adjustRightInd/>
        <w:snapToGrid/>
        <w:spacing w:before="157" w:beforeLines="50" w:after="157" w:afterLines="50"/>
        <w:textAlignment w:val="auto"/>
        <w:rPr>
          <w:rFonts w:hint="eastAsia" w:ascii="Times New Roman" w:hAnsi="Times New Roman" w:eastAsia="黑体"/>
          <w:szCs w:val="21"/>
        </w:rPr>
      </w:pPr>
      <w:r>
        <w:rPr>
          <w:rFonts w:hint="eastAsia" w:ascii="Times New Roman" w:hAnsi="Times New Roman" w:eastAsia="黑体"/>
          <w:szCs w:val="21"/>
        </w:rPr>
        <w:t>原材料的领用</w:t>
      </w:r>
    </w:p>
    <w:p w14:paraId="5FB6E9C6">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负责食品监管的部门应根据检验计划编制原料的领用计划，做到日用日领。领用计划应抄送保管员。</w:t>
      </w:r>
    </w:p>
    <w:p w14:paraId="07333410">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领取原料时应填写领料单，注明领用原料的种类、数量。</w:t>
      </w:r>
    </w:p>
    <w:p w14:paraId="52610933">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保管员须按领料单认真核对领用原料的品种、数量与计划一致后发放。</w:t>
      </w:r>
    </w:p>
    <w:p w14:paraId="6FAADCFD">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在尽量减少库存的情况下，本着“先进先出”的原则，库管员应优先发放库存时间较长的原料。减少可能由此造成的损失。原料发放并记录发出的品种、数量、质量状况等，领用人和保管员要分别签字确认。记录要妥善保存至少2年。</w:t>
      </w:r>
    </w:p>
    <w:p w14:paraId="08ECD298">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保管员应对每天发放的原料的质量、数量进行汇总。做到计划、账、物相符。</w:t>
      </w:r>
    </w:p>
    <w:p w14:paraId="5C68B44B">
      <w:pPr>
        <w:pStyle w:val="36"/>
        <w:keepNext w:val="0"/>
        <w:keepLines w:val="0"/>
        <w:pageBreakBefore w:val="0"/>
        <w:widowControl/>
        <w:numPr>
          <w:numId w:val="4"/>
        </w:numPr>
        <w:kinsoku/>
        <w:wordWrap/>
        <w:overflowPunct/>
        <w:topLinePunct w:val="0"/>
        <w:autoSpaceDE/>
        <w:autoSpaceDN/>
        <w:bidi w:val="0"/>
        <w:adjustRightInd/>
        <w:snapToGrid/>
        <w:spacing w:before="157" w:beforeLines="50" w:after="157" w:afterLines="50"/>
        <w:textAlignment w:val="auto"/>
        <w:rPr>
          <w:rFonts w:hint="eastAsia" w:ascii="Times New Roman" w:hAnsi="Times New Roman" w:eastAsia="黑体"/>
          <w:szCs w:val="21"/>
        </w:rPr>
      </w:pPr>
      <w:r>
        <w:rPr>
          <w:rFonts w:hint="eastAsia" w:ascii="Times New Roman" w:hAnsi="Times New Roman" w:eastAsia="黑体"/>
          <w:szCs w:val="21"/>
        </w:rPr>
        <w:t>半固态调味品的生产和出库</w:t>
      </w:r>
    </w:p>
    <w:p w14:paraId="251C9A83">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食品厂应对生产半固体调味品的含塑料的设施进行定期的检测，确保使用塑料材质的设备设施、管道、垫片、容器、工具等，不得含有塑化剂，避免食品接触污染。确保与食品具有接触性的设施中邻苯二甲酸酯的含量处于标准允许范围。</w:t>
      </w:r>
    </w:p>
    <w:p w14:paraId="1785F759">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食品厂应对调味品包装材料进行集中的检测，确保与包装材料中的邻苯二甲酸酯的含量处于标准范围。</w:t>
      </w:r>
    </w:p>
    <w:p w14:paraId="30C75A8F">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企业生产经营的半固态调味品，应符合国务院卫生行政部门关于塑化剂最大残留量的规定。</w:t>
      </w:r>
    </w:p>
    <w:tbl>
      <w:tblPr>
        <w:tblStyle w:val="7"/>
        <w:tblW w:w="0" w:type="auto"/>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3793"/>
      </w:tblGrid>
      <w:tr w14:paraId="66E5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7E1EAD66">
            <w:pPr>
              <w:pStyle w:val="30"/>
              <w:ind w:firstLine="0" w:firstLineChars="0"/>
              <w:jc w:val="center"/>
              <w:outlineLvl w:val="1"/>
              <w:rPr>
                <w:rFonts w:ascii="Times New Roman" w:hAnsi="Times New Roman" w:eastAsia="宋体"/>
                <w:szCs w:val="21"/>
              </w:rPr>
            </w:pPr>
            <w:r>
              <w:rPr>
                <w:rFonts w:hint="eastAsia" w:ascii="Times New Roman" w:hAnsi="Times New Roman" w:eastAsia="宋体"/>
                <w:szCs w:val="21"/>
              </w:rPr>
              <w:t>类型</w:t>
            </w:r>
          </w:p>
        </w:tc>
        <w:tc>
          <w:tcPr>
            <w:tcW w:w="3793" w:type="dxa"/>
          </w:tcPr>
          <w:p w14:paraId="79EF282C">
            <w:pPr>
              <w:pStyle w:val="30"/>
              <w:ind w:firstLine="0" w:firstLineChars="0"/>
              <w:jc w:val="center"/>
              <w:outlineLvl w:val="1"/>
              <w:rPr>
                <w:rFonts w:ascii="Times New Roman" w:hAnsi="Times New Roman" w:eastAsia="宋体"/>
                <w:szCs w:val="21"/>
              </w:rPr>
            </w:pPr>
            <w:r>
              <w:rPr>
                <w:rFonts w:hint="eastAsia" w:ascii="Times New Roman" w:hAnsi="Times New Roman" w:eastAsia="宋体"/>
                <w:szCs w:val="21"/>
              </w:rPr>
              <w:t>检出限（mg</w:t>
            </w:r>
            <w:r>
              <w:rPr>
                <w:rFonts w:ascii="Times New Roman" w:hAnsi="Times New Roman" w:eastAsia="宋体"/>
                <w:szCs w:val="21"/>
              </w:rPr>
              <w:t>/kg</w:t>
            </w:r>
            <w:r>
              <w:rPr>
                <w:rFonts w:hint="eastAsia" w:ascii="Times New Roman" w:hAnsi="Times New Roman" w:eastAsia="宋体"/>
                <w:szCs w:val="21"/>
              </w:rPr>
              <w:t>）</w:t>
            </w:r>
          </w:p>
        </w:tc>
      </w:tr>
      <w:tr w14:paraId="7D19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7FDF99DF">
            <w:pPr>
              <w:pStyle w:val="30"/>
              <w:ind w:firstLine="0" w:firstLineChars="0"/>
              <w:jc w:val="left"/>
              <w:outlineLvl w:val="1"/>
              <w:rPr>
                <w:rFonts w:ascii="Times New Roman" w:hAnsi="Times New Roman" w:eastAsia="宋体"/>
                <w:szCs w:val="21"/>
              </w:rPr>
            </w:pPr>
            <w:r>
              <w:rPr>
                <w:rFonts w:ascii="Times New Roman" w:hAnsi="Times New Roman" w:eastAsia="宋体"/>
                <w:szCs w:val="21"/>
              </w:rPr>
              <w:t>DEHP</w:t>
            </w:r>
            <w:r>
              <w:rPr>
                <w:rFonts w:hint="eastAsia" w:ascii="Times New Roman" w:hAnsi="Times New Roman" w:eastAsia="宋体"/>
                <w:szCs w:val="21"/>
              </w:rPr>
              <w:t>：邻苯二甲酸二</w:t>
            </w:r>
            <w:r>
              <w:rPr>
                <w:rFonts w:ascii="Times New Roman" w:hAnsi="Times New Roman" w:eastAsia="宋体"/>
                <w:szCs w:val="21"/>
              </w:rPr>
              <w:t>(2-乙基）己酯</w:t>
            </w:r>
          </w:p>
        </w:tc>
        <w:tc>
          <w:tcPr>
            <w:tcW w:w="3793" w:type="dxa"/>
          </w:tcPr>
          <w:p w14:paraId="401EEA8F">
            <w:pPr>
              <w:pStyle w:val="30"/>
              <w:ind w:firstLine="0" w:firstLineChars="0"/>
              <w:jc w:val="center"/>
              <w:outlineLvl w:val="1"/>
              <w:rPr>
                <w:rFonts w:ascii="Times New Roman" w:hAnsi="Times New Roman" w:eastAsia="宋体"/>
                <w:szCs w:val="21"/>
              </w:rPr>
            </w:pPr>
            <w:r>
              <w:rPr>
                <w:rFonts w:ascii="Times New Roman" w:hAnsi="Times New Roman" w:eastAsia="宋体"/>
                <w:szCs w:val="21"/>
              </w:rPr>
              <w:t>1.5</w:t>
            </w:r>
          </w:p>
        </w:tc>
      </w:tr>
      <w:tr w14:paraId="4824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4FE58866">
            <w:pPr>
              <w:pStyle w:val="30"/>
              <w:ind w:firstLine="0" w:firstLineChars="0"/>
              <w:jc w:val="left"/>
              <w:outlineLvl w:val="1"/>
              <w:rPr>
                <w:rFonts w:ascii="Times New Roman" w:hAnsi="Times New Roman" w:eastAsia="宋体"/>
                <w:szCs w:val="21"/>
              </w:rPr>
            </w:pPr>
            <w:r>
              <w:rPr>
                <w:rFonts w:ascii="Times New Roman" w:hAnsi="Times New Roman" w:eastAsia="宋体"/>
                <w:szCs w:val="21"/>
              </w:rPr>
              <w:t>DINP</w:t>
            </w:r>
            <w:r>
              <w:rPr>
                <w:rFonts w:hint="eastAsia" w:ascii="Times New Roman" w:hAnsi="Times New Roman" w:eastAsia="宋体"/>
                <w:szCs w:val="21"/>
              </w:rPr>
              <w:t>：邻苯二甲酸二异壬酯</w:t>
            </w:r>
          </w:p>
        </w:tc>
        <w:tc>
          <w:tcPr>
            <w:tcW w:w="3793" w:type="dxa"/>
          </w:tcPr>
          <w:p w14:paraId="33AE7E02">
            <w:pPr>
              <w:pStyle w:val="30"/>
              <w:ind w:firstLine="0" w:firstLineChars="0"/>
              <w:jc w:val="center"/>
              <w:outlineLvl w:val="1"/>
              <w:rPr>
                <w:rFonts w:ascii="Times New Roman" w:hAnsi="Times New Roman" w:eastAsia="宋体"/>
                <w:szCs w:val="21"/>
              </w:rPr>
            </w:pPr>
            <w:r>
              <w:rPr>
                <w:rFonts w:ascii="Times New Roman" w:hAnsi="Times New Roman" w:eastAsia="宋体"/>
                <w:szCs w:val="21"/>
              </w:rPr>
              <w:t>9.0</w:t>
            </w:r>
          </w:p>
        </w:tc>
      </w:tr>
      <w:tr w14:paraId="33B1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E4B4B9B">
            <w:pPr>
              <w:pStyle w:val="30"/>
              <w:ind w:firstLine="0" w:firstLineChars="0"/>
              <w:jc w:val="left"/>
              <w:outlineLvl w:val="1"/>
              <w:rPr>
                <w:rFonts w:ascii="Times New Roman" w:hAnsi="Times New Roman" w:eastAsia="宋体"/>
                <w:szCs w:val="21"/>
              </w:rPr>
            </w:pPr>
            <w:r>
              <w:rPr>
                <w:rFonts w:ascii="Times New Roman" w:hAnsi="Times New Roman" w:eastAsia="宋体"/>
                <w:szCs w:val="21"/>
              </w:rPr>
              <w:t>DBP</w:t>
            </w:r>
            <w:r>
              <w:rPr>
                <w:rFonts w:hint="eastAsia" w:ascii="Times New Roman" w:hAnsi="Times New Roman" w:eastAsia="宋体"/>
                <w:szCs w:val="21"/>
              </w:rPr>
              <w:t>：邻苯二甲酸二丁酯</w:t>
            </w:r>
          </w:p>
        </w:tc>
        <w:tc>
          <w:tcPr>
            <w:tcW w:w="3793" w:type="dxa"/>
          </w:tcPr>
          <w:p w14:paraId="19A03F85">
            <w:pPr>
              <w:pStyle w:val="30"/>
              <w:ind w:firstLine="0" w:firstLineChars="0"/>
              <w:jc w:val="center"/>
              <w:outlineLvl w:val="1"/>
              <w:rPr>
                <w:rFonts w:ascii="Times New Roman" w:hAnsi="Times New Roman" w:eastAsia="宋体"/>
                <w:szCs w:val="21"/>
              </w:rPr>
            </w:pPr>
            <w:r>
              <w:rPr>
                <w:rFonts w:ascii="Times New Roman" w:hAnsi="Times New Roman" w:eastAsia="宋体"/>
                <w:szCs w:val="21"/>
              </w:rPr>
              <w:t>0.3</w:t>
            </w:r>
          </w:p>
        </w:tc>
      </w:tr>
    </w:tbl>
    <w:p w14:paraId="4F3C1FEB">
      <w:pPr>
        <w:pStyle w:val="30"/>
        <w:ind w:left="709" w:firstLine="0" w:firstLineChars="0"/>
        <w:outlineLvl w:val="1"/>
        <w:rPr>
          <w:rFonts w:ascii="Times New Roman" w:hAnsi="Times New Roman" w:eastAsia="宋体"/>
          <w:szCs w:val="21"/>
        </w:rPr>
      </w:pPr>
    </w:p>
    <w:p w14:paraId="597E3C0E">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所有包装完成的半固态调味品在出库需再次经过抽样检测控制邻苯二甲酸酯的含量处于标准允许范围内，并附上相关的检验合格报告。</w:t>
      </w:r>
    </w:p>
    <w:p w14:paraId="19C66B2F">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应加强贮存、运输、交付、销售环节控制，防止因贮存温度高、运输交付不当等问题造成塑化剂污染。</w:t>
      </w:r>
    </w:p>
    <w:p w14:paraId="6564856D">
      <w:pPr>
        <w:pStyle w:val="34"/>
        <w:numPr>
          <w:numId w:val="4"/>
        </w:numPr>
        <w:spacing w:before="240" w:after="240"/>
        <w:rPr>
          <w:rFonts w:hint="eastAsia"/>
          <w:lang w:val="en-US" w:eastAsia="zh-CN"/>
        </w:rPr>
      </w:pPr>
      <w:r>
        <w:rPr>
          <w:rFonts w:hint="eastAsia"/>
          <w:lang w:val="en-US" w:eastAsia="zh-CN"/>
        </w:rPr>
        <w:t>检验控制</w:t>
      </w:r>
    </w:p>
    <w:p w14:paraId="0506CB63">
      <w:pPr>
        <w:pStyle w:val="36"/>
        <w:keepNext w:val="0"/>
        <w:keepLines w:val="0"/>
        <w:pageBreakBefore w:val="0"/>
        <w:widowControl/>
        <w:numPr>
          <w:numId w:val="4"/>
        </w:numPr>
        <w:kinsoku/>
        <w:wordWrap/>
        <w:overflowPunct/>
        <w:topLinePunct w:val="0"/>
        <w:autoSpaceDE/>
        <w:autoSpaceDN/>
        <w:bidi w:val="0"/>
        <w:adjustRightInd/>
        <w:snapToGrid/>
        <w:spacing w:before="157" w:beforeLines="50" w:after="157" w:afterLines="50"/>
        <w:textAlignment w:val="auto"/>
        <w:rPr>
          <w:rFonts w:hint="eastAsia" w:ascii="Times New Roman" w:hAnsi="Times New Roman" w:eastAsia="黑体"/>
          <w:szCs w:val="21"/>
        </w:rPr>
      </w:pPr>
      <w:r>
        <w:rPr>
          <w:rFonts w:hint="eastAsia" w:ascii="Times New Roman" w:hAnsi="Times New Roman" w:eastAsia="黑体"/>
          <w:szCs w:val="21"/>
        </w:rPr>
        <w:t>食品原料源头的检验控制</w:t>
      </w:r>
    </w:p>
    <w:p w14:paraId="2569752B">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水中邻苯二甲酸酯的测定</w:t>
      </w:r>
    </w:p>
    <w:p w14:paraId="59C0C005">
      <w:pPr>
        <w:pStyle w:val="37"/>
        <w:keepNext w:val="0"/>
        <w:keepLines w:val="0"/>
        <w:pageBreakBefore w:val="0"/>
        <w:widowControl w:val="0"/>
        <w:numPr>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按DB32/T 2958-2016的方法检测。</w:t>
      </w:r>
    </w:p>
    <w:p w14:paraId="52937202">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肥料中邻苯二甲酸酯的测定</w:t>
      </w:r>
    </w:p>
    <w:p w14:paraId="7D8989AB">
      <w:pPr>
        <w:pStyle w:val="37"/>
        <w:keepNext w:val="0"/>
        <w:keepLines w:val="0"/>
        <w:pageBreakBefore w:val="0"/>
        <w:widowControl w:val="0"/>
        <w:numPr>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按GB/T 35104-2017的方法检测。</w:t>
      </w:r>
    </w:p>
    <w:p w14:paraId="32802930">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食品原料运输的检验控制</w:t>
      </w:r>
    </w:p>
    <w:p w14:paraId="304D4B7F">
      <w:pPr>
        <w:pStyle w:val="37"/>
        <w:keepNext w:val="0"/>
        <w:keepLines w:val="0"/>
        <w:pageBreakBefore w:val="0"/>
        <w:widowControl w:val="0"/>
        <w:numPr>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按GB 31604.30-2016的方法测定。</w:t>
      </w:r>
    </w:p>
    <w:p w14:paraId="107D00D3">
      <w:pPr>
        <w:pStyle w:val="36"/>
        <w:keepNext w:val="0"/>
        <w:keepLines w:val="0"/>
        <w:pageBreakBefore w:val="0"/>
        <w:widowControl/>
        <w:numPr>
          <w:numId w:val="4"/>
        </w:numPr>
        <w:kinsoku/>
        <w:wordWrap/>
        <w:overflowPunct/>
        <w:topLinePunct w:val="0"/>
        <w:autoSpaceDE/>
        <w:autoSpaceDN/>
        <w:bidi w:val="0"/>
        <w:adjustRightInd/>
        <w:snapToGrid/>
        <w:spacing w:before="157" w:beforeLines="50" w:after="157" w:afterLines="50"/>
        <w:textAlignment w:val="auto"/>
        <w:rPr>
          <w:rFonts w:hint="eastAsia" w:ascii="Times New Roman" w:hAnsi="Times New Roman" w:eastAsia="黑体"/>
          <w:szCs w:val="21"/>
        </w:rPr>
      </w:pPr>
      <w:r>
        <w:rPr>
          <w:rFonts w:hint="eastAsia" w:ascii="Times New Roman" w:hAnsi="Times New Roman" w:eastAsia="黑体"/>
          <w:szCs w:val="21"/>
        </w:rPr>
        <w:t>包装材料检验控制</w:t>
      </w:r>
    </w:p>
    <w:p w14:paraId="26955487">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塑料包装材料中邻苯二甲酸酯含量的测定按照GB 31604.30-2016的方法测定；</w:t>
      </w:r>
    </w:p>
    <w:p w14:paraId="49D88985">
      <w:pPr>
        <w:pStyle w:val="37"/>
        <w:keepNext w:val="0"/>
        <w:keepLines w:val="0"/>
        <w:pageBreakBefore w:val="0"/>
        <w:widowControl w:val="0"/>
        <w:numPr>
          <w:ilvl w:val="3"/>
          <w:numId w:val="3"/>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纸质包装材料按照GB/T 37860-2019的方法测定。</w:t>
      </w:r>
    </w:p>
    <w:p w14:paraId="1320A24A">
      <w:pPr>
        <w:pStyle w:val="36"/>
        <w:keepNext w:val="0"/>
        <w:keepLines w:val="0"/>
        <w:pageBreakBefore w:val="0"/>
        <w:widowControl/>
        <w:numPr>
          <w:numId w:val="4"/>
        </w:numPr>
        <w:kinsoku/>
        <w:wordWrap/>
        <w:overflowPunct/>
        <w:topLinePunct w:val="0"/>
        <w:autoSpaceDE/>
        <w:autoSpaceDN/>
        <w:bidi w:val="0"/>
        <w:adjustRightInd/>
        <w:snapToGrid/>
        <w:spacing w:before="0" w:beforeLines="0" w:after="0" w:afterLines="0"/>
        <w:textAlignment w:val="auto"/>
        <w:rPr>
          <w:rFonts w:hint="eastAsia" w:ascii="Times New Roman" w:hAnsi="Times New Roman" w:eastAsia="黑体"/>
          <w:szCs w:val="21"/>
        </w:rPr>
      </w:pPr>
      <w:r>
        <w:rPr>
          <w:rFonts w:hint="eastAsia" w:ascii="Times New Roman" w:hAnsi="Times New Roman" w:eastAsia="黑体"/>
          <w:szCs w:val="21"/>
        </w:rPr>
        <w:t>成品食品检验控制</w:t>
      </w:r>
    </w:p>
    <w:p w14:paraId="65FEA4BB">
      <w:pPr>
        <w:ind w:firstLine="420" w:firstLineChars="200"/>
        <w:rPr>
          <w:rFonts w:ascii="Times New Roman" w:hAnsi="Times New Roman" w:eastAsia="宋体"/>
          <w:szCs w:val="21"/>
        </w:rPr>
      </w:pPr>
      <w:r>
        <w:rPr>
          <w:rFonts w:hint="eastAsia" w:ascii="Times New Roman" w:hAnsi="Times New Roman" w:eastAsia="宋体"/>
          <w:szCs w:val="21"/>
        </w:rPr>
        <w:t>食品中邻苯二甲酸酯含量的测定按照GB 5009.271-2016的方法测定。</w:t>
      </w:r>
    </w:p>
    <w:p w14:paraId="0235A61F">
      <w:pPr>
        <w:pStyle w:val="34"/>
        <w:numPr>
          <w:numId w:val="4"/>
        </w:numPr>
        <w:spacing w:before="240" w:after="240"/>
        <w:rPr>
          <w:rFonts w:hint="eastAsia"/>
          <w:lang w:val="en-US" w:eastAsia="zh-CN"/>
        </w:rPr>
      </w:pPr>
      <w:r>
        <w:rPr>
          <w:rFonts w:hint="eastAsia"/>
          <w:lang w:val="en-US" w:eastAsia="zh-CN"/>
        </w:rPr>
        <w:t>控制规则和措施</w:t>
      </w:r>
    </w:p>
    <w:p w14:paraId="5F3298F3">
      <w:pPr>
        <w:ind w:firstLine="420" w:firstLineChars="200"/>
        <w:rPr>
          <w:rFonts w:ascii="Times New Roman" w:hAnsi="Times New Roman" w:eastAsia="宋体"/>
          <w:szCs w:val="21"/>
        </w:rPr>
      </w:pPr>
      <w:r>
        <w:rPr>
          <w:rFonts w:hint="eastAsia" w:ascii="Times New Roman" w:hAnsi="Times New Roman" w:eastAsia="宋体"/>
          <w:szCs w:val="21"/>
        </w:rPr>
        <w:t>企业根据食品成品的检验结果，按照标准规定的检出限进行对照，确定成品食品中邻苯二甲酸酯的含量是否合格；若不合格，则应重新用同一批产品的备用样进行复检，以复检结果为准；若不合格，则应对食品来源、运输材料以及包装材料进行检测，按照标准规定的检出限进行对照，确保控制食品从来源到生产中邻苯二甲酸酯含量符合相关规定标准。</w:t>
      </w:r>
    </w:p>
    <w:p w14:paraId="2185A25E">
      <w:pPr>
        <w:ind w:firstLine="420" w:firstLineChars="200"/>
        <w:rPr>
          <w:rFonts w:ascii="Times New Roman" w:hAnsi="Times New Roman" w:eastAsia="宋体"/>
          <w:szCs w:val="21"/>
        </w:rPr>
      </w:pPr>
      <w:r>
        <w:rPr>
          <w:rFonts w:hint="eastAsia" w:ascii="Times New Roman" w:hAnsi="Times New Roman" w:eastAsia="宋体"/>
          <w:szCs w:val="21"/>
        </w:rPr>
        <w:t>监管部门要加强监督检查半固态调味品生产经营者塑化剂防控措施落实情况，严查原辅料采购、生产加工、贮存、运输、销售等环节是否存在塑化剂污染风险，严查食品包装材料和盛放食品的容器是否含有塑化剂。加强风险监测，发现存在塑化剂污染风险问题的，要督促企业排查原因、彻底整改。严厉查处生产经营过程中非法添加邻苯二甲酸酯类物质的违法行为。鼓励企业使用不锈钢材质的设备设施、管道、容器、工具等。</w:t>
      </w:r>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755694"/>
      <w:docPartObj>
        <w:docPartGallery w:val="autotext"/>
      </w:docPartObj>
    </w:sdtPr>
    <w:sdtContent>
      <w:p w14:paraId="1F28B938">
        <w:pPr>
          <w:pStyle w:val="4"/>
          <w:jc w:val="center"/>
        </w:pPr>
        <w:r>
          <w:fldChar w:fldCharType="begin"/>
        </w:r>
        <w:r>
          <w:instrText xml:space="preserve">PAGE   \* MERGEFORMAT</w:instrText>
        </w:r>
        <w:r>
          <w:fldChar w:fldCharType="separate"/>
        </w:r>
        <w:r>
          <w:rPr>
            <w:lang w:val="zh-CN"/>
          </w:rPr>
          <w:t>5</w:t>
        </w:r>
        <w:r>
          <w:fldChar w:fldCharType="end"/>
        </w:r>
      </w:p>
    </w:sdtContent>
  </w:sdt>
  <w:p w14:paraId="4AC75850">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00593">
    <w:pPr>
      <w:pStyle w:val="28"/>
      <w:rPr>
        <w:rFonts w:hint="eastAsia" w:eastAsia="黑体"/>
        <w:lang w:val="en-US" w:eastAsia="zh-CN"/>
      </w:rPr>
    </w:pPr>
    <w:r>
      <w:rPr>
        <w:rFonts w:hint="eastAsia" w:ascii="Times New Roman"/>
        <w:b/>
      </w:rPr>
      <w:t>T</w:t>
    </w:r>
    <w:r>
      <w:t>/</w:t>
    </w:r>
    <w:r>
      <w:rPr>
        <w:rFonts w:hint="eastAsia"/>
      </w:rPr>
      <w:t>XXXX-</w:t>
    </w:r>
    <w:r>
      <w:t>202</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154FD"/>
    <w:multiLevelType w:val="multilevel"/>
    <w:tmpl w:val="117154FD"/>
    <w:lvl w:ilvl="0" w:tentative="0">
      <w:start w:val="1"/>
      <w:numFmt w:val="decimal"/>
      <w:pStyle w:val="33"/>
      <w:lvlText w:val="%1."/>
      <w:lvlJc w:val="left"/>
      <w:pPr>
        <w:ind w:left="425" w:hanging="425"/>
      </w:pPr>
    </w:lvl>
    <w:lvl w:ilvl="1" w:tentative="0">
      <w:start w:val="1"/>
      <w:numFmt w:val="decimal"/>
      <w:lvlText w:val="%1.%2."/>
      <w:lvlJc w:val="left"/>
      <w:pPr>
        <w:ind w:left="567" w:hanging="567"/>
      </w:pPr>
      <w:rPr>
        <w:sz w:val="22"/>
        <w:szCs w:val="22"/>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xMzU4NTA0N2E3MGJjMDBjYjBiYzBkYjQ4NWIxY2QifQ=="/>
  </w:docVars>
  <w:rsids>
    <w:rsidRoot w:val="003B04F5"/>
    <w:rsid w:val="00000E7F"/>
    <w:rsid w:val="00002957"/>
    <w:rsid w:val="00006937"/>
    <w:rsid w:val="0001750E"/>
    <w:rsid w:val="00027978"/>
    <w:rsid w:val="0004427E"/>
    <w:rsid w:val="00066354"/>
    <w:rsid w:val="00080796"/>
    <w:rsid w:val="000815E6"/>
    <w:rsid w:val="0008448C"/>
    <w:rsid w:val="000E0821"/>
    <w:rsid w:val="000E21FD"/>
    <w:rsid w:val="000E62E8"/>
    <w:rsid w:val="000E75CD"/>
    <w:rsid w:val="000F6E49"/>
    <w:rsid w:val="00102452"/>
    <w:rsid w:val="00106AB4"/>
    <w:rsid w:val="00115664"/>
    <w:rsid w:val="00122B4B"/>
    <w:rsid w:val="001232C8"/>
    <w:rsid w:val="001400D4"/>
    <w:rsid w:val="001535CA"/>
    <w:rsid w:val="00160717"/>
    <w:rsid w:val="001619FC"/>
    <w:rsid w:val="00171EC4"/>
    <w:rsid w:val="00172E89"/>
    <w:rsid w:val="001760CB"/>
    <w:rsid w:val="00177ACA"/>
    <w:rsid w:val="00183B45"/>
    <w:rsid w:val="001B055E"/>
    <w:rsid w:val="001C22A8"/>
    <w:rsid w:val="001C3476"/>
    <w:rsid w:val="001C438B"/>
    <w:rsid w:val="001E4BDA"/>
    <w:rsid w:val="001E5879"/>
    <w:rsid w:val="001F1647"/>
    <w:rsid w:val="001F64DC"/>
    <w:rsid w:val="001F7BAA"/>
    <w:rsid w:val="002060C7"/>
    <w:rsid w:val="00215DD6"/>
    <w:rsid w:val="002268B3"/>
    <w:rsid w:val="00226E7E"/>
    <w:rsid w:val="00240165"/>
    <w:rsid w:val="00250E6E"/>
    <w:rsid w:val="00252D6E"/>
    <w:rsid w:val="002656C4"/>
    <w:rsid w:val="00271E47"/>
    <w:rsid w:val="002740F8"/>
    <w:rsid w:val="002774C4"/>
    <w:rsid w:val="00284FBB"/>
    <w:rsid w:val="002919A8"/>
    <w:rsid w:val="00295974"/>
    <w:rsid w:val="002D01EC"/>
    <w:rsid w:val="002E1C83"/>
    <w:rsid w:val="002E2D51"/>
    <w:rsid w:val="002E3D8E"/>
    <w:rsid w:val="002E4E0F"/>
    <w:rsid w:val="002E5C27"/>
    <w:rsid w:val="002F161E"/>
    <w:rsid w:val="002F19D7"/>
    <w:rsid w:val="002F2C4B"/>
    <w:rsid w:val="002F73CA"/>
    <w:rsid w:val="00305C7B"/>
    <w:rsid w:val="0031520F"/>
    <w:rsid w:val="00320813"/>
    <w:rsid w:val="003351F9"/>
    <w:rsid w:val="00337033"/>
    <w:rsid w:val="00344E9F"/>
    <w:rsid w:val="00353A7D"/>
    <w:rsid w:val="00356A77"/>
    <w:rsid w:val="00361293"/>
    <w:rsid w:val="00367579"/>
    <w:rsid w:val="00372AAD"/>
    <w:rsid w:val="003740BD"/>
    <w:rsid w:val="003A66D9"/>
    <w:rsid w:val="003B04F5"/>
    <w:rsid w:val="003C59A9"/>
    <w:rsid w:val="003C728D"/>
    <w:rsid w:val="003D627C"/>
    <w:rsid w:val="003E1DAF"/>
    <w:rsid w:val="003F4477"/>
    <w:rsid w:val="00407406"/>
    <w:rsid w:val="0041625C"/>
    <w:rsid w:val="00436745"/>
    <w:rsid w:val="00452F06"/>
    <w:rsid w:val="0045721E"/>
    <w:rsid w:val="004574CA"/>
    <w:rsid w:val="00466B62"/>
    <w:rsid w:val="004A3363"/>
    <w:rsid w:val="004B1B96"/>
    <w:rsid w:val="004B3214"/>
    <w:rsid w:val="004C1F5E"/>
    <w:rsid w:val="004C236C"/>
    <w:rsid w:val="004D2287"/>
    <w:rsid w:val="004D388E"/>
    <w:rsid w:val="004D716B"/>
    <w:rsid w:val="004E4D2E"/>
    <w:rsid w:val="004F22FB"/>
    <w:rsid w:val="004F4BBD"/>
    <w:rsid w:val="005007C1"/>
    <w:rsid w:val="00501674"/>
    <w:rsid w:val="00521659"/>
    <w:rsid w:val="00551ACC"/>
    <w:rsid w:val="00551C55"/>
    <w:rsid w:val="00560BBB"/>
    <w:rsid w:val="00563B05"/>
    <w:rsid w:val="00567362"/>
    <w:rsid w:val="00571F07"/>
    <w:rsid w:val="005736E4"/>
    <w:rsid w:val="005A6762"/>
    <w:rsid w:val="005A7D31"/>
    <w:rsid w:val="005B3992"/>
    <w:rsid w:val="005C3FE3"/>
    <w:rsid w:val="005C50D3"/>
    <w:rsid w:val="005D1135"/>
    <w:rsid w:val="00605BAF"/>
    <w:rsid w:val="00611E1E"/>
    <w:rsid w:val="006264C3"/>
    <w:rsid w:val="00635B9D"/>
    <w:rsid w:val="00666F97"/>
    <w:rsid w:val="006721FF"/>
    <w:rsid w:val="0068181F"/>
    <w:rsid w:val="0068211C"/>
    <w:rsid w:val="0068247C"/>
    <w:rsid w:val="00683769"/>
    <w:rsid w:val="00692524"/>
    <w:rsid w:val="006B047B"/>
    <w:rsid w:val="006D172A"/>
    <w:rsid w:val="006E0557"/>
    <w:rsid w:val="006E2214"/>
    <w:rsid w:val="006F418E"/>
    <w:rsid w:val="00706716"/>
    <w:rsid w:val="00727431"/>
    <w:rsid w:val="00727A80"/>
    <w:rsid w:val="00731A93"/>
    <w:rsid w:val="00734A80"/>
    <w:rsid w:val="0076403A"/>
    <w:rsid w:val="00792BA7"/>
    <w:rsid w:val="007A5D94"/>
    <w:rsid w:val="007B0555"/>
    <w:rsid w:val="007B5E26"/>
    <w:rsid w:val="007C1798"/>
    <w:rsid w:val="007C3E57"/>
    <w:rsid w:val="007D5EA9"/>
    <w:rsid w:val="007E47D5"/>
    <w:rsid w:val="007F2837"/>
    <w:rsid w:val="007F707D"/>
    <w:rsid w:val="008203D4"/>
    <w:rsid w:val="00822456"/>
    <w:rsid w:val="00860035"/>
    <w:rsid w:val="0086162C"/>
    <w:rsid w:val="0088547B"/>
    <w:rsid w:val="00891902"/>
    <w:rsid w:val="00894853"/>
    <w:rsid w:val="008B3122"/>
    <w:rsid w:val="008D18F8"/>
    <w:rsid w:val="008D4B9B"/>
    <w:rsid w:val="008D70EA"/>
    <w:rsid w:val="00917A09"/>
    <w:rsid w:val="00944D66"/>
    <w:rsid w:val="00944EB5"/>
    <w:rsid w:val="00945E30"/>
    <w:rsid w:val="00950B9E"/>
    <w:rsid w:val="00962359"/>
    <w:rsid w:val="00976900"/>
    <w:rsid w:val="009876D3"/>
    <w:rsid w:val="00990E0C"/>
    <w:rsid w:val="009B792C"/>
    <w:rsid w:val="009C5D63"/>
    <w:rsid w:val="009F2B46"/>
    <w:rsid w:val="009F7144"/>
    <w:rsid w:val="00A138BB"/>
    <w:rsid w:val="00A165BF"/>
    <w:rsid w:val="00A177A7"/>
    <w:rsid w:val="00A20E4D"/>
    <w:rsid w:val="00A47F9E"/>
    <w:rsid w:val="00A50F14"/>
    <w:rsid w:val="00A86D2B"/>
    <w:rsid w:val="00A95DA4"/>
    <w:rsid w:val="00AA25CB"/>
    <w:rsid w:val="00AC0C10"/>
    <w:rsid w:val="00AC495D"/>
    <w:rsid w:val="00AC712E"/>
    <w:rsid w:val="00AD62FB"/>
    <w:rsid w:val="00AD7B6E"/>
    <w:rsid w:val="00AF1D4A"/>
    <w:rsid w:val="00B43A93"/>
    <w:rsid w:val="00B50477"/>
    <w:rsid w:val="00B571DF"/>
    <w:rsid w:val="00B57C8D"/>
    <w:rsid w:val="00B606DD"/>
    <w:rsid w:val="00B93CDF"/>
    <w:rsid w:val="00BA4C72"/>
    <w:rsid w:val="00BA6503"/>
    <w:rsid w:val="00BB5E7D"/>
    <w:rsid w:val="00BD70A6"/>
    <w:rsid w:val="00BE42E7"/>
    <w:rsid w:val="00BF040F"/>
    <w:rsid w:val="00C062C9"/>
    <w:rsid w:val="00C22F44"/>
    <w:rsid w:val="00C23092"/>
    <w:rsid w:val="00C253AF"/>
    <w:rsid w:val="00C47EED"/>
    <w:rsid w:val="00C56254"/>
    <w:rsid w:val="00C56E39"/>
    <w:rsid w:val="00C62F99"/>
    <w:rsid w:val="00C646EC"/>
    <w:rsid w:val="00C80EB3"/>
    <w:rsid w:val="00C84D90"/>
    <w:rsid w:val="00CA6E72"/>
    <w:rsid w:val="00CC3EB9"/>
    <w:rsid w:val="00CC77A0"/>
    <w:rsid w:val="00CD492B"/>
    <w:rsid w:val="00CD77CD"/>
    <w:rsid w:val="00CE25BB"/>
    <w:rsid w:val="00CF6C95"/>
    <w:rsid w:val="00D02773"/>
    <w:rsid w:val="00D10438"/>
    <w:rsid w:val="00D12BAF"/>
    <w:rsid w:val="00D12BD7"/>
    <w:rsid w:val="00D13FB6"/>
    <w:rsid w:val="00D24A28"/>
    <w:rsid w:val="00D27A7B"/>
    <w:rsid w:val="00D27B83"/>
    <w:rsid w:val="00D30BFD"/>
    <w:rsid w:val="00D47C8B"/>
    <w:rsid w:val="00D539CB"/>
    <w:rsid w:val="00D54454"/>
    <w:rsid w:val="00D55548"/>
    <w:rsid w:val="00D74BFC"/>
    <w:rsid w:val="00D74D8B"/>
    <w:rsid w:val="00D81380"/>
    <w:rsid w:val="00D90FD7"/>
    <w:rsid w:val="00D94E14"/>
    <w:rsid w:val="00DA0D04"/>
    <w:rsid w:val="00DA3FF6"/>
    <w:rsid w:val="00DB40B1"/>
    <w:rsid w:val="00DD4986"/>
    <w:rsid w:val="00DD6590"/>
    <w:rsid w:val="00DE2B14"/>
    <w:rsid w:val="00DE325F"/>
    <w:rsid w:val="00DE3A83"/>
    <w:rsid w:val="00DE45C9"/>
    <w:rsid w:val="00DF4621"/>
    <w:rsid w:val="00E01A76"/>
    <w:rsid w:val="00E40F61"/>
    <w:rsid w:val="00E54582"/>
    <w:rsid w:val="00E63CA1"/>
    <w:rsid w:val="00E66F1E"/>
    <w:rsid w:val="00E73C9C"/>
    <w:rsid w:val="00E8030A"/>
    <w:rsid w:val="00E80792"/>
    <w:rsid w:val="00E84978"/>
    <w:rsid w:val="00E951CE"/>
    <w:rsid w:val="00E97ED7"/>
    <w:rsid w:val="00EA7ABA"/>
    <w:rsid w:val="00EB328A"/>
    <w:rsid w:val="00EB6CA0"/>
    <w:rsid w:val="00EE36E5"/>
    <w:rsid w:val="00EE3947"/>
    <w:rsid w:val="00EF41F5"/>
    <w:rsid w:val="00F101D0"/>
    <w:rsid w:val="00F16D0D"/>
    <w:rsid w:val="00F215C0"/>
    <w:rsid w:val="00F22DC9"/>
    <w:rsid w:val="00F308B5"/>
    <w:rsid w:val="00F3129E"/>
    <w:rsid w:val="00F4355D"/>
    <w:rsid w:val="00F5268D"/>
    <w:rsid w:val="00F564C6"/>
    <w:rsid w:val="00F75AC4"/>
    <w:rsid w:val="00F80084"/>
    <w:rsid w:val="00F83659"/>
    <w:rsid w:val="00F8456D"/>
    <w:rsid w:val="00F852D9"/>
    <w:rsid w:val="00F94D49"/>
    <w:rsid w:val="00F97201"/>
    <w:rsid w:val="00FA1C3A"/>
    <w:rsid w:val="00FE2885"/>
    <w:rsid w:val="164A2A41"/>
    <w:rsid w:val="2FF2582D"/>
    <w:rsid w:val="30012CD6"/>
    <w:rsid w:val="512311A4"/>
    <w:rsid w:val="540173BB"/>
    <w:rsid w:val="5F540FE6"/>
    <w:rsid w:val="60B13D9F"/>
    <w:rsid w:val="6AA36607"/>
    <w:rsid w:val="70BB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3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laceholder Text"/>
    <w:basedOn w:val="8"/>
    <w:semiHidden/>
    <w:qFormat/>
    <w:uiPriority w:val="99"/>
    <w:rPr>
      <w:color w:val="808080"/>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paragraph" w:customStyle="1" w:styleId="12">
    <w:name w:val="封面标准文稿编辑信息"/>
    <w:basedOn w:val="13"/>
    <w:qFormat/>
    <w:uiPriority w:val="0"/>
    <w:pPr>
      <w:framePr w:wrap="around"/>
      <w:spacing w:before="180" w:line="180" w:lineRule="exact"/>
    </w:pPr>
    <w:rPr>
      <w:sz w:val="21"/>
    </w:rPr>
  </w:style>
  <w:style w:type="paragraph" w:customStyle="1" w:styleId="13">
    <w:name w:val="封面标准文稿类别"/>
    <w:basedOn w:val="14"/>
    <w:qFormat/>
    <w:uiPriority w:val="0"/>
    <w:pPr>
      <w:framePr w:wrap="around"/>
      <w:spacing w:after="160" w:line="240" w:lineRule="auto"/>
    </w:pPr>
    <w:rPr>
      <w:sz w:val="24"/>
    </w:rPr>
  </w:style>
  <w:style w:type="paragraph" w:customStyle="1" w:styleId="14">
    <w:name w:val="封面一致性程度标识"/>
    <w:basedOn w:val="15"/>
    <w:qFormat/>
    <w:uiPriority w:val="0"/>
    <w:pPr>
      <w:framePr w:wrap="around"/>
      <w:spacing w:before="440"/>
    </w:pPr>
    <w:rPr>
      <w:rFonts w:ascii="宋体" w:eastAsia="宋体"/>
    </w:rPr>
  </w:style>
  <w:style w:type="paragraph" w:customStyle="1" w:styleId="15">
    <w:name w:val="封面标准英文名称"/>
    <w:basedOn w:val="16"/>
    <w:qFormat/>
    <w:uiPriority w:val="0"/>
    <w:pPr>
      <w:framePr w:wrap="around"/>
      <w:spacing w:before="370" w:line="400" w:lineRule="exact"/>
    </w:pPr>
    <w:rPr>
      <w:rFonts w:ascii="Times New Roman"/>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7">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8">
    <w:name w:val="其他实施日期"/>
    <w:basedOn w:val="1"/>
    <w:qFormat/>
    <w:uiPriority w:val="0"/>
    <w:pPr>
      <w:framePr w:w="3997" w:h="471" w:hRule="exact" w:vSpace="181" w:wrap="around" w:vAnchor="page" w:hAnchor="page" w:x="7089" w:y="14097" w:anchorLock="1"/>
      <w:widowControl/>
      <w:jc w:val="right"/>
    </w:pPr>
    <w:rPr>
      <w:rFonts w:ascii="Calibri" w:hAnsi="Calibri" w:eastAsia="黑体" w:cs="Times New Roman"/>
      <w:kern w:val="0"/>
      <w:sz w:val="28"/>
      <w:szCs w:val="20"/>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Calibri" w:eastAsia="黑体" w:cs="Times New Roman"/>
      <w:spacing w:val="20"/>
      <w:w w:val="135"/>
      <w:kern w:val="0"/>
      <w:sz w:val="28"/>
      <w:szCs w:val="20"/>
    </w:rPr>
  </w:style>
  <w:style w:type="paragraph" w:customStyle="1" w:styleId="21">
    <w:name w:val="其他发布日期"/>
    <w:basedOn w:val="1"/>
    <w:qFormat/>
    <w:uiPriority w:val="0"/>
    <w:pPr>
      <w:framePr w:w="3997" w:h="471" w:hRule="exact" w:vSpace="181" w:wrap="around" w:vAnchor="page" w:hAnchor="page" w:x="1419" w:y="14097" w:anchorLock="1"/>
      <w:widowControl/>
      <w:jc w:val="left"/>
    </w:pPr>
    <w:rPr>
      <w:rFonts w:ascii="Calibri" w:hAnsi="Calibri" w:eastAsia="黑体" w:cs="Times New Roman"/>
      <w:kern w:val="0"/>
      <w:sz w:val="28"/>
      <w:szCs w:val="20"/>
    </w:rPr>
  </w:style>
  <w:style w:type="paragraph" w:customStyle="1" w:styleId="22">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character" w:customStyle="1" w:styleId="24">
    <w:name w:val="段 Char"/>
    <w:link w:val="25"/>
    <w:qFormat/>
    <w:uiPriority w:val="0"/>
    <w:rPr>
      <w:rFonts w:ascii="宋体"/>
    </w:rPr>
  </w:style>
  <w:style w:type="paragraph" w:customStyle="1" w:styleId="25">
    <w:name w:val="段"/>
    <w:link w:val="2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lang w:val="en-US" w:eastAsia="zh-CN" w:bidi="ar-SA"/>
    </w:rPr>
  </w:style>
  <w:style w:type="paragraph" w:customStyle="1" w:styleId="26">
    <w:name w:val="前言、引言标题"/>
    <w:next w:val="25"/>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7">
    <w:name w:val="_Style 25"/>
    <w:basedOn w:val="1"/>
    <w:next w:val="1"/>
    <w:qFormat/>
    <w:uiPriority w:val="0"/>
    <w:pPr>
      <w:tabs>
        <w:tab w:val="right" w:leader="dot" w:pos="9241"/>
      </w:tabs>
      <w:ind w:firstLine="200" w:firstLineChars="200"/>
      <w:jc w:val="left"/>
    </w:pPr>
    <w:rPr>
      <w:rFonts w:ascii="宋体" w:hAnsi="Calibri" w:eastAsia="宋体" w:cs="Times New Roman"/>
      <w:szCs w:val="21"/>
    </w:rPr>
  </w:style>
  <w:style w:type="paragraph" w:customStyle="1" w:styleId="28">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9">
    <w:name w:val="终结线"/>
    <w:basedOn w:val="1"/>
    <w:qFormat/>
    <w:uiPriority w:val="0"/>
    <w:pPr>
      <w:framePr w:hSpace="181" w:vSpace="181" w:wrap="around" w:vAnchor="text" w:hAnchor="margin" w:xAlign="center" w:y="285"/>
    </w:pPr>
    <w:rPr>
      <w:rFonts w:ascii="Calibri" w:hAnsi="Calibri" w:eastAsia="宋体" w:cs="Times New Roman"/>
      <w:szCs w:val="24"/>
    </w:rPr>
  </w:style>
  <w:style w:type="paragraph" w:styleId="30">
    <w:name w:val="List Paragraph"/>
    <w:basedOn w:val="1"/>
    <w:qFormat/>
    <w:uiPriority w:val="99"/>
    <w:pPr>
      <w:ind w:firstLine="420" w:firstLineChars="200"/>
    </w:pPr>
  </w:style>
  <w:style w:type="character" w:customStyle="1" w:styleId="31">
    <w:name w:val="标题 3 字符"/>
    <w:basedOn w:val="8"/>
    <w:link w:val="2"/>
    <w:semiHidden/>
    <w:qFormat/>
    <w:uiPriority w:val="9"/>
    <w:rPr>
      <w:b/>
      <w:bCs/>
      <w:kern w:val="2"/>
      <w:sz w:val="32"/>
      <w:szCs w:val="32"/>
    </w:rPr>
  </w:style>
  <w:style w:type="character" w:customStyle="1" w:styleId="32">
    <w:name w:val="批注框文本 字符"/>
    <w:basedOn w:val="8"/>
    <w:link w:val="3"/>
    <w:semiHidden/>
    <w:qFormat/>
    <w:uiPriority w:val="99"/>
    <w:rPr>
      <w:kern w:val="2"/>
      <w:sz w:val="18"/>
      <w:szCs w:val="18"/>
    </w:rPr>
  </w:style>
  <w:style w:type="paragraph" w:customStyle="1" w:styleId="33">
    <w:name w:val="章标题"/>
    <w:next w:val="2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4">
    <w:name w:val="标准文件_章标题"/>
    <w:next w:val="3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标准文件_一级条标题"/>
    <w:basedOn w:val="34"/>
    <w:next w:val="35"/>
    <w:qFormat/>
    <w:uiPriority w:val="0"/>
    <w:pPr>
      <w:numPr>
        <w:ilvl w:val="2"/>
      </w:numPr>
      <w:spacing w:before="50" w:beforeLines="50" w:after="50" w:afterLines="50"/>
      <w:outlineLvl w:val="1"/>
    </w:pPr>
  </w:style>
  <w:style w:type="paragraph" w:customStyle="1" w:styleId="37">
    <w:name w:val="标准文件_二级条标题"/>
    <w:next w:val="3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A099B-C562-4326-A3B9-C9F9D4A5A29C}">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2811</Words>
  <Characters>3129</Characters>
  <Lines>23</Lines>
  <Paragraphs>6</Paragraphs>
  <TotalTime>20</TotalTime>
  <ScaleCrop>false</ScaleCrop>
  <LinksUpToDate>false</LinksUpToDate>
  <CharactersWithSpaces>3173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2020-11-20T09:18:00Z</dcterms:created>
  <dc:creator>wanbiao</dc:creator>
  <cp:lastModifiedBy>上上签</cp:lastModifiedBy>
  <cp:lastPrinted>2020-12-14T09:03:00Z</cp:lastPrinted>
  <dcterms:modified xsi:type="dcterms:W3CDTF">2024-10-24T05:37:35Z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77F706B0E27C40659754388E673AFCAE_12</vt:lpwstr>
  </property>
</Properties>
</file>