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70098">
      <w:pPr>
        <w:adjustRightInd w:val="0"/>
        <w:snapToGrid w:val="0"/>
        <w:spacing w:line="360" w:lineRule="auto"/>
        <w:jc w:val="center"/>
        <w:rPr>
          <w:rFonts w:hint="default" w:ascii="Times New Roman" w:hAnsi="Times New Roman" w:eastAsia="黑体" w:cs="Times New Roman"/>
          <w:b/>
          <w:sz w:val="48"/>
          <w:szCs w:val="48"/>
          <w:highlight w:val="none"/>
        </w:rPr>
      </w:pPr>
    </w:p>
    <w:p w14:paraId="0AAB30A4">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5EFD50C3">
      <w:pPr>
        <w:adjustRightInd w:val="0"/>
        <w:snapToGrid w:val="0"/>
        <w:spacing w:line="360" w:lineRule="auto"/>
        <w:jc w:val="center"/>
        <w:rPr>
          <w:rFonts w:hint="default" w:ascii="Times New Roman" w:hAnsi="Times New Roman" w:eastAsia="黑体" w:cs="Times New Roman"/>
          <w:b/>
          <w:sz w:val="48"/>
          <w:szCs w:val="48"/>
          <w:highlight w:val="none"/>
        </w:rPr>
      </w:pPr>
    </w:p>
    <w:p w14:paraId="001ECDAB">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温室气体排放核</w:t>
      </w:r>
      <w:bookmarkStart w:id="82" w:name="_GoBack"/>
      <w:bookmarkEnd w:id="82"/>
      <w:r>
        <w:rPr>
          <w:rFonts w:hint="default" w:ascii="Times New Roman" w:hAnsi="Times New Roman" w:eastAsia="黑体" w:cs="Times New Roman"/>
          <w:b/>
          <w:sz w:val="52"/>
          <w:szCs w:val="52"/>
          <w:highlight w:val="none"/>
          <w:lang w:val="en-US" w:eastAsia="zh-CN"/>
        </w:rPr>
        <w:t xml:space="preserve">算指南 </w:t>
      </w:r>
      <w:r>
        <w:rPr>
          <w:rFonts w:hint="eastAsia" w:ascii="Times New Roman" w:hAnsi="Times New Roman" w:eastAsia="黑体" w:cs="Times New Roman"/>
          <w:b/>
          <w:sz w:val="52"/>
          <w:szCs w:val="52"/>
          <w:highlight w:val="none"/>
          <w:lang w:val="en-US" w:eastAsia="zh-CN"/>
        </w:rPr>
        <w:t>滚珠丝杠</w:t>
      </w:r>
    </w:p>
    <w:p w14:paraId="376F2013">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5AF4ACE6">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34F5EAA0">
      <w:pPr>
        <w:adjustRightInd w:val="0"/>
        <w:snapToGrid w:val="0"/>
        <w:spacing w:line="360" w:lineRule="auto"/>
        <w:rPr>
          <w:rFonts w:hint="default" w:ascii="Times New Roman" w:hAnsi="Times New Roman" w:eastAsia="仿宋" w:cs="Times New Roman"/>
          <w:b/>
          <w:sz w:val="24"/>
          <w:szCs w:val="24"/>
          <w:highlight w:val="none"/>
        </w:rPr>
      </w:pPr>
    </w:p>
    <w:p w14:paraId="67A5BF0C">
      <w:pPr>
        <w:adjustRightInd w:val="0"/>
        <w:snapToGrid w:val="0"/>
        <w:spacing w:line="360" w:lineRule="auto"/>
        <w:rPr>
          <w:rFonts w:hint="default" w:ascii="Times New Roman" w:hAnsi="Times New Roman" w:eastAsia="仿宋" w:cs="Times New Roman"/>
          <w:b/>
          <w:sz w:val="24"/>
          <w:szCs w:val="24"/>
          <w:highlight w:val="none"/>
        </w:rPr>
      </w:pPr>
    </w:p>
    <w:p w14:paraId="39A30A87">
      <w:pPr>
        <w:adjustRightInd w:val="0"/>
        <w:snapToGrid w:val="0"/>
        <w:spacing w:line="360" w:lineRule="auto"/>
        <w:rPr>
          <w:rFonts w:hint="default" w:ascii="Times New Roman" w:hAnsi="Times New Roman" w:eastAsia="仿宋" w:cs="Times New Roman"/>
          <w:b/>
          <w:sz w:val="24"/>
          <w:szCs w:val="24"/>
          <w:highlight w:val="none"/>
        </w:rPr>
      </w:pPr>
    </w:p>
    <w:p w14:paraId="17D85367">
      <w:pPr>
        <w:adjustRightInd w:val="0"/>
        <w:snapToGrid w:val="0"/>
        <w:spacing w:line="360" w:lineRule="auto"/>
        <w:rPr>
          <w:rFonts w:hint="default" w:ascii="Times New Roman" w:hAnsi="Times New Roman" w:eastAsia="仿宋" w:cs="Times New Roman"/>
          <w:b/>
          <w:sz w:val="24"/>
          <w:szCs w:val="24"/>
          <w:highlight w:val="none"/>
        </w:rPr>
      </w:pPr>
    </w:p>
    <w:p w14:paraId="4506AE58">
      <w:pPr>
        <w:adjustRightInd w:val="0"/>
        <w:snapToGrid w:val="0"/>
        <w:spacing w:line="360" w:lineRule="auto"/>
        <w:rPr>
          <w:rFonts w:hint="default" w:ascii="Times New Roman" w:hAnsi="Times New Roman" w:eastAsia="仿宋" w:cs="Times New Roman"/>
          <w:b/>
          <w:sz w:val="24"/>
          <w:szCs w:val="24"/>
          <w:highlight w:val="none"/>
        </w:rPr>
      </w:pPr>
    </w:p>
    <w:p w14:paraId="28CFB5E8">
      <w:pPr>
        <w:adjustRightInd w:val="0"/>
        <w:snapToGrid w:val="0"/>
        <w:spacing w:line="360" w:lineRule="auto"/>
        <w:rPr>
          <w:rFonts w:hint="default" w:ascii="Times New Roman" w:hAnsi="Times New Roman" w:eastAsia="仿宋" w:cs="Times New Roman"/>
          <w:b/>
          <w:sz w:val="24"/>
          <w:szCs w:val="24"/>
          <w:highlight w:val="none"/>
        </w:rPr>
      </w:pPr>
    </w:p>
    <w:p w14:paraId="3A3C9434">
      <w:pPr>
        <w:adjustRightInd w:val="0"/>
        <w:snapToGrid w:val="0"/>
        <w:spacing w:line="360" w:lineRule="auto"/>
        <w:rPr>
          <w:rFonts w:hint="default" w:ascii="Times New Roman" w:hAnsi="Times New Roman" w:eastAsia="仿宋" w:cs="Times New Roman"/>
          <w:b/>
          <w:sz w:val="24"/>
          <w:szCs w:val="24"/>
          <w:highlight w:val="none"/>
        </w:rPr>
      </w:pPr>
    </w:p>
    <w:p w14:paraId="5F7B9248">
      <w:pPr>
        <w:adjustRightInd w:val="0"/>
        <w:snapToGrid w:val="0"/>
        <w:spacing w:line="360" w:lineRule="auto"/>
        <w:rPr>
          <w:rFonts w:hint="default" w:ascii="Times New Roman" w:hAnsi="Times New Roman" w:eastAsia="仿宋" w:cs="Times New Roman"/>
          <w:b/>
          <w:sz w:val="24"/>
          <w:szCs w:val="24"/>
          <w:highlight w:val="none"/>
        </w:rPr>
      </w:pPr>
    </w:p>
    <w:p w14:paraId="40E65F4E">
      <w:pPr>
        <w:adjustRightInd w:val="0"/>
        <w:snapToGrid w:val="0"/>
        <w:spacing w:line="360" w:lineRule="auto"/>
        <w:rPr>
          <w:rFonts w:hint="default" w:ascii="Times New Roman" w:hAnsi="Times New Roman" w:eastAsia="仿宋" w:cs="Times New Roman"/>
          <w:b/>
          <w:sz w:val="24"/>
          <w:szCs w:val="24"/>
          <w:highlight w:val="none"/>
        </w:rPr>
      </w:pPr>
    </w:p>
    <w:p w14:paraId="3E39F2C8">
      <w:pPr>
        <w:adjustRightInd w:val="0"/>
        <w:snapToGrid w:val="0"/>
        <w:spacing w:line="360" w:lineRule="auto"/>
        <w:rPr>
          <w:rFonts w:hint="default" w:ascii="Times New Roman" w:hAnsi="Times New Roman" w:eastAsia="仿宋" w:cs="Times New Roman"/>
          <w:b/>
          <w:sz w:val="24"/>
          <w:szCs w:val="24"/>
          <w:highlight w:val="none"/>
        </w:rPr>
      </w:pPr>
    </w:p>
    <w:p w14:paraId="2CCD2851">
      <w:pPr>
        <w:adjustRightInd w:val="0"/>
        <w:snapToGrid w:val="0"/>
        <w:spacing w:line="360" w:lineRule="auto"/>
        <w:rPr>
          <w:rFonts w:hint="default" w:ascii="Times New Roman" w:hAnsi="Times New Roman" w:eastAsia="仿宋" w:cs="Times New Roman"/>
          <w:b/>
          <w:sz w:val="24"/>
          <w:szCs w:val="24"/>
          <w:highlight w:val="none"/>
        </w:rPr>
      </w:pPr>
    </w:p>
    <w:p w14:paraId="13040F2B">
      <w:pPr>
        <w:adjustRightInd w:val="0"/>
        <w:snapToGrid w:val="0"/>
        <w:spacing w:line="360" w:lineRule="auto"/>
        <w:rPr>
          <w:rFonts w:hint="default" w:ascii="Times New Roman" w:hAnsi="Times New Roman" w:eastAsia="仿宋" w:cs="Times New Roman"/>
          <w:b/>
          <w:sz w:val="24"/>
          <w:szCs w:val="24"/>
          <w:highlight w:val="none"/>
        </w:rPr>
      </w:pPr>
    </w:p>
    <w:p w14:paraId="6263004E">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 xml:space="preserve">温室气体排放核算指南 </w:t>
      </w:r>
      <w:r>
        <w:rPr>
          <w:rFonts w:hint="eastAsia" w:ascii="Times New Roman" w:hAnsi="Times New Roman" w:eastAsia="楷体_GB2312" w:cs="Times New Roman"/>
          <w:b/>
          <w:sz w:val="36"/>
          <w:szCs w:val="36"/>
          <w:highlight w:val="none"/>
          <w:lang w:val="en-US" w:eastAsia="zh-CN"/>
        </w:rPr>
        <w:t>滚珠丝杠</w:t>
      </w:r>
      <w:r>
        <w:rPr>
          <w:rFonts w:hint="default" w:ascii="Times New Roman" w:hAnsi="Times New Roman" w:eastAsia="楷体_GB2312" w:cs="Times New Roman"/>
          <w:b/>
          <w:sz w:val="36"/>
          <w:szCs w:val="36"/>
          <w:highlight w:val="none"/>
        </w:rPr>
        <w:t>》小组</w:t>
      </w:r>
    </w:p>
    <w:p w14:paraId="6AA3EE62">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四</w:t>
      </w:r>
      <w:r>
        <w:rPr>
          <w:rFonts w:hint="default" w:ascii="Times New Roman" w:hAnsi="Times New Roman" w:eastAsia="楷体_GB2312" w:cs="Times New Roman"/>
          <w:b/>
          <w:sz w:val="36"/>
          <w:szCs w:val="36"/>
          <w:highlight w:val="none"/>
        </w:rPr>
        <w:t>年</w:t>
      </w:r>
      <w:r>
        <w:rPr>
          <w:rFonts w:hint="eastAsia" w:ascii="Times New Roman" w:hAnsi="Times New Roman" w:eastAsia="楷体_GB2312" w:cs="Times New Roman"/>
          <w:b/>
          <w:sz w:val="36"/>
          <w:szCs w:val="36"/>
          <w:highlight w:val="none"/>
          <w:lang w:val="en-US" w:eastAsia="zh-CN"/>
        </w:rPr>
        <w:t>九</w:t>
      </w:r>
      <w:r>
        <w:rPr>
          <w:rFonts w:hint="default" w:ascii="Times New Roman" w:hAnsi="Times New Roman" w:eastAsia="楷体_GB2312" w:cs="Times New Roman"/>
          <w:b/>
          <w:sz w:val="36"/>
          <w:szCs w:val="36"/>
          <w:highlight w:val="none"/>
        </w:rPr>
        <w:t>月</w:t>
      </w:r>
    </w:p>
    <w:p w14:paraId="21B461E9">
      <w:pPr>
        <w:spacing w:line="360" w:lineRule="auto"/>
        <w:jc w:val="center"/>
        <w:rPr>
          <w:rFonts w:hint="default" w:ascii="Times New Roman" w:hAnsi="Times New Roman" w:eastAsia="楷体_GB2312" w:cs="Times New Roman"/>
          <w:b/>
          <w:sz w:val="36"/>
          <w:szCs w:val="36"/>
          <w:highlight w:val="none"/>
        </w:rPr>
      </w:pPr>
    </w:p>
    <w:p w14:paraId="2C74F995">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0C0DF167">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02B2A0EF">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5A98C01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203F2B9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EE0E3D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03B034F">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809327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C2401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140BC5">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7CB472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3F94E95F">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3144E36D">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20</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26584788">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 xml:space="preserve">温室气体排放核算指南 </w:t>
      </w:r>
      <w:r>
        <w:rPr>
          <w:rFonts w:hint="eastAsia" w:ascii="Times New Roman" w:hAnsi="Times New Roman" w:eastAsia="黑体" w:cs="Times New Roman"/>
          <w:b/>
          <w:sz w:val="36"/>
          <w:szCs w:val="36"/>
          <w:highlight w:val="none"/>
          <w:lang w:val="en-US" w:eastAsia="zh-CN"/>
        </w:rPr>
        <w:t>滚珠丝杠</w:t>
      </w:r>
      <w:r>
        <w:rPr>
          <w:rFonts w:hint="default" w:ascii="Times New Roman" w:hAnsi="Times New Roman" w:eastAsia="黑体" w:cs="Times New Roman"/>
          <w:b/>
          <w:sz w:val="36"/>
          <w:szCs w:val="36"/>
          <w:highlight w:val="none"/>
        </w:rPr>
        <w:t>》团体标准</w:t>
      </w:r>
    </w:p>
    <w:p w14:paraId="4E0B5471">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183F1C2A">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6696B59C">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66743360">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当前，全球气候变化已成为人类面临的重要挑战之一。温室气体排放量的持续增加导致全球气温上升，引发极端气候事件频发，对自然生态系统和人类生存环境造成严重影响。在此背景下，减少温室气体排放、实现碳中和成为全球共同追求的目标。滚珠丝杠作为机械制造领域的重要组件，其生产和使用过程中产生的温室气体排放不容忽视，因此进行温室气体排放核算显得尤为重要。然而，滚珠丝杠的生产过程复杂，涉及多个环节和原材料，温室气体排放核算难度较大，需要建立科学、准确的核算方法和标准体系，以确保核算结果的可靠性和准确性；同时，由于数据来源的多样性和复杂性，获取全面、准确的数据往往较为困难；而且，目前我国在温室气体排放核算方面的制度还不够完善，缺乏统一的标准和指南。这导致不同企业之间的核算结果可能存在差异，影响了核算的公正性和公信力。</w:t>
      </w:r>
    </w:p>
    <w:p w14:paraId="55127C18">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因此，开展滚珠丝杠温室气体排放核算指南标准的研制。滚珠丝杠温室气体排放核算指南标准的研制具有重要现实意义。首先，滚珠丝杠温室气体排放核算项目的实施，有助于企业了解自身在生产过程中的碳排放情况，从而优化生产工艺和能源结构，降低碳排放强度，实现绿色转型和低碳发展；其次，项目的实施有助于企业满足政府关于碳排放信息披露的政策要求，提升企业的合规性和社会责任感。同时，准确核算并披露碳排放信息还可以提升企业的环保形象，增强消费者对产品的信任度和认可度；最后，项目实施过程中积累的经验和数据可以为政府制定和完善相关法规政策提供科学依据和参考意见，推动温室气体排放核算工作的规范化和标准化。同时，通过与国际接轨的核算方法和标准体系，有助于提升我国企业在国际市场上的竞争力。</w:t>
      </w:r>
    </w:p>
    <w:p w14:paraId="48B07ECB">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6C727AD5">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温室气体排放</w:t>
      </w:r>
      <w:r>
        <w:rPr>
          <w:rFonts w:hint="default" w:ascii="Times New Roman" w:hAnsi="Times New Roman" w:cs="Times New Roman"/>
          <w:kern w:val="0"/>
          <w:sz w:val="28"/>
          <w:szCs w:val="28"/>
          <w:highlight w:val="none"/>
        </w:rPr>
        <w:t>市场管理工作中起到规范信息化管理作用，标准起草工作组力求科学性、可操作性，以科学、谨慎的态度，在对我国现有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温室气体排放</w:t>
      </w:r>
      <w:r>
        <w:rPr>
          <w:rFonts w:hint="default" w:ascii="Times New Roman" w:hAnsi="Times New Roman" w:cs="Times New Roman"/>
          <w:kern w:val="0"/>
          <w:sz w:val="28"/>
          <w:szCs w:val="28"/>
          <w:highlight w:val="none"/>
        </w:rPr>
        <w:t>市场相关管理服务体系文件、模式基础上，经过综合分析、充分验证资料、反复讨论研究和修改，最终确定了本标准的主要内容。</w:t>
      </w:r>
    </w:p>
    <w:p w14:paraId="1F61DC0A">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57AFD253">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C71EADE">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温室气体排放相关情况进行了深入的调查研究，同时广泛搜集相关标准和国外技术资料，进行了大量的研究分析、资料查证工作，确定了温室气体排放市场标准化管理中现存问题，结合现有产品实际应用经验，为标准起草奠定了基础。</w:t>
      </w:r>
    </w:p>
    <w:p w14:paraId="50BD4DC1">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标准起草组进一步研究了温室气体排放需要具备的特殊条件，明确了技术要求和指标，为标准的具体起草指明了方向。</w:t>
      </w:r>
    </w:p>
    <w:p w14:paraId="3081EDA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42135F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 xml:space="preserve">在理论研究基础上，起草组在标准编制过程中充分借鉴已有的理论研究和实践成果，基于我国市场行情，经过数次修订，形成了《温室气体排放核算指南 </w:t>
      </w:r>
      <w:r>
        <w:rPr>
          <w:rFonts w:hint="eastAsia" w:ascii="Times New Roman" w:hAnsi="Times New Roman" w:cs="Times New Roman"/>
          <w:kern w:val="0"/>
          <w:sz w:val="28"/>
          <w:szCs w:val="28"/>
          <w:highlight w:val="none"/>
          <w:lang w:val="en-US" w:eastAsia="zh-CN"/>
        </w:rPr>
        <w:t>滚珠丝杠</w:t>
      </w:r>
      <w:r>
        <w:rPr>
          <w:rFonts w:hint="default" w:ascii="Times New Roman" w:hAnsi="Times New Roman" w:cs="Times New Roman"/>
          <w:kern w:val="0"/>
          <w:sz w:val="28"/>
          <w:szCs w:val="28"/>
          <w:highlight w:val="none"/>
          <w:lang w:val="en-US" w:eastAsia="zh-CN"/>
        </w:rPr>
        <w:t>》标准草案。</w:t>
      </w:r>
    </w:p>
    <w:p w14:paraId="4E6448E6">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25B9AD74">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 xml:space="preserve">形成标准草案之后，起草组召开了多次专家研讨会，从标准框架、标准起草等角度广泛征求多方意见，从理论完善和实践应用多方面提升标准的适用性和实用性。经过理论研究和方法验证，起草组形成了《温室气体排放核算指南 </w:t>
      </w:r>
      <w:r>
        <w:rPr>
          <w:rFonts w:hint="eastAsia" w:ascii="Times New Roman" w:hAnsi="Times New Roman" w:cs="Times New Roman"/>
          <w:kern w:val="0"/>
          <w:sz w:val="28"/>
          <w:szCs w:val="28"/>
          <w:highlight w:val="none"/>
          <w:lang w:val="en-US" w:eastAsia="zh-CN"/>
        </w:rPr>
        <w:t>滚珠丝杠</w:t>
      </w:r>
      <w:r>
        <w:rPr>
          <w:rFonts w:hint="default" w:ascii="Times New Roman" w:hAnsi="Times New Roman" w:cs="Times New Roman"/>
          <w:kern w:val="0"/>
          <w:sz w:val="28"/>
          <w:szCs w:val="28"/>
          <w:highlight w:val="none"/>
          <w:lang w:val="en-US" w:eastAsia="zh-CN"/>
        </w:rPr>
        <w:t>》（征求意见稿）。</w:t>
      </w:r>
    </w:p>
    <w:p w14:paraId="267B214D">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5133DDE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6BB64F87">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中国中小企业协会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浙江健壮传动科技有限公司</w:t>
      </w:r>
      <w:r>
        <w:rPr>
          <w:rFonts w:hint="default" w:ascii="Times New Roman" w:hAnsi="Times New Roman" w:cs="Times New Roman"/>
          <w:kern w:val="0"/>
          <w:sz w:val="28"/>
          <w:szCs w:val="28"/>
          <w:highlight w:val="none"/>
        </w:rPr>
        <w:t>等多家单位的专家成立了规范起草小组，开展标准的编制工作。</w:t>
      </w:r>
    </w:p>
    <w:p w14:paraId="7D863E91">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经工作组的不懈努力，在202</w:t>
      </w:r>
      <w:r>
        <w:rPr>
          <w:rFonts w:hint="default" w:ascii="Times New Roman" w:hAnsi="Times New Roman" w:cs="Times New Roman"/>
          <w:kern w:val="0"/>
          <w:sz w:val="28"/>
          <w:szCs w:val="28"/>
          <w:highlight w:val="none"/>
          <w:lang w:val="en-US" w:eastAsia="zh-CN"/>
        </w:rPr>
        <w:t>4</w:t>
      </w:r>
      <w:r>
        <w:rPr>
          <w:rFonts w:hint="default" w:ascii="Times New Roman" w:hAnsi="Times New Roman" w:cs="Times New Roman"/>
          <w:kern w:val="0"/>
          <w:sz w:val="28"/>
          <w:szCs w:val="28"/>
          <w:highlight w:val="none"/>
        </w:rPr>
        <w:t>年</w:t>
      </w:r>
      <w:r>
        <w:rPr>
          <w:rFonts w:hint="eastAsia" w:ascii="Times New Roman" w:hAnsi="Times New Roman" w:cs="Times New Roman"/>
          <w:kern w:val="0"/>
          <w:sz w:val="28"/>
          <w:szCs w:val="28"/>
          <w:highlight w:val="none"/>
          <w:lang w:val="en-US" w:eastAsia="zh-CN"/>
        </w:rPr>
        <w:t>9</w:t>
      </w:r>
      <w:r>
        <w:rPr>
          <w:rFonts w:hint="default" w:ascii="Times New Roman" w:hAnsi="Times New Roman" w:cs="Times New Roman"/>
          <w:kern w:val="0"/>
          <w:sz w:val="28"/>
          <w:szCs w:val="28"/>
          <w:highlight w:val="none"/>
        </w:rPr>
        <w:t>月，完成了标准征求意见稿的编写工作。</w:t>
      </w:r>
    </w:p>
    <w:p w14:paraId="3B6F2A29">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1C8323ED">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4B7286A8">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184D3F4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0D3ED450">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5C89F6CD">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4D7A1ABD">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lang w:val="en-US" w:eastAsia="zh-CN"/>
        </w:rPr>
        <w:t>7</w:t>
      </w:r>
      <w:r>
        <w:rPr>
          <w:rFonts w:hint="default" w:ascii="Times New Roman" w:hAnsi="Times New Roman" w:cs="Times New Roman"/>
          <w:sz w:val="28"/>
          <w:szCs w:val="28"/>
          <w:highlight w:val="none"/>
        </w:rPr>
        <w:t>个部分，主要内容如下：</w:t>
      </w:r>
    </w:p>
    <w:p w14:paraId="1C0A9E94">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170230354"/>
      <w:bookmarkStart w:id="3" w:name="_Toc26986530"/>
      <w:bookmarkStart w:id="4" w:name="_Toc167375529"/>
      <w:bookmarkStart w:id="5" w:name="_Toc97192964"/>
      <w:bookmarkStart w:id="6" w:name="_Toc17233333"/>
      <w:bookmarkStart w:id="7" w:name="_Toc17233325"/>
      <w:bookmarkStart w:id="8" w:name="_Toc171696852"/>
      <w:bookmarkStart w:id="9" w:name="_Toc175923772"/>
      <w:bookmarkStart w:id="10" w:name="_Toc24884218"/>
      <w:bookmarkStart w:id="11" w:name="_Toc171697117"/>
      <w:bookmarkStart w:id="12" w:name="_Toc24884211"/>
      <w:bookmarkStart w:id="13" w:name="_Toc166860765"/>
      <w:bookmarkStart w:id="14" w:name="_Toc26718930"/>
      <w:bookmarkStart w:id="15" w:name="_Toc26648465"/>
      <w:bookmarkStart w:id="16" w:name="_Toc26986771"/>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72EC2A23">
      <w:pPr>
        <w:pStyle w:val="35"/>
        <w:widowControl/>
        <w:spacing w:line="360" w:lineRule="auto"/>
        <w:ind w:left="0" w:firstLine="420"/>
        <w:rPr>
          <w:rFonts w:hint="default" w:ascii="Times New Roman" w:hAnsi="Times New Roman" w:cs="Times New Roman"/>
          <w:sz w:val="28"/>
          <w:szCs w:val="28"/>
          <w:highlight w:val="none"/>
          <w:lang w:val="en-US"/>
        </w:rPr>
      </w:pPr>
      <w:bookmarkStart w:id="17" w:name="_Toc17233326"/>
      <w:bookmarkStart w:id="18" w:name="_Toc17233334"/>
      <w:bookmarkStart w:id="19" w:name="_Toc24884212"/>
      <w:bookmarkStart w:id="20" w:name="_Toc24884219"/>
      <w:bookmarkStart w:id="21" w:name="_Toc26648466"/>
      <w:r>
        <w:rPr>
          <w:rFonts w:hint="default" w:ascii="Times New Roman" w:hAnsi="Times New Roman" w:cs="Times New Roman"/>
          <w:sz w:val="28"/>
          <w:szCs w:val="28"/>
          <w:highlight w:val="none"/>
          <w:lang w:eastAsia="zh-CN"/>
        </w:rPr>
        <w:t>本文件规定了</w:t>
      </w:r>
      <w:bookmarkStart w:id="22" w:name="_Hlk171695125"/>
      <w:r>
        <w:rPr>
          <w:rFonts w:hint="default" w:ascii="Times New Roman" w:hAnsi="Times New Roman" w:cs="Times New Roman"/>
          <w:sz w:val="28"/>
          <w:szCs w:val="28"/>
          <w:highlight w:val="none"/>
          <w:lang w:eastAsia="zh-CN"/>
        </w:rPr>
        <w:t>滚珠丝杠产品温室气体排放核算</w:t>
      </w:r>
      <w:bookmarkEnd w:id="22"/>
      <w:r>
        <w:rPr>
          <w:rFonts w:hint="default" w:ascii="Times New Roman" w:hAnsi="Times New Roman" w:cs="Times New Roman"/>
          <w:sz w:val="28"/>
          <w:szCs w:val="28"/>
          <w:highlight w:val="none"/>
          <w:lang w:eastAsia="zh-CN"/>
        </w:rPr>
        <w:t>的术语和定义、核算边界、核算步骤与核算方法、数据</w:t>
      </w:r>
      <w:r>
        <w:rPr>
          <w:rFonts w:hint="eastAsia" w:ascii="Times New Roman" w:cs="Times New Roman"/>
          <w:sz w:val="28"/>
          <w:szCs w:val="28"/>
          <w:highlight w:val="none"/>
          <w:lang w:val="en-US" w:eastAsia="zh-CN"/>
        </w:rPr>
        <w:t>管理</w:t>
      </w:r>
      <w:r>
        <w:rPr>
          <w:rFonts w:hint="default" w:ascii="Times New Roman" w:hAnsi="Times New Roman" w:cs="Times New Roman"/>
          <w:sz w:val="28"/>
          <w:szCs w:val="28"/>
          <w:highlight w:val="none"/>
          <w:lang w:eastAsia="zh-CN"/>
        </w:rPr>
        <w:t>、评价报告相关内容。</w:t>
      </w:r>
    </w:p>
    <w:p w14:paraId="2C4C859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本文件适用于滚珠丝杠产品温室气体排放核算。</w:t>
      </w:r>
    </w:p>
    <w:p w14:paraId="18432F7F">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3" w:name="_Toc26986772"/>
      <w:bookmarkStart w:id="24" w:name="_Toc170230355"/>
      <w:bookmarkStart w:id="25" w:name="_Toc97192965"/>
      <w:bookmarkStart w:id="26" w:name="_Toc167375530"/>
      <w:bookmarkStart w:id="27" w:name="_Toc171696853"/>
      <w:bookmarkStart w:id="28" w:name="_Toc26718931"/>
      <w:bookmarkStart w:id="29" w:name="_Toc175923773"/>
      <w:bookmarkStart w:id="30" w:name="_Toc166860766"/>
      <w:bookmarkStart w:id="31" w:name="_Toc26986531"/>
      <w:bookmarkStart w:id="32" w:name="_Toc171697118"/>
      <w:r>
        <w:rPr>
          <w:rFonts w:hint="default" w:ascii="Times New Roman" w:hAnsi="Times New Roman" w:cs="Times New Roman"/>
          <w:sz w:val="28"/>
          <w:szCs w:val="28"/>
          <w:highlight w:val="none"/>
          <w:lang w:eastAsia="zh-CN"/>
        </w:rPr>
        <w:t>规范性引用文件</w:t>
      </w:r>
      <w:bookmarkEnd w:id="17"/>
      <w:bookmarkEnd w:id="18"/>
      <w:bookmarkEnd w:id="19"/>
      <w:bookmarkEnd w:id="20"/>
      <w:bookmarkEnd w:id="21"/>
      <w:bookmarkEnd w:id="23"/>
      <w:bookmarkEnd w:id="24"/>
      <w:bookmarkEnd w:id="25"/>
      <w:bookmarkEnd w:id="26"/>
      <w:bookmarkEnd w:id="27"/>
      <w:bookmarkEnd w:id="28"/>
      <w:bookmarkEnd w:id="29"/>
      <w:bookmarkEnd w:id="30"/>
      <w:bookmarkEnd w:id="31"/>
      <w:bookmarkEnd w:id="32"/>
    </w:p>
    <w:p w14:paraId="7C370510">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932D384">
      <w:pPr>
        <w:pStyle w:val="35"/>
        <w:widowControl/>
        <w:spacing w:line="360" w:lineRule="auto"/>
        <w:ind w:left="0" w:firstLine="420"/>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213 </w:t>
      </w:r>
      <w:r>
        <w:rPr>
          <w:rFonts w:hint="default" w:ascii="Times New Roman" w:hAnsi="Times New Roman" w:cs="Times New Roman"/>
          <w:sz w:val="28"/>
          <w:szCs w:val="28"/>
          <w:highlight w:val="none"/>
          <w:lang w:eastAsia="zh-CN"/>
        </w:rPr>
        <w:t>煤的发热量测定方法</w:t>
      </w:r>
    </w:p>
    <w:p w14:paraId="5DD96548">
      <w:pPr>
        <w:pStyle w:val="35"/>
        <w:widowControl/>
        <w:spacing w:line="360" w:lineRule="auto"/>
        <w:ind w:left="0" w:firstLine="420"/>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384 </w:t>
      </w:r>
      <w:r>
        <w:rPr>
          <w:rFonts w:hint="default" w:ascii="Times New Roman" w:hAnsi="Times New Roman" w:cs="Times New Roman"/>
          <w:sz w:val="28"/>
          <w:szCs w:val="28"/>
          <w:highlight w:val="none"/>
          <w:lang w:eastAsia="zh-CN"/>
        </w:rPr>
        <w:t>石油产品热值测定法</w:t>
      </w:r>
    </w:p>
    <w:p w14:paraId="7DAF1238">
      <w:pPr>
        <w:pStyle w:val="35"/>
        <w:widowControl/>
        <w:spacing w:line="360" w:lineRule="auto"/>
        <w:ind w:left="0" w:firstLine="420"/>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22723 </w:t>
      </w:r>
      <w:r>
        <w:rPr>
          <w:rFonts w:hint="default" w:ascii="Times New Roman" w:hAnsi="Times New Roman" w:cs="Times New Roman"/>
          <w:sz w:val="28"/>
          <w:szCs w:val="28"/>
          <w:highlight w:val="none"/>
          <w:lang w:eastAsia="zh-CN"/>
        </w:rPr>
        <w:t>天然气能量的测定</w:t>
      </w:r>
    </w:p>
    <w:p w14:paraId="7E6DDE52">
      <w:pPr>
        <w:pStyle w:val="35"/>
        <w:widowControl/>
        <w:spacing w:line="360" w:lineRule="auto"/>
        <w:ind w:left="0" w:firstLine="420"/>
        <w:jc w:val="left"/>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32150 </w:t>
      </w:r>
      <w:r>
        <w:rPr>
          <w:rFonts w:hint="default" w:ascii="Times New Roman" w:hAnsi="Times New Roman" w:cs="Times New Roman"/>
          <w:sz w:val="28"/>
          <w:szCs w:val="28"/>
          <w:highlight w:val="none"/>
          <w:lang w:eastAsia="zh-CN"/>
        </w:rPr>
        <w:t>工业企业温室气体排放核算和报告通则</w:t>
      </w:r>
    </w:p>
    <w:p w14:paraId="1B437568">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3" w:name="_Toc171696854"/>
      <w:bookmarkStart w:id="34" w:name="_Toc171697119"/>
      <w:bookmarkStart w:id="35" w:name="_Toc166860767"/>
      <w:bookmarkStart w:id="36" w:name="_Toc167375531"/>
      <w:bookmarkStart w:id="37" w:name="_Toc170230356"/>
      <w:bookmarkStart w:id="38" w:name="_Toc175923774"/>
      <w:bookmarkStart w:id="39" w:name="_Toc97192966"/>
      <w:r>
        <w:rPr>
          <w:rFonts w:hint="default" w:ascii="Times New Roman" w:hAnsi="Times New Roman" w:cs="Times New Roman"/>
          <w:sz w:val="28"/>
          <w:szCs w:val="28"/>
          <w:highlight w:val="none"/>
          <w:lang w:eastAsia="zh-CN"/>
        </w:rPr>
        <w:t>术语和定义</w:t>
      </w:r>
      <w:bookmarkEnd w:id="33"/>
      <w:bookmarkEnd w:id="34"/>
      <w:bookmarkEnd w:id="35"/>
      <w:bookmarkEnd w:id="36"/>
      <w:bookmarkEnd w:id="37"/>
      <w:bookmarkEnd w:id="38"/>
      <w:bookmarkEnd w:id="39"/>
    </w:p>
    <w:p w14:paraId="3D653292">
      <w:pPr>
        <w:pStyle w:val="35"/>
        <w:widowControl/>
        <w:spacing w:line="360" w:lineRule="auto"/>
        <w:ind w:left="0" w:firstLine="420"/>
        <w:rPr>
          <w:rFonts w:hint="default" w:ascii="Times New Roman" w:hAnsi="Times New Roman" w:cs="Times New Roman"/>
          <w:sz w:val="28"/>
          <w:szCs w:val="28"/>
          <w:highlight w:val="none"/>
          <w:lang w:val="en-US"/>
        </w:rPr>
      </w:pPr>
      <w:bookmarkStart w:id="40" w:name="_Toc26986532"/>
      <w:bookmarkEnd w:id="40"/>
      <w:r>
        <w:rPr>
          <w:rFonts w:hint="default" w:ascii="Times New Roman" w:hAnsi="Times New Roman" w:cs="Times New Roman"/>
          <w:sz w:val="28"/>
          <w:szCs w:val="28"/>
          <w:highlight w:val="none"/>
          <w:lang w:val="en-US"/>
        </w:rPr>
        <w:t>GB/T 32150</w:t>
      </w:r>
      <w:r>
        <w:rPr>
          <w:rFonts w:hint="default" w:ascii="Times New Roman" w:hAnsi="Times New Roman" w:cs="Times New Roman"/>
          <w:sz w:val="28"/>
          <w:szCs w:val="28"/>
          <w:highlight w:val="none"/>
          <w:lang w:eastAsia="zh-CN"/>
        </w:rPr>
        <w:t>界定的以及下列术语和定义适用于本文件。</w:t>
      </w:r>
    </w:p>
    <w:p w14:paraId="3E573AB9">
      <w:pPr>
        <w:pStyle w:val="34"/>
        <w:widowControl/>
        <w:numPr>
          <w:ilvl w:val="2"/>
          <w:numId w:val="3"/>
        </w:numPr>
        <w:spacing w:line="360" w:lineRule="auto"/>
        <w:ind w:left="0" w:firstLine="0"/>
        <w:rPr>
          <w:rFonts w:hint="default" w:ascii="Times New Roman" w:hAnsi="Times New Roman" w:eastAsia="黑体" w:cs="Times New Roman"/>
          <w:sz w:val="28"/>
          <w:szCs w:val="28"/>
          <w:highlight w:val="none"/>
          <w:lang w:val="en-US"/>
        </w:rPr>
      </w:pPr>
    </w:p>
    <w:p w14:paraId="5A47333A">
      <w:pPr>
        <w:pStyle w:val="34"/>
        <w:widowControl/>
        <w:numPr>
          <w:ilvl w:val="2"/>
          <w:numId w:val="3"/>
        </w:numPr>
        <w:spacing w:line="360" w:lineRule="auto"/>
        <w:ind w:left="0" w:firstLine="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t xml:space="preserve">    </w:t>
      </w:r>
      <w:r>
        <w:rPr>
          <w:rFonts w:hint="default" w:ascii="Times New Roman" w:hAnsi="Times New Roman" w:eastAsia="黑体" w:cs="Times New Roman"/>
          <w:sz w:val="28"/>
          <w:szCs w:val="28"/>
          <w:highlight w:val="none"/>
          <w:lang w:eastAsia="zh-CN"/>
        </w:rPr>
        <w:t>滚珠丝杠</w:t>
      </w:r>
      <w:r>
        <w:rPr>
          <w:rFonts w:hint="default" w:ascii="Times New Roman" w:hAnsi="Times New Roman" w:eastAsia="黑体" w:cs="Times New Roman"/>
          <w:sz w:val="28"/>
          <w:szCs w:val="28"/>
          <w:highlight w:val="none"/>
          <w:lang w:val="en-US"/>
        </w:rPr>
        <w:t xml:space="preserve"> ball screws</w:t>
      </w:r>
    </w:p>
    <w:p w14:paraId="3C8717F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由螺杆、螺母、钢球、预压片、反向器、防尘器组成，将回转运动转化为直线运动，或将直线运动转化为回转运动的理想产品，作为工具机械和精密机械上最常使用的传动元件，将旋转运动转换成线性运动，或将扭矩转换成轴向反复作用力，同时兼具高精度、可逆性和高效率的特点。</w:t>
      </w:r>
    </w:p>
    <w:p w14:paraId="21864BC0">
      <w:pPr>
        <w:pStyle w:val="34"/>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p>
    <w:p w14:paraId="004E7DA5">
      <w:pPr>
        <w:pStyle w:val="34"/>
        <w:widowControl/>
        <w:numPr>
          <w:ilvl w:val="2"/>
          <w:numId w:val="0"/>
        </w:numPr>
        <w:spacing w:line="360" w:lineRule="auto"/>
        <w:ind w:left="42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eastAsia="zh-CN"/>
        </w:rPr>
        <w:t>温室气体</w:t>
      </w:r>
      <w:r>
        <w:rPr>
          <w:rFonts w:hint="default" w:ascii="Times New Roman" w:hAnsi="Times New Roman" w:eastAsia="黑体" w:cs="Times New Roman"/>
          <w:sz w:val="28"/>
          <w:szCs w:val="28"/>
          <w:highlight w:val="none"/>
          <w:lang w:val="en-US"/>
        </w:rPr>
        <w:t xml:space="preserve"> greenhouse gas</w:t>
      </w:r>
    </w:p>
    <w:p w14:paraId="039B212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大气层中自然存在的和由于人类活动产生的能够吸收和散发由地球表面、大气层和云层所产生的、波长在红外光谱内的辐射的气态成份。</w:t>
      </w:r>
    </w:p>
    <w:p w14:paraId="39C240C4">
      <w:pPr>
        <w:pStyle w:val="34"/>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p>
    <w:p w14:paraId="0096AB74">
      <w:pPr>
        <w:pStyle w:val="34"/>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eastAsia="zh-CN"/>
        </w:rPr>
        <w:t>报告主体</w:t>
      </w:r>
      <w:r>
        <w:rPr>
          <w:rFonts w:hint="default" w:ascii="Times New Roman" w:hAnsi="Times New Roman" w:eastAsia="黑体" w:cs="Times New Roman"/>
          <w:sz w:val="28"/>
          <w:szCs w:val="28"/>
          <w:highlight w:val="none"/>
          <w:lang w:val="en-US"/>
        </w:rPr>
        <w:t xml:space="preserve"> reporting entity</w:t>
      </w:r>
    </w:p>
    <w:p w14:paraId="1C2488C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具有温室气体排放行为的法人企业或视同法人的独立核算单位。</w:t>
      </w:r>
    </w:p>
    <w:p w14:paraId="4C15B915">
      <w:pPr>
        <w:pStyle w:val="34"/>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p>
    <w:p w14:paraId="5F459FA9">
      <w:pPr>
        <w:pStyle w:val="34"/>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eastAsia="zh-CN"/>
        </w:rPr>
        <w:t>化石燃料燃烧排放</w:t>
      </w:r>
      <w:r>
        <w:rPr>
          <w:rFonts w:hint="default" w:ascii="Times New Roman" w:hAnsi="Times New Roman" w:eastAsia="黑体" w:cs="Times New Roman"/>
          <w:sz w:val="28"/>
          <w:szCs w:val="28"/>
          <w:highlight w:val="none"/>
          <w:lang w:val="en-US"/>
        </w:rPr>
        <w:t xml:space="preserve"> fuel combustion emission</w:t>
      </w:r>
    </w:p>
    <w:p w14:paraId="458E531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化石燃料在氧化燃烧过程中产生的温室气体排放。</w:t>
      </w:r>
    </w:p>
    <w:p w14:paraId="4D03E150">
      <w:pPr>
        <w:pStyle w:val="34"/>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p>
    <w:p w14:paraId="46A91CE8">
      <w:pPr>
        <w:pStyle w:val="34"/>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eastAsia="zh-CN"/>
        </w:rPr>
        <w:t>活动数据</w:t>
      </w:r>
      <w:r>
        <w:rPr>
          <w:rFonts w:hint="default" w:ascii="Times New Roman" w:hAnsi="Times New Roman" w:eastAsia="黑体" w:cs="Times New Roman"/>
          <w:sz w:val="28"/>
          <w:szCs w:val="28"/>
          <w:highlight w:val="none"/>
          <w:lang w:val="en-US"/>
        </w:rPr>
        <w:t xml:space="preserve"> activity data</w:t>
      </w:r>
    </w:p>
    <w:p w14:paraId="553D8BD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导致温室气体排放的生产或消费活动量的表征值，如各种化石燃料的消耗量、原材料的使用量、购入的电量、购入的热量等。</w:t>
      </w:r>
    </w:p>
    <w:p w14:paraId="084D8FD5">
      <w:pPr>
        <w:pStyle w:val="34"/>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p>
    <w:p w14:paraId="32014284">
      <w:pPr>
        <w:pStyle w:val="34"/>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eastAsia="zh-CN"/>
        </w:rPr>
        <w:t>排放因子</w:t>
      </w:r>
      <w:r>
        <w:rPr>
          <w:rFonts w:hint="default" w:ascii="Times New Roman" w:hAnsi="Times New Roman" w:eastAsia="黑体" w:cs="Times New Roman"/>
          <w:sz w:val="28"/>
          <w:szCs w:val="28"/>
          <w:highlight w:val="none"/>
          <w:lang w:val="en-US"/>
        </w:rPr>
        <w:t xml:space="preserve"> emission factor</w:t>
      </w:r>
    </w:p>
    <w:p w14:paraId="239EAC5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表征单位生产或消费活动量的温室气体排放的系数，如每单位化石燃料消耗所对应的二氧化碳排放量、购入的每千瓦时电量所对应的二氧化碳排放量等。</w:t>
      </w:r>
    </w:p>
    <w:p w14:paraId="31C2BADC">
      <w:pPr>
        <w:pStyle w:val="34"/>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p>
    <w:p w14:paraId="4509D1ED">
      <w:pPr>
        <w:pStyle w:val="34"/>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eastAsia="zh-CN"/>
        </w:rPr>
        <w:t>碳氧化率</w:t>
      </w:r>
      <w:r>
        <w:rPr>
          <w:rFonts w:hint="default" w:ascii="Times New Roman" w:hAnsi="Times New Roman" w:eastAsia="黑体" w:cs="Times New Roman"/>
          <w:sz w:val="28"/>
          <w:szCs w:val="28"/>
          <w:highlight w:val="none"/>
          <w:lang w:val="en-US"/>
        </w:rPr>
        <w:t xml:space="preserve"> carbon oxidation rate</w:t>
      </w:r>
    </w:p>
    <w:p w14:paraId="4AF11D90">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化石燃料中的碳在燃烧过程中被完全氧化的百分比。</w:t>
      </w:r>
    </w:p>
    <w:p w14:paraId="0BB72F66">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1" w:name="_Toc175145889"/>
      <w:bookmarkStart w:id="42" w:name="_Toc171696855"/>
      <w:bookmarkStart w:id="43" w:name="_Toc166588516"/>
      <w:bookmarkStart w:id="44" w:name="_Toc167375532"/>
      <w:bookmarkStart w:id="45" w:name="_Toc170230357"/>
      <w:bookmarkStart w:id="46" w:name="_Toc175923775"/>
      <w:bookmarkStart w:id="47" w:name="_Toc171697120"/>
      <w:bookmarkStart w:id="48" w:name="_Toc166588526"/>
      <w:bookmarkStart w:id="49" w:name="_Toc166860768"/>
      <w:r>
        <w:rPr>
          <w:rFonts w:hint="default" w:ascii="Times New Roman" w:hAnsi="Times New Roman" w:cs="Times New Roman"/>
          <w:sz w:val="28"/>
          <w:szCs w:val="28"/>
          <w:highlight w:val="none"/>
          <w:lang w:eastAsia="zh-CN"/>
        </w:rPr>
        <w:t>核算边界</w:t>
      </w:r>
      <w:bookmarkEnd w:id="41"/>
    </w:p>
    <w:p w14:paraId="1F8334C8">
      <w:pPr>
        <w:pStyle w:val="44"/>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通则</w:t>
      </w:r>
    </w:p>
    <w:p w14:paraId="330F2307">
      <w:pPr>
        <w:pStyle w:val="43"/>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应以企业法人或视同法人的独立核算单位为边界，核算和报告其生产系统产生的温室气体排放。生产系统范围包括：主要生产系统、辅助生产系统、以及附属生产系统，其中辅助生产系统包括动力、供电、供水、化验、机修、库房、运输等，附属生产系统包括生产指挥系统（厂部）和厂区内为生产服务的部门和单位（如职工食堂、车间浴室、保健站等）。</w:t>
      </w:r>
    </w:p>
    <w:p w14:paraId="22F810B0">
      <w:pPr>
        <w:pStyle w:val="43"/>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滚珠丝杠生产企业温室气体排放</w:t>
      </w:r>
      <w:r>
        <w:rPr>
          <w:rFonts w:hint="eastAsia" w:ascii="Times New Roman" w:cs="Times New Roman"/>
          <w:sz w:val="28"/>
          <w:szCs w:val="28"/>
          <w:highlight w:val="none"/>
          <w:lang w:val="en-US" w:eastAsia="zh-CN"/>
        </w:rPr>
        <w:t>应</w:t>
      </w:r>
      <w:r>
        <w:rPr>
          <w:rFonts w:hint="default" w:ascii="Times New Roman" w:hAnsi="Times New Roman" w:cs="Times New Roman"/>
          <w:sz w:val="28"/>
          <w:szCs w:val="28"/>
          <w:highlight w:val="none"/>
          <w:lang w:eastAsia="zh-CN"/>
        </w:rPr>
        <w:t>包括</w:t>
      </w:r>
      <w:r>
        <w:rPr>
          <w:rFonts w:hint="eastAsia" w:ascii="Times New Roman" w:cs="Times New Roman"/>
          <w:sz w:val="28"/>
          <w:szCs w:val="28"/>
          <w:highlight w:val="none"/>
          <w:lang w:val="en-US" w:eastAsia="zh-CN"/>
        </w:rPr>
        <w:t>但不限于</w:t>
      </w:r>
      <w:r>
        <w:rPr>
          <w:rFonts w:hint="default" w:ascii="Times New Roman" w:hAnsi="Times New Roman" w:cs="Times New Roman"/>
          <w:sz w:val="28"/>
          <w:szCs w:val="28"/>
          <w:highlight w:val="none"/>
          <w:lang w:eastAsia="zh-CN"/>
        </w:rPr>
        <w:t>：化石燃料燃烧排放，工业生产过程排放及净购入电力产生的排放。机械设备制造企业生产过程中涉及二氧化碳气体保护焊产生的排放。</w:t>
      </w:r>
    </w:p>
    <w:p w14:paraId="2A113925">
      <w:pPr>
        <w:pStyle w:val="44"/>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核算和报告范围</w:t>
      </w:r>
    </w:p>
    <w:p w14:paraId="6930DB42">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核算和报告范围</w:t>
      </w:r>
      <w:r>
        <w:rPr>
          <w:rFonts w:hint="eastAsia" w:ascii="Times New Roman" w:cs="Times New Roman"/>
          <w:sz w:val="28"/>
          <w:szCs w:val="28"/>
          <w:highlight w:val="none"/>
          <w:lang w:val="en-US" w:eastAsia="zh-CN"/>
        </w:rPr>
        <w:t>应</w:t>
      </w:r>
      <w:r>
        <w:rPr>
          <w:rFonts w:hint="default" w:ascii="Times New Roman" w:hAnsi="Times New Roman" w:cs="Times New Roman"/>
          <w:sz w:val="28"/>
          <w:szCs w:val="28"/>
          <w:highlight w:val="none"/>
          <w:lang w:eastAsia="zh-CN"/>
        </w:rPr>
        <w:t>包括</w:t>
      </w:r>
      <w:r>
        <w:rPr>
          <w:rFonts w:hint="eastAsia" w:ascii="Times New Roman" w:cs="Times New Roman"/>
          <w:sz w:val="28"/>
          <w:szCs w:val="28"/>
          <w:highlight w:val="none"/>
          <w:lang w:val="en-US" w:eastAsia="zh-CN"/>
        </w:rPr>
        <w:t>但不限于</w:t>
      </w:r>
      <w:r>
        <w:rPr>
          <w:rFonts w:hint="default" w:ascii="Times New Roman" w:hAnsi="Times New Roman" w:cs="Times New Roman"/>
          <w:sz w:val="28"/>
          <w:szCs w:val="28"/>
          <w:highlight w:val="none"/>
          <w:lang w:eastAsia="zh-CN"/>
        </w:rPr>
        <w:t>如下</w:t>
      </w:r>
      <w:r>
        <w:rPr>
          <w:rFonts w:hint="eastAsia" w:ascii="Times New Roman" w:cs="Times New Roman"/>
          <w:sz w:val="28"/>
          <w:szCs w:val="28"/>
          <w:highlight w:val="none"/>
          <w:lang w:val="en-US" w:eastAsia="zh-CN"/>
        </w:rPr>
        <w:t>内容</w:t>
      </w:r>
      <w:r>
        <w:rPr>
          <w:rFonts w:hint="default" w:ascii="Times New Roman" w:hAnsi="Times New Roman" w:cs="Times New Roman"/>
          <w:sz w:val="28"/>
          <w:szCs w:val="28"/>
          <w:highlight w:val="none"/>
          <w:lang w:eastAsia="zh-CN"/>
        </w:rPr>
        <w:t>：</w:t>
      </w:r>
    </w:p>
    <w:p w14:paraId="51148973">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化石燃料燃烧排放：核算边界内天然气、煤、柴油、重油、煤气、液化石油气等化石燃料在各种类型的固定源（主要有热风炉、窑炉和干燥器等）或移动源（厂内机动车辆）中发生氧化燃烧过程产生的碳排放；</w:t>
      </w:r>
    </w:p>
    <w:p w14:paraId="4762F22E">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工业生产过程排放：二氧化碳气体保护焊使用过程中由于气体使用或泄漏造成的温室气体排放；</w:t>
      </w:r>
    </w:p>
    <w:p w14:paraId="3B90EAA8">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购入电力生产产生的温室气体排放：企业购入的电力所对应的生产环节产生的碳排放；</w:t>
      </w:r>
    </w:p>
    <w:p w14:paraId="130EE76A">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购入热力生产产生的温室气体排放：企业购入的热力（蒸汽、热水等）所对应的生产环节产生的碳排放。</w:t>
      </w:r>
    </w:p>
    <w:p w14:paraId="54A406B9">
      <w:pPr>
        <w:pStyle w:val="44"/>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核算边界图</w:t>
      </w:r>
    </w:p>
    <w:p w14:paraId="4404CDB5">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滚珠丝杠企业的温室气体排放及核算边界见图</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p>
    <w:p w14:paraId="596BFAE8">
      <w:pPr>
        <w:pStyle w:val="35"/>
        <w:widowControl/>
        <w:spacing w:line="360" w:lineRule="auto"/>
        <w:ind w:left="0" w:firstLine="420"/>
        <w:rPr>
          <w:rFonts w:hint="default" w:ascii="Times New Roman" w:hAnsi="Times New Roman" w:cs="Times New Roman"/>
          <w:sz w:val="28"/>
          <w:szCs w:val="28"/>
          <w:highlight w:val="none"/>
          <w:lang w:val="en-US"/>
        </w:rPr>
      </w:pPr>
    </w:p>
    <w:p w14:paraId="01DA4AAE">
      <w:pPr>
        <w:pStyle w:val="35"/>
        <w:widowControl/>
        <w:spacing w:line="240" w:lineRule="auto"/>
        <w:ind w:lef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drawing>
          <wp:inline distT="0" distB="0" distL="114300" distR="114300">
            <wp:extent cx="4001770" cy="3420110"/>
            <wp:effectExtent l="0" t="0" r="17780" b="889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6"/>
                    <a:stretch>
                      <a:fillRect/>
                    </a:stretch>
                  </pic:blipFill>
                  <pic:spPr>
                    <a:xfrm>
                      <a:off x="0" y="0"/>
                      <a:ext cx="4001770" cy="3420110"/>
                    </a:xfrm>
                    <a:prstGeom prst="rect">
                      <a:avLst/>
                    </a:prstGeom>
                    <a:noFill/>
                    <a:ln>
                      <a:noFill/>
                    </a:ln>
                  </pic:spPr>
                </pic:pic>
              </a:graphicData>
            </a:graphic>
          </wp:inline>
        </w:drawing>
      </w:r>
    </w:p>
    <w:p w14:paraId="3D16B505">
      <w:pPr>
        <w:pStyle w:val="49"/>
        <w:widowControl/>
        <w:numPr>
          <w:ilvl w:val="0"/>
          <w:numId w:val="6"/>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滚珠丝杠企业温室气体排放及核算边界</w:t>
      </w:r>
    </w:p>
    <w:p w14:paraId="22544CBD">
      <w:pPr>
        <w:pStyle w:val="44"/>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50" w:name="_Toc175145890"/>
      <w:r>
        <w:rPr>
          <w:rFonts w:hint="default" w:ascii="Times New Roman" w:hAnsi="Times New Roman" w:cs="Times New Roman"/>
          <w:sz w:val="28"/>
          <w:szCs w:val="28"/>
          <w:highlight w:val="none"/>
          <w:lang w:eastAsia="zh-CN"/>
        </w:rPr>
        <w:t>核算内容</w:t>
      </w:r>
    </w:p>
    <w:p w14:paraId="18454442">
      <w:pPr>
        <w:pStyle w:val="43"/>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产品温室气体排放核算边界内容包含原材料获取加工阶段、产品生产阶段、下游存储与分销阶段。</w:t>
      </w:r>
    </w:p>
    <w:p w14:paraId="6CD6AEDE">
      <w:pPr>
        <w:pStyle w:val="43"/>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原材料获取加工阶段应包括以下内容：</w:t>
      </w:r>
    </w:p>
    <w:p w14:paraId="4FDD899A">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矿石开采生产的获取与运输相关过程；</w:t>
      </w:r>
    </w:p>
    <w:p w14:paraId="7FC1D4DD">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废金属回用生产的获取与运输相关过程；</w:t>
      </w:r>
    </w:p>
    <w:p w14:paraId="35132475">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其他金属材料生产的获取与运输相关过程；</w:t>
      </w:r>
    </w:p>
    <w:p w14:paraId="62174B60">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包装材料的生产与运输相关过程；</w:t>
      </w:r>
    </w:p>
    <w:p w14:paraId="495F6AA7">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其他辅材的生产与运输相关过程；</w:t>
      </w:r>
    </w:p>
    <w:p w14:paraId="4D70F1DC">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能源的开采生产与输送过程；</w:t>
      </w:r>
    </w:p>
    <w:p w14:paraId="2C6F7EBB">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水的供应过程；</w:t>
      </w:r>
    </w:p>
    <w:p w14:paraId="3C77DBDB">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原材料获取加工所产生的废水、废气和固体废弃物处理相关过程。</w:t>
      </w:r>
    </w:p>
    <w:p w14:paraId="3FCC5E15">
      <w:pPr>
        <w:pStyle w:val="43"/>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产品生产阶段应包括以下内容：</w:t>
      </w:r>
    </w:p>
    <w:p w14:paraId="6C5AF987">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无心磨、感应淬火（淬火回火一体）、锯切、钻中心孔、粗开球道、轴端加工、校直、外圆研磨、球道研磨、装配成套的相关过程；</w:t>
      </w:r>
    </w:p>
    <w:p w14:paraId="6610B4C2">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成品入库的相关过程；</w:t>
      </w:r>
    </w:p>
    <w:p w14:paraId="6111CCE5">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包装相关过程； </w:t>
      </w:r>
    </w:p>
    <w:p w14:paraId="5552934E">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生产设备设施的运行、维护等相关过程；</w:t>
      </w:r>
    </w:p>
    <w:p w14:paraId="3C6E507B">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半成品在生产企业各车间之间的搬运过程；</w:t>
      </w:r>
    </w:p>
    <w:p w14:paraId="04E9E481">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用水供应相关过程；</w:t>
      </w:r>
    </w:p>
    <w:p w14:paraId="57708714">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以上过程所产生的废水、废气、固废三废处理相关过程。</w:t>
      </w:r>
    </w:p>
    <w:p w14:paraId="5CB3AB07">
      <w:pPr>
        <w:pStyle w:val="43"/>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下游存储与分销阶段应包括以下内容：</w:t>
      </w:r>
    </w:p>
    <w:p w14:paraId="032EAB71">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仓库照明、通风、空调和供暖的能源消耗；</w:t>
      </w:r>
    </w:p>
    <w:p w14:paraId="475F57FC">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工厂、仓库和转运站地点间的各类运输，包括陆运、水运及空运；</w:t>
      </w:r>
    </w:p>
    <w:p w14:paraId="2B4B6925">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装载；</w:t>
      </w:r>
    </w:p>
    <w:p w14:paraId="61A6D8C0">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收货及入库；</w:t>
      </w:r>
    </w:p>
    <w:p w14:paraId="06DA8838">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运输的相关过程；</w:t>
      </w:r>
    </w:p>
    <w:p w14:paraId="2BDDFFB5">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存储的相关过程；</w:t>
      </w:r>
    </w:p>
    <w:p w14:paraId="211FE79F">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分销的相关过程。</w:t>
      </w:r>
    </w:p>
    <w:p w14:paraId="305EE0E3">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核算步骤与方法</w:t>
      </w:r>
      <w:bookmarkEnd w:id="50"/>
    </w:p>
    <w:p w14:paraId="281555B6">
      <w:pPr>
        <w:pStyle w:val="44"/>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核算步骤</w:t>
      </w:r>
    </w:p>
    <w:p w14:paraId="3C5E08A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报告主体进行单位（企业）温室气体排放核算和报告的工作流程包括以下步骤：</w:t>
      </w:r>
    </w:p>
    <w:p w14:paraId="101BF724">
      <w:pPr>
        <w:pStyle w:val="38"/>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识别排放源；</w:t>
      </w:r>
    </w:p>
    <w:p w14:paraId="31B709F0">
      <w:pPr>
        <w:pStyle w:val="38"/>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收集活动数据；</w:t>
      </w:r>
    </w:p>
    <w:p w14:paraId="372F3414">
      <w:pPr>
        <w:pStyle w:val="38"/>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选择和获取排放因子数据；</w:t>
      </w:r>
    </w:p>
    <w:p w14:paraId="06DA17B3">
      <w:pPr>
        <w:pStyle w:val="38"/>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分别计算化石燃料燃烧排放量、购入和输出的电力及热力所对应的排放量；</w:t>
      </w:r>
    </w:p>
    <w:p w14:paraId="4C792D65">
      <w:pPr>
        <w:pStyle w:val="38"/>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汇总计算单位（企业）温室气体排放量。</w:t>
      </w:r>
    </w:p>
    <w:p w14:paraId="604731FB">
      <w:pPr>
        <w:pStyle w:val="44"/>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核算方法</w:t>
      </w:r>
    </w:p>
    <w:p w14:paraId="271127B2">
      <w:pPr>
        <w:pStyle w:val="36"/>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碳排放总量</w:t>
      </w:r>
    </w:p>
    <w:p w14:paraId="57BF827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报告主体的碳排放总量按公式（</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）计算：</w:t>
      </w:r>
    </w:p>
    <w:p w14:paraId="295A47B3">
      <w:pPr>
        <w:pStyle w:val="47"/>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2"/>
          <w:sz w:val="28"/>
          <w:szCs w:val="28"/>
          <w:highlight w:val="none"/>
          <w:lang w:val="en-US" w:eastAsia="zh-CN" w:bidi="ar"/>
        </w:rPr>
        <w:drawing>
          <wp:inline distT="0" distB="0" distL="114300" distR="114300">
            <wp:extent cx="2047875" cy="200025"/>
            <wp:effectExtent l="0" t="0" r="9525" b="889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2047875" cy="2000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eastAsia="zh-CN"/>
        </w:rPr>
        <w:t>）</w:t>
      </w:r>
    </w:p>
    <w:p w14:paraId="73B2FB68">
      <w:pPr>
        <w:pStyle w:val="4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44A851A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i/>
          <w:iCs/>
          <w:sz w:val="28"/>
          <w:szCs w:val="28"/>
          <w:highlight w:val="none"/>
          <w:lang w:val="en-US"/>
        </w:rPr>
        <w:softHyphen/>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报告主体的碳排放总量，单位为吨二氧化碳（</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10334F2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vertAlign w:val="subscript"/>
          <w:lang w:eastAsia="zh-CN"/>
        </w:rPr>
        <w:t>燃烧</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报告主体的化石燃料燃烧产生的碳排放量，单位为吨二氧化碳（</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2635BA4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vertAlign w:val="subscript"/>
          <w:lang w:eastAsia="zh-CN"/>
        </w:rPr>
        <w:t>过程</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报告主体在生产过程中二氧化碳气体保护焊气体使用或泄漏产生的碳排放量，单位为吨二氧化碳（</w:t>
      </w:r>
      <w:r>
        <w:rPr>
          <w:rFonts w:hint="default" w:ascii="Times New Roman" w:hAnsi="Times New Roman" w:cs="Times New Roman"/>
          <w:sz w:val="28"/>
          <w:szCs w:val="28"/>
          <w:highlight w:val="none"/>
          <w:lang w:val="en-US"/>
        </w:rPr>
        <w:t>tC0</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5A51B76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vertAlign w:val="subscript"/>
          <w:lang w:eastAsia="zh-CN"/>
        </w:rPr>
        <w:t>购入电</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报告主体购入的电力产生的碳排放量，单位为吨二氧化碳（</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5E905D7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color w:val="000000"/>
          <w:sz w:val="28"/>
          <w:szCs w:val="28"/>
          <w:highlight w:val="none"/>
          <w:lang w:val="en-US"/>
        </w:rPr>
        <w:t>E</w:t>
      </w:r>
      <w:r>
        <w:rPr>
          <w:rFonts w:hint="default" w:ascii="Times New Roman" w:hAnsi="Times New Roman" w:cs="Times New Roman"/>
          <w:color w:val="000000"/>
          <w:sz w:val="28"/>
          <w:szCs w:val="28"/>
          <w:highlight w:val="none"/>
          <w:lang w:eastAsia="zh-CN"/>
        </w:rPr>
        <w:t>购入热</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报告主体购入的热力产生的碳排放量，单位为吨二氧化碳（</w:t>
      </w:r>
      <w:r>
        <w:rPr>
          <w:rFonts w:hint="default" w:ascii="Times New Roman" w:hAnsi="Times New Roman" w:cs="Times New Roman"/>
          <w:sz w:val="28"/>
          <w:szCs w:val="28"/>
          <w:highlight w:val="none"/>
          <w:lang w:val="en-US"/>
        </w:rPr>
        <w:t>tC0</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w:t>
      </w:r>
    </w:p>
    <w:p w14:paraId="56363F96">
      <w:pPr>
        <w:pStyle w:val="36"/>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化石燃料燃烧排放</w:t>
      </w:r>
    </w:p>
    <w:p w14:paraId="4BCFA06C">
      <w:pPr>
        <w:pStyle w:val="50"/>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计算公式</w:t>
      </w:r>
    </w:p>
    <w:p w14:paraId="662B6709">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化石燃料燃烧产生的碳排放量按公式（</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）计算，其中</w:t>
      </w:r>
      <w:r>
        <w:rPr>
          <w:rFonts w:hint="default" w:ascii="Times New Roman" w:hAnsi="Times New Roman" w:cs="Times New Roman"/>
          <w:i/>
          <w:iCs/>
          <w:sz w:val="28"/>
          <w:szCs w:val="28"/>
          <w:highlight w:val="none"/>
          <w:lang w:val="en-US"/>
        </w:rPr>
        <w:t>AD</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sz w:val="28"/>
          <w:szCs w:val="28"/>
          <w:highlight w:val="none"/>
          <w:lang w:eastAsia="zh-CN"/>
        </w:rPr>
        <w:t>按公式（</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）计算；</w:t>
      </w:r>
      <w:r>
        <w:rPr>
          <w:rFonts w:hint="default" w:ascii="Times New Roman" w:hAnsi="Times New Roman" w:cs="Times New Roman"/>
          <w:i/>
          <w:iCs/>
          <w:sz w:val="28"/>
          <w:szCs w:val="28"/>
          <w:highlight w:val="none"/>
          <w:lang w:val="en-US"/>
        </w:rPr>
        <w:t>EF</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sz w:val="28"/>
          <w:szCs w:val="28"/>
          <w:highlight w:val="none"/>
          <w:lang w:eastAsia="zh-CN"/>
        </w:rPr>
        <w:t>按公式（</w:t>
      </w:r>
      <w:r>
        <w:rPr>
          <w:rFonts w:hint="default" w:ascii="Times New Roman" w:hAnsi="Times New Roman" w:cs="Times New Roman"/>
          <w:sz w:val="28"/>
          <w:szCs w:val="28"/>
          <w:highlight w:val="none"/>
          <w:lang w:val="en-US"/>
        </w:rPr>
        <w:t>4</w:t>
      </w:r>
      <w:r>
        <w:rPr>
          <w:rFonts w:hint="default" w:ascii="Times New Roman" w:hAnsi="Times New Roman" w:cs="Times New Roman"/>
          <w:sz w:val="28"/>
          <w:szCs w:val="28"/>
          <w:highlight w:val="none"/>
          <w:lang w:eastAsia="zh-CN"/>
        </w:rPr>
        <w:t>）计算：</w:t>
      </w:r>
    </w:p>
    <w:p w14:paraId="2C0D5265">
      <w:pPr>
        <w:pStyle w:val="47"/>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2"/>
          <w:sz w:val="28"/>
          <w:szCs w:val="28"/>
          <w:highlight w:val="none"/>
          <w:lang w:val="en-US" w:eastAsia="zh-CN" w:bidi="ar"/>
        </w:rPr>
        <w:drawing>
          <wp:inline distT="0" distB="0" distL="114300" distR="114300">
            <wp:extent cx="1428750" cy="200025"/>
            <wp:effectExtent l="0" t="0" r="0" b="889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428750" cy="2000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eastAsia="zh-CN"/>
        </w:rPr>
        <w:t>）</w:t>
      </w:r>
    </w:p>
    <w:p w14:paraId="677A2D13">
      <w:pPr>
        <w:pStyle w:val="4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6A7DCD19">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color w:val="000000"/>
          <w:sz w:val="28"/>
          <w:szCs w:val="28"/>
          <w:highlight w:val="none"/>
          <w:lang w:val="en-US"/>
        </w:rPr>
        <w:t>E</w:t>
      </w:r>
      <w:r>
        <w:rPr>
          <w:rFonts w:hint="default" w:ascii="Times New Roman" w:hAnsi="Times New Roman" w:cs="Times New Roman"/>
          <w:color w:val="000000"/>
          <w:sz w:val="28"/>
          <w:szCs w:val="28"/>
          <w:highlight w:val="none"/>
          <w:lang w:eastAsia="zh-CN"/>
        </w:rPr>
        <w:t xml:space="preserve">燃烧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化石燃料燃烧产生的碳排放量，单位为吨二氧化碳当量（</w:t>
      </w:r>
      <w:r>
        <w:rPr>
          <w:rFonts w:hint="default" w:ascii="Times New Roman" w:hAnsi="Times New Roman" w:cs="Times New Roman"/>
          <w:sz w:val="28"/>
          <w:szCs w:val="28"/>
          <w:highlight w:val="none"/>
          <w:lang w:val="en-US"/>
        </w:rPr>
        <w:t>tCO2e</w:t>
      </w:r>
      <w:r>
        <w:rPr>
          <w:rFonts w:hint="default" w:ascii="Times New Roman" w:hAnsi="Times New Roman" w:cs="Times New Roman"/>
          <w:sz w:val="28"/>
          <w:szCs w:val="28"/>
          <w:highlight w:val="none"/>
          <w:lang w:eastAsia="zh-CN"/>
        </w:rPr>
        <w:t>）；</w:t>
      </w:r>
    </w:p>
    <w:p w14:paraId="029C8755">
      <w:pPr>
        <w:pStyle w:val="35"/>
        <w:widowControl/>
        <w:spacing w:line="360" w:lineRule="auto"/>
        <w:ind w:left="0" w:firstLine="420"/>
        <w:rPr>
          <w:rFonts w:hint="default" w:ascii="Times New Roman" w:hAnsi="Times New Roman" w:cs="Times New Roman"/>
          <w:b/>
          <w:bCs/>
          <w:sz w:val="28"/>
          <w:szCs w:val="28"/>
          <w:highlight w:val="none"/>
          <w:lang w:val="en-US"/>
        </w:rPr>
      </w:pPr>
      <w:r>
        <w:rPr>
          <w:rFonts w:hint="default" w:ascii="Times New Roman" w:hAnsi="Times New Roman" w:cs="Times New Roman"/>
          <w:i/>
          <w:iCs/>
          <w:color w:val="000000"/>
          <w:sz w:val="28"/>
          <w:szCs w:val="28"/>
          <w:highlight w:val="none"/>
          <w:lang w:val="en-US"/>
        </w:rPr>
        <w:t>ADm</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核算和报告期内消耗的第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种化石燃料的活动数据，单位为吉焦（</w:t>
      </w:r>
      <w:r>
        <w:rPr>
          <w:rFonts w:hint="default" w:ascii="Times New Roman" w:hAnsi="Times New Roman" w:cs="Times New Roman"/>
          <w:sz w:val="28"/>
          <w:szCs w:val="28"/>
          <w:highlight w:val="none"/>
          <w:lang w:val="en-US"/>
        </w:rPr>
        <w:t>GJ</w:t>
      </w:r>
      <w:r>
        <w:rPr>
          <w:rFonts w:hint="default" w:ascii="Times New Roman" w:hAnsi="Times New Roman" w:cs="Times New Roman"/>
          <w:sz w:val="28"/>
          <w:szCs w:val="28"/>
          <w:highlight w:val="none"/>
          <w:lang w:eastAsia="zh-CN"/>
        </w:rPr>
        <w:t>）；</w:t>
      </w:r>
    </w:p>
    <w:p w14:paraId="6213B95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color w:val="000000"/>
          <w:sz w:val="28"/>
          <w:szCs w:val="28"/>
          <w:highlight w:val="none"/>
          <w:lang w:val="en-US"/>
        </w:rPr>
        <w:t xml:space="preserve">EFm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种化石燃料的二氧化碳排放因子，单位为吨二氧化碳每吉焦（</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e/GJ</w:t>
      </w:r>
      <w:r>
        <w:rPr>
          <w:rFonts w:hint="default" w:ascii="Times New Roman" w:hAnsi="Times New Roman" w:cs="Times New Roman"/>
          <w:sz w:val="28"/>
          <w:szCs w:val="28"/>
          <w:highlight w:val="none"/>
          <w:lang w:eastAsia="zh-CN"/>
        </w:rPr>
        <w:t>）；</w:t>
      </w:r>
    </w:p>
    <w:p w14:paraId="15FA204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color w:val="000000"/>
          <w:sz w:val="28"/>
          <w:szCs w:val="28"/>
          <w:highlight w:val="none"/>
          <w:lang w:val="en-US"/>
        </w:rPr>
        <w:t xml:space="preserve">m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化石燃料种类。</w:t>
      </w:r>
    </w:p>
    <w:p w14:paraId="6A222C6B">
      <w:pPr>
        <w:pStyle w:val="47"/>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5"/>
          <w:sz w:val="28"/>
          <w:szCs w:val="28"/>
          <w:highlight w:val="none"/>
          <w:lang w:val="en-US" w:eastAsia="zh-CN" w:bidi="ar"/>
        </w:rPr>
        <w:drawing>
          <wp:inline distT="0" distB="0" distL="114300" distR="114300">
            <wp:extent cx="1171575" cy="152400"/>
            <wp:effectExtent l="0" t="0" r="9525"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171575" cy="152400"/>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eastAsia="zh-CN"/>
        </w:rPr>
        <w:t>）</w:t>
      </w:r>
    </w:p>
    <w:p w14:paraId="774EC032">
      <w:pPr>
        <w:pStyle w:val="4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3BAE9E2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NCV</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种化石燃料的平均低位发热量。对于固体和液体燃料，单位为吉焦每吨（</w:t>
      </w:r>
      <w:r>
        <w:rPr>
          <w:rFonts w:hint="default" w:ascii="Times New Roman" w:hAnsi="Times New Roman" w:cs="Times New Roman"/>
          <w:sz w:val="28"/>
          <w:szCs w:val="28"/>
          <w:highlight w:val="none"/>
          <w:lang w:val="en-US"/>
        </w:rPr>
        <w:t>GJ/t</w:t>
      </w:r>
      <w:r>
        <w:rPr>
          <w:rFonts w:hint="default" w:ascii="Times New Roman" w:hAnsi="Times New Roman" w:cs="Times New Roman"/>
          <w:sz w:val="28"/>
          <w:szCs w:val="28"/>
          <w:highlight w:val="none"/>
          <w:lang w:eastAsia="zh-CN"/>
        </w:rPr>
        <w:t>）；对于气体燃料，单位为吉焦每万标立方米（</w:t>
      </w:r>
      <w:r>
        <w:rPr>
          <w:rFonts w:hint="default" w:ascii="Times New Roman" w:hAnsi="Times New Roman" w:cs="Times New Roman"/>
          <w:sz w:val="28"/>
          <w:szCs w:val="28"/>
          <w:highlight w:val="none"/>
          <w:lang w:val="en-US"/>
        </w:rPr>
        <w:t>GJ/10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r>
        <w:rPr>
          <w:rFonts w:hint="default" w:ascii="Times New Roman" w:hAnsi="Times New Roman" w:cs="Times New Roman"/>
          <w:sz w:val="28"/>
          <w:szCs w:val="28"/>
          <w:highlight w:val="none"/>
          <w:lang w:eastAsia="zh-CN"/>
        </w:rPr>
        <w:t>）；</w:t>
      </w:r>
    </w:p>
    <w:p w14:paraId="03966A3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FC</w:t>
      </w:r>
      <w:r>
        <w:rPr>
          <w:rFonts w:hint="default" w:ascii="Times New Roman" w:hAnsi="Times New Roman" w:cs="Times New Roman"/>
          <w:i/>
          <w:iCs/>
          <w:sz w:val="28"/>
          <w:szCs w:val="28"/>
          <w:highlight w:val="none"/>
          <w:vertAlign w:val="subscript"/>
          <w:lang w:val="en-US"/>
        </w:rPr>
        <w:t>m</w:t>
      </w:r>
      <w:r>
        <w:rPr>
          <w:rFonts w:hint="default" w:ascii="Times New Roman" w:hAnsi="Times New Roman" w:cs="Times New Roman"/>
          <w:i/>
          <w:iCs/>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种化石燃料的净消耗量。对于固体和液体燃料，单位为吨（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）；对于气体燃料，单位为万标立方米（</w:t>
      </w: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vertAlign w:val="superscript"/>
          <w:lang w:val="en-US"/>
        </w:rPr>
        <w:t>4</w:t>
      </w:r>
      <w:r>
        <w:rPr>
          <w:rFonts w:hint="default" w:ascii="Times New Roman" w:hAnsi="Times New Roman" w:cs="Times New Roman"/>
          <w:sz w:val="28"/>
          <w:szCs w:val="28"/>
          <w:highlight w:val="none"/>
          <w:lang w:val="en-US"/>
        </w:rPr>
        <w:t>Nm</w:t>
      </w:r>
      <w:r>
        <w:rPr>
          <w:rFonts w:hint="default" w:ascii="Times New Roman" w:hAnsi="Times New Roman" w:cs="Times New Roman"/>
          <w:sz w:val="28"/>
          <w:szCs w:val="28"/>
          <w:highlight w:val="none"/>
          <w:vertAlign w:val="superscript"/>
          <w:lang w:val="en-US"/>
        </w:rPr>
        <w:t>3</w:t>
      </w:r>
      <w:r>
        <w:rPr>
          <w:rFonts w:hint="default" w:ascii="Times New Roman" w:hAnsi="Times New Roman" w:cs="Times New Roman"/>
          <w:sz w:val="28"/>
          <w:szCs w:val="28"/>
          <w:highlight w:val="none"/>
          <w:lang w:eastAsia="zh-CN"/>
        </w:rPr>
        <w:t>）。</w:t>
      </w:r>
    </w:p>
    <w:p w14:paraId="60202258">
      <w:pPr>
        <w:pStyle w:val="47"/>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1"/>
          <w:sz w:val="28"/>
          <w:szCs w:val="28"/>
          <w:highlight w:val="none"/>
          <w:lang w:val="en-US" w:eastAsia="zh-CN" w:bidi="ar"/>
        </w:rPr>
        <w:drawing>
          <wp:inline distT="0" distB="0" distL="114300" distR="114300">
            <wp:extent cx="1314450" cy="228600"/>
            <wp:effectExtent l="0"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314450" cy="228600"/>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eastAsia="zh-CN"/>
        </w:rPr>
        <w:t>）</w:t>
      </w:r>
    </w:p>
    <w:p w14:paraId="41933349">
      <w:pPr>
        <w:pStyle w:val="4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037034D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CCm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种化石燃料的单位热值含碳量，单位为吨二氧化碳每吉焦（</w:t>
      </w:r>
      <w:r>
        <w:rPr>
          <w:rFonts w:hint="default" w:ascii="Times New Roman" w:hAnsi="Times New Roman" w:cs="Times New Roman"/>
          <w:sz w:val="28"/>
          <w:szCs w:val="28"/>
          <w:highlight w:val="none"/>
          <w:lang w:val="en-US"/>
        </w:rPr>
        <w:t>tCO2e/GJ</w:t>
      </w:r>
      <w:r>
        <w:rPr>
          <w:rFonts w:hint="default" w:ascii="Times New Roman" w:hAnsi="Times New Roman" w:cs="Times New Roman"/>
          <w:sz w:val="28"/>
          <w:szCs w:val="28"/>
          <w:highlight w:val="none"/>
          <w:lang w:eastAsia="zh-CN"/>
        </w:rPr>
        <w:t xml:space="preserve">）； </w:t>
      </w:r>
    </w:p>
    <w:p w14:paraId="2A0DC67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OFm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m</w:t>
      </w:r>
      <w:r>
        <w:rPr>
          <w:rFonts w:hint="default" w:ascii="Times New Roman" w:hAnsi="Times New Roman" w:cs="Times New Roman"/>
          <w:sz w:val="28"/>
          <w:szCs w:val="28"/>
          <w:highlight w:val="none"/>
          <w:lang w:eastAsia="zh-CN"/>
        </w:rPr>
        <w:t>种化石燃料的碳氧化率，</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 xml:space="preserve">； </w:t>
      </w:r>
    </w:p>
    <w:p w14:paraId="22B350D5">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等线" w:cs="Times New Roman"/>
          <w:position w:val="-11"/>
          <w:sz w:val="28"/>
          <w:szCs w:val="28"/>
          <w:highlight w:val="none"/>
          <w:lang w:val="en-US" w:eastAsia="zh-CN" w:bidi="ar"/>
        </w:rPr>
        <w:drawing>
          <wp:inline distT="0" distB="0" distL="114300" distR="114300">
            <wp:extent cx="114300" cy="2286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14300" cy="228600"/>
                    </a:xfrm>
                    <a:prstGeom prst="rect">
                      <a:avLst/>
                    </a:prstGeom>
                    <a:noFill/>
                    <a:ln>
                      <a:noFill/>
                    </a:ln>
                  </pic:spPr>
                </pic:pic>
              </a:graphicData>
            </a:graphic>
          </wp:inline>
        </w:drawing>
      </w:r>
      <w:r>
        <w:rPr>
          <w:rFonts w:hint="default" w:ascii="Times New Roman" w:hAnsi="Times New Roman" w:cs="Times New Roman"/>
          <w:kern w:val="2"/>
          <w:sz w:val="28"/>
          <w:szCs w:val="28"/>
          <w:highlight w:val="none"/>
          <w:lang w:val="en-US"/>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二氧化碳与碳的相对分子质量之比。</w:t>
      </w:r>
    </w:p>
    <w:p w14:paraId="78E0C5E6">
      <w:pPr>
        <w:pStyle w:val="50"/>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活动数据获取 </w:t>
      </w:r>
    </w:p>
    <w:p w14:paraId="3FD4F3F7">
      <w:pPr>
        <w:pStyle w:val="48"/>
        <w:widowControl/>
        <w:numPr>
          <w:ilvl w:val="5"/>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各种化石燃料的消耗量应根据核算和报告期内生产所消耗的计量数据来确定。燃煤消耗量采用每批 次进厂煤计量数据。燃油、燃气消耗量应至少每月测量。对于报告主体自行开展煤制水煤气和</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或煤制水 煤浆的，应按对应购入的各类煤的消耗量统计并计算碳排放量。</w:t>
      </w:r>
    </w:p>
    <w:p w14:paraId="79817C0D">
      <w:pPr>
        <w:pStyle w:val="48"/>
        <w:widowControl/>
        <w:numPr>
          <w:ilvl w:val="5"/>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企业应按</w:t>
      </w:r>
      <w:r>
        <w:rPr>
          <w:rFonts w:hint="default" w:ascii="Times New Roman" w:hAnsi="Times New Roman" w:cs="Times New Roman"/>
          <w:sz w:val="28"/>
          <w:szCs w:val="28"/>
          <w:highlight w:val="none"/>
          <w:lang w:val="en-US"/>
        </w:rPr>
        <w:t>GB/T 213</w:t>
      </w:r>
      <w:r>
        <w:rPr>
          <w:rFonts w:hint="default" w:ascii="Times New Roman" w:hAnsi="Times New Roman" w:cs="Times New Roman"/>
          <w:sz w:val="28"/>
          <w:szCs w:val="28"/>
          <w:highlight w:val="none"/>
          <w:lang w:eastAsia="zh-CN"/>
        </w:rPr>
        <w:t>对每批次进厂燃煤低位发热量进行检测，燃煤月度平均低位发热量数值采用每批 次检测数据加权计算得到，权重为每批次煤量，并与对应的消耗状态保持一致。</w:t>
      </w:r>
    </w:p>
    <w:p w14:paraId="0EA74C26">
      <w:pPr>
        <w:pStyle w:val="48"/>
        <w:widowControl/>
        <w:numPr>
          <w:ilvl w:val="5"/>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燃油和燃气的低位发热量应按照</w:t>
      </w:r>
      <w:r>
        <w:rPr>
          <w:rFonts w:hint="default" w:ascii="Times New Roman" w:hAnsi="Times New Roman" w:cs="Times New Roman"/>
          <w:sz w:val="28"/>
          <w:szCs w:val="28"/>
          <w:highlight w:val="none"/>
          <w:lang w:val="en-US"/>
        </w:rPr>
        <w:t>GB/T 384</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GB/T 22723</w:t>
      </w:r>
      <w:r>
        <w:rPr>
          <w:rFonts w:hint="default" w:ascii="Times New Roman" w:hAnsi="Times New Roman" w:cs="Times New Roman"/>
          <w:sz w:val="28"/>
          <w:szCs w:val="28"/>
          <w:highlight w:val="none"/>
          <w:lang w:eastAsia="zh-CN"/>
        </w:rPr>
        <w:t>检测。</w:t>
      </w:r>
    </w:p>
    <w:p w14:paraId="415D1EF2">
      <w:pPr>
        <w:pStyle w:val="36"/>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过程排放</w:t>
      </w:r>
    </w:p>
    <w:p w14:paraId="1498E787">
      <w:pPr>
        <w:pStyle w:val="50"/>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计算公式</w:t>
      </w:r>
    </w:p>
    <w:p w14:paraId="50EFAE30">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生产过程中二氧化碳气体保护焊产生的碳排放量按公式（</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6</w:t>
      </w:r>
      <w:r>
        <w:rPr>
          <w:rFonts w:hint="default" w:ascii="Times New Roman" w:hAnsi="Times New Roman" w:cs="Times New Roman"/>
          <w:sz w:val="28"/>
          <w:szCs w:val="28"/>
          <w:highlight w:val="none"/>
          <w:lang w:eastAsia="zh-CN"/>
        </w:rPr>
        <w:t>）计算；其中</w:t>
      </w:r>
      <w:r>
        <w:rPr>
          <w:rFonts w:hint="default" w:ascii="Times New Roman" w:hAnsi="Times New Roman" w:cs="Times New Roman"/>
          <w:i/>
          <w:iCs/>
          <w:sz w:val="28"/>
          <w:szCs w:val="28"/>
          <w:highlight w:val="none"/>
          <w:lang w:val="en-US"/>
        </w:rPr>
        <w:t>W</w:t>
      </w:r>
      <w:r>
        <w:rPr>
          <w:rFonts w:hint="default" w:ascii="Times New Roman" w:hAnsi="Times New Roman" w:cs="Times New Roman"/>
          <w:i/>
          <w:iCs/>
          <w:sz w:val="28"/>
          <w:szCs w:val="28"/>
          <w:highlight w:val="none"/>
          <w:vertAlign w:val="subscript"/>
          <w:lang w:val="en-US"/>
        </w:rPr>
        <w:t>i</w:t>
      </w:r>
      <w:r>
        <w:rPr>
          <w:rFonts w:hint="default" w:ascii="Times New Roman" w:hAnsi="Times New Roman" w:cs="Times New Roman"/>
          <w:sz w:val="28"/>
          <w:szCs w:val="28"/>
          <w:highlight w:val="none"/>
          <w:lang w:eastAsia="zh-CN"/>
        </w:rPr>
        <w:t>按公式（</w:t>
      </w:r>
      <w:r>
        <w:rPr>
          <w:rFonts w:hint="default" w:ascii="Times New Roman" w:hAnsi="Times New Roman" w:cs="Times New Roman"/>
          <w:sz w:val="28"/>
          <w:szCs w:val="28"/>
          <w:highlight w:val="none"/>
          <w:lang w:val="en-US"/>
        </w:rPr>
        <w:t>7</w:t>
      </w:r>
      <w:r>
        <w:rPr>
          <w:rFonts w:hint="default" w:ascii="Times New Roman" w:hAnsi="Times New Roman" w:cs="Times New Roman"/>
          <w:sz w:val="28"/>
          <w:szCs w:val="28"/>
          <w:highlight w:val="none"/>
          <w:lang w:eastAsia="zh-CN"/>
        </w:rPr>
        <w:t>）计算：</w:t>
      </w:r>
    </w:p>
    <w:p w14:paraId="53B63A51">
      <w:pPr>
        <w:pStyle w:val="47"/>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5"/>
          <w:sz w:val="28"/>
          <w:szCs w:val="28"/>
          <w:highlight w:val="none"/>
          <w:lang w:val="en-US" w:eastAsia="zh-CN" w:bidi="ar"/>
        </w:rPr>
        <w:drawing>
          <wp:inline distT="0" distB="0" distL="114300" distR="114300">
            <wp:extent cx="819150" cy="161925"/>
            <wp:effectExtent l="0" t="0" r="0" b="825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819150" cy="1619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eastAsia="zh-CN"/>
        </w:rPr>
        <w:t>）</w:t>
      </w:r>
    </w:p>
    <w:p w14:paraId="491193A1">
      <w:pPr>
        <w:pStyle w:val="47"/>
        <w:widowControl/>
        <w:spacing w:before="240" w:beforeLines="100" w:beforeAutospacing="0" w:after="240" w:afterLines="100" w:afterAutospacing="0" w:line="360" w:lineRule="auto"/>
        <w:ind w:left="0" w:right="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8"/>
          <w:sz w:val="28"/>
          <w:szCs w:val="28"/>
          <w:highlight w:val="none"/>
          <w:lang w:val="en-US" w:eastAsia="zh-CN" w:bidi="ar"/>
        </w:rPr>
        <w:drawing>
          <wp:inline distT="0" distB="0" distL="114300" distR="114300">
            <wp:extent cx="1123950" cy="266700"/>
            <wp:effectExtent l="0" t="0" r="0" b="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1123950" cy="266700"/>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eastAsia="zh-CN"/>
        </w:rPr>
        <w:t>）</w:t>
      </w:r>
    </w:p>
    <w:p w14:paraId="37C2D3D0">
      <w:pPr>
        <w:pStyle w:val="4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0776289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lang w:val="en-US"/>
        </w:rPr>
        <w:t>WD——</w:t>
      </w:r>
      <w:r>
        <w:rPr>
          <w:rFonts w:hint="default" w:ascii="Times New Roman" w:hAnsi="Times New Roman" w:cs="Times New Roman"/>
          <w:sz w:val="28"/>
          <w:szCs w:val="28"/>
          <w:highlight w:val="none"/>
          <w:lang w:eastAsia="zh-CN"/>
        </w:rPr>
        <w:t>二氧化碳气体保护焊产生的碳排放量，单位为吨二氧化碳当量（</w:t>
      </w:r>
      <w:r>
        <w:rPr>
          <w:rFonts w:hint="default" w:ascii="Times New Roman" w:hAnsi="Times New Roman" w:cs="Times New Roman"/>
          <w:sz w:val="28"/>
          <w:szCs w:val="28"/>
          <w:highlight w:val="none"/>
          <w:lang w:val="en-US"/>
        </w:rPr>
        <w:t>tCO2e</w:t>
      </w:r>
      <w:r>
        <w:rPr>
          <w:rFonts w:hint="default" w:ascii="Times New Roman" w:hAnsi="Times New Roman" w:cs="Times New Roman"/>
          <w:sz w:val="28"/>
          <w:szCs w:val="28"/>
          <w:highlight w:val="none"/>
          <w:lang w:eastAsia="zh-CN"/>
        </w:rPr>
        <w:t>）；</w:t>
      </w:r>
    </w:p>
    <w:p w14:paraId="724ECE39">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Ei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w:t>
      </w:r>
      <w:r>
        <w:rPr>
          <w:rFonts w:hint="default" w:ascii="Times New Roman" w:hAnsi="Times New Roman" w:cs="Times New Roman"/>
          <w:sz w:val="28"/>
          <w:szCs w:val="28"/>
          <w:highlight w:val="none"/>
          <w:lang w:val="en-US"/>
        </w:rPr>
        <w:t>CO2</w:t>
      </w:r>
      <w:r>
        <w:rPr>
          <w:rFonts w:hint="default" w:ascii="Times New Roman" w:hAnsi="Times New Roman" w:cs="Times New Roman"/>
          <w:sz w:val="28"/>
          <w:szCs w:val="28"/>
          <w:highlight w:val="none"/>
          <w:lang w:eastAsia="zh-CN"/>
        </w:rPr>
        <w:t>排放量，单位为吨二氧化碳当量（</w:t>
      </w:r>
      <w:r>
        <w:rPr>
          <w:rFonts w:hint="default" w:ascii="Times New Roman" w:hAnsi="Times New Roman" w:cs="Times New Roman"/>
          <w:sz w:val="28"/>
          <w:szCs w:val="28"/>
          <w:highlight w:val="none"/>
          <w:lang w:val="en-US"/>
        </w:rPr>
        <w:t>tCO2e</w:t>
      </w:r>
      <w:r>
        <w:rPr>
          <w:rFonts w:hint="default" w:ascii="Times New Roman" w:hAnsi="Times New Roman" w:cs="Times New Roman"/>
          <w:sz w:val="28"/>
          <w:szCs w:val="28"/>
          <w:highlight w:val="none"/>
          <w:lang w:eastAsia="zh-CN"/>
        </w:rPr>
        <w:t>）；</w:t>
      </w:r>
    </w:p>
    <w:p w14:paraId="057810D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Wi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报告期内第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种保护气的净使用量，单位为吨（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w:t>
      </w:r>
    </w:p>
    <w:p w14:paraId="274B0B2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Pi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种保护气中</w:t>
      </w:r>
      <w:r>
        <w:rPr>
          <w:rFonts w:hint="default" w:ascii="Times New Roman" w:hAnsi="Times New Roman" w:cs="Times New Roman"/>
          <w:sz w:val="28"/>
          <w:szCs w:val="28"/>
          <w:highlight w:val="none"/>
          <w:lang w:val="en-US"/>
        </w:rPr>
        <w:t>CO2</w:t>
      </w:r>
      <w:r>
        <w:rPr>
          <w:rFonts w:hint="default" w:ascii="Times New Roman" w:hAnsi="Times New Roman" w:cs="Times New Roman"/>
          <w:sz w:val="28"/>
          <w:szCs w:val="28"/>
          <w:highlight w:val="none"/>
          <w:lang w:eastAsia="zh-CN"/>
        </w:rPr>
        <w:t>的体积百分比，</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w:t>
      </w:r>
    </w:p>
    <w:p w14:paraId="7376796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Pj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混合气体中第</w:t>
      </w:r>
      <w:r>
        <w:rPr>
          <w:rFonts w:hint="default" w:ascii="Times New Roman" w:hAnsi="Times New Roman" w:cs="Times New Roman"/>
          <w:i/>
          <w:iCs/>
          <w:sz w:val="28"/>
          <w:szCs w:val="28"/>
          <w:highlight w:val="none"/>
          <w:lang w:val="en-US"/>
        </w:rPr>
        <w:t>j</w:t>
      </w:r>
      <w:r>
        <w:rPr>
          <w:rFonts w:hint="default" w:ascii="Times New Roman" w:hAnsi="Times New Roman" w:cs="Times New Roman"/>
          <w:sz w:val="28"/>
          <w:szCs w:val="28"/>
          <w:highlight w:val="none"/>
          <w:lang w:eastAsia="zh-CN"/>
        </w:rPr>
        <w:t>种气体的体积百分比，</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w:t>
      </w:r>
    </w:p>
    <w:p w14:paraId="4110E7F2">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Mj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混合气体中第</w:t>
      </w:r>
      <w:r>
        <w:rPr>
          <w:rFonts w:hint="default" w:ascii="Times New Roman" w:hAnsi="Times New Roman" w:cs="Times New Roman"/>
          <w:i/>
          <w:iCs/>
          <w:sz w:val="28"/>
          <w:szCs w:val="28"/>
          <w:highlight w:val="none"/>
          <w:lang w:val="en-US"/>
        </w:rPr>
        <w:t>j</w:t>
      </w:r>
      <w:r>
        <w:rPr>
          <w:rFonts w:hint="default" w:ascii="Times New Roman" w:hAnsi="Times New Roman" w:cs="Times New Roman"/>
          <w:sz w:val="28"/>
          <w:szCs w:val="28"/>
          <w:highlight w:val="none"/>
          <w:lang w:eastAsia="zh-CN"/>
        </w:rPr>
        <w:t>种气体的摩尔质量，单位为克每摩尔（</w:t>
      </w:r>
      <w:r>
        <w:rPr>
          <w:rFonts w:hint="default" w:ascii="Times New Roman" w:hAnsi="Times New Roman" w:cs="Times New Roman"/>
          <w:sz w:val="28"/>
          <w:szCs w:val="28"/>
          <w:highlight w:val="none"/>
          <w:lang w:val="en-US"/>
        </w:rPr>
        <w:t>g/mol</w:t>
      </w:r>
      <w:r>
        <w:rPr>
          <w:rFonts w:hint="default" w:ascii="Times New Roman" w:hAnsi="Times New Roman" w:cs="Times New Roman"/>
          <w:sz w:val="28"/>
          <w:szCs w:val="28"/>
          <w:highlight w:val="none"/>
          <w:lang w:eastAsia="zh-CN"/>
        </w:rPr>
        <w:t>）；</w:t>
      </w:r>
    </w:p>
    <w:p w14:paraId="61D826A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保护气类型；</w:t>
      </w:r>
    </w:p>
    <w:p w14:paraId="549FC1D0">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j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混合保护气气体种类。</w:t>
      </w:r>
    </w:p>
    <w:p w14:paraId="0AB7F040">
      <w:pPr>
        <w:pStyle w:val="47"/>
        <w:widowControl/>
        <w:spacing w:before="240" w:beforeLines="100" w:beforeAutospacing="0"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5"/>
          <w:sz w:val="28"/>
          <w:szCs w:val="28"/>
          <w:highlight w:val="none"/>
          <w:lang w:val="en-US" w:eastAsia="zh-CN" w:bidi="ar"/>
        </w:rPr>
        <w:drawing>
          <wp:inline distT="0" distB="0" distL="114300" distR="114300">
            <wp:extent cx="1524000" cy="152400"/>
            <wp:effectExtent l="0" t="0" r="0"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1524000" cy="152400"/>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eastAsia="zh-CN"/>
        </w:rPr>
        <w:t>）</w:t>
      </w:r>
    </w:p>
    <w:p w14:paraId="078ED384">
      <w:pPr>
        <w:pStyle w:val="4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0E42C48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Wi</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种保护气体的使用量，单位为吨（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 xml:space="preserve">）； </w:t>
      </w:r>
    </w:p>
    <w:p w14:paraId="66DBD9C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IBi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种保护气的期初库存量，单位为吨（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 xml:space="preserve">）； </w:t>
      </w:r>
    </w:p>
    <w:p w14:paraId="7E476C45">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IEi</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报告期内第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种保护气的购入量，单位为吨（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 xml:space="preserve">）； </w:t>
      </w:r>
    </w:p>
    <w:p w14:paraId="0D0EBD3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ACi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种保护气的期末库存量，单位为吨（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 xml:space="preserve">）； </w:t>
      </w:r>
    </w:p>
    <w:p w14:paraId="0F214BE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DIi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报告期内第</w:t>
      </w:r>
      <w:r>
        <w:rPr>
          <w:rFonts w:hint="default" w:ascii="Times New Roman" w:hAnsi="Times New Roman" w:cs="Times New Roman"/>
          <w:i/>
          <w:iCs/>
          <w:sz w:val="28"/>
          <w:szCs w:val="28"/>
          <w:highlight w:val="none"/>
          <w:lang w:val="en-US"/>
        </w:rPr>
        <w:t>i</w:t>
      </w:r>
      <w:r>
        <w:rPr>
          <w:rFonts w:hint="default" w:ascii="Times New Roman" w:hAnsi="Times New Roman" w:cs="Times New Roman"/>
          <w:sz w:val="28"/>
          <w:szCs w:val="28"/>
          <w:highlight w:val="none"/>
          <w:lang w:eastAsia="zh-CN"/>
        </w:rPr>
        <w:t>种保护气的售出量，单位为吨（</w:t>
      </w:r>
      <w:r>
        <w:rPr>
          <w:rFonts w:hint="default" w:ascii="Times New Roman" w:hAnsi="Times New Roman" w:cs="Times New Roman"/>
          <w:sz w:val="28"/>
          <w:szCs w:val="28"/>
          <w:highlight w:val="none"/>
          <w:lang w:val="en-US"/>
        </w:rPr>
        <w:t>t</w:t>
      </w:r>
      <w:r>
        <w:rPr>
          <w:rFonts w:hint="default" w:ascii="Times New Roman" w:hAnsi="Times New Roman" w:cs="Times New Roman"/>
          <w:sz w:val="28"/>
          <w:szCs w:val="28"/>
          <w:highlight w:val="none"/>
          <w:lang w:eastAsia="zh-CN"/>
        </w:rPr>
        <w:t xml:space="preserve">）； </w:t>
      </w:r>
    </w:p>
    <w:p w14:paraId="1C13F1B3">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 xml:space="preserve">i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含二氧化碳的电焊保护气体种类。</w:t>
      </w:r>
    </w:p>
    <w:p w14:paraId="12388E10">
      <w:pPr>
        <w:pStyle w:val="50"/>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活动数据获取 </w:t>
      </w:r>
    </w:p>
    <w:p w14:paraId="4036B3E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保护气的期初库存量、期末库存量取自企业的台账记录，购入量、售出量采用结算凭证数据。其他参数可见保护气瓶标识，或由保护气供应商提供。 </w:t>
      </w:r>
    </w:p>
    <w:p w14:paraId="4C36FB68">
      <w:pPr>
        <w:pStyle w:val="36"/>
        <w:widowControl/>
        <w:numPr>
          <w:ilvl w:val="3"/>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购入电力和热力产生的排放 </w:t>
      </w:r>
    </w:p>
    <w:p w14:paraId="2201A261">
      <w:pPr>
        <w:pStyle w:val="50"/>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计算公式 </w:t>
      </w:r>
    </w:p>
    <w:p w14:paraId="6F443BAC">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报告主体购入电力生产产生的碳排放量按公式（</w:t>
      </w:r>
      <w:r>
        <w:rPr>
          <w:rFonts w:hint="default" w:ascii="Times New Roman" w:hAnsi="Times New Roman" w:cs="Times New Roman"/>
          <w:sz w:val="28"/>
          <w:szCs w:val="28"/>
          <w:highlight w:val="none"/>
          <w:lang w:val="en-US"/>
        </w:rPr>
        <w:t>8</w:t>
      </w:r>
      <w:r>
        <w:rPr>
          <w:rFonts w:hint="default" w:ascii="Times New Roman" w:hAnsi="Times New Roman" w:cs="Times New Roman"/>
          <w:sz w:val="28"/>
          <w:szCs w:val="28"/>
          <w:highlight w:val="none"/>
          <w:lang w:eastAsia="zh-CN"/>
        </w:rPr>
        <w:t>）计算：</w:t>
      </w:r>
    </w:p>
    <w:p w14:paraId="59A18778">
      <w:pPr>
        <w:pStyle w:val="47"/>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2"/>
          <w:sz w:val="28"/>
          <w:szCs w:val="28"/>
          <w:highlight w:val="none"/>
          <w:lang w:val="en-US" w:eastAsia="zh-CN" w:bidi="ar"/>
        </w:rPr>
        <w:drawing>
          <wp:inline distT="0" distB="0" distL="114300" distR="114300">
            <wp:extent cx="1438275" cy="200025"/>
            <wp:effectExtent l="0" t="0" r="9525" b="889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438275" cy="2000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eastAsia="zh-CN"/>
        </w:rPr>
        <w:t>）</w:t>
      </w:r>
    </w:p>
    <w:p w14:paraId="559672F3">
      <w:pPr>
        <w:pStyle w:val="4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1F5BA515">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lang w:eastAsia="zh-CN"/>
        </w:rPr>
        <w:t>购入电</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购入电力生产产生的碳排放量，单位为吨二氧化碳当量（</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 xml:space="preserve">）； </w:t>
      </w:r>
    </w:p>
    <w:p w14:paraId="72702F6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AD</w:t>
      </w:r>
      <w:r>
        <w:rPr>
          <w:rFonts w:hint="default" w:ascii="Times New Roman" w:hAnsi="Times New Roman" w:cs="Times New Roman"/>
          <w:sz w:val="28"/>
          <w:szCs w:val="28"/>
          <w:highlight w:val="none"/>
          <w:lang w:eastAsia="zh-CN"/>
        </w:rPr>
        <w:t>购入电</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核算和报告期内购入电量，单位为兆瓦时（</w:t>
      </w:r>
      <w:r>
        <w:rPr>
          <w:rFonts w:hint="default" w:ascii="Times New Roman" w:hAnsi="Times New Roman" w:cs="Times New Roman"/>
          <w:sz w:val="28"/>
          <w:szCs w:val="28"/>
          <w:highlight w:val="none"/>
          <w:lang w:val="en-US"/>
        </w:rPr>
        <w:t>MW·h</w:t>
      </w:r>
      <w:r>
        <w:rPr>
          <w:rFonts w:hint="default" w:ascii="Times New Roman" w:hAnsi="Times New Roman" w:cs="Times New Roman"/>
          <w:sz w:val="28"/>
          <w:szCs w:val="28"/>
          <w:highlight w:val="none"/>
          <w:lang w:eastAsia="zh-CN"/>
        </w:rPr>
        <w:t xml:space="preserve">）； </w:t>
      </w:r>
    </w:p>
    <w:p w14:paraId="4A5DCE5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EF</w:t>
      </w:r>
      <w:r>
        <w:rPr>
          <w:rFonts w:hint="default" w:ascii="Times New Roman" w:hAnsi="Times New Roman" w:cs="Times New Roman"/>
          <w:sz w:val="28"/>
          <w:szCs w:val="28"/>
          <w:highlight w:val="none"/>
          <w:lang w:eastAsia="zh-CN"/>
        </w:rPr>
        <w:t>电</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全国电网年平均供电排放因子</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单位为吨二氧化碳每兆瓦时</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MW·h</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w:t>
      </w:r>
    </w:p>
    <w:p w14:paraId="579F62AB">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报告主体购入热力生产产生的碳排放量按公式（</w:t>
      </w:r>
      <w:r>
        <w:rPr>
          <w:rFonts w:hint="default" w:ascii="Times New Roman" w:hAnsi="Times New Roman" w:cs="Times New Roman"/>
          <w:sz w:val="28"/>
          <w:szCs w:val="28"/>
          <w:highlight w:val="none"/>
          <w:lang w:val="en-US"/>
        </w:rPr>
        <w:t>9</w:t>
      </w:r>
      <w:r>
        <w:rPr>
          <w:rFonts w:hint="default" w:ascii="Times New Roman" w:hAnsi="Times New Roman" w:cs="Times New Roman"/>
          <w:sz w:val="28"/>
          <w:szCs w:val="28"/>
          <w:highlight w:val="none"/>
          <w:lang w:eastAsia="zh-CN"/>
        </w:rPr>
        <w:t>）计算：</w:t>
      </w:r>
    </w:p>
    <w:p w14:paraId="0D0F4C2B">
      <w:pPr>
        <w:pStyle w:val="47"/>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ab/>
      </w:r>
      <w:r>
        <w:rPr>
          <w:rFonts w:hint="default" w:ascii="Times New Roman" w:hAnsi="Times New Roman" w:eastAsia="等线" w:cs="Times New Roman"/>
          <w:position w:val="-12"/>
          <w:sz w:val="28"/>
          <w:szCs w:val="28"/>
          <w:highlight w:val="none"/>
          <w:lang w:val="en-US" w:eastAsia="zh-CN" w:bidi="ar"/>
        </w:rPr>
        <w:drawing>
          <wp:inline distT="0" distB="0" distL="114300" distR="114300">
            <wp:extent cx="1438275" cy="200025"/>
            <wp:effectExtent l="0" t="0" r="9525" b="8890"/>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1438275" cy="200025"/>
                    </a:xfrm>
                    <a:prstGeom prst="rect">
                      <a:avLst/>
                    </a:prstGeom>
                    <a:noFill/>
                    <a:ln>
                      <a:noFill/>
                    </a:ln>
                  </pic:spPr>
                </pic:pic>
              </a:graphicData>
            </a:graphic>
          </wp:inline>
        </w:drawing>
      </w:r>
      <w:r>
        <w:rPr>
          <w:rFonts w:hint="default" w:ascii="Times New Roman" w:hAnsi="Times New Roman" w:eastAsia="微软雅黑" w:cs="Times New Roman"/>
          <w:sz w:val="28"/>
          <w:szCs w:val="28"/>
          <w:highlight w:val="none"/>
          <w:lang w:val="en-US"/>
        </w:rPr>
        <w:tab/>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eastAsia="zh-CN"/>
        </w:rPr>
        <w:fldChar w:fldCharType="begin"/>
      </w:r>
      <w:r>
        <w:rPr>
          <w:rFonts w:hint="default" w:ascii="Times New Roman" w:hAnsi="Times New Roman" w:cs="Times New Roman"/>
          <w:sz w:val="28"/>
          <w:szCs w:val="28"/>
          <w:highlight w:val="none"/>
          <w:lang w:val="en-US"/>
        </w:rPr>
        <w:instrText xml:space="preserve"> AUTONUM </w:instrText>
      </w:r>
      <w:r>
        <w:rPr>
          <w:rFonts w:hint="default" w:ascii="Times New Roman" w:hAnsi="Times New Roman" w:cs="Times New Roman"/>
          <w:sz w:val="28"/>
          <w:szCs w:val="28"/>
          <w:highlight w:val="none"/>
          <w:lang w:eastAsia="zh-CN"/>
        </w:rPr>
        <w:fldChar w:fldCharType="end"/>
      </w:r>
      <w:r>
        <w:rPr>
          <w:rFonts w:hint="default" w:ascii="Times New Roman" w:hAnsi="Times New Roman" w:cs="Times New Roman"/>
          <w:sz w:val="28"/>
          <w:szCs w:val="28"/>
          <w:highlight w:val="none"/>
          <w:lang w:eastAsia="zh-CN"/>
        </w:rPr>
        <w:t>）</w:t>
      </w:r>
    </w:p>
    <w:p w14:paraId="677624E3">
      <w:pPr>
        <w:pStyle w:val="42"/>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eastAsia="宋体" w:cs="Times New Roman"/>
          <w:sz w:val="28"/>
          <w:szCs w:val="28"/>
          <w:highlight w:val="none"/>
          <w:lang w:eastAsia="zh-CN"/>
        </w:rPr>
        <w:t>式中：</w:t>
      </w:r>
    </w:p>
    <w:p w14:paraId="1A0F5FD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w:t>
      </w:r>
      <w:r>
        <w:rPr>
          <w:rFonts w:hint="default" w:ascii="Times New Roman" w:hAnsi="Times New Roman" w:cs="Times New Roman"/>
          <w:sz w:val="28"/>
          <w:szCs w:val="28"/>
          <w:highlight w:val="none"/>
          <w:lang w:eastAsia="zh-CN"/>
        </w:rPr>
        <w:t>购入热</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购入热力生产产生的碳排放量，单位为吨二氧化碳当量（</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w:t>
      </w:r>
      <w:r>
        <w:rPr>
          <w:rFonts w:hint="default" w:ascii="Times New Roman" w:hAnsi="Times New Roman" w:cs="Times New Roman"/>
          <w:sz w:val="28"/>
          <w:szCs w:val="28"/>
          <w:highlight w:val="none"/>
          <w:lang w:eastAsia="zh-CN"/>
        </w:rPr>
        <w:t xml:space="preserve">）； </w:t>
      </w:r>
    </w:p>
    <w:p w14:paraId="3369F1E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AD</w:t>
      </w:r>
      <w:r>
        <w:rPr>
          <w:rFonts w:hint="default" w:ascii="Times New Roman" w:hAnsi="Times New Roman" w:cs="Times New Roman"/>
          <w:sz w:val="28"/>
          <w:szCs w:val="28"/>
          <w:highlight w:val="none"/>
          <w:lang w:eastAsia="zh-CN"/>
        </w:rPr>
        <w:t>购入热</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核算和报告期内购入热量，单位为吉焦（</w:t>
      </w:r>
      <w:r>
        <w:rPr>
          <w:rFonts w:hint="default" w:ascii="Times New Roman" w:hAnsi="Times New Roman" w:cs="Times New Roman"/>
          <w:sz w:val="28"/>
          <w:szCs w:val="28"/>
          <w:highlight w:val="none"/>
          <w:lang w:val="en-US"/>
        </w:rPr>
        <w:t>GJ</w:t>
      </w:r>
      <w:r>
        <w:rPr>
          <w:rFonts w:hint="default" w:ascii="Times New Roman" w:hAnsi="Times New Roman" w:cs="Times New Roman"/>
          <w:sz w:val="28"/>
          <w:szCs w:val="28"/>
          <w:highlight w:val="none"/>
          <w:lang w:eastAsia="zh-CN"/>
        </w:rPr>
        <w:t xml:space="preserve">）； </w:t>
      </w:r>
    </w:p>
    <w:p w14:paraId="12E3F72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i/>
          <w:iCs/>
          <w:sz w:val="28"/>
          <w:szCs w:val="28"/>
          <w:highlight w:val="none"/>
          <w:lang w:val="en-US"/>
        </w:rPr>
        <w:t>EF</w:t>
      </w:r>
      <w:r>
        <w:rPr>
          <w:rFonts w:hint="default" w:ascii="Times New Roman" w:hAnsi="Times New Roman" w:cs="Times New Roman"/>
          <w:sz w:val="28"/>
          <w:szCs w:val="28"/>
          <w:highlight w:val="none"/>
          <w:lang w:eastAsia="zh-CN"/>
        </w:rPr>
        <w:t>热</w:t>
      </w:r>
      <w:r>
        <w:rPr>
          <w:rFonts w:hint="default" w:ascii="Times New Roman" w:hAnsi="Times New Roman" w:cs="Times New Roman"/>
          <w:sz w:val="28"/>
          <w:szCs w:val="28"/>
          <w:highlight w:val="none"/>
          <w:lang w:val="en-US"/>
        </w:rPr>
        <w:t xml:space="preserve">    ——</w:t>
      </w:r>
      <w:r>
        <w:rPr>
          <w:rFonts w:hint="default" w:ascii="Times New Roman" w:hAnsi="Times New Roman" w:cs="Times New Roman"/>
          <w:sz w:val="28"/>
          <w:szCs w:val="28"/>
          <w:highlight w:val="none"/>
          <w:lang w:eastAsia="zh-CN"/>
        </w:rPr>
        <w:t>热力排放因子</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单位为吨二氧化碳每吉焦（</w:t>
      </w:r>
      <w:r>
        <w:rPr>
          <w:rFonts w:hint="default" w:ascii="Times New Roman" w:hAnsi="Times New Roman" w:cs="Times New Roman"/>
          <w:sz w:val="28"/>
          <w:szCs w:val="28"/>
          <w:highlight w:val="none"/>
          <w:lang w:val="en-US"/>
        </w:rPr>
        <w:t>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val="en-US"/>
        </w:rPr>
        <w:t>e/GJ</w:t>
      </w:r>
      <w:r>
        <w:rPr>
          <w:rFonts w:hint="default" w:ascii="Times New Roman" w:hAnsi="Times New Roman" w:cs="Times New Roman"/>
          <w:sz w:val="28"/>
          <w:szCs w:val="28"/>
          <w:highlight w:val="none"/>
          <w:lang w:eastAsia="zh-CN"/>
        </w:rPr>
        <w:t>）。</w:t>
      </w:r>
    </w:p>
    <w:p w14:paraId="57652825">
      <w:pPr>
        <w:pStyle w:val="50"/>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活动数据获取</w:t>
      </w:r>
    </w:p>
    <w:p w14:paraId="01944F02">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购入电力和热力数据优先采用企业电表、热力表记录的读数，数据不可得时可采用供应商提供的发票或结算单等结算凭证数据。</w:t>
      </w:r>
    </w:p>
    <w:p w14:paraId="090ADB14">
      <w:pPr>
        <w:pStyle w:val="50"/>
        <w:widowControl/>
        <w:numPr>
          <w:ilvl w:val="4"/>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排放因子获取</w:t>
      </w:r>
    </w:p>
    <w:p w14:paraId="086A3F9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全国电网年平均供电排放因子应选用国家主管部门最近年份公布的全国统一的电网平均</w:t>
      </w:r>
      <w:r>
        <w:rPr>
          <w:rFonts w:hint="default" w:ascii="Times New Roman" w:hAnsi="Times New Roman" w:cs="Times New Roman"/>
          <w:sz w:val="28"/>
          <w:szCs w:val="28"/>
          <w:highlight w:val="none"/>
          <w:lang w:val="en-US"/>
        </w:rPr>
        <w:t>CO</w:t>
      </w:r>
      <w:r>
        <w:rPr>
          <w:rFonts w:hint="default" w:ascii="Times New Roman" w:hAnsi="Times New Roman" w:cs="Times New Roman"/>
          <w:sz w:val="28"/>
          <w:szCs w:val="28"/>
          <w:highlight w:val="none"/>
          <w:vertAlign w:val="subscript"/>
          <w:lang w:val="en-US"/>
        </w:rPr>
        <w:t>2</w:t>
      </w:r>
      <w:r>
        <w:rPr>
          <w:rFonts w:hint="default" w:ascii="Times New Roman" w:hAnsi="Times New Roman" w:cs="Times New Roman"/>
          <w:sz w:val="28"/>
          <w:szCs w:val="28"/>
          <w:highlight w:val="none"/>
          <w:lang w:eastAsia="zh-CN"/>
        </w:rPr>
        <w:t>排放因子，热力排放因子宜优先采用供热单位的实测值。</w:t>
      </w:r>
    </w:p>
    <w:bookmarkEnd w:id="42"/>
    <w:bookmarkEnd w:id="43"/>
    <w:bookmarkEnd w:id="44"/>
    <w:bookmarkEnd w:id="45"/>
    <w:bookmarkEnd w:id="46"/>
    <w:bookmarkEnd w:id="47"/>
    <w:bookmarkEnd w:id="48"/>
    <w:bookmarkEnd w:id="49"/>
    <w:p w14:paraId="6932526A">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51" w:name="_Toc167375533"/>
      <w:bookmarkStart w:id="52" w:name="_Toc166860769"/>
      <w:bookmarkStart w:id="53" w:name="_Toc170230359"/>
      <w:bookmarkStart w:id="54" w:name="_Toc171697122"/>
      <w:bookmarkStart w:id="55" w:name="_Toc171696857"/>
      <w:bookmarkStart w:id="56" w:name="_Toc175923777"/>
      <w:bookmarkStart w:id="57" w:name="_Toc166588520"/>
      <w:bookmarkStart w:id="58" w:name="_Toc166588530"/>
      <w:bookmarkStart w:id="59" w:name="_Toc167375535"/>
      <w:bookmarkStart w:id="60" w:name="_Toc166860771"/>
      <w:bookmarkStart w:id="61" w:name="_Hlk166509856"/>
      <w:r>
        <w:rPr>
          <w:rFonts w:hint="default" w:ascii="Times New Roman" w:hAnsi="Times New Roman" w:cs="Times New Roman"/>
          <w:sz w:val="28"/>
          <w:szCs w:val="28"/>
          <w:highlight w:val="none"/>
          <w:lang w:eastAsia="zh-CN"/>
        </w:rPr>
        <w:t>数据</w:t>
      </w:r>
      <w:bookmarkEnd w:id="51"/>
      <w:bookmarkEnd w:id="52"/>
      <w:bookmarkEnd w:id="53"/>
      <w:r>
        <w:rPr>
          <w:rFonts w:hint="default" w:ascii="Times New Roman" w:hAnsi="Times New Roman" w:cs="Times New Roman"/>
          <w:sz w:val="28"/>
          <w:szCs w:val="28"/>
          <w:highlight w:val="none"/>
          <w:lang w:eastAsia="zh-CN"/>
        </w:rPr>
        <w:t>管理</w:t>
      </w:r>
      <w:bookmarkEnd w:id="54"/>
      <w:bookmarkEnd w:id="55"/>
      <w:bookmarkEnd w:id="56"/>
    </w:p>
    <w:p w14:paraId="2AFD7708">
      <w:pPr>
        <w:pStyle w:val="44"/>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数据质量</w:t>
      </w:r>
    </w:p>
    <w:p w14:paraId="735AAE70">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产品温室气体排放核算过程中使用的数据应满足以下要求：</w:t>
      </w:r>
    </w:p>
    <w:p w14:paraId="356E52AC">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完整性：涵盖对评价的产品系统有实质性贡献的所有温室气体的排放与清除；</w:t>
      </w:r>
    </w:p>
    <w:p w14:paraId="66CA678C">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代表性：使用对评价产品而言具有时间、地理及技术针对性的数据；</w:t>
      </w:r>
    </w:p>
    <w:p w14:paraId="66BD52EA">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准确性：避免非必要偏差和不确定度；</w:t>
      </w:r>
    </w:p>
    <w:p w14:paraId="53579A9C">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使用最近至少一年的数据，若产品生产不足一年，使用从生产初始至评价前的累计数据；</w:t>
      </w:r>
    </w:p>
    <w:p w14:paraId="14507099">
      <w:pPr>
        <w:pStyle w:val="51"/>
        <w:widowControl/>
        <w:numPr>
          <w:ilvl w:val="0"/>
          <w:numId w:val="7"/>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优先使用初级数据，若无法获取初级数据，可使用次级数据，并进行书面记录，解释数据来源和使用理由。</w:t>
      </w:r>
    </w:p>
    <w:p w14:paraId="3403D78A">
      <w:pPr>
        <w:pStyle w:val="44"/>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数据抽样</w:t>
      </w:r>
    </w:p>
    <w:p w14:paraId="61052014">
      <w:pPr>
        <w:pStyle w:val="43"/>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若单元过程的输入数据来自多个源头，宜选择具有代表性的数据样本进行温室气体排放与清除数据的收集。</w:t>
      </w:r>
    </w:p>
    <w:p w14:paraId="109F6147">
      <w:pPr>
        <w:pStyle w:val="43"/>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若单一原材料来自多个供应商时，宜收集所有供应商的初级数据。若收集所有初级数据存在困难，宜收集供应原材料数量</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以上的或具有代表性的供应商的初级数据，其加权平均值可作为无法取得数据的供应商的次级数据。</w:t>
      </w:r>
    </w:p>
    <w:p w14:paraId="3DE160CA">
      <w:pPr>
        <w:pStyle w:val="43"/>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若产品运输路线不止一条，宜收集所有路线的初级数据。若收集所有初级数据存在困难，宜收集销售量占总销售量</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以上的或具有代表性的主要销售点的运输路线，其加权平均值可作为无法取得数据的路线的次级数据。</w:t>
      </w:r>
      <w:bookmarkEnd w:id="57"/>
      <w:bookmarkEnd w:id="58"/>
      <w:bookmarkEnd w:id="59"/>
      <w:bookmarkEnd w:id="60"/>
    </w:p>
    <w:p w14:paraId="0990C86E">
      <w:pPr>
        <w:pStyle w:val="39"/>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62" w:name="_Toc175923778"/>
      <w:bookmarkStart w:id="63" w:name="_Toc170230360"/>
      <w:bookmarkStart w:id="64" w:name="_Toc171697123"/>
      <w:bookmarkStart w:id="65" w:name="_Toc171696858"/>
      <w:r>
        <w:rPr>
          <w:rFonts w:hint="default" w:ascii="Times New Roman" w:hAnsi="Times New Roman" w:cs="Times New Roman"/>
          <w:sz w:val="28"/>
          <w:szCs w:val="28"/>
          <w:highlight w:val="none"/>
          <w:lang w:eastAsia="zh-CN"/>
        </w:rPr>
        <w:t>评价报告</w:t>
      </w:r>
      <w:bookmarkEnd w:id="62"/>
      <w:bookmarkEnd w:id="63"/>
      <w:bookmarkEnd w:id="64"/>
      <w:bookmarkEnd w:id="65"/>
    </w:p>
    <w:p w14:paraId="5B43B703">
      <w:pPr>
        <w:pStyle w:val="44"/>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概述</w:t>
      </w:r>
    </w:p>
    <w:p w14:paraId="0BA780C0">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报告主体应参照附录</w:t>
      </w:r>
      <w:r>
        <w:rPr>
          <w:rFonts w:hint="default" w:ascii="Times New Roman" w:hAnsi="Times New Roman" w:cs="Times New Roman"/>
          <w:sz w:val="28"/>
          <w:szCs w:val="28"/>
          <w:highlight w:val="none"/>
          <w:lang w:val="en-US"/>
        </w:rPr>
        <w:t>A</w:t>
      </w:r>
      <w:r>
        <w:rPr>
          <w:rFonts w:hint="default" w:ascii="Times New Roman" w:hAnsi="Times New Roman" w:cs="Times New Roman"/>
          <w:sz w:val="28"/>
          <w:szCs w:val="28"/>
          <w:highlight w:val="none"/>
          <w:lang w:eastAsia="zh-CN"/>
        </w:rPr>
        <w:t>的格式报告进行报告。</w:t>
      </w:r>
    </w:p>
    <w:p w14:paraId="788C21DE">
      <w:pPr>
        <w:pStyle w:val="44"/>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报告主体基本信息</w:t>
      </w:r>
    </w:p>
    <w:p w14:paraId="5C6147F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报告主体基本信息应包括报告主体名称、单位性质、报告年度、所属行业、组织机构代码、法定代表人、填报负责人和联系人信息等。</w:t>
      </w:r>
    </w:p>
    <w:p w14:paraId="47B5379E">
      <w:pPr>
        <w:pStyle w:val="44"/>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温室气体排放量</w:t>
      </w:r>
    </w:p>
    <w:p w14:paraId="1299F0A2">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报告主体应报告在核算和报告期内温室气体排放总量，并分别报告化石燃料燃烧排放量、购入和输出的电力及热力产生的排放量。</w:t>
      </w:r>
    </w:p>
    <w:p w14:paraId="13238DBF">
      <w:pPr>
        <w:pStyle w:val="44"/>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活动数据及其来源</w:t>
      </w:r>
    </w:p>
    <w:p w14:paraId="1D450CE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活动数据应包括报告主体在报告期内生产所使用的各种化石燃料的消耗量和相应的低位发热量、购入的电量和热量、输出的电量和热量。</w:t>
      </w:r>
    </w:p>
    <w:p w14:paraId="3AC30BF4">
      <w:pPr>
        <w:pStyle w:val="44"/>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排放因子及其来源</w:t>
      </w:r>
    </w:p>
    <w:p w14:paraId="38C5472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报告主体在报告期内可生产所使用的各种化石燃料的单位热值含碳量和碳氧化率数据。</w:t>
      </w:r>
    </w:p>
    <w:p w14:paraId="38375852">
      <w:pPr>
        <w:pStyle w:val="44"/>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其他报告信息</w:t>
      </w:r>
    </w:p>
    <w:p w14:paraId="162939B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报告主体应报告外购绿色电力的使用情况，宜报告外包情况等其他碳减排量情况等。</w:t>
      </w:r>
    </w:p>
    <w:bookmarkEnd w:id="61"/>
    <w:p w14:paraId="6B87CB79">
      <w:pPr>
        <w:pStyle w:val="35"/>
        <w:widowControl/>
        <w:ind w:left="0" w:firstLine="420"/>
        <w:rPr>
          <w:rFonts w:hint="default" w:ascii="Times New Roman" w:hAnsi="Times New Roman" w:cs="Times New Roman"/>
          <w:highlight w:val="none"/>
          <w:lang w:val="en-US"/>
        </w:rPr>
      </w:pPr>
    </w:p>
    <w:p w14:paraId="7E7F4079">
      <w:pPr>
        <w:pStyle w:val="35"/>
        <w:widowControl/>
        <w:ind w:left="0" w:firstLine="420"/>
        <w:rPr>
          <w:rFonts w:hint="default" w:ascii="Times New Roman" w:hAnsi="Times New Roman" w:cs="Times New Roman"/>
          <w:highlight w:val="none"/>
          <w:lang w:val="en-US"/>
        </w:rPr>
      </w:pPr>
    </w:p>
    <w:p w14:paraId="6C168222">
      <w:pPr>
        <w:pStyle w:val="35"/>
        <w:widowControl/>
        <w:ind w:left="0" w:firstLine="420"/>
        <w:rPr>
          <w:rFonts w:hint="default" w:ascii="Times New Roman" w:hAnsi="Times New Roman" w:cs="Times New Roman"/>
          <w:highlight w:val="none"/>
          <w:lang w:val="en-US"/>
        </w:rPr>
      </w:pPr>
    </w:p>
    <w:p w14:paraId="3C725020">
      <w:pPr>
        <w:pStyle w:val="35"/>
        <w:widowControl/>
        <w:ind w:left="0" w:firstLine="420"/>
        <w:rPr>
          <w:rFonts w:hint="default" w:ascii="Times New Roman" w:hAnsi="Times New Roman" w:cs="Times New Roman"/>
          <w:highlight w:val="none"/>
          <w:lang w:val="en-US"/>
        </w:rPr>
      </w:pPr>
    </w:p>
    <w:p w14:paraId="37896DD9">
      <w:pPr>
        <w:pStyle w:val="35"/>
        <w:widowControl/>
        <w:ind w:left="0" w:firstLine="420"/>
        <w:rPr>
          <w:rFonts w:hint="default" w:ascii="Times New Roman" w:hAnsi="Times New Roman" w:cs="Times New Roman"/>
          <w:highlight w:val="none"/>
          <w:lang w:val="en-US"/>
        </w:rPr>
      </w:pPr>
    </w:p>
    <w:p w14:paraId="76606604">
      <w:pPr>
        <w:pStyle w:val="35"/>
        <w:widowControl/>
        <w:ind w:left="0" w:firstLine="420"/>
        <w:rPr>
          <w:rFonts w:hint="default" w:ascii="Times New Roman" w:hAnsi="Times New Roman" w:cs="Times New Roman"/>
          <w:highlight w:val="none"/>
          <w:lang w:val="en-US"/>
        </w:rPr>
      </w:pPr>
    </w:p>
    <w:p w14:paraId="5DA686A2">
      <w:pPr>
        <w:rPr>
          <w:rFonts w:hint="default" w:ascii="Times New Roman" w:hAnsi="Times New Roman" w:eastAsia="宋体" w:cs="Times New Roman"/>
          <w:sz w:val="21"/>
          <w:szCs w:val="20"/>
          <w:highlight w:val="none"/>
          <w:lang w:val="en-US" w:eastAsia="zh-CN" w:bidi="ar"/>
        </w:rPr>
        <w:sectPr>
          <w:footerReference r:id="rId4" w:type="default"/>
          <w:pgSz w:w="11906" w:h="16838"/>
          <w:pgMar w:top="1928" w:right="1135" w:bottom="1135" w:left="1135" w:header="1418" w:footer="1135" w:gutter="284"/>
          <w:pgNumType w:fmt="decimal" w:start="1"/>
          <w:cols w:space="425" w:num="1"/>
          <w:formProt w:val="0"/>
          <w:docGrid w:linePitch="312" w:charSpace="0"/>
        </w:sectPr>
      </w:pPr>
    </w:p>
    <w:p w14:paraId="3A29F23E">
      <w:pPr>
        <w:pStyle w:val="52"/>
        <w:widowControl/>
        <w:numPr>
          <w:ilvl w:val="0"/>
          <w:numId w:val="8"/>
        </w:numPr>
        <w:tabs>
          <w:tab w:val="left" w:pos="420"/>
          <w:tab w:val="clear" w:pos="360"/>
        </w:tabs>
        <w:ind w:left="420" w:firstLine="0"/>
        <w:rPr>
          <w:rFonts w:hint="default" w:ascii="Times New Roman" w:hAnsi="Times New Roman" w:cs="Times New Roman"/>
          <w:vanish w:val="0"/>
          <w:highlight w:val="none"/>
          <w:lang w:val="en-US"/>
        </w:rPr>
      </w:pPr>
      <w:bookmarkStart w:id="66" w:name="BookMark5"/>
    </w:p>
    <w:p w14:paraId="57EBEB51">
      <w:pPr>
        <w:pStyle w:val="40"/>
        <w:widowControl/>
        <w:numPr>
          <w:ilvl w:val="0"/>
          <w:numId w:val="5"/>
        </w:numPr>
        <w:tabs>
          <w:tab w:val="left" w:pos="420"/>
          <w:tab w:val="clear" w:pos="360"/>
        </w:tabs>
        <w:ind w:left="425" w:firstLine="0"/>
        <w:rPr>
          <w:rFonts w:hint="default" w:ascii="Times New Roman" w:hAnsi="Times New Roman" w:cs="Times New Roman"/>
          <w:vanish w:val="0"/>
          <w:highlight w:val="none"/>
          <w:lang w:val="en-US"/>
        </w:rPr>
      </w:pPr>
    </w:p>
    <w:p w14:paraId="7FA42C30">
      <w:pPr>
        <w:pStyle w:val="41"/>
        <w:widowControl/>
        <w:numPr>
          <w:ilvl w:val="0"/>
          <w:numId w:val="2"/>
        </w:numPr>
        <w:spacing w:before="560" w:beforeAutospacing="0" w:after="120" w:afterLines="50" w:afterAutospacing="0"/>
        <w:ind w:left="0" w:right="0" w:firstLine="0"/>
        <w:rPr>
          <w:rFonts w:hint="default" w:ascii="Times New Roman" w:hAnsi="Times New Roman" w:cs="Times New Roman"/>
          <w:highlight w:val="none"/>
          <w:lang w:val="en-US"/>
        </w:rPr>
      </w:pPr>
      <w:bookmarkStart w:id="67" w:name="_Toc167375536"/>
      <w:bookmarkStart w:id="68" w:name="_Toc166860772"/>
      <w:bookmarkStart w:id="69" w:name="_Toc171696859"/>
      <w:bookmarkStart w:id="70" w:name="_Toc175923779"/>
      <w:bookmarkStart w:id="71" w:name="_Toc171697124"/>
      <w:bookmarkStart w:id="72" w:name="_Toc170230361"/>
    </w:p>
    <w:p w14:paraId="32551A3A">
      <w:pPr>
        <w:pStyle w:val="41"/>
        <w:widowControl/>
        <w:numPr>
          <w:ilvl w:val="0"/>
          <w:numId w:val="2"/>
        </w:numPr>
        <w:spacing w:before="560" w:beforeAutospacing="0" w:after="120" w:afterLines="50" w:afterAutospacing="0"/>
        <w:ind w:left="0" w:right="0" w:firstLine="0"/>
        <w:rPr>
          <w:rFonts w:hint="default" w:ascii="Times New Roman" w:hAnsi="Times New Roman" w:cs="Times New Roman"/>
          <w:highlight w:val="none"/>
          <w:lang w:val="en-US"/>
        </w:rPr>
      </w:pPr>
      <w:r>
        <w:rPr>
          <w:rFonts w:hint="default" w:ascii="Times New Roman" w:hAnsi="Times New Roman" w:cs="Times New Roman"/>
          <w:color w:val="auto"/>
          <w:highlight w:val="none"/>
          <w:lang w:eastAsia="zh-CN"/>
        </w:rPr>
        <w:t>（资料性）</w:t>
      </w:r>
    </w:p>
    <w:p w14:paraId="29E6A7FA">
      <w:pPr>
        <w:pStyle w:val="41"/>
        <w:widowControl/>
        <w:numPr>
          <w:ilvl w:val="0"/>
          <w:numId w:val="2"/>
        </w:numPr>
        <w:spacing w:before="560" w:beforeAutospacing="0" w:after="120" w:afterLines="50" w:afterAutospacing="0"/>
        <w:ind w:left="0" w:right="0" w:firstLine="0"/>
        <w:rPr>
          <w:rFonts w:hint="default" w:ascii="Times New Roman" w:hAnsi="Times New Roman" w:cs="Times New Roman"/>
          <w:highlight w:val="none"/>
          <w:lang w:val="en-US"/>
        </w:rPr>
      </w:pPr>
      <w:r>
        <w:rPr>
          <w:rFonts w:hint="default" w:ascii="Times New Roman" w:hAnsi="Times New Roman" w:cs="Times New Roman"/>
          <w:color w:val="auto"/>
          <w:highlight w:val="none"/>
          <w:lang w:eastAsia="zh-CN"/>
        </w:rPr>
        <w:t>报告</w:t>
      </w:r>
      <w:bookmarkEnd w:id="67"/>
      <w:bookmarkEnd w:id="68"/>
      <w:r>
        <w:rPr>
          <w:rFonts w:hint="default" w:ascii="Times New Roman" w:hAnsi="Times New Roman" w:cs="Times New Roman"/>
          <w:color w:val="auto"/>
          <w:highlight w:val="none"/>
          <w:lang w:eastAsia="zh-CN"/>
        </w:rPr>
        <w:t>模板</w:t>
      </w:r>
      <w:bookmarkEnd w:id="69"/>
      <w:bookmarkEnd w:id="70"/>
      <w:bookmarkEnd w:id="71"/>
      <w:bookmarkEnd w:id="72"/>
    </w:p>
    <w:p w14:paraId="6D752DD8">
      <w:pPr>
        <w:pStyle w:val="35"/>
        <w:widowControl/>
        <w:ind w:left="0" w:firstLine="420"/>
        <w:rPr>
          <w:rFonts w:hint="default" w:ascii="Times New Roman" w:hAnsi="Times New Roman" w:cs="Times New Roman"/>
          <w:highlight w:val="none"/>
          <w:lang w:val="en-US"/>
        </w:rPr>
      </w:pPr>
    </w:p>
    <w:p w14:paraId="5A5094B2">
      <w:pPr>
        <w:pStyle w:val="35"/>
        <w:widowControl/>
        <w:ind w:left="0" w:firstLine="420"/>
        <w:rPr>
          <w:rFonts w:hint="default" w:ascii="Times New Roman" w:hAnsi="Times New Roman" w:cs="Times New Roman"/>
          <w:highlight w:val="none"/>
          <w:lang w:val="en-US"/>
        </w:rPr>
      </w:pPr>
    </w:p>
    <w:p w14:paraId="7332A17B">
      <w:pPr>
        <w:pStyle w:val="35"/>
        <w:widowControl/>
        <w:ind w:left="0" w:firstLine="420"/>
        <w:rPr>
          <w:rFonts w:hint="default" w:ascii="Times New Roman" w:hAnsi="Times New Roman" w:cs="Times New Roman"/>
          <w:highlight w:val="none"/>
          <w:lang w:val="en-US"/>
        </w:rPr>
      </w:pPr>
    </w:p>
    <w:p w14:paraId="067D006E">
      <w:pPr>
        <w:pStyle w:val="35"/>
        <w:widowControl/>
        <w:ind w:left="0" w:firstLine="420"/>
        <w:rPr>
          <w:rFonts w:hint="default" w:ascii="Times New Roman" w:hAnsi="Times New Roman" w:cs="Times New Roman"/>
          <w:highlight w:val="none"/>
          <w:lang w:val="en-US"/>
        </w:rPr>
      </w:pPr>
    </w:p>
    <w:p w14:paraId="5027103F">
      <w:pPr>
        <w:pStyle w:val="35"/>
        <w:widowControl/>
        <w:ind w:left="0" w:firstLine="420"/>
        <w:rPr>
          <w:rFonts w:hint="default" w:ascii="Times New Roman" w:hAnsi="Times New Roman" w:cs="Times New Roman"/>
          <w:highlight w:val="none"/>
          <w:lang w:val="en-US"/>
        </w:rPr>
      </w:pPr>
    </w:p>
    <w:p w14:paraId="70A3B3D0">
      <w:pPr>
        <w:pStyle w:val="35"/>
        <w:widowControl/>
        <w:ind w:left="0" w:firstLine="420"/>
        <w:rPr>
          <w:rFonts w:hint="default" w:ascii="Times New Roman" w:hAnsi="Times New Roman" w:cs="Times New Roman"/>
          <w:highlight w:val="none"/>
          <w:lang w:val="en-US"/>
        </w:rPr>
      </w:pPr>
    </w:p>
    <w:p w14:paraId="28B674C2">
      <w:pPr>
        <w:pStyle w:val="35"/>
        <w:widowControl/>
        <w:ind w:left="0" w:firstLine="420"/>
        <w:rPr>
          <w:rFonts w:hint="default" w:ascii="Times New Roman" w:hAnsi="Times New Roman" w:cs="Times New Roman"/>
          <w:highlight w:val="none"/>
          <w:lang w:val="en-US"/>
        </w:rPr>
      </w:pPr>
    </w:p>
    <w:p w14:paraId="5298E89C">
      <w:pPr>
        <w:pStyle w:val="35"/>
        <w:widowControl/>
        <w:ind w:left="0" w:firstLine="420"/>
        <w:rPr>
          <w:rFonts w:hint="default" w:ascii="Times New Roman" w:hAnsi="Times New Roman" w:cs="Times New Roman"/>
          <w:highlight w:val="none"/>
          <w:lang w:val="en-US"/>
        </w:rPr>
      </w:pPr>
    </w:p>
    <w:p w14:paraId="60377FEA">
      <w:pPr>
        <w:pStyle w:val="35"/>
        <w:widowControl/>
        <w:ind w:left="0" w:firstLine="420"/>
        <w:rPr>
          <w:rFonts w:hint="default" w:ascii="Times New Roman" w:hAnsi="Times New Roman" w:cs="Times New Roman"/>
          <w:highlight w:val="none"/>
          <w:lang w:val="en-US"/>
        </w:rPr>
      </w:pPr>
    </w:p>
    <w:p w14:paraId="11AB5228">
      <w:pPr>
        <w:pStyle w:val="35"/>
        <w:widowControl/>
        <w:ind w:left="0" w:firstLine="420"/>
        <w:rPr>
          <w:rFonts w:hint="default" w:ascii="Times New Roman" w:hAnsi="Times New Roman" w:cs="Times New Roman"/>
          <w:highlight w:val="none"/>
          <w:lang w:val="en-US"/>
        </w:rPr>
      </w:pPr>
    </w:p>
    <w:p w14:paraId="1FCE6A91">
      <w:pPr>
        <w:pStyle w:val="35"/>
        <w:widowControl/>
        <w:ind w:left="0" w:firstLine="420"/>
        <w:rPr>
          <w:rFonts w:hint="default" w:ascii="Times New Roman" w:hAnsi="Times New Roman" w:cs="Times New Roman"/>
          <w:highlight w:val="none"/>
          <w:lang w:val="en-US"/>
        </w:rPr>
      </w:pPr>
    </w:p>
    <w:p w14:paraId="4A27511D">
      <w:pPr>
        <w:pStyle w:val="35"/>
        <w:widowControl/>
        <w:ind w:firstLineChars="50"/>
        <w:jc w:val="center"/>
        <w:rPr>
          <w:rFonts w:hint="default" w:ascii="Times New Roman" w:hAnsi="Times New Roman" w:eastAsia="黑体" w:cs="Times New Roman"/>
          <w:sz w:val="18"/>
          <w:szCs w:val="16"/>
          <w:highlight w:val="none"/>
          <w:lang w:val="en-US"/>
        </w:rPr>
      </w:pPr>
      <w:r>
        <w:rPr>
          <w:rFonts w:hint="default" w:ascii="Times New Roman" w:hAnsi="Times New Roman" w:eastAsia="黑体" w:cs="Times New Roman"/>
          <w:sz w:val="40"/>
          <w:szCs w:val="36"/>
          <w:highlight w:val="none"/>
          <w:lang w:eastAsia="zh-CN"/>
        </w:rPr>
        <w:t>滚珠丝杠温室气体排放报告</w:t>
      </w:r>
    </w:p>
    <w:p w14:paraId="51BD7D55">
      <w:pPr>
        <w:pStyle w:val="35"/>
        <w:widowControl/>
        <w:ind w:left="0" w:firstLine="420"/>
        <w:rPr>
          <w:rFonts w:hint="default" w:ascii="Times New Roman" w:hAnsi="Times New Roman" w:cs="Times New Roman"/>
          <w:highlight w:val="none"/>
          <w:lang w:val="en-US"/>
        </w:rPr>
      </w:pPr>
    </w:p>
    <w:p w14:paraId="6D5C7A55">
      <w:pPr>
        <w:pStyle w:val="35"/>
        <w:widowControl/>
        <w:ind w:left="0" w:firstLine="420"/>
        <w:rPr>
          <w:rFonts w:hint="default" w:ascii="Times New Roman" w:hAnsi="Times New Roman" w:cs="Times New Roman"/>
          <w:highlight w:val="none"/>
          <w:lang w:val="en-US"/>
        </w:rPr>
      </w:pPr>
    </w:p>
    <w:p w14:paraId="7B82DF3F">
      <w:pPr>
        <w:pStyle w:val="35"/>
        <w:widowControl/>
        <w:ind w:left="0" w:firstLine="420"/>
        <w:rPr>
          <w:rFonts w:hint="default" w:ascii="Times New Roman" w:hAnsi="Times New Roman" w:cs="Times New Roman"/>
          <w:highlight w:val="none"/>
          <w:lang w:val="en-US"/>
        </w:rPr>
      </w:pPr>
    </w:p>
    <w:p w14:paraId="305934B5">
      <w:pPr>
        <w:pStyle w:val="35"/>
        <w:widowControl/>
        <w:ind w:left="0" w:firstLine="420"/>
        <w:rPr>
          <w:rFonts w:hint="default" w:ascii="Times New Roman" w:hAnsi="Times New Roman" w:cs="Times New Roman"/>
          <w:highlight w:val="none"/>
          <w:lang w:val="en-US"/>
        </w:rPr>
      </w:pPr>
    </w:p>
    <w:p w14:paraId="12AE29B9">
      <w:pPr>
        <w:pStyle w:val="35"/>
        <w:widowControl/>
        <w:ind w:left="0" w:firstLine="420"/>
        <w:rPr>
          <w:rFonts w:hint="default" w:ascii="Times New Roman" w:hAnsi="Times New Roman" w:cs="Times New Roman"/>
          <w:highlight w:val="none"/>
          <w:lang w:val="en-US"/>
        </w:rPr>
      </w:pPr>
    </w:p>
    <w:p w14:paraId="3ED993B9">
      <w:pPr>
        <w:pStyle w:val="35"/>
        <w:widowControl/>
        <w:ind w:left="0" w:firstLine="420"/>
        <w:rPr>
          <w:rFonts w:hint="default" w:ascii="Times New Roman" w:hAnsi="Times New Roman" w:cs="Times New Roman"/>
          <w:highlight w:val="none"/>
          <w:lang w:val="en-US"/>
        </w:rPr>
      </w:pPr>
    </w:p>
    <w:p w14:paraId="5924504F">
      <w:pPr>
        <w:pStyle w:val="35"/>
        <w:widowControl/>
        <w:ind w:left="0" w:firstLine="420"/>
        <w:rPr>
          <w:rFonts w:hint="default" w:ascii="Times New Roman" w:hAnsi="Times New Roman" w:cs="Times New Roman"/>
          <w:highlight w:val="none"/>
          <w:lang w:val="en-US"/>
        </w:rPr>
      </w:pPr>
    </w:p>
    <w:p w14:paraId="18A3E5CC">
      <w:pPr>
        <w:pStyle w:val="35"/>
        <w:widowControl/>
        <w:ind w:left="0" w:firstLine="420"/>
        <w:rPr>
          <w:rFonts w:hint="default" w:ascii="Times New Roman" w:hAnsi="Times New Roman" w:cs="Times New Roman"/>
          <w:highlight w:val="none"/>
          <w:lang w:val="en-US"/>
        </w:rPr>
      </w:pPr>
    </w:p>
    <w:p w14:paraId="1914A071">
      <w:pPr>
        <w:pStyle w:val="35"/>
        <w:widowControl/>
        <w:ind w:left="0" w:firstLine="420"/>
        <w:rPr>
          <w:rFonts w:hint="default" w:ascii="Times New Roman" w:hAnsi="Times New Roman" w:cs="Times New Roman"/>
          <w:highlight w:val="none"/>
          <w:lang w:val="en-US"/>
        </w:rPr>
      </w:pPr>
    </w:p>
    <w:p w14:paraId="36A000EE">
      <w:pPr>
        <w:pStyle w:val="35"/>
        <w:widowControl/>
        <w:ind w:left="0" w:firstLine="420"/>
        <w:rPr>
          <w:rFonts w:hint="default" w:ascii="Times New Roman" w:hAnsi="Times New Roman" w:cs="Times New Roman"/>
          <w:highlight w:val="none"/>
          <w:lang w:val="en-US"/>
        </w:rPr>
      </w:pPr>
    </w:p>
    <w:p w14:paraId="7C52CC31">
      <w:pPr>
        <w:pStyle w:val="35"/>
        <w:widowControl/>
        <w:ind w:left="0" w:firstLine="420"/>
        <w:rPr>
          <w:rFonts w:hint="default" w:ascii="Times New Roman" w:hAnsi="Times New Roman" w:cs="Times New Roman"/>
          <w:highlight w:val="none"/>
          <w:lang w:val="en-US"/>
        </w:rPr>
      </w:pPr>
    </w:p>
    <w:p w14:paraId="56E00DD2">
      <w:pPr>
        <w:pStyle w:val="35"/>
        <w:widowControl/>
        <w:ind w:left="0" w:firstLine="420"/>
        <w:rPr>
          <w:rFonts w:hint="default" w:ascii="Times New Roman" w:hAnsi="Times New Roman" w:cs="Times New Roman"/>
          <w:highlight w:val="none"/>
          <w:lang w:val="en-US"/>
        </w:rPr>
      </w:pPr>
    </w:p>
    <w:p w14:paraId="10FC713E">
      <w:pPr>
        <w:pStyle w:val="35"/>
        <w:widowControl/>
        <w:ind w:left="0" w:firstLine="420"/>
        <w:rPr>
          <w:rFonts w:hint="default" w:ascii="Times New Roman" w:hAnsi="Times New Roman" w:cs="Times New Roman"/>
          <w:highlight w:val="none"/>
          <w:lang w:val="en-US"/>
        </w:rPr>
      </w:pPr>
    </w:p>
    <w:p w14:paraId="41494C26">
      <w:pPr>
        <w:pStyle w:val="35"/>
        <w:widowControl/>
        <w:ind w:left="0" w:firstLine="420"/>
        <w:rPr>
          <w:rFonts w:hint="default" w:ascii="Times New Roman" w:hAnsi="Times New Roman" w:cs="Times New Roman"/>
          <w:highlight w:val="none"/>
          <w:lang w:val="en-US"/>
        </w:rPr>
      </w:pPr>
    </w:p>
    <w:p w14:paraId="765BCBEA">
      <w:pPr>
        <w:pStyle w:val="35"/>
        <w:widowControl/>
        <w:ind w:left="0" w:firstLine="420"/>
        <w:rPr>
          <w:rFonts w:hint="default" w:ascii="Times New Roman" w:hAnsi="Times New Roman" w:cs="Times New Roman"/>
          <w:highlight w:val="none"/>
          <w:lang w:val="en-US"/>
        </w:rPr>
      </w:pPr>
    </w:p>
    <w:p w14:paraId="05EEC4F0">
      <w:pPr>
        <w:pStyle w:val="35"/>
        <w:widowControl/>
        <w:ind w:left="0" w:firstLine="420"/>
        <w:rPr>
          <w:rFonts w:hint="default" w:ascii="Times New Roman" w:hAnsi="Times New Roman" w:cs="Times New Roman"/>
          <w:highlight w:val="none"/>
          <w:lang w:val="en-US"/>
        </w:rPr>
      </w:pPr>
    </w:p>
    <w:p w14:paraId="53363907">
      <w:pPr>
        <w:pStyle w:val="35"/>
        <w:widowControl/>
        <w:ind w:left="0" w:firstLine="420"/>
        <w:rPr>
          <w:rFonts w:hint="default" w:ascii="Times New Roman" w:hAnsi="Times New Roman" w:cs="Times New Roman"/>
          <w:highlight w:val="none"/>
          <w:lang w:val="en-US"/>
        </w:rPr>
      </w:pPr>
    </w:p>
    <w:p w14:paraId="430FEE90">
      <w:pPr>
        <w:pStyle w:val="35"/>
        <w:widowControl/>
        <w:ind w:left="0" w:firstLine="420"/>
        <w:rPr>
          <w:rFonts w:hint="default" w:ascii="Times New Roman" w:hAnsi="Times New Roman" w:cs="Times New Roman"/>
          <w:highlight w:val="none"/>
          <w:lang w:val="en-US"/>
        </w:rPr>
      </w:pPr>
    </w:p>
    <w:p w14:paraId="188CE1E1">
      <w:pPr>
        <w:pStyle w:val="35"/>
        <w:widowControl/>
        <w:ind w:left="0" w:firstLine="420"/>
        <w:rPr>
          <w:rFonts w:hint="default" w:ascii="Times New Roman" w:hAnsi="Times New Roman" w:cs="Times New Roman"/>
          <w:highlight w:val="none"/>
          <w:lang w:val="en-US"/>
        </w:rPr>
      </w:pPr>
    </w:p>
    <w:p w14:paraId="76F8F2FF">
      <w:pPr>
        <w:pStyle w:val="35"/>
        <w:widowControl/>
        <w:ind w:left="0" w:firstLine="420"/>
        <w:rPr>
          <w:rFonts w:hint="default" w:ascii="Times New Roman" w:hAnsi="Times New Roman" w:cs="Times New Roman"/>
          <w:highlight w:val="none"/>
          <w:lang w:val="en-US"/>
        </w:rPr>
      </w:pPr>
    </w:p>
    <w:p w14:paraId="6225D666">
      <w:pPr>
        <w:pStyle w:val="35"/>
        <w:widowControl/>
        <w:ind w:left="0" w:firstLine="420"/>
        <w:rPr>
          <w:rFonts w:hint="default" w:ascii="Times New Roman" w:hAnsi="Times New Roman" w:cs="Times New Roman"/>
          <w:highlight w:val="none"/>
          <w:lang w:val="en-US"/>
        </w:rPr>
      </w:pPr>
    </w:p>
    <w:p w14:paraId="4414C7DD">
      <w:pPr>
        <w:pStyle w:val="35"/>
        <w:widowControl/>
        <w:ind w:left="0" w:firstLine="420"/>
        <w:rPr>
          <w:rFonts w:hint="default" w:ascii="Times New Roman" w:hAnsi="Times New Roman" w:cs="Times New Roman"/>
          <w:highlight w:val="none"/>
          <w:lang w:val="en-US"/>
        </w:rPr>
      </w:pPr>
    </w:p>
    <w:p w14:paraId="7DB76335">
      <w:pPr>
        <w:pStyle w:val="35"/>
        <w:widowControl/>
        <w:spacing w:line="360" w:lineRule="auto"/>
        <w:ind w:left="0" w:firstLine="480"/>
        <w:rPr>
          <w:rFonts w:hint="default" w:ascii="Times New Roman" w:hAnsi="Times New Roman" w:eastAsia="黑体" w:cs="Times New Roman"/>
          <w:sz w:val="24"/>
          <w:szCs w:val="22"/>
          <w:highlight w:val="none"/>
          <w:lang w:val="en-US"/>
        </w:rPr>
      </w:pPr>
      <w:r>
        <w:rPr>
          <w:rFonts w:hint="default" w:ascii="Times New Roman" w:hAnsi="Times New Roman" w:eastAsia="黑体" w:cs="Times New Roman"/>
          <w:sz w:val="24"/>
          <w:szCs w:val="22"/>
          <w:highlight w:val="none"/>
          <w:lang w:eastAsia="zh-CN"/>
        </w:rPr>
        <w:t>报告主题（盖章）：</w:t>
      </w:r>
    </w:p>
    <w:p w14:paraId="32E5D859">
      <w:pPr>
        <w:pStyle w:val="35"/>
        <w:widowControl/>
        <w:spacing w:line="360" w:lineRule="auto"/>
        <w:ind w:left="0" w:firstLine="480"/>
        <w:rPr>
          <w:rFonts w:hint="default" w:ascii="Times New Roman" w:hAnsi="Times New Roman" w:eastAsia="黑体" w:cs="Times New Roman"/>
          <w:sz w:val="24"/>
          <w:szCs w:val="22"/>
          <w:highlight w:val="none"/>
          <w:lang w:val="en-US"/>
        </w:rPr>
      </w:pPr>
      <w:r>
        <w:rPr>
          <w:rFonts w:hint="default" w:ascii="Times New Roman" w:hAnsi="Times New Roman" w:eastAsia="黑体" w:cs="Times New Roman"/>
          <w:sz w:val="24"/>
          <w:szCs w:val="22"/>
          <w:highlight w:val="none"/>
          <w:lang w:eastAsia="zh-CN"/>
        </w:rPr>
        <w:t>报告年度：</w:t>
      </w:r>
    </w:p>
    <w:p w14:paraId="0855333D">
      <w:pPr>
        <w:pStyle w:val="35"/>
        <w:widowControl/>
        <w:spacing w:line="360" w:lineRule="auto"/>
        <w:ind w:left="0" w:firstLine="480"/>
        <w:rPr>
          <w:rFonts w:hint="default" w:ascii="Times New Roman" w:hAnsi="Times New Roman" w:eastAsia="黑体" w:cs="Times New Roman"/>
          <w:sz w:val="24"/>
          <w:szCs w:val="22"/>
          <w:highlight w:val="none"/>
          <w:lang w:val="en-US"/>
        </w:rPr>
      </w:pPr>
      <w:r>
        <w:rPr>
          <w:rFonts w:hint="default" w:ascii="Times New Roman" w:hAnsi="Times New Roman" w:eastAsia="黑体" w:cs="Times New Roman"/>
          <w:sz w:val="24"/>
          <w:szCs w:val="22"/>
          <w:highlight w:val="none"/>
          <w:lang w:eastAsia="zh-CN"/>
        </w:rPr>
        <w:t>编制日期：</w:t>
      </w:r>
      <w:r>
        <w:rPr>
          <w:rFonts w:hint="default" w:ascii="Times New Roman" w:hAnsi="Times New Roman" w:eastAsia="黑体" w:cs="Times New Roman"/>
          <w:sz w:val="24"/>
          <w:szCs w:val="22"/>
          <w:highlight w:val="none"/>
          <w:lang w:val="en-US"/>
        </w:rPr>
        <w:t xml:space="preserve">       </w:t>
      </w:r>
      <w:r>
        <w:rPr>
          <w:rFonts w:hint="default" w:ascii="Times New Roman" w:hAnsi="Times New Roman" w:eastAsia="黑体" w:cs="Times New Roman"/>
          <w:sz w:val="24"/>
          <w:szCs w:val="22"/>
          <w:highlight w:val="none"/>
          <w:lang w:eastAsia="zh-CN"/>
        </w:rPr>
        <w:t>年</w:t>
      </w:r>
      <w:r>
        <w:rPr>
          <w:rFonts w:hint="default" w:ascii="Times New Roman" w:hAnsi="Times New Roman" w:eastAsia="黑体" w:cs="Times New Roman"/>
          <w:sz w:val="24"/>
          <w:szCs w:val="22"/>
          <w:highlight w:val="none"/>
          <w:lang w:val="en-US"/>
        </w:rPr>
        <w:t xml:space="preserve">    </w:t>
      </w:r>
      <w:r>
        <w:rPr>
          <w:rFonts w:hint="default" w:ascii="Times New Roman" w:hAnsi="Times New Roman" w:eastAsia="黑体" w:cs="Times New Roman"/>
          <w:sz w:val="24"/>
          <w:szCs w:val="22"/>
          <w:highlight w:val="none"/>
          <w:lang w:eastAsia="zh-CN"/>
        </w:rPr>
        <w:t>月</w:t>
      </w:r>
      <w:r>
        <w:rPr>
          <w:rFonts w:hint="default" w:ascii="Times New Roman" w:hAnsi="Times New Roman" w:eastAsia="黑体" w:cs="Times New Roman"/>
          <w:sz w:val="24"/>
          <w:szCs w:val="22"/>
          <w:highlight w:val="none"/>
          <w:lang w:val="en-US"/>
        </w:rPr>
        <w:t xml:space="preserve">    </w:t>
      </w:r>
      <w:r>
        <w:rPr>
          <w:rFonts w:hint="default" w:ascii="Times New Roman" w:hAnsi="Times New Roman" w:eastAsia="黑体" w:cs="Times New Roman"/>
          <w:sz w:val="24"/>
          <w:szCs w:val="22"/>
          <w:highlight w:val="none"/>
          <w:lang w:eastAsia="zh-CN"/>
        </w:rPr>
        <w:t>日</w:t>
      </w:r>
    </w:p>
    <w:p w14:paraId="0FD833E1">
      <w:pPr>
        <w:keepNext w:val="0"/>
        <w:keepLines w:val="0"/>
        <w:widowControl/>
        <w:suppressLineNumbers w:val="0"/>
        <w:adjustRightInd/>
        <w:spacing w:before="0" w:beforeAutospacing="0" w:after="0" w:afterAutospacing="0" w:line="240" w:lineRule="auto"/>
        <w:ind w:left="0" w:right="0"/>
        <w:jc w:val="left"/>
        <w:rPr>
          <w:rFonts w:hint="default" w:ascii="Times New Roman" w:hAnsi="Times New Roman" w:eastAsia="黑体" w:cs="Times New Roman"/>
          <w:kern w:val="0"/>
          <w:szCs w:val="20"/>
          <w:highlight w:val="none"/>
          <w:lang w:val="en-US"/>
        </w:rPr>
      </w:pPr>
      <w:r>
        <w:rPr>
          <w:rFonts w:hint="default" w:ascii="Times New Roman" w:hAnsi="Times New Roman" w:eastAsia="黑体" w:cs="Times New Roman"/>
          <w:kern w:val="2"/>
          <w:sz w:val="21"/>
          <w:szCs w:val="21"/>
          <w:highlight w:val="none"/>
          <w:lang w:val="en-US" w:eastAsia="zh-CN" w:bidi="ar"/>
        </w:rPr>
        <w:br w:type="page"/>
      </w:r>
    </w:p>
    <w:p w14:paraId="4E7A2C4C">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eastAsia="黑体" w:cs="Times New Roman"/>
          <w:sz w:val="24"/>
          <w:szCs w:val="24"/>
          <w:highlight w:val="none"/>
          <w:lang w:val="en-US"/>
        </w:rPr>
      </w:pPr>
      <w:r>
        <w:rPr>
          <w:rFonts w:hint="default" w:ascii="Times New Roman" w:hAnsi="Times New Roman" w:eastAsia="黑体" w:cs="Times New Roman"/>
          <w:kern w:val="2"/>
          <w:sz w:val="24"/>
          <w:szCs w:val="24"/>
          <w:highlight w:val="none"/>
          <w:lang w:val="en-US" w:eastAsia="zh-CN" w:bidi="ar"/>
        </w:rPr>
        <w:t>本报告主体核算了</w:t>
      </w:r>
      <w:r>
        <w:rPr>
          <w:rFonts w:hint="default" w:ascii="Times New Roman" w:hAnsi="Times New Roman" w:eastAsia="黑体" w:cs="Times New Roman"/>
          <w:kern w:val="2"/>
          <w:sz w:val="24"/>
          <w:szCs w:val="24"/>
          <w:highlight w:val="none"/>
          <w:u w:val="single"/>
          <w:lang w:val="en-US" w:eastAsia="zh-CN" w:bidi="ar"/>
        </w:rPr>
        <w:t xml:space="preserve">       </w:t>
      </w:r>
      <w:r>
        <w:rPr>
          <w:rFonts w:hint="default" w:ascii="Times New Roman" w:hAnsi="Times New Roman" w:eastAsia="黑体" w:cs="Times New Roman"/>
          <w:kern w:val="2"/>
          <w:sz w:val="24"/>
          <w:szCs w:val="24"/>
          <w:highlight w:val="none"/>
          <w:lang w:val="en-US" w:eastAsia="zh-CN" w:bidi="ar"/>
        </w:rPr>
        <w:t>年温室气体排放量，并填写了相关数据表格。现将有关情况报告如下：</w:t>
      </w:r>
    </w:p>
    <w:p w14:paraId="6DECBCD8">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r>
        <w:rPr>
          <w:rFonts w:hint="default" w:ascii="Times New Roman" w:hAnsi="Times New Roman" w:eastAsia="宋体" w:cs="Times New Roman"/>
          <w:kern w:val="2"/>
          <w:sz w:val="24"/>
          <w:szCs w:val="24"/>
          <w:highlight w:val="none"/>
          <w:lang w:val="en-US" w:eastAsia="zh-CN" w:bidi="ar"/>
        </w:rPr>
        <w:t>一、 单位（企业） 基本情况</w:t>
      </w:r>
    </w:p>
    <w:p w14:paraId="29C3D2F7">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p>
    <w:p w14:paraId="56331FE1">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r>
        <w:rPr>
          <w:rFonts w:hint="default" w:ascii="Times New Roman" w:hAnsi="Times New Roman" w:eastAsia="宋体" w:cs="Times New Roman"/>
          <w:kern w:val="2"/>
          <w:sz w:val="24"/>
          <w:szCs w:val="24"/>
          <w:highlight w:val="none"/>
          <w:lang w:val="en-US" w:eastAsia="zh-CN" w:bidi="ar"/>
        </w:rPr>
        <w:t>二、 温室气体排放量</w:t>
      </w:r>
    </w:p>
    <w:p w14:paraId="398481D6">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p>
    <w:p w14:paraId="3CD0A4DF">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r>
        <w:rPr>
          <w:rFonts w:hint="default" w:ascii="Times New Roman" w:hAnsi="Times New Roman" w:eastAsia="宋体" w:cs="Times New Roman"/>
          <w:kern w:val="2"/>
          <w:sz w:val="24"/>
          <w:szCs w:val="24"/>
          <w:highlight w:val="none"/>
          <w:lang w:val="en-US" w:eastAsia="zh-CN" w:bidi="ar"/>
        </w:rPr>
        <w:t>三、 活动数据及来源说明</w:t>
      </w:r>
    </w:p>
    <w:p w14:paraId="1A7D549C">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p>
    <w:p w14:paraId="1B3DD4F7">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r>
        <w:rPr>
          <w:rFonts w:hint="default" w:ascii="Times New Roman" w:hAnsi="Times New Roman" w:eastAsia="宋体" w:cs="Times New Roman"/>
          <w:kern w:val="2"/>
          <w:sz w:val="24"/>
          <w:szCs w:val="24"/>
          <w:highlight w:val="none"/>
          <w:lang w:val="en-US" w:eastAsia="zh-CN" w:bidi="ar"/>
        </w:rPr>
        <w:t>四、 排放因子数据及来源说明</w:t>
      </w:r>
    </w:p>
    <w:p w14:paraId="2F729BB0">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p>
    <w:p w14:paraId="609CC496">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r>
        <w:rPr>
          <w:rFonts w:hint="default" w:ascii="Times New Roman" w:hAnsi="Times New Roman" w:eastAsia="宋体" w:cs="Times New Roman"/>
          <w:kern w:val="2"/>
          <w:sz w:val="24"/>
          <w:szCs w:val="24"/>
          <w:highlight w:val="none"/>
          <w:lang w:val="en-US" w:eastAsia="zh-CN" w:bidi="ar"/>
        </w:rPr>
        <w:t>本单位（企业）承诺对本报告的真实性负责。</w:t>
      </w:r>
    </w:p>
    <w:p w14:paraId="02934E49">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p>
    <w:p w14:paraId="1056995B">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p>
    <w:p w14:paraId="2E9F9B94">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p>
    <w:p w14:paraId="257FD973">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p>
    <w:p w14:paraId="55485EEF">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p>
    <w:p w14:paraId="08F451CE">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p>
    <w:p w14:paraId="78C9A9BC">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p>
    <w:p w14:paraId="392DFD0B">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p>
    <w:p w14:paraId="7A4D1DB0">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p>
    <w:p w14:paraId="3C9DCC00">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p>
    <w:p w14:paraId="75E74449">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p>
    <w:p w14:paraId="29721BFB">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p>
    <w:p w14:paraId="05EE3EC2">
      <w:pPr>
        <w:keepNext w:val="0"/>
        <w:keepLines w:val="0"/>
        <w:widowControl/>
        <w:suppressLineNumbers w:val="0"/>
        <w:adjustRightInd/>
        <w:spacing w:before="0" w:beforeAutospacing="0" w:after="0" w:afterAutospacing="0" w:line="360" w:lineRule="auto"/>
        <w:ind w:left="0" w:right="0" w:firstLine="480" w:firstLineChars="200"/>
        <w:jc w:val="left"/>
        <w:rPr>
          <w:rFonts w:hint="default" w:ascii="Times New Roman" w:hAnsi="Times New Roman" w:cs="Times New Roman"/>
          <w:sz w:val="24"/>
          <w:szCs w:val="24"/>
          <w:highlight w:val="none"/>
          <w:lang w:val="en-US"/>
        </w:rPr>
      </w:pPr>
    </w:p>
    <w:p w14:paraId="5F01A739">
      <w:pPr>
        <w:keepNext w:val="0"/>
        <w:keepLines w:val="0"/>
        <w:widowControl/>
        <w:suppressLineNumbers w:val="0"/>
        <w:adjustRightInd/>
        <w:spacing w:before="0" w:beforeAutospacing="0" w:after="0" w:afterAutospacing="0" w:line="360" w:lineRule="auto"/>
        <w:ind w:right="960"/>
        <w:jc w:val="right"/>
        <w:rPr>
          <w:rFonts w:hint="default" w:ascii="Times New Roman" w:hAnsi="Times New Roman" w:cs="Times New Roman"/>
          <w:sz w:val="24"/>
          <w:szCs w:val="24"/>
          <w:highlight w:val="none"/>
          <w:lang w:val="en-US"/>
        </w:rPr>
      </w:pPr>
      <w:r>
        <w:rPr>
          <w:rFonts w:hint="default" w:ascii="Times New Roman" w:hAnsi="Times New Roman" w:eastAsia="宋体" w:cs="Times New Roman"/>
          <w:kern w:val="2"/>
          <w:sz w:val="24"/>
          <w:szCs w:val="24"/>
          <w:highlight w:val="none"/>
          <w:lang w:val="en-US" w:eastAsia="zh-CN" w:bidi="ar"/>
        </w:rPr>
        <w:t>法人或者授权代表 （签字）：</w:t>
      </w:r>
    </w:p>
    <w:p w14:paraId="05D0D564">
      <w:pPr>
        <w:keepNext w:val="0"/>
        <w:keepLines w:val="0"/>
        <w:widowControl/>
        <w:suppressLineNumbers w:val="0"/>
        <w:adjustRightInd/>
        <w:spacing w:before="0" w:beforeAutospacing="0" w:after="0" w:afterAutospacing="0" w:line="360" w:lineRule="auto"/>
        <w:ind w:left="0" w:right="0" w:firstLine="480" w:firstLineChars="200"/>
        <w:jc w:val="right"/>
        <w:rPr>
          <w:rFonts w:hint="default" w:ascii="Times New Roman" w:hAnsi="Times New Roman" w:cs="Times New Roman"/>
          <w:sz w:val="24"/>
          <w:szCs w:val="24"/>
          <w:highlight w:val="none"/>
          <w:lang w:val="en-US"/>
        </w:rPr>
      </w:pPr>
      <w:r>
        <w:rPr>
          <w:rFonts w:hint="default" w:ascii="Times New Roman" w:hAnsi="Times New Roman" w:eastAsia="宋体" w:cs="Times New Roman"/>
          <w:kern w:val="2"/>
          <w:sz w:val="24"/>
          <w:szCs w:val="24"/>
          <w:highlight w:val="none"/>
          <w:lang w:val="en-US" w:eastAsia="zh-CN" w:bidi="ar"/>
        </w:rPr>
        <w:t>年    月    日</w:t>
      </w:r>
    </w:p>
    <w:p w14:paraId="22B4C5B6">
      <w:pPr>
        <w:keepNext w:val="0"/>
        <w:keepLines w:val="0"/>
        <w:widowControl/>
        <w:suppressLineNumbers w:val="0"/>
        <w:adjustRightInd/>
        <w:spacing w:before="0" w:beforeAutospacing="0" w:after="0" w:afterAutospacing="0" w:line="240" w:lineRule="auto"/>
        <w:ind w:left="0" w:right="0"/>
        <w:jc w:val="left"/>
        <w:rPr>
          <w:rFonts w:hint="default" w:ascii="Times New Roman" w:hAnsi="Times New Roman" w:cs="Times New Roman"/>
          <w:sz w:val="24"/>
          <w:szCs w:val="24"/>
          <w:highlight w:val="none"/>
          <w:lang w:val="en-US"/>
        </w:rPr>
      </w:pPr>
      <w:r>
        <w:rPr>
          <w:rFonts w:hint="default" w:ascii="Times New Roman" w:hAnsi="Times New Roman" w:eastAsia="宋体" w:cs="Times New Roman"/>
          <w:kern w:val="2"/>
          <w:sz w:val="24"/>
          <w:szCs w:val="24"/>
          <w:highlight w:val="none"/>
          <w:lang w:val="en-US" w:eastAsia="zh-CN" w:bidi="ar"/>
        </w:rPr>
        <w:br w:type="page"/>
      </w:r>
    </w:p>
    <w:p w14:paraId="7C66E31F">
      <w:pPr>
        <w:pStyle w:val="45"/>
        <w:widowControl/>
        <w:numPr>
          <w:ilvl w:val="1"/>
          <w:numId w:val="5"/>
        </w:numPr>
        <w:spacing w:before="120" w:beforeLines="50" w:beforeAutospacing="0" w:after="120" w:afterLines="50" w:afterAutospacing="0"/>
        <w:ind w:left="0" w:right="0" w:firstLine="0"/>
        <w:rPr>
          <w:rFonts w:hint="default" w:ascii="Times New Roman" w:hAnsi="Times New Roman" w:cs="Times New Roman"/>
          <w:highlight w:val="none"/>
          <w:lang w:val="en-US"/>
        </w:rPr>
      </w:pPr>
      <w:r>
        <w:rPr>
          <w:rFonts w:hint="default" w:ascii="Times New Roman" w:hAnsi="Times New Roman" w:cs="Times New Roman"/>
          <w:highlight w:val="none"/>
          <w:lang w:eastAsia="zh-CN"/>
        </w:rPr>
        <w:t>报告主体</w:t>
      </w:r>
      <w:r>
        <w:rPr>
          <w:rFonts w:hint="default" w:ascii="Times New Roman" w:hAnsi="Times New Roman" w:cs="Times New Roman"/>
          <w:highlight w:val="none"/>
          <w:u w:val="single"/>
          <w:lang w:val="en-US"/>
        </w:rPr>
        <w:t xml:space="preserve">       </w:t>
      </w:r>
      <w:r>
        <w:rPr>
          <w:rFonts w:hint="default" w:ascii="Times New Roman" w:hAnsi="Times New Roman" w:cs="Times New Roman"/>
          <w:highlight w:val="none"/>
          <w:lang w:eastAsia="zh-CN"/>
        </w:rPr>
        <w:t>年温室气体排放量报告</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238"/>
        <w:gridCol w:w="3555"/>
        <w:gridCol w:w="2918"/>
      </w:tblGrid>
      <w:tr w14:paraId="0A78B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144" w:hRule="atLeast"/>
          <w:jc w:val="center"/>
        </w:trPr>
        <w:tc>
          <w:tcPr>
            <w:tcW w:w="6222" w:type="dxa"/>
            <w:gridSpan w:val="2"/>
            <w:tcBorders>
              <w:top w:val="single" w:color="auto" w:sz="8" w:space="0"/>
              <w:left w:val="single" w:color="auto" w:sz="8" w:space="0"/>
              <w:bottom w:val="single" w:color="auto" w:sz="8" w:space="0"/>
              <w:right w:val="single" w:color="auto" w:sz="4" w:space="0"/>
            </w:tcBorders>
            <w:shd w:val="clear" w:color="auto" w:fill="auto"/>
            <w:vAlign w:val="center"/>
          </w:tcPr>
          <w:p w14:paraId="7B1C813C">
            <w:pPr>
              <w:pStyle w:val="35"/>
              <w:widowControl/>
              <w:ind w:left="0" w:firstLine="0" w:firstLineChars="0"/>
              <w:jc w:val="center"/>
              <w:rPr>
                <w:rFonts w:hint="default" w:ascii="Times New Roman" w:hAnsi="Times New Roman" w:cs="Times New Roman"/>
                <w:highlight w:val="none"/>
                <w:lang w:val="en-US"/>
              </w:rPr>
            </w:pPr>
            <w:r>
              <w:rPr>
                <w:rFonts w:hint="default" w:ascii="Times New Roman" w:hAnsi="Times New Roman" w:cs="Times New Roman"/>
                <w:highlight w:val="none"/>
              </w:rPr>
              <w:t>排放源类别</w:t>
            </w:r>
          </w:p>
        </w:tc>
        <w:tc>
          <w:tcPr>
            <w:tcW w:w="3112" w:type="dxa"/>
            <w:tcBorders>
              <w:top w:val="single" w:color="auto" w:sz="8" w:space="0"/>
              <w:left w:val="single" w:color="auto" w:sz="4" w:space="0"/>
              <w:bottom w:val="single" w:color="auto" w:sz="8" w:space="0"/>
              <w:right w:val="single" w:color="auto" w:sz="8" w:space="0"/>
            </w:tcBorders>
            <w:shd w:val="clear" w:color="auto" w:fill="auto"/>
            <w:vAlign w:val="center"/>
          </w:tcPr>
          <w:p w14:paraId="7F140B02">
            <w:pPr>
              <w:pStyle w:val="35"/>
              <w:widowControl/>
              <w:ind w:left="0" w:firstLine="0" w:firstLineChars="0"/>
              <w:jc w:val="center"/>
              <w:rPr>
                <w:rFonts w:hint="default" w:ascii="Times New Roman" w:hAnsi="Times New Roman" w:cs="Times New Roman"/>
                <w:highlight w:val="none"/>
                <w:vertAlign w:val="subscript"/>
                <w:lang w:val="en-US"/>
              </w:rPr>
            </w:pPr>
            <w:r>
              <w:rPr>
                <w:rFonts w:hint="default" w:ascii="Times New Roman" w:hAnsi="Times New Roman" w:cs="Times New Roman"/>
                <w:highlight w:val="none"/>
              </w:rPr>
              <w:t>排放量</w:t>
            </w:r>
            <w:r>
              <w:rPr>
                <w:rFonts w:hint="default" w:ascii="Times New Roman" w:hAnsi="Times New Roman" w:cs="Times New Roman"/>
                <w:highlight w:val="none"/>
                <w:lang w:val="en-US"/>
              </w:rPr>
              <w:t>/tCO</w:t>
            </w:r>
            <w:r>
              <w:rPr>
                <w:rFonts w:hint="default" w:ascii="Times New Roman" w:hAnsi="Times New Roman" w:cs="Times New Roman"/>
                <w:highlight w:val="none"/>
                <w:vertAlign w:val="subscript"/>
                <w:lang w:val="en-US"/>
              </w:rPr>
              <w:t>2</w:t>
            </w:r>
          </w:p>
        </w:tc>
      </w:tr>
      <w:tr w14:paraId="3D27E3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289" w:hRule="atLeast"/>
          <w:jc w:val="center"/>
        </w:trPr>
        <w:tc>
          <w:tcPr>
            <w:tcW w:w="6222"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CC71506">
            <w:pPr>
              <w:pStyle w:val="35"/>
              <w:widowControl/>
              <w:ind w:left="0" w:firstLine="0" w:firstLineChars="0"/>
              <w:jc w:val="center"/>
              <w:rPr>
                <w:rFonts w:hint="default" w:ascii="Times New Roman" w:hAnsi="Times New Roman" w:cs="Times New Roman"/>
                <w:highlight w:val="none"/>
                <w:lang w:val="en-US"/>
              </w:rPr>
            </w:pPr>
            <w:r>
              <w:rPr>
                <w:rFonts w:hint="default" w:ascii="Times New Roman" w:hAnsi="Times New Roman" w:cs="Times New Roman"/>
                <w:highlight w:val="none"/>
              </w:rPr>
              <w:t>化石燃料燃烧排放量</w:t>
            </w:r>
          </w:p>
        </w:tc>
        <w:tc>
          <w:tcPr>
            <w:tcW w:w="3112" w:type="dxa"/>
            <w:tcBorders>
              <w:top w:val="single" w:color="auto" w:sz="8" w:space="0"/>
              <w:left w:val="single" w:color="auto" w:sz="4" w:space="0"/>
              <w:bottom w:val="single" w:color="auto" w:sz="4" w:space="0"/>
              <w:right w:val="single" w:color="auto" w:sz="8" w:space="0"/>
            </w:tcBorders>
            <w:shd w:val="clear" w:color="auto" w:fill="auto"/>
            <w:vAlign w:val="center"/>
          </w:tcPr>
          <w:p w14:paraId="1300B290">
            <w:pPr>
              <w:pStyle w:val="35"/>
              <w:widowControl/>
              <w:ind w:left="0" w:firstLine="0" w:firstLineChars="0"/>
              <w:jc w:val="center"/>
              <w:rPr>
                <w:rFonts w:hint="default" w:ascii="Times New Roman" w:hAnsi="Times New Roman" w:cs="Times New Roman"/>
                <w:highlight w:val="none"/>
                <w:lang w:val="en-US"/>
              </w:rPr>
            </w:pPr>
          </w:p>
        </w:tc>
      </w:tr>
      <w:tr w14:paraId="34F65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622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1F2706A">
            <w:pPr>
              <w:pStyle w:val="35"/>
              <w:widowControl/>
              <w:ind w:left="0" w:firstLine="0" w:firstLineChars="0"/>
              <w:jc w:val="center"/>
              <w:rPr>
                <w:rFonts w:hint="default" w:ascii="Times New Roman" w:hAnsi="Times New Roman" w:cs="Times New Roman"/>
                <w:highlight w:val="none"/>
                <w:lang w:val="en-US"/>
              </w:rPr>
            </w:pPr>
            <w:r>
              <w:rPr>
                <w:rFonts w:hint="default" w:ascii="Times New Roman" w:hAnsi="Times New Roman" w:cs="Times New Roman"/>
                <w:highlight w:val="none"/>
              </w:rPr>
              <w:t>过程排放量</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147398DC">
            <w:pPr>
              <w:pStyle w:val="35"/>
              <w:widowControl/>
              <w:ind w:left="0" w:firstLine="0" w:firstLineChars="0"/>
              <w:jc w:val="center"/>
              <w:rPr>
                <w:rFonts w:hint="default" w:ascii="Times New Roman" w:hAnsi="Times New Roman" w:cs="Times New Roman"/>
                <w:highlight w:val="none"/>
                <w:lang w:val="en-US"/>
              </w:rPr>
            </w:pPr>
          </w:p>
        </w:tc>
      </w:tr>
      <w:tr w14:paraId="2CA00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265" w:hRule="atLeast"/>
          <w:jc w:val="center"/>
        </w:trPr>
        <w:tc>
          <w:tcPr>
            <w:tcW w:w="622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97699C8">
            <w:pPr>
              <w:pStyle w:val="35"/>
              <w:widowControl/>
              <w:ind w:left="0" w:firstLine="0" w:firstLineChars="0"/>
              <w:jc w:val="center"/>
              <w:rPr>
                <w:rFonts w:hint="default" w:ascii="Times New Roman" w:hAnsi="Times New Roman" w:cs="Times New Roman"/>
                <w:highlight w:val="none"/>
                <w:lang w:val="en-US"/>
              </w:rPr>
            </w:pPr>
            <w:r>
              <w:rPr>
                <w:rFonts w:hint="default" w:ascii="Times New Roman" w:hAnsi="Times New Roman" w:cs="Times New Roman"/>
                <w:highlight w:val="none"/>
              </w:rPr>
              <w:t>购入电力产生的排放量</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202EE442">
            <w:pPr>
              <w:pStyle w:val="35"/>
              <w:widowControl/>
              <w:ind w:left="0" w:firstLine="0" w:firstLineChars="0"/>
              <w:jc w:val="center"/>
              <w:rPr>
                <w:rFonts w:hint="default" w:ascii="Times New Roman" w:hAnsi="Times New Roman" w:cs="Times New Roman"/>
                <w:highlight w:val="none"/>
                <w:lang w:val="en-US"/>
              </w:rPr>
            </w:pPr>
          </w:p>
        </w:tc>
      </w:tr>
      <w:tr w14:paraId="5C896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65" w:hRule="atLeast"/>
          <w:jc w:val="center"/>
        </w:trPr>
        <w:tc>
          <w:tcPr>
            <w:tcW w:w="622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1DB911C">
            <w:pPr>
              <w:pStyle w:val="35"/>
              <w:widowControl/>
              <w:ind w:left="0" w:firstLine="0" w:firstLineChars="0"/>
              <w:jc w:val="center"/>
              <w:rPr>
                <w:rFonts w:hint="default" w:ascii="Times New Roman" w:hAnsi="Times New Roman" w:cs="Times New Roman"/>
                <w:highlight w:val="none"/>
                <w:lang w:val="en-US"/>
              </w:rPr>
            </w:pPr>
            <w:r>
              <w:rPr>
                <w:rFonts w:hint="default" w:ascii="Times New Roman" w:hAnsi="Times New Roman" w:cs="Times New Roman"/>
                <w:highlight w:val="none"/>
              </w:rPr>
              <w:t>购入热力产生的排放量</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7C391649">
            <w:pPr>
              <w:pStyle w:val="35"/>
              <w:widowControl/>
              <w:ind w:left="0" w:firstLine="0" w:firstLineChars="0"/>
              <w:jc w:val="center"/>
              <w:rPr>
                <w:rFonts w:hint="default" w:ascii="Times New Roman" w:hAnsi="Times New Roman" w:cs="Times New Roman"/>
                <w:highlight w:val="none"/>
                <w:lang w:val="en-US"/>
              </w:rPr>
            </w:pPr>
          </w:p>
        </w:tc>
      </w:tr>
      <w:tr w14:paraId="6D100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24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EFE8470">
            <w:pPr>
              <w:pStyle w:val="35"/>
              <w:widowControl/>
              <w:ind w:left="0" w:firstLine="0" w:firstLineChars="0"/>
              <w:jc w:val="center"/>
              <w:rPr>
                <w:rFonts w:hint="default" w:ascii="Times New Roman" w:hAnsi="Times New Roman" w:cs="Times New Roman"/>
                <w:highlight w:val="none"/>
                <w:lang w:val="en-US"/>
              </w:rPr>
            </w:pPr>
            <w:r>
              <w:rPr>
                <w:rFonts w:hint="default" w:ascii="Times New Roman" w:hAnsi="Times New Roman" w:cs="Times New Roman"/>
                <w:highlight w:val="none"/>
              </w:rPr>
              <w:t>企业温室气体排放总量</w:t>
            </w:r>
          </w:p>
        </w:tc>
        <w:tc>
          <w:tcPr>
            <w:tcW w:w="3822" w:type="dxa"/>
            <w:tcBorders>
              <w:top w:val="single" w:color="auto" w:sz="4" w:space="0"/>
              <w:left w:val="single" w:color="auto" w:sz="4" w:space="0"/>
              <w:bottom w:val="single" w:color="auto" w:sz="4" w:space="0"/>
              <w:right w:val="single" w:color="auto" w:sz="4" w:space="0"/>
            </w:tcBorders>
            <w:shd w:val="clear" w:color="auto" w:fill="auto"/>
            <w:vAlign w:val="center"/>
          </w:tcPr>
          <w:p w14:paraId="4596140A">
            <w:pPr>
              <w:pStyle w:val="35"/>
              <w:widowControl/>
              <w:ind w:left="0" w:firstLine="0" w:firstLineChars="0"/>
              <w:jc w:val="center"/>
              <w:rPr>
                <w:rFonts w:hint="default" w:ascii="Times New Roman" w:hAnsi="Times New Roman" w:cs="Times New Roman"/>
                <w:highlight w:val="none"/>
                <w:lang w:val="en-US"/>
              </w:rPr>
            </w:pPr>
            <w:r>
              <w:rPr>
                <w:rFonts w:hint="default" w:ascii="Times New Roman" w:hAnsi="Times New Roman" w:cs="Times New Roman"/>
                <w:highlight w:val="none"/>
              </w:rPr>
              <w:t>不包括购入电力和热力产生的排放量</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center"/>
          </w:tcPr>
          <w:p w14:paraId="6C8CABF2">
            <w:pPr>
              <w:pStyle w:val="35"/>
              <w:widowControl/>
              <w:ind w:left="0" w:firstLine="0" w:firstLineChars="0"/>
              <w:jc w:val="center"/>
              <w:rPr>
                <w:rFonts w:hint="default" w:ascii="Times New Roman" w:hAnsi="Times New Roman" w:cs="Times New Roman"/>
                <w:highlight w:val="none"/>
                <w:lang w:val="en-US"/>
              </w:rPr>
            </w:pPr>
          </w:p>
        </w:tc>
      </w:tr>
      <w:tr w14:paraId="575FB6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134" w:hRule="atLeast"/>
          <w:jc w:val="center"/>
        </w:trPr>
        <w:tc>
          <w:tcPr>
            <w:tcW w:w="2400"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1955CE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822" w:type="dxa"/>
            <w:tcBorders>
              <w:top w:val="single" w:color="auto" w:sz="4" w:space="0"/>
              <w:left w:val="single" w:color="auto" w:sz="4" w:space="0"/>
              <w:bottom w:val="single" w:color="auto" w:sz="8" w:space="0"/>
              <w:right w:val="single" w:color="auto" w:sz="4" w:space="0"/>
            </w:tcBorders>
            <w:shd w:val="clear" w:color="auto" w:fill="auto"/>
            <w:vAlign w:val="center"/>
          </w:tcPr>
          <w:p w14:paraId="279CA51D">
            <w:pPr>
              <w:pStyle w:val="35"/>
              <w:widowControl/>
              <w:ind w:left="0" w:firstLine="0" w:firstLineChars="0"/>
              <w:jc w:val="center"/>
              <w:rPr>
                <w:rFonts w:hint="default" w:ascii="Times New Roman" w:hAnsi="Times New Roman" w:cs="Times New Roman"/>
                <w:highlight w:val="none"/>
                <w:lang w:val="en-US"/>
              </w:rPr>
            </w:pPr>
            <w:r>
              <w:rPr>
                <w:rFonts w:hint="default" w:ascii="Times New Roman" w:hAnsi="Times New Roman" w:cs="Times New Roman"/>
                <w:highlight w:val="none"/>
              </w:rPr>
              <w:t>包括购人电力和热力产生的排放量</w:t>
            </w:r>
          </w:p>
        </w:tc>
        <w:tc>
          <w:tcPr>
            <w:tcW w:w="3112" w:type="dxa"/>
            <w:tcBorders>
              <w:top w:val="single" w:color="auto" w:sz="4" w:space="0"/>
              <w:left w:val="single" w:color="auto" w:sz="4" w:space="0"/>
              <w:bottom w:val="single" w:color="auto" w:sz="8" w:space="0"/>
              <w:right w:val="single" w:color="auto" w:sz="8" w:space="0"/>
            </w:tcBorders>
            <w:shd w:val="clear" w:color="auto" w:fill="auto"/>
            <w:vAlign w:val="center"/>
          </w:tcPr>
          <w:p w14:paraId="527C8F64">
            <w:pPr>
              <w:keepNext w:val="0"/>
              <w:keepLines w:val="0"/>
              <w:widowControl/>
              <w:suppressLineNumbers w:val="0"/>
              <w:spacing w:before="0" w:beforeAutospacing="0" w:after="0" w:afterAutospacing="0"/>
              <w:ind w:left="0" w:right="0"/>
              <w:jc w:val="left"/>
              <w:rPr>
                <w:rFonts w:hint="default" w:ascii="Times New Roman" w:hAnsi="Times New Roman" w:cs="Times New Roman"/>
                <w:sz w:val="20"/>
                <w:szCs w:val="20"/>
                <w:highlight w:val="none"/>
              </w:rPr>
            </w:pPr>
          </w:p>
        </w:tc>
      </w:tr>
    </w:tbl>
    <w:p w14:paraId="220137AE">
      <w:pPr>
        <w:pStyle w:val="35"/>
        <w:widowControl/>
        <w:ind w:left="0" w:firstLine="420"/>
        <w:rPr>
          <w:rFonts w:hint="default" w:ascii="Times New Roman" w:hAnsi="Times New Roman" w:cs="Times New Roman"/>
          <w:highlight w:val="none"/>
          <w:lang w:val="en-US"/>
        </w:rPr>
      </w:pPr>
    </w:p>
    <w:p w14:paraId="5B279803">
      <w:pPr>
        <w:keepNext w:val="0"/>
        <w:keepLines w:val="0"/>
        <w:widowControl/>
        <w:suppressLineNumbers w:val="0"/>
        <w:adjustRightInd/>
        <w:spacing w:before="0" w:beforeAutospacing="0" w:after="0" w:afterAutospacing="0" w:line="240" w:lineRule="auto"/>
        <w:ind w:left="0" w:right="0"/>
        <w:jc w:val="left"/>
        <w:rPr>
          <w:rFonts w:hint="default" w:ascii="Times New Roman" w:hAnsi="Times New Roman" w:eastAsia="黑体" w:cs="Times New Roman"/>
          <w:kern w:val="21"/>
          <w:szCs w:val="20"/>
          <w:highlight w:val="none"/>
          <w:lang w:val="en-US"/>
        </w:rPr>
      </w:pPr>
      <w:r>
        <w:rPr>
          <w:rFonts w:hint="default" w:ascii="Times New Roman" w:hAnsi="Times New Roman" w:eastAsia="宋体" w:cs="Times New Roman"/>
          <w:kern w:val="2"/>
          <w:sz w:val="21"/>
          <w:szCs w:val="21"/>
          <w:highlight w:val="none"/>
          <w:lang w:val="en-US" w:eastAsia="zh-CN" w:bidi="ar"/>
        </w:rPr>
        <w:br w:type="page"/>
      </w:r>
    </w:p>
    <w:p w14:paraId="077B49BC">
      <w:pPr>
        <w:pStyle w:val="45"/>
        <w:widowControl/>
        <w:numPr>
          <w:ilvl w:val="1"/>
          <w:numId w:val="5"/>
        </w:numPr>
        <w:spacing w:before="120" w:beforeLines="50" w:beforeAutospacing="0" w:after="120" w:afterLines="50" w:afterAutospacing="0"/>
        <w:ind w:left="0" w:right="0" w:firstLine="0"/>
        <w:rPr>
          <w:rFonts w:hint="default" w:ascii="Times New Roman" w:hAnsi="Times New Roman" w:cs="Times New Roman"/>
          <w:highlight w:val="none"/>
          <w:lang w:val="en-US"/>
        </w:rPr>
      </w:pPr>
      <w:r>
        <w:rPr>
          <w:rFonts w:hint="default" w:ascii="Times New Roman" w:hAnsi="Times New Roman" w:cs="Times New Roman"/>
          <w:highlight w:val="none"/>
          <w:lang w:eastAsia="zh-CN"/>
        </w:rPr>
        <w:t>报告主体活动数据一览表</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736"/>
        <w:gridCol w:w="1721"/>
        <w:gridCol w:w="1721"/>
        <w:gridCol w:w="1755"/>
        <w:gridCol w:w="1778"/>
      </w:tblGrid>
      <w:tr w14:paraId="37F58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1865" w:type="dxa"/>
            <w:tcBorders>
              <w:top w:val="single" w:color="auto" w:sz="8" w:space="0"/>
              <w:left w:val="single" w:color="auto" w:sz="8" w:space="0"/>
              <w:bottom w:val="single" w:color="auto" w:sz="8" w:space="0"/>
              <w:right w:val="single" w:color="auto" w:sz="4" w:space="0"/>
            </w:tcBorders>
            <w:shd w:val="clear" w:color="auto" w:fill="auto"/>
            <w:vAlign w:val="center"/>
          </w:tcPr>
          <w:p w14:paraId="05FFB0D9">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rPr>
              <w:t>排放源类别</w:t>
            </w:r>
          </w:p>
        </w:tc>
        <w:tc>
          <w:tcPr>
            <w:tcW w:w="1867" w:type="dxa"/>
            <w:tcBorders>
              <w:top w:val="single" w:color="auto" w:sz="8" w:space="0"/>
              <w:left w:val="single" w:color="auto" w:sz="4" w:space="0"/>
              <w:bottom w:val="single" w:color="auto" w:sz="8" w:space="0"/>
              <w:right w:val="single" w:color="auto" w:sz="4" w:space="0"/>
            </w:tcBorders>
            <w:shd w:val="clear" w:color="auto" w:fill="auto"/>
            <w:vAlign w:val="center"/>
          </w:tcPr>
          <w:p w14:paraId="0D012034">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rPr>
              <w:t>燃料品种</w:t>
            </w:r>
          </w:p>
        </w:tc>
        <w:tc>
          <w:tcPr>
            <w:tcW w:w="1867" w:type="dxa"/>
            <w:tcBorders>
              <w:top w:val="single" w:color="auto" w:sz="8" w:space="0"/>
              <w:left w:val="single" w:color="auto" w:sz="4" w:space="0"/>
              <w:bottom w:val="single" w:color="auto" w:sz="8" w:space="0"/>
              <w:right w:val="single" w:color="auto" w:sz="4" w:space="0"/>
            </w:tcBorders>
            <w:shd w:val="clear" w:color="auto" w:fill="auto"/>
            <w:vAlign w:val="center"/>
          </w:tcPr>
          <w:p w14:paraId="6C5C2335">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rPr>
              <w:t>计量单位</w:t>
            </w:r>
          </w:p>
        </w:tc>
        <w:tc>
          <w:tcPr>
            <w:tcW w:w="1867" w:type="dxa"/>
            <w:tcBorders>
              <w:top w:val="single" w:color="auto" w:sz="8" w:space="0"/>
              <w:left w:val="single" w:color="auto" w:sz="4" w:space="0"/>
              <w:bottom w:val="single" w:color="auto" w:sz="8" w:space="0"/>
              <w:right w:val="single" w:color="auto" w:sz="4" w:space="0"/>
            </w:tcBorders>
            <w:shd w:val="clear" w:color="auto" w:fill="auto"/>
            <w:vAlign w:val="center"/>
          </w:tcPr>
          <w:p w14:paraId="11B5F733">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rPr>
              <w:t>消耗量</w:t>
            </w:r>
          </w:p>
          <w:p w14:paraId="294BC0E5">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lang w:val="en-US"/>
              </w:rPr>
              <w:t>t</w:t>
            </w:r>
            <w:r>
              <w:rPr>
                <w:rFonts w:hint="default" w:ascii="Times New Roman" w:hAnsi="Times New Roman" w:cs="Times New Roman"/>
                <w:highlight w:val="none"/>
              </w:rPr>
              <w:t>或</w:t>
            </w:r>
            <w:r>
              <w:rPr>
                <w:rFonts w:hint="default" w:ascii="Times New Roman" w:hAnsi="Times New Roman" w:cs="Times New Roman"/>
                <w:highlight w:val="none"/>
                <w:lang w:val="en-US"/>
              </w:rPr>
              <w:t>10</w:t>
            </w:r>
            <w:r>
              <w:rPr>
                <w:rFonts w:hint="default" w:ascii="Times New Roman" w:hAnsi="Times New Roman" w:cs="Times New Roman"/>
                <w:highlight w:val="none"/>
                <w:vertAlign w:val="superscript"/>
                <w:lang w:val="en-US"/>
              </w:rPr>
              <w:t>4</w:t>
            </w:r>
            <w:r>
              <w:rPr>
                <w:rFonts w:hint="default" w:ascii="Times New Roman" w:hAnsi="Times New Roman" w:cs="Times New Roman"/>
                <w:highlight w:val="none"/>
                <w:lang w:val="en-US"/>
              </w:rPr>
              <w:t>Nm</w:t>
            </w:r>
            <w:r>
              <w:rPr>
                <w:rFonts w:hint="default" w:ascii="Times New Roman" w:hAnsi="Times New Roman" w:cs="Times New Roman"/>
                <w:highlight w:val="none"/>
                <w:vertAlign w:val="superscript"/>
                <w:lang w:val="en-US"/>
              </w:rPr>
              <w:t>3</w:t>
            </w:r>
            <w:r>
              <w:rPr>
                <w:rFonts w:hint="default" w:ascii="Times New Roman" w:hAnsi="Times New Roman" w:cs="Times New Roman"/>
                <w:highlight w:val="none"/>
                <w:lang w:val="en-US"/>
              </w:rPr>
              <w:t xml:space="preserve"> </w:t>
            </w:r>
          </w:p>
        </w:tc>
        <w:tc>
          <w:tcPr>
            <w:tcW w:w="1868" w:type="dxa"/>
            <w:tcBorders>
              <w:top w:val="single" w:color="auto" w:sz="8" w:space="0"/>
              <w:left w:val="single" w:color="auto" w:sz="4" w:space="0"/>
              <w:bottom w:val="single" w:color="auto" w:sz="8" w:space="0"/>
              <w:right w:val="single" w:color="auto" w:sz="8" w:space="0"/>
            </w:tcBorders>
            <w:shd w:val="clear" w:color="auto" w:fill="auto"/>
            <w:vAlign w:val="center"/>
          </w:tcPr>
          <w:p w14:paraId="6AA4D39B">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rPr>
              <w:t>低位发热量</w:t>
            </w:r>
          </w:p>
          <w:p w14:paraId="7FDCD780">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lang w:val="en-US"/>
              </w:rPr>
              <w:t>GJ/t</w:t>
            </w:r>
            <w:r>
              <w:rPr>
                <w:rFonts w:hint="default" w:ascii="Times New Roman" w:hAnsi="Times New Roman" w:cs="Times New Roman"/>
                <w:highlight w:val="none"/>
              </w:rPr>
              <w:t>或</w:t>
            </w:r>
            <w:r>
              <w:rPr>
                <w:rFonts w:hint="default" w:ascii="Times New Roman" w:hAnsi="Times New Roman" w:cs="Times New Roman"/>
                <w:highlight w:val="none"/>
                <w:lang w:val="en-US"/>
              </w:rPr>
              <w:t>GJ/10</w:t>
            </w:r>
            <w:r>
              <w:rPr>
                <w:rFonts w:hint="default" w:ascii="Times New Roman" w:hAnsi="Times New Roman" w:cs="Times New Roman"/>
                <w:highlight w:val="none"/>
                <w:vertAlign w:val="superscript"/>
                <w:lang w:val="en-US"/>
              </w:rPr>
              <w:t>4</w:t>
            </w:r>
            <w:r>
              <w:rPr>
                <w:rFonts w:hint="default" w:ascii="Times New Roman" w:hAnsi="Times New Roman" w:cs="Times New Roman"/>
                <w:highlight w:val="none"/>
                <w:lang w:val="en-US"/>
              </w:rPr>
              <w:t>Nm</w:t>
            </w:r>
            <w:r>
              <w:rPr>
                <w:rFonts w:hint="default" w:ascii="Times New Roman" w:hAnsi="Times New Roman" w:cs="Times New Roman"/>
                <w:highlight w:val="none"/>
                <w:vertAlign w:val="superscript"/>
                <w:lang w:val="en-US"/>
              </w:rPr>
              <w:t>3</w:t>
            </w:r>
          </w:p>
        </w:tc>
      </w:tr>
      <w:tr w14:paraId="302035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0A462BC5">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rPr>
              <w:t>燃料燃烧</w:t>
            </w:r>
          </w:p>
        </w:tc>
        <w:tc>
          <w:tcPr>
            <w:tcW w:w="1867" w:type="dxa"/>
            <w:tcBorders>
              <w:top w:val="single" w:color="auto" w:sz="8" w:space="0"/>
              <w:left w:val="single" w:color="auto" w:sz="4" w:space="0"/>
              <w:bottom w:val="single" w:color="auto" w:sz="4" w:space="0"/>
              <w:right w:val="single" w:color="auto" w:sz="4" w:space="0"/>
            </w:tcBorders>
            <w:shd w:val="clear" w:color="auto" w:fill="auto"/>
            <w:vAlign w:val="center"/>
          </w:tcPr>
          <w:p w14:paraId="564E5C98">
            <w:pPr>
              <w:pStyle w:val="46"/>
              <w:widowControl/>
              <w:rPr>
                <w:rFonts w:hint="default" w:ascii="Times New Roman" w:hAnsi="Times New Roman" w:cs="Times New Roman"/>
                <w:highlight w:val="none"/>
                <w:lang w:val="en-US"/>
              </w:rPr>
            </w:pPr>
          </w:p>
        </w:tc>
        <w:tc>
          <w:tcPr>
            <w:tcW w:w="1867" w:type="dxa"/>
            <w:tcBorders>
              <w:top w:val="single" w:color="auto" w:sz="8" w:space="0"/>
              <w:left w:val="single" w:color="auto" w:sz="4" w:space="0"/>
              <w:bottom w:val="single" w:color="auto" w:sz="4" w:space="0"/>
              <w:right w:val="single" w:color="auto" w:sz="4" w:space="0"/>
            </w:tcBorders>
            <w:shd w:val="clear" w:color="auto" w:fill="auto"/>
            <w:vAlign w:val="center"/>
          </w:tcPr>
          <w:p w14:paraId="42BAF719">
            <w:pPr>
              <w:pStyle w:val="46"/>
              <w:widowControl/>
              <w:rPr>
                <w:rFonts w:hint="default" w:ascii="Times New Roman" w:hAnsi="Times New Roman" w:cs="Times New Roman"/>
                <w:highlight w:val="none"/>
                <w:lang w:val="en-US"/>
              </w:rPr>
            </w:pPr>
          </w:p>
        </w:tc>
        <w:tc>
          <w:tcPr>
            <w:tcW w:w="1867" w:type="dxa"/>
            <w:tcBorders>
              <w:top w:val="single" w:color="auto" w:sz="8" w:space="0"/>
              <w:left w:val="single" w:color="auto" w:sz="4" w:space="0"/>
              <w:bottom w:val="single" w:color="auto" w:sz="4" w:space="0"/>
              <w:right w:val="single" w:color="auto" w:sz="4" w:space="0"/>
            </w:tcBorders>
            <w:shd w:val="clear" w:color="auto" w:fill="auto"/>
            <w:vAlign w:val="center"/>
          </w:tcPr>
          <w:p w14:paraId="52E87344">
            <w:pPr>
              <w:pStyle w:val="46"/>
              <w:widowControl/>
              <w:rPr>
                <w:rFonts w:hint="default" w:ascii="Times New Roman" w:hAnsi="Times New Roman" w:cs="Times New Roman"/>
                <w:highlight w:val="none"/>
                <w:lang w:val="en-US"/>
              </w:rPr>
            </w:pPr>
          </w:p>
        </w:tc>
        <w:tc>
          <w:tcPr>
            <w:tcW w:w="1868" w:type="dxa"/>
            <w:tcBorders>
              <w:top w:val="single" w:color="auto" w:sz="8" w:space="0"/>
              <w:left w:val="single" w:color="auto" w:sz="4" w:space="0"/>
              <w:bottom w:val="single" w:color="auto" w:sz="4" w:space="0"/>
              <w:right w:val="single" w:color="auto" w:sz="8" w:space="0"/>
            </w:tcBorders>
            <w:shd w:val="clear" w:color="auto" w:fill="auto"/>
            <w:vAlign w:val="center"/>
          </w:tcPr>
          <w:p w14:paraId="6A0791D8">
            <w:pPr>
              <w:pStyle w:val="46"/>
              <w:widowControl/>
              <w:rPr>
                <w:rFonts w:hint="default" w:ascii="Times New Roman" w:hAnsi="Times New Roman" w:cs="Times New Roman"/>
                <w:highlight w:val="none"/>
                <w:lang w:val="en-US"/>
              </w:rPr>
            </w:pPr>
          </w:p>
        </w:tc>
      </w:tr>
      <w:tr w14:paraId="03D97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696025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365B09E">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C78D815">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ED50C78">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5F56451A">
            <w:pPr>
              <w:pStyle w:val="46"/>
              <w:widowControl/>
              <w:rPr>
                <w:rFonts w:hint="default" w:ascii="Times New Roman" w:hAnsi="Times New Roman" w:cs="Times New Roman"/>
                <w:highlight w:val="none"/>
                <w:lang w:val="en-US"/>
              </w:rPr>
            </w:pPr>
          </w:p>
        </w:tc>
      </w:tr>
      <w:tr w14:paraId="5FEC7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CC864B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AE857C5">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8817577">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88B3D09">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461E1A05">
            <w:pPr>
              <w:pStyle w:val="46"/>
              <w:widowControl/>
              <w:rPr>
                <w:rFonts w:hint="default" w:ascii="Times New Roman" w:hAnsi="Times New Roman" w:cs="Times New Roman"/>
                <w:highlight w:val="none"/>
                <w:lang w:val="en-US"/>
              </w:rPr>
            </w:pPr>
          </w:p>
        </w:tc>
      </w:tr>
      <w:tr w14:paraId="19E5D0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EF0417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E1864FE">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55F2FD5">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41E2494">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3CFE2249">
            <w:pPr>
              <w:pStyle w:val="46"/>
              <w:widowControl/>
              <w:rPr>
                <w:rFonts w:hint="default" w:ascii="Times New Roman" w:hAnsi="Times New Roman" w:cs="Times New Roman"/>
                <w:highlight w:val="none"/>
                <w:lang w:val="en-US"/>
              </w:rPr>
            </w:pPr>
          </w:p>
        </w:tc>
      </w:tr>
      <w:tr w14:paraId="4F0D4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6E8A0F9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1B48DD4">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8AA4648">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18E2E97">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33F29CD4">
            <w:pPr>
              <w:pStyle w:val="46"/>
              <w:widowControl/>
              <w:rPr>
                <w:rFonts w:hint="default" w:ascii="Times New Roman" w:hAnsi="Times New Roman" w:cs="Times New Roman"/>
                <w:highlight w:val="none"/>
                <w:lang w:val="en-US"/>
              </w:rPr>
            </w:pPr>
          </w:p>
        </w:tc>
      </w:tr>
      <w:tr w14:paraId="25C37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62A03B4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9899CC5">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C91D7A3">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5560A34">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5F252144">
            <w:pPr>
              <w:pStyle w:val="46"/>
              <w:widowControl/>
              <w:rPr>
                <w:rFonts w:hint="default" w:ascii="Times New Roman" w:hAnsi="Times New Roman" w:cs="Times New Roman"/>
                <w:highlight w:val="none"/>
                <w:lang w:val="en-US"/>
              </w:rPr>
            </w:pPr>
          </w:p>
        </w:tc>
      </w:tr>
      <w:tr w14:paraId="18CE3C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00ECB0F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DB6262A">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136FA28">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EDA8D2A">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3F427FFD">
            <w:pPr>
              <w:pStyle w:val="46"/>
              <w:widowControl/>
              <w:rPr>
                <w:rFonts w:hint="default" w:ascii="Times New Roman" w:hAnsi="Times New Roman" w:cs="Times New Roman"/>
                <w:highlight w:val="none"/>
                <w:lang w:val="en-US"/>
              </w:rPr>
            </w:pPr>
          </w:p>
        </w:tc>
      </w:tr>
      <w:tr w14:paraId="23D2F2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2FDE17B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09DEC704">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00C582E">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4EF13BF">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0465F874">
            <w:pPr>
              <w:pStyle w:val="46"/>
              <w:widowControl/>
              <w:rPr>
                <w:rFonts w:hint="default" w:ascii="Times New Roman" w:hAnsi="Times New Roman" w:cs="Times New Roman"/>
                <w:highlight w:val="none"/>
                <w:lang w:val="en-US"/>
              </w:rPr>
            </w:pPr>
          </w:p>
        </w:tc>
      </w:tr>
      <w:tr w14:paraId="2F030F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F5445A2">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rPr>
              <w:t>生产过程</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39E884C">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C5E8EA1">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05DA79B2">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49867B27">
            <w:pPr>
              <w:pStyle w:val="46"/>
              <w:widowControl/>
              <w:rPr>
                <w:rFonts w:hint="default" w:ascii="Times New Roman" w:hAnsi="Times New Roman" w:cs="Times New Roman"/>
                <w:highlight w:val="none"/>
                <w:lang w:val="en-US"/>
              </w:rPr>
            </w:pPr>
          </w:p>
        </w:tc>
      </w:tr>
      <w:tr w14:paraId="565DC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6950F9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85748DB">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C5966F8">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9828734">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1B02B395">
            <w:pPr>
              <w:pStyle w:val="46"/>
              <w:widowControl/>
              <w:rPr>
                <w:rFonts w:hint="default" w:ascii="Times New Roman" w:hAnsi="Times New Roman" w:cs="Times New Roman"/>
                <w:highlight w:val="none"/>
                <w:lang w:val="en-US"/>
              </w:rPr>
            </w:pPr>
          </w:p>
        </w:tc>
      </w:tr>
      <w:tr w14:paraId="54812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EA3891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A766704">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A6F00EC">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06061A9">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659232BD">
            <w:pPr>
              <w:pStyle w:val="46"/>
              <w:widowControl/>
              <w:rPr>
                <w:rFonts w:hint="default" w:ascii="Times New Roman" w:hAnsi="Times New Roman" w:cs="Times New Roman"/>
                <w:highlight w:val="none"/>
                <w:lang w:val="en-US"/>
              </w:rPr>
            </w:pPr>
          </w:p>
        </w:tc>
      </w:tr>
      <w:tr w14:paraId="3C069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20C434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E4DE3BB">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B4B3750">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EB3EC34">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0C7D7C9B">
            <w:pPr>
              <w:pStyle w:val="46"/>
              <w:widowControl/>
              <w:rPr>
                <w:rFonts w:hint="default" w:ascii="Times New Roman" w:hAnsi="Times New Roman" w:cs="Times New Roman"/>
                <w:highlight w:val="none"/>
                <w:lang w:val="en-US"/>
              </w:rPr>
            </w:pPr>
          </w:p>
        </w:tc>
      </w:tr>
      <w:tr w14:paraId="6AA5B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74D05A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D32FC1D">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AEEB35C">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DE37873">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11F04C24">
            <w:pPr>
              <w:pStyle w:val="46"/>
              <w:widowControl/>
              <w:rPr>
                <w:rFonts w:hint="default" w:ascii="Times New Roman" w:hAnsi="Times New Roman" w:cs="Times New Roman"/>
                <w:highlight w:val="none"/>
                <w:lang w:val="en-US"/>
              </w:rPr>
            </w:pPr>
          </w:p>
        </w:tc>
      </w:tr>
      <w:tr w14:paraId="1CE55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E020E0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45820FD">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0D74417C">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7A2859A">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10D7C593">
            <w:pPr>
              <w:pStyle w:val="46"/>
              <w:widowControl/>
              <w:rPr>
                <w:rFonts w:hint="default" w:ascii="Times New Roman" w:hAnsi="Times New Roman" w:cs="Times New Roman"/>
                <w:highlight w:val="none"/>
                <w:lang w:val="en-US"/>
              </w:rPr>
            </w:pPr>
          </w:p>
        </w:tc>
      </w:tr>
      <w:tr w14:paraId="0965B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6DC699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D9F95CC">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1E15F01">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8B40533">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38EFB42C">
            <w:pPr>
              <w:pStyle w:val="46"/>
              <w:widowControl/>
              <w:rPr>
                <w:rFonts w:hint="default" w:ascii="Times New Roman" w:hAnsi="Times New Roman" w:cs="Times New Roman"/>
                <w:highlight w:val="none"/>
                <w:lang w:val="en-US"/>
              </w:rPr>
            </w:pPr>
          </w:p>
        </w:tc>
      </w:tr>
      <w:tr w14:paraId="5D4C6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64A1C8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A61C1BA">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E393B11">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D222759">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1B5DDE48">
            <w:pPr>
              <w:pStyle w:val="46"/>
              <w:widowControl/>
              <w:rPr>
                <w:rFonts w:hint="default" w:ascii="Times New Roman" w:hAnsi="Times New Roman" w:cs="Times New Roman"/>
                <w:highlight w:val="none"/>
                <w:lang w:val="en-US"/>
              </w:rPr>
            </w:pPr>
          </w:p>
        </w:tc>
      </w:tr>
      <w:tr w14:paraId="760E1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B99608B">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rPr>
              <w:t>购入和输出的</w:t>
            </w:r>
          </w:p>
          <w:p w14:paraId="095467FA">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rPr>
              <w:t>电力、热力</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C8E1539">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8C0FE6F">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06EC7E8">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3124D156">
            <w:pPr>
              <w:pStyle w:val="46"/>
              <w:widowControl/>
              <w:rPr>
                <w:rFonts w:hint="default" w:ascii="Times New Roman" w:hAnsi="Times New Roman" w:cs="Times New Roman"/>
                <w:highlight w:val="none"/>
                <w:lang w:val="en-US"/>
              </w:rPr>
            </w:pPr>
          </w:p>
        </w:tc>
      </w:tr>
      <w:tr w14:paraId="338BDA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BCA0ED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2A2AE41">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5C119DD">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E061B71">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2B946352">
            <w:pPr>
              <w:pStyle w:val="46"/>
              <w:widowControl/>
              <w:rPr>
                <w:rFonts w:hint="default" w:ascii="Times New Roman" w:hAnsi="Times New Roman" w:cs="Times New Roman"/>
                <w:highlight w:val="none"/>
                <w:lang w:val="en-US"/>
              </w:rPr>
            </w:pPr>
          </w:p>
        </w:tc>
      </w:tr>
      <w:tr w14:paraId="7BF2E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64BCD2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E93488C">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E46A35B">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E8C1CDC">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5A72C1D8">
            <w:pPr>
              <w:pStyle w:val="46"/>
              <w:widowControl/>
              <w:rPr>
                <w:rFonts w:hint="default" w:ascii="Times New Roman" w:hAnsi="Times New Roman" w:cs="Times New Roman"/>
                <w:highlight w:val="none"/>
                <w:lang w:val="en-US"/>
              </w:rPr>
            </w:pPr>
          </w:p>
        </w:tc>
      </w:tr>
      <w:tr w14:paraId="2E0C1D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6197A6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374870E">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164B683">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6C8DAA5">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5E114987">
            <w:pPr>
              <w:pStyle w:val="46"/>
              <w:widowControl/>
              <w:rPr>
                <w:rFonts w:hint="default" w:ascii="Times New Roman" w:hAnsi="Times New Roman" w:cs="Times New Roman"/>
                <w:highlight w:val="none"/>
                <w:lang w:val="en-US"/>
              </w:rPr>
            </w:pPr>
          </w:p>
        </w:tc>
      </w:tr>
      <w:tr w14:paraId="3537D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EA92C1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C981B20">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3F4B356">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580B669">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26B8C948">
            <w:pPr>
              <w:pStyle w:val="46"/>
              <w:widowControl/>
              <w:rPr>
                <w:rFonts w:hint="default" w:ascii="Times New Roman" w:hAnsi="Times New Roman" w:cs="Times New Roman"/>
                <w:highlight w:val="none"/>
                <w:lang w:val="en-US"/>
              </w:rPr>
            </w:pPr>
          </w:p>
        </w:tc>
      </w:tr>
      <w:tr w14:paraId="1A4678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553278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44DF7D6">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DF2EEF6">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3647F56">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42AE70BF">
            <w:pPr>
              <w:pStyle w:val="46"/>
              <w:widowControl/>
              <w:rPr>
                <w:rFonts w:hint="default" w:ascii="Times New Roman" w:hAnsi="Times New Roman" w:cs="Times New Roman"/>
                <w:highlight w:val="none"/>
                <w:lang w:val="en-US"/>
              </w:rPr>
            </w:pPr>
          </w:p>
        </w:tc>
      </w:tr>
      <w:tr w14:paraId="40D3D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restart"/>
            <w:tcBorders>
              <w:top w:val="single" w:color="auto" w:sz="4" w:space="0"/>
              <w:left w:val="single" w:color="auto" w:sz="8" w:space="0"/>
              <w:bottom w:val="single" w:color="auto" w:sz="8" w:space="0"/>
              <w:right w:val="single" w:color="auto" w:sz="4" w:space="0"/>
            </w:tcBorders>
            <w:shd w:val="clear" w:color="auto" w:fill="auto"/>
            <w:vAlign w:val="center"/>
          </w:tcPr>
          <w:p w14:paraId="69FEA482">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rPr>
              <w:t>固碳</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AF488E5">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1A21901">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783FCD5">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52711909">
            <w:pPr>
              <w:pStyle w:val="46"/>
              <w:widowControl/>
              <w:rPr>
                <w:rFonts w:hint="default" w:ascii="Times New Roman" w:hAnsi="Times New Roman" w:cs="Times New Roman"/>
                <w:highlight w:val="none"/>
                <w:lang w:val="en-US"/>
              </w:rPr>
            </w:pPr>
          </w:p>
        </w:tc>
      </w:tr>
      <w:tr w14:paraId="2357D4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65"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3ABA20C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486ECE2">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A6DFEEC">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C090CF6">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1AC99181">
            <w:pPr>
              <w:pStyle w:val="46"/>
              <w:widowControl/>
              <w:rPr>
                <w:rFonts w:hint="default" w:ascii="Times New Roman" w:hAnsi="Times New Roman" w:cs="Times New Roman"/>
                <w:highlight w:val="none"/>
                <w:lang w:val="en-US"/>
              </w:rPr>
            </w:pPr>
          </w:p>
        </w:tc>
      </w:tr>
      <w:tr w14:paraId="430C7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6BB1EC1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C83CF14">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84B473E">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3D94DB5">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2115FABF">
            <w:pPr>
              <w:pStyle w:val="46"/>
              <w:widowControl/>
              <w:rPr>
                <w:rFonts w:hint="default" w:ascii="Times New Roman" w:hAnsi="Times New Roman" w:cs="Times New Roman"/>
                <w:highlight w:val="none"/>
                <w:lang w:val="en-US"/>
              </w:rPr>
            </w:pPr>
          </w:p>
        </w:tc>
      </w:tr>
      <w:tr w14:paraId="01950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627BA66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2C2F21B">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B6903C5">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E5E9453">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46F5431D">
            <w:pPr>
              <w:pStyle w:val="46"/>
              <w:widowControl/>
              <w:rPr>
                <w:rFonts w:hint="default" w:ascii="Times New Roman" w:hAnsi="Times New Roman" w:cs="Times New Roman"/>
                <w:highlight w:val="none"/>
                <w:lang w:val="en-US"/>
              </w:rPr>
            </w:pPr>
          </w:p>
        </w:tc>
      </w:tr>
      <w:tr w14:paraId="201F4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317DED1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5417A25">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6BA1C20">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2B570F5">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4" w:space="0"/>
              <w:right w:val="single" w:color="auto" w:sz="8" w:space="0"/>
            </w:tcBorders>
            <w:shd w:val="clear" w:color="auto" w:fill="auto"/>
            <w:vAlign w:val="center"/>
          </w:tcPr>
          <w:p w14:paraId="3A9BAD3E">
            <w:pPr>
              <w:pStyle w:val="46"/>
              <w:widowControl/>
              <w:rPr>
                <w:rFonts w:hint="default" w:ascii="Times New Roman" w:hAnsi="Times New Roman" w:cs="Times New Roman"/>
                <w:highlight w:val="none"/>
                <w:lang w:val="en-US"/>
              </w:rPr>
            </w:pPr>
          </w:p>
        </w:tc>
      </w:tr>
      <w:tr w14:paraId="639DDA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865"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1C10AA2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67" w:type="dxa"/>
            <w:tcBorders>
              <w:top w:val="single" w:color="auto" w:sz="4" w:space="0"/>
              <w:left w:val="single" w:color="auto" w:sz="4" w:space="0"/>
              <w:bottom w:val="single" w:color="auto" w:sz="8" w:space="0"/>
              <w:right w:val="single" w:color="auto" w:sz="4" w:space="0"/>
            </w:tcBorders>
            <w:shd w:val="clear" w:color="auto" w:fill="auto"/>
            <w:vAlign w:val="center"/>
          </w:tcPr>
          <w:p w14:paraId="5DCFD88C">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8" w:space="0"/>
              <w:right w:val="single" w:color="auto" w:sz="4" w:space="0"/>
            </w:tcBorders>
            <w:shd w:val="clear" w:color="auto" w:fill="auto"/>
            <w:vAlign w:val="center"/>
          </w:tcPr>
          <w:p w14:paraId="04A3CCC6">
            <w:pPr>
              <w:pStyle w:val="46"/>
              <w:widowControl/>
              <w:rPr>
                <w:rFonts w:hint="default" w:ascii="Times New Roman" w:hAnsi="Times New Roman" w:cs="Times New Roman"/>
                <w:highlight w:val="none"/>
                <w:lang w:val="en-US"/>
              </w:rPr>
            </w:pPr>
          </w:p>
        </w:tc>
        <w:tc>
          <w:tcPr>
            <w:tcW w:w="1867" w:type="dxa"/>
            <w:tcBorders>
              <w:top w:val="single" w:color="auto" w:sz="4" w:space="0"/>
              <w:left w:val="single" w:color="auto" w:sz="4" w:space="0"/>
              <w:bottom w:val="single" w:color="auto" w:sz="8" w:space="0"/>
              <w:right w:val="single" w:color="auto" w:sz="4" w:space="0"/>
            </w:tcBorders>
            <w:shd w:val="clear" w:color="auto" w:fill="auto"/>
            <w:vAlign w:val="center"/>
          </w:tcPr>
          <w:p w14:paraId="6E109C84">
            <w:pPr>
              <w:pStyle w:val="46"/>
              <w:widowControl/>
              <w:rPr>
                <w:rFonts w:hint="default" w:ascii="Times New Roman" w:hAnsi="Times New Roman" w:cs="Times New Roman"/>
                <w:highlight w:val="none"/>
                <w:lang w:val="en-US"/>
              </w:rPr>
            </w:pPr>
          </w:p>
        </w:tc>
        <w:tc>
          <w:tcPr>
            <w:tcW w:w="1868" w:type="dxa"/>
            <w:tcBorders>
              <w:top w:val="single" w:color="auto" w:sz="4" w:space="0"/>
              <w:left w:val="single" w:color="auto" w:sz="4" w:space="0"/>
              <w:bottom w:val="single" w:color="auto" w:sz="8" w:space="0"/>
              <w:right w:val="single" w:color="auto" w:sz="8" w:space="0"/>
            </w:tcBorders>
            <w:shd w:val="clear" w:color="auto" w:fill="auto"/>
            <w:vAlign w:val="center"/>
          </w:tcPr>
          <w:p w14:paraId="23964C99">
            <w:pPr>
              <w:pStyle w:val="46"/>
              <w:widowControl/>
              <w:rPr>
                <w:rFonts w:hint="default" w:ascii="Times New Roman" w:hAnsi="Times New Roman" w:cs="Times New Roman"/>
                <w:highlight w:val="none"/>
                <w:lang w:val="en-US"/>
              </w:rPr>
            </w:pPr>
          </w:p>
        </w:tc>
      </w:tr>
    </w:tbl>
    <w:p w14:paraId="2378418E">
      <w:pPr>
        <w:pStyle w:val="35"/>
        <w:widowControl/>
        <w:ind w:left="0" w:firstLine="420"/>
        <w:rPr>
          <w:rFonts w:hint="default" w:ascii="Times New Roman" w:hAnsi="Times New Roman" w:cs="Times New Roman"/>
          <w:highlight w:val="none"/>
          <w:lang w:val="en-US"/>
        </w:rPr>
      </w:pPr>
    </w:p>
    <w:p w14:paraId="5CD13F29">
      <w:pPr>
        <w:keepNext w:val="0"/>
        <w:keepLines w:val="0"/>
        <w:widowControl/>
        <w:suppressLineNumbers w:val="0"/>
        <w:adjustRightInd/>
        <w:spacing w:before="0" w:beforeAutospacing="0" w:after="0" w:afterAutospacing="0" w:line="240" w:lineRule="auto"/>
        <w:ind w:left="0" w:right="0"/>
        <w:jc w:val="left"/>
        <w:rPr>
          <w:rFonts w:hint="default" w:ascii="Times New Roman" w:hAnsi="Times New Roman" w:eastAsia="黑体" w:cs="Times New Roman"/>
          <w:kern w:val="21"/>
          <w:szCs w:val="20"/>
          <w:highlight w:val="none"/>
          <w:lang w:val="en-US"/>
        </w:rPr>
      </w:pPr>
      <w:r>
        <w:rPr>
          <w:rFonts w:hint="default" w:ascii="Times New Roman" w:hAnsi="Times New Roman" w:eastAsia="宋体" w:cs="Times New Roman"/>
          <w:kern w:val="2"/>
          <w:sz w:val="21"/>
          <w:szCs w:val="21"/>
          <w:highlight w:val="none"/>
          <w:lang w:val="en-US" w:eastAsia="zh-CN" w:bidi="ar"/>
        </w:rPr>
        <w:br w:type="page"/>
      </w:r>
    </w:p>
    <w:p w14:paraId="64BE06B1">
      <w:pPr>
        <w:pStyle w:val="45"/>
        <w:widowControl/>
        <w:numPr>
          <w:ilvl w:val="1"/>
          <w:numId w:val="5"/>
        </w:numPr>
        <w:spacing w:before="120" w:beforeLines="50" w:beforeAutospacing="0" w:after="120" w:afterLines="50" w:afterAutospacing="0"/>
        <w:ind w:left="0" w:right="0" w:firstLine="0"/>
        <w:rPr>
          <w:rFonts w:hint="default" w:ascii="Times New Roman" w:hAnsi="Times New Roman" w:cs="Times New Roman"/>
          <w:highlight w:val="none"/>
          <w:lang w:val="en-US"/>
        </w:rPr>
      </w:pPr>
      <w:r>
        <w:rPr>
          <w:rFonts w:hint="default" w:ascii="Times New Roman" w:hAnsi="Times New Roman" w:cs="Times New Roman"/>
          <w:highlight w:val="none"/>
          <w:lang w:eastAsia="zh-CN"/>
        </w:rPr>
        <w:t>报告主体排放因子相关数据一览表</w:t>
      </w:r>
    </w:p>
    <w:p w14:paraId="33069A03">
      <w:pPr>
        <w:pStyle w:val="35"/>
        <w:widowControl/>
        <w:ind w:left="0" w:firstLine="420"/>
        <w:rPr>
          <w:rFonts w:hint="default" w:ascii="Times New Roman" w:hAnsi="Times New Roman" w:cs="Times New Roman"/>
          <w:highlight w:val="none"/>
          <w:lang w:val="en-US"/>
        </w:rPr>
      </w:pP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184"/>
        <w:gridCol w:w="2169"/>
        <w:gridCol w:w="2188"/>
        <w:gridCol w:w="2170"/>
      </w:tblGrid>
      <w:tr w14:paraId="1BE9B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2334" w:type="dxa"/>
            <w:tcBorders>
              <w:top w:val="single" w:color="auto" w:sz="8" w:space="0"/>
              <w:left w:val="single" w:color="auto" w:sz="8" w:space="0"/>
              <w:bottom w:val="single" w:color="auto" w:sz="8" w:space="0"/>
              <w:right w:val="single" w:color="auto" w:sz="4" w:space="0"/>
            </w:tcBorders>
            <w:shd w:val="clear" w:color="auto" w:fill="auto"/>
            <w:vAlign w:val="center"/>
          </w:tcPr>
          <w:p w14:paraId="4DB76259">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rPr>
              <w:t>排放源类别</w:t>
            </w:r>
          </w:p>
        </w:tc>
        <w:tc>
          <w:tcPr>
            <w:tcW w:w="2333" w:type="dxa"/>
            <w:tcBorders>
              <w:top w:val="single" w:color="auto" w:sz="8" w:space="0"/>
              <w:left w:val="single" w:color="auto" w:sz="4" w:space="0"/>
              <w:bottom w:val="single" w:color="auto" w:sz="8" w:space="0"/>
              <w:right w:val="single" w:color="auto" w:sz="4" w:space="0"/>
            </w:tcBorders>
            <w:shd w:val="clear" w:color="auto" w:fill="auto"/>
            <w:vAlign w:val="center"/>
          </w:tcPr>
          <w:p w14:paraId="3FE3A723">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rPr>
              <w:t>燃料品种</w:t>
            </w:r>
          </w:p>
        </w:tc>
        <w:tc>
          <w:tcPr>
            <w:tcW w:w="2334" w:type="dxa"/>
            <w:tcBorders>
              <w:top w:val="single" w:color="auto" w:sz="8" w:space="0"/>
              <w:left w:val="single" w:color="auto" w:sz="4" w:space="0"/>
              <w:bottom w:val="single" w:color="auto" w:sz="8" w:space="0"/>
              <w:right w:val="single" w:color="auto" w:sz="4" w:space="0"/>
            </w:tcBorders>
            <w:shd w:val="clear" w:color="auto" w:fill="auto"/>
            <w:vAlign w:val="center"/>
          </w:tcPr>
          <w:p w14:paraId="267159CF">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rPr>
              <w:t>单位热值含碳量</w:t>
            </w:r>
          </w:p>
          <w:p w14:paraId="3AC9B062">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lang w:val="en-US"/>
              </w:rPr>
              <w:t>tC/GJ</w:t>
            </w:r>
          </w:p>
        </w:tc>
        <w:tc>
          <w:tcPr>
            <w:tcW w:w="2333" w:type="dxa"/>
            <w:tcBorders>
              <w:top w:val="single" w:color="auto" w:sz="8" w:space="0"/>
              <w:left w:val="single" w:color="auto" w:sz="4" w:space="0"/>
              <w:bottom w:val="single" w:color="auto" w:sz="8" w:space="0"/>
              <w:right w:val="single" w:color="auto" w:sz="8" w:space="0"/>
            </w:tcBorders>
            <w:shd w:val="clear" w:color="auto" w:fill="auto"/>
            <w:vAlign w:val="center"/>
          </w:tcPr>
          <w:p w14:paraId="1BE7828B">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rPr>
              <w:t>碳氧化率</w:t>
            </w:r>
          </w:p>
          <w:p w14:paraId="7099F4C8">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lang w:val="en-US"/>
              </w:rPr>
              <w:t>%</w:t>
            </w:r>
          </w:p>
        </w:tc>
      </w:tr>
      <w:tr w14:paraId="62002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334"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681E7A84">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rPr>
              <w:t>燃料燃烧</w:t>
            </w:r>
          </w:p>
        </w:tc>
        <w:tc>
          <w:tcPr>
            <w:tcW w:w="2333" w:type="dxa"/>
            <w:tcBorders>
              <w:top w:val="single" w:color="auto" w:sz="8" w:space="0"/>
              <w:left w:val="single" w:color="auto" w:sz="4" w:space="0"/>
              <w:bottom w:val="single" w:color="auto" w:sz="4" w:space="0"/>
              <w:right w:val="single" w:color="auto" w:sz="4" w:space="0"/>
            </w:tcBorders>
            <w:shd w:val="clear" w:color="auto" w:fill="auto"/>
            <w:vAlign w:val="center"/>
          </w:tcPr>
          <w:p w14:paraId="5BAFA9EE">
            <w:pPr>
              <w:pStyle w:val="46"/>
              <w:widowControl/>
              <w:rPr>
                <w:rFonts w:hint="default" w:ascii="Times New Roman" w:hAnsi="Times New Roman" w:cs="Times New Roman"/>
                <w:highlight w:val="none"/>
                <w:lang w:val="en-US"/>
              </w:rPr>
            </w:pPr>
          </w:p>
        </w:tc>
        <w:tc>
          <w:tcPr>
            <w:tcW w:w="2334" w:type="dxa"/>
            <w:tcBorders>
              <w:top w:val="single" w:color="auto" w:sz="8" w:space="0"/>
              <w:left w:val="single" w:color="auto" w:sz="4" w:space="0"/>
              <w:bottom w:val="single" w:color="auto" w:sz="4" w:space="0"/>
              <w:right w:val="single" w:color="auto" w:sz="4" w:space="0"/>
            </w:tcBorders>
            <w:shd w:val="clear" w:color="auto" w:fill="auto"/>
            <w:vAlign w:val="center"/>
          </w:tcPr>
          <w:p w14:paraId="2E631E9E">
            <w:pPr>
              <w:pStyle w:val="46"/>
              <w:widowControl/>
              <w:rPr>
                <w:rFonts w:hint="default" w:ascii="Times New Roman" w:hAnsi="Times New Roman" w:cs="Times New Roman"/>
                <w:highlight w:val="none"/>
                <w:lang w:val="en-US"/>
              </w:rPr>
            </w:pPr>
          </w:p>
        </w:tc>
        <w:tc>
          <w:tcPr>
            <w:tcW w:w="2333" w:type="dxa"/>
            <w:tcBorders>
              <w:top w:val="single" w:color="auto" w:sz="8" w:space="0"/>
              <w:left w:val="single" w:color="auto" w:sz="4" w:space="0"/>
              <w:bottom w:val="single" w:color="auto" w:sz="4" w:space="0"/>
              <w:right w:val="single" w:color="auto" w:sz="8" w:space="0"/>
            </w:tcBorders>
            <w:shd w:val="clear" w:color="auto" w:fill="auto"/>
            <w:vAlign w:val="center"/>
          </w:tcPr>
          <w:p w14:paraId="6E698443">
            <w:pPr>
              <w:pStyle w:val="46"/>
              <w:widowControl/>
              <w:rPr>
                <w:rFonts w:hint="default" w:ascii="Times New Roman" w:hAnsi="Times New Roman" w:cs="Times New Roman"/>
                <w:highlight w:val="none"/>
                <w:lang w:val="en-US"/>
              </w:rPr>
            </w:pPr>
          </w:p>
        </w:tc>
      </w:tr>
      <w:tr w14:paraId="25FC4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334"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57B57E8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EB3FEF7">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4B8BAB0B">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171F109B">
            <w:pPr>
              <w:pStyle w:val="46"/>
              <w:widowControl/>
              <w:rPr>
                <w:rFonts w:hint="default" w:ascii="Times New Roman" w:hAnsi="Times New Roman" w:cs="Times New Roman"/>
                <w:highlight w:val="none"/>
                <w:lang w:val="en-US"/>
              </w:rPr>
            </w:pPr>
          </w:p>
        </w:tc>
      </w:tr>
      <w:tr w14:paraId="10B62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334"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63DC284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7C1F583A">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33E606B5">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7D5D07BE">
            <w:pPr>
              <w:pStyle w:val="46"/>
              <w:widowControl/>
              <w:rPr>
                <w:rFonts w:hint="default" w:ascii="Times New Roman" w:hAnsi="Times New Roman" w:cs="Times New Roman"/>
                <w:highlight w:val="none"/>
                <w:lang w:val="en-US"/>
              </w:rPr>
            </w:pPr>
          </w:p>
        </w:tc>
      </w:tr>
      <w:tr w14:paraId="04251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70563EF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AE42477">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201EEA62">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1E316F78">
            <w:pPr>
              <w:pStyle w:val="46"/>
              <w:widowControl/>
              <w:rPr>
                <w:rFonts w:hint="default" w:ascii="Times New Roman" w:hAnsi="Times New Roman" w:cs="Times New Roman"/>
                <w:highlight w:val="none"/>
                <w:lang w:val="en-US"/>
              </w:rPr>
            </w:pPr>
          </w:p>
        </w:tc>
      </w:tr>
      <w:tr w14:paraId="799425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334"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61F3339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329F4309">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7A1BE2A6">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66E3B2E2">
            <w:pPr>
              <w:pStyle w:val="46"/>
              <w:widowControl/>
              <w:rPr>
                <w:rFonts w:hint="default" w:ascii="Times New Roman" w:hAnsi="Times New Roman" w:cs="Times New Roman"/>
                <w:highlight w:val="none"/>
                <w:lang w:val="en-US"/>
              </w:rPr>
            </w:pPr>
          </w:p>
        </w:tc>
      </w:tr>
      <w:tr w14:paraId="60557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334"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42AC938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B061D54">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52EF5BEB">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7D16E104">
            <w:pPr>
              <w:pStyle w:val="46"/>
              <w:widowControl/>
              <w:rPr>
                <w:rFonts w:hint="default" w:ascii="Times New Roman" w:hAnsi="Times New Roman" w:cs="Times New Roman"/>
                <w:highlight w:val="none"/>
                <w:lang w:val="en-US"/>
              </w:rPr>
            </w:pPr>
          </w:p>
        </w:tc>
      </w:tr>
      <w:tr w14:paraId="2D456A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720A71B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59A917A7">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47ED3873">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792239C7">
            <w:pPr>
              <w:pStyle w:val="46"/>
              <w:widowControl/>
              <w:rPr>
                <w:rFonts w:hint="default" w:ascii="Times New Roman" w:hAnsi="Times New Roman" w:cs="Times New Roman"/>
                <w:highlight w:val="none"/>
                <w:lang w:val="en-US"/>
              </w:rPr>
            </w:pPr>
          </w:p>
        </w:tc>
      </w:tr>
      <w:tr w14:paraId="1BCDA0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7BCED7A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E52200A">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23529FA6">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02BA2AF8">
            <w:pPr>
              <w:pStyle w:val="46"/>
              <w:widowControl/>
              <w:rPr>
                <w:rFonts w:hint="default" w:ascii="Times New Roman" w:hAnsi="Times New Roman" w:cs="Times New Roman"/>
                <w:highlight w:val="none"/>
                <w:lang w:val="en-US"/>
              </w:rPr>
            </w:pPr>
          </w:p>
        </w:tc>
      </w:tr>
      <w:tr w14:paraId="1550E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334"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E4C9848">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rPr>
              <w:t>生产过程</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2B772D22">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5C49B147">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2C80AF5F">
            <w:pPr>
              <w:pStyle w:val="46"/>
              <w:widowControl/>
              <w:rPr>
                <w:rFonts w:hint="default" w:ascii="Times New Roman" w:hAnsi="Times New Roman" w:cs="Times New Roman"/>
                <w:highlight w:val="none"/>
                <w:lang w:val="en-US"/>
              </w:rPr>
            </w:pPr>
          </w:p>
        </w:tc>
      </w:tr>
      <w:tr w14:paraId="19565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DA7705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45A8BDC5">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46F853AD">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7D7ED6C4">
            <w:pPr>
              <w:pStyle w:val="46"/>
              <w:widowControl/>
              <w:rPr>
                <w:rFonts w:hint="default" w:ascii="Times New Roman" w:hAnsi="Times New Roman" w:cs="Times New Roman"/>
                <w:highlight w:val="none"/>
                <w:lang w:val="en-US"/>
              </w:rPr>
            </w:pPr>
          </w:p>
        </w:tc>
      </w:tr>
      <w:tr w14:paraId="698AD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E14D02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7FDB323A">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43CDDC46">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3696DC52">
            <w:pPr>
              <w:pStyle w:val="46"/>
              <w:widowControl/>
              <w:rPr>
                <w:rFonts w:hint="default" w:ascii="Times New Roman" w:hAnsi="Times New Roman" w:cs="Times New Roman"/>
                <w:highlight w:val="none"/>
                <w:lang w:val="en-US"/>
              </w:rPr>
            </w:pPr>
          </w:p>
        </w:tc>
      </w:tr>
      <w:tr w14:paraId="13FF74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DBFEC0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68734D6B">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755A80CA">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6C9A591F">
            <w:pPr>
              <w:pStyle w:val="46"/>
              <w:widowControl/>
              <w:rPr>
                <w:rFonts w:hint="default" w:ascii="Times New Roman" w:hAnsi="Times New Roman" w:cs="Times New Roman"/>
                <w:highlight w:val="none"/>
                <w:lang w:val="en-US"/>
              </w:rPr>
            </w:pPr>
          </w:p>
        </w:tc>
      </w:tr>
      <w:tr w14:paraId="431E4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833B49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BF40832">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131227D6">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3C67B426">
            <w:pPr>
              <w:pStyle w:val="46"/>
              <w:widowControl/>
              <w:rPr>
                <w:rFonts w:hint="default" w:ascii="Times New Roman" w:hAnsi="Times New Roman" w:cs="Times New Roman"/>
                <w:highlight w:val="none"/>
                <w:lang w:val="en-US"/>
              </w:rPr>
            </w:pPr>
          </w:p>
        </w:tc>
      </w:tr>
      <w:tr w14:paraId="1324BA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61CFFFE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522A2527">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2FCE7738">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2AD631F9">
            <w:pPr>
              <w:pStyle w:val="46"/>
              <w:widowControl/>
              <w:rPr>
                <w:rFonts w:hint="default" w:ascii="Times New Roman" w:hAnsi="Times New Roman" w:cs="Times New Roman"/>
                <w:highlight w:val="none"/>
                <w:lang w:val="en-US"/>
              </w:rPr>
            </w:pPr>
          </w:p>
        </w:tc>
      </w:tr>
      <w:tr w14:paraId="456BC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7ECB99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9442AAE">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1745446D">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01B825CF">
            <w:pPr>
              <w:pStyle w:val="46"/>
              <w:widowControl/>
              <w:rPr>
                <w:rFonts w:hint="default" w:ascii="Times New Roman" w:hAnsi="Times New Roman" w:cs="Times New Roman"/>
                <w:highlight w:val="none"/>
                <w:lang w:val="en-US"/>
              </w:rPr>
            </w:pPr>
          </w:p>
        </w:tc>
      </w:tr>
      <w:tr w14:paraId="25FC2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229146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50137354">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3BF3C128">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1E76E22D">
            <w:pPr>
              <w:pStyle w:val="46"/>
              <w:widowControl/>
              <w:rPr>
                <w:rFonts w:hint="default" w:ascii="Times New Roman" w:hAnsi="Times New Roman" w:cs="Times New Roman"/>
                <w:highlight w:val="none"/>
                <w:lang w:val="en-US"/>
              </w:rPr>
            </w:pPr>
          </w:p>
        </w:tc>
      </w:tr>
      <w:tr w14:paraId="559359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DD66779">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rPr>
              <w:t>电力、热力</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A3343F5">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681DDC92">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2F7C3FF6">
            <w:pPr>
              <w:pStyle w:val="46"/>
              <w:widowControl/>
              <w:rPr>
                <w:rFonts w:hint="default" w:ascii="Times New Roman" w:hAnsi="Times New Roman" w:cs="Times New Roman"/>
                <w:highlight w:val="none"/>
                <w:lang w:val="en-US"/>
              </w:rPr>
            </w:pPr>
          </w:p>
        </w:tc>
      </w:tr>
      <w:tr w14:paraId="304FA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02E6B4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3FDCF370">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19437D50">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1120FCA1">
            <w:pPr>
              <w:pStyle w:val="46"/>
              <w:widowControl/>
              <w:rPr>
                <w:rFonts w:hint="default" w:ascii="Times New Roman" w:hAnsi="Times New Roman" w:cs="Times New Roman"/>
                <w:highlight w:val="none"/>
                <w:lang w:val="en-US"/>
              </w:rPr>
            </w:pPr>
          </w:p>
        </w:tc>
      </w:tr>
      <w:tr w14:paraId="12CF66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393DE3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B43B6CD">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45AA2B2C">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1F5708AD">
            <w:pPr>
              <w:pStyle w:val="46"/>
              <w:widowControl/>
              <w:rPr>
                <w:rFonts w:hint="default" w:ascii="Times New Roman" w:hAnsi="Times New Roman" w:cs="Times New Roman"/>
                <w:highlight w:val="none"/>
                <w:lang w:val="en-US"/>
              </w:rPr>
            </w:pPr>
          </w:p>
        </w:tc>
      </w:tr>
      <w:tr w14:paraId="5F6B6D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21D1BE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52468B32">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03CB72BE">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6AC620A2">
            <w:pPr>
              <w:pStyle w:val="46"/>
              <w:widowControl/>
              <w:rPr>
                <w:rFonts w:hint="default" w:ascii="Times New Roman" w:hAnsi="Times New Roman" w:cs="Times New Roman"/>
                <w:highlight w:val="none"/>
                <w:lang w:val="en-US"/>
              </w:rPr>
            </w:pPr>
          </w:p>
        </w:tc>
      </w:tr>
      <w:tr w14:paraId="62827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B01766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645C497D">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3BE3DD01">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6C95F8EC">
            <w:pPr>
              <w:pStyle w:val="46"/>
              <w:widowControl/>
              <w:rPr>
                <w:rFonts w:hint="default" w:ascii="Times New Roman" w:hAnsi="Times New Roman" w:cs="Times New Roman"/>
                <w:highlight w:val="none"/>
                <w:lang w:val="en-US"/>
              </w:rPr>
            </w:pPr>
          </w:p>
        </w:tc>
      </w:tr>
      <w:tr w14:paraId="2A69CA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1CFD262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3C42A34E">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496D18C5">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4802A70A">
            <w:pPr>
              <w:pStyle w:val="46"/>
              <w:widowControl/>
              <w:rPr>
                <w:rFonts w:hint="default" w:ascii="Times New Roman" w:hAnsi="Times New Roman" w:cs="Times New Roman"/>
                <w:highlight w:val="none"/>
                <w:lang w:val="en-US"/>
              </w:rPr>
            </w:pPr>
          </w:p>
        </w:tc>
      </w:tr>
      <w:tr w14:paraId="73BA24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restart"/>
            <w:tcBorders>
              <w:top w:val="single" w:color="auto" w:sz="4" w:space="0"/>
              <w:left w:val="single" w:color="auto" w:sz="8" w:space="0"/>
              <w:bottom w:val="single" w:color="auto" w:sz="8" w:space="0"/>
              <w:right w:val="single" w:color="auto" w:sz="4" w:space="0"/>
            </w:tcBorders>
            <w:shd w:val="clear" w:color="auto" w:fill="auto"/>
            <w:vAlign w:val="center"/>
          </w:tcPr>
          <w:p w14:paraId="7AAA0669">
            <w:pPr>
              <w:pStyle w:val="46"/>
              <w:widowControl/>
              <w:rPr>
                <w:rFonts w:hint="default" w:ascii="Times New Roman" w:hAnsi="Times New Roman" w:cs="Times New Roman"/>
                <w:highlight w:val="none"/>
                <w:lang w:val="en-US"/>
              </w:rPr>
            </w:pPr>
            <w:r>
              <w:rPr>
                <w:rFonts w:hint="default" w:ascii="Times New Roman" w:hAnsi="Times New Roman" w:cs="Times New Roman"/>
                <w:highlight w:val="none"/>
              </w:rPr>
              <w:t>固碳</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3A5F06F1">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03A3B249">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16DB6CE7">
            <w:pPr>
              <w:pStyle w:val="46"/>
              <w:widowControl/>
              <w:rPr>
                <w:rFonts w:hint="default" w:ascii="Times New Roman" w:hAnsi="Times New Roman" w:cs="Times New Roman"/>
                <w:highlight w:val="none"/>
                <w:lang w:val="en-US"/>
              </w:rPr>
            </w:pPr>
          </w:p>
        </w:tc>
      </w:tr>
      <w:tr w14:paraId="317FF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648DE87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4CFAC367">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55380E2C">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2FA0A967">
            <w:pPr>
              <w:pStyle w:val="46"/>
              <w:widowControl/>
              <w:rPr>
                <w:rFonts w:hint="default" w:ascii="Times New Roman" w:hAnsi="Times New Roman" w:cs="Times New Roman"/>
                <w:highlight w:val="none"/>
                <w:lang w:val="en-US"/>
              </w:rPr>
            </w:pPr>
          </w:p>
        </w:tc>
      </w:tr>
      <w:tr w14:paraId="67B6A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32B23DD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62ACA256">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14:paraId="1863AAEE">
            <w:pPr>
              <w:pStyle w:val="46"/>
              <w:widowControl/>
              <w:rPr>
                <w:rFonts w:hint="default" w:ascii="Times New Roman" w:hAnsi="Times New Roman" w:cs="Times New Roman"/>
                <w:highlight w:val="none"/>
                <w:lang w:val="en-US"/>
              </w:rPr>
            </w:pPr>
          </w:p>
        </w:tc>
        <w:tc>
          <w:tcPr>
            <w:tcW w:w="2333" w:type="dxa"/>
            <w:tcBorders>
              <w:top w:val="single" w:color="auto" w:sz="4" w:space="0"/>
              <w:left w:val="single" w:color="auto" w:sz="4" w:space="0"/>
              <w:bottom w:val="single" w:color="auto" w:sz="4" w:space="0"/>
              <w:right w:val="single" w:color="auto" w:sz="8" w:space="0"/>
            </w:tcBorders>
            <w:shd w:val="clear" w:color="auto" w:fill="auto"/>
            <w:vAlign w:val="center"/>
          </w:tcPr>
          <w:p w14:paraId="1DD86789">
            <w:pPr>
              <w:pStyle w:val="46"/>
              <w:widowControl/>
              <w:rPr>
                <w:rFonts w:hint="default" w:ascii="Times New Roman" w:hAnsi="Times New Roman" w:cs="Times New Roman"/>
                <w:highlight w:val="none"/>
                <w:lang w:val="en-US"/>
              </w:rPr>
            </w:pPr>
          </w:p>
        </w:tc>
      </w:tr>
      <w:tr w14:paraId="784E6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334"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284AEBF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33" w:type="dxa"/>
            <w:tcBorders>
              <w:top w:val="single" w:color="auto" w:sz="4" w:space="0"/>
              <w:left w:val="single" w:color="auto" w:sz="4" w:space="0"/>
              <w:bottom w:val="single" w:color="auto" w:sz="8" w:space="0"/>
              <w:right w:val="single" w:color="auto" w:sz="4" w:space="0"/>
            </w:tcBorders>
            <w:shd w:val="clear" w:color="auto" w:fill="auto"/>
            <w:vAlign w:val="center"/>
          </w:tcPr>
          <w:p w14:paraId="6D59BAF9">
            <w:pPr>
              <w:pStyle w:val="46"/>
              <w:widowControl/>
              <w:rPr>
                <w:rFonts w:hint="default" w:ascii="Times New Roman" w:hAnsi="Times New Roman" w:cs="Times New Roman"/>
                <w:highlight w:val="none"/>
                <w:lang w:val="en-US"/>
              </w:rPr>
            </w:pPr>
          </w:p>
        </w:tc>
        <w:tc>
          <w:tcPr>
            <w:tcW w:w="2334" w:type="dxa"/>
            <w:tcBorders>
              <w:top w:val="single" w:color="auto" w:sz="4" w:space="0"/>
              <w:left w:val="single" w:color="auto" w:sz="4" w:space="0"/>
              <w:bottom w:val="single" w:color="auto" w:sz="8" w:space="0"/>
              <w:right w:val="single" w:color="auto" w:sz="4" w:space="0"/>
            </w:tcBorders>
            <w:shd w:val="clear" w:color="auto" w:fill="auto"/>
            <w:vAlign w:val="center"/>
          </w:tcPr>
          <w:p w14:paraId="406820EB">
            <w:pPr>
              <w:pStyle w:val="46"/>
              <w:widowControl/>
              <w:rPr>
                <w:rFonts w:hint="default" w:ascii="Times New Roman" w:hAnsi="Times New Roman" w:cs="Times New Roman"/>
                <w:highlight w:val="none"/>
                <w:lang w:val="en-US"/>
              </w:rPr>
            </w:pPr>
          </w:p>
          <w:bookmarkEnd w:id="66"/>
        </w:tc>
        <w:tc>
          <w:tcPr>
            <w:tcW w:w="2333" w:type="dxa"/>
            <w:tcBorders>
              <w:top w:val="single" w:color="auto" w:sz="4" w:space="0"/>
              <w:left w:val="single" w:color="auto" w:sz="4" w:space="0"/>
              <w:bottom w:val="single" w:color="auto" w:sz="8" w:space="0"/>
              <w:right w:val="single" w:color="auto" w:sz="8" w:space="0"/>
            </w:tcBorders>
            <w:shd w:val="clear" w:color="auto" w:fill="auto"/>
            <w:vAlign w:val="center"/>
          </w:tcPr>
          <w:p w14:paraId="41471377">
            <w:pPr>
              <w:pStyle w:val="46"/>
              <w:widowControl/>
              <w:rPr>
                <w:rFonts w:hint="default" w:ascii="Times New Roman" w:hAnsi="Times New Roman" w:cs="Times New Roman"/>
                <w:highlight w:val="none"/>
                <w:lang w:val="en-US"/>
              </w:rPr>
            </w:pPr>
          </w:p>
        </w:tc>
      </w:tr>
    </w:tbl>
    <w:p w14:paraId="393BC40F">
      <w:pPr>
        <w:bidi w:val="0"/>
        <w:spacing w:line="360" w:lineRule="auto"/>
        <w:rPr>
          <w:rFonts w:hint="default" w:ascii="Times New Roman" w:hAnsi="Times New Roman" w:cs="Times New Roman"/>
          <w:sz w:val="28"/>
          <w:szCs w:val="28"/>
          <w:highlight w:val="none"/>
        </w:rPr>
      </w:pPr>
    </w:p>
    <w:p w14:paraId="23A72CA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3"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73"/>
    </w:p>
    <w:p w14:paraId="25C9F159">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20226352">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4"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74"/>
    </w:p>
    <w:p w14:paraId="10A0AAB5">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0BBB5745">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5"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75"/>
    </w:p>
    <w:p w14:paraId="63CB64B5">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温室气体排放</w:t>
      </w:r>
      <w:r>
        <w:rPr>
          <w:rFonts w:hint="default" w:ascii="Times New Roman" w:hAnsi="Times New Roman" w:cs="Times New Roman" w:eastAsiaTheme="minorEastAsia"/>
          <w:kern w:val="0"/>
          <w:sz w:val="28"/>
          <w:szCs w:val="28"/>
          <w:highlight w:val="none"/>
          <w:lang w:val="en-US" w:eastAsia="zh-CN" w:bidi="ar-SA"/>
        </w:rPr>
        <w:t>企业规范运营，在国际市场上有机会与其他各国（相关）企业竞争。</w:t>
      </w:r>
    </w:p>
    <w:p w14:paraId="28B86D75">
      <w:pPr>
        <w:spacing w:line="360" w:lineRule="auto"/>
        <w:outlineLvl w:val="0"/>
        <w:rPr>
          <w:rFonts w:hint="default" w:ascii="Times New Roman" w:hAnsi="Times New Roman" w:eastAsia="黑体" w:cs="Times New Roman"/>
          <w:b/>
          <w:kern w:val="0"/>
          <w:sz w:val="30"/>
          <w:szCs w:val="30"/>
          <w:highlight w:val="none"/>
        </w:rPr>
      </w:pPr>
      <w:bookmarkStart w:id="76"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76"/>
    </w:p>
    <w:p w14:paraId="4415C024">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D93C25A">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7"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77"/>
    </w:p>
    <w:p w14:paraId="57D14413">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F3B700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8"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78"/>
    </w:p>
    <w:p w14:paraId="6BA6000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42005702">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9"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79"/>
    </w:p>
    <w:p w14:paraId="6A44190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676CB09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0"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80"/>
    </w:p>
    <w:p w14:paraId="54702BC4">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57DE6196">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81"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81"/>
    </w:p>
    <w:p w14:paraId="265DE074">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4A925427">
      <w:pPr>
        <w:spacing w:line="540" w:lineRule="exact"/>
        <w:ind w:firstLine="560" w:firstLineChars="200"/>
        <w:rPr>
          <w:rFonts w:hint="default" w:ascii="Times New Roman" w:hAnsi="Times New Roman" w:eastAsia="宋体" w:cs="Times New Roman"/>
          <w:kern w:val="0"/>
          <w:sz w:val="28"/>
          <w:szCs w:val="28"/>
          <w:highlight w:val="none"/>
        </w:rPr>
      </w:pPr>
    </w:p>
    <w:sectPr>
      <w:pgSz w:w="11906" w:h="16838"/>
      <w:pgMar w:top="1418" w:right="1418" w:bottom="1985"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90AA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9855A">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23240BA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37F85A"/>
    <w:multiLevelType w:val="multilevel"/>
    <w:tmpl w:val="EB37F85A"/>
    <w:lvl w:ilvl="0" w:tentative="0">
      <w:start w:val="1"/>
      <w:numFmt w:val="none"/>
      <w:suff w:val="nothing"/>
      <w:lvlText w:val="%1"/>
      <w:lvlJc w:val="left"/>
      <w:pPr>
        <w:ind w:left="0" w:firstLine="0"/>
      </w:pPr>
    </w:lvl>
    <w:lvl w:ilvl="1" w:tentative="0">
      <w:start w:val="1"/>
      <w:numFmt w:val="decimal"/>
      <w:pStyle w:val="39"/>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44"/>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43"/>
      <w:suff w:val="nothing"/>
      <w:lvlText w:val="%1%2.%3.%4　"/>
      <w:lvlJc w:val="left"/>
      <w:pPr>
        <w:ind w:left="0" w:firstLine="0"/>
      </w:pPr>
      <w:rPr>
        <w:rFonts w:hint="eastAsia" w:ascii="黑体" w:hAnsi="Times New Roman" w:eastAsia="黑体" w:cs="黑体"/>
        <w:b w:val="0"/>
        <w:i w:val="0"/>
        <w:sz w:val="21"/>
      </w:rPr>
    </w:lvl>
    <w:lvl w:ilvl="4" w:tentative="0">
      <w:start w:val="1"/>
      <w:numFmt w:val="decimal"/>
      <w:pStyle w:val="50"/>
      <w:suff w:val="nothing"/>
      <w:lvlText w:val="%1%2.%3.%4.%5　"/>
      <w:lvlJc w:val="left"/>
      <w:pPr>
        <w:ind w:left="0" w:firstLine="0"/>
      </w:pPr>
      <w:rPr>
        <w:rFonts w:hint="eastAsia" w:ascii="黑体" w:hAnsi="Times New Roman" w:eastAsia="黑体" w:cs="黑体"/>
        <w:b w:val="0"/>
        <w:i w:val="0"/>
        <w:sz w:val="21"/>
      </w:rPr>
    </w:lvl>
    <w:lvl w:ilvl="5" w:tentative="0">
      <w:start w:val="1"/>
      <w:numFmt w:val="decimal"/>
      <w:pStyle w:val="48"/>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1">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01BB09F7"/>
    <w:multiLevelType w:val="multilevel"/>
    <w:tmpl w:val="01BB09F7"/>
    <w:lvl w:ilvl="0" w:tentative="0">
      <w:start w:val="1"/>
      <w:numFmt w:val="upperLetter"/>
      <w:pStyle w:val="41"/>
      <w:suff w:val="nothing"/>
      <w:lvlText w:val="附录%1"/>
      <w:lvlJc w:val="left"/>
      <w:pPr>
        <w:ind w:left="0" w:firstLine="0"/>
      </w:pPr>
      <w:rPr>
        <w:spacing w:val="100"/>
      </w:r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34"/>
      <w:suff w:val="nothing"/>
      <w:lvlText w:val="%1.%2.%3　"/>
      <w:lvlJc w:val="left"/>
      <w:pPr>
        <w:ind w:left="0" w:firstLine="0"/>
      </w:pPr>
      <w:rPr>
        <w:rFonts w:hint="eastAsia" w:ascii="黑体" w:hAnsi="Times New Roman" w:eastAsia="黑体" w:cs="黑体"/>
        <w:b w:val="0"/>
        <w:i w:val="0"/>
        <w:sz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179A300C"/>
    <w:multiLevelType w:val="multilevel"/>
    <w:tmpl w:val="179A300C"/>
    <w:lvl w:ilvl="0" w:tentative="0">
      <w:start w:val="1"/>
      <w:numFmt w:val="decimal"/>
      <w:pStyle w:val="4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72" w:hanging="1418"/>
      </w:pPr>
    </w:lvl>
    <w:lvl w:ilvl="8" w:tentative="0">
      <w:start w:val="1"/>
      <w:numFmt w:val="decimal"/>
      <w:lvlText w:val="%1.%2.%3.%4.%5.%6.%7.%8.%9"/>
      <w:lvlJc w:val="left"/>
      <w:pPr>
        <w:tabs>
          <w:tab w:val="left" w:pos="4774"/>
        </w:tabs>
        <w:ind w:left="4677" w:hanging="1702"/>
      </w:pPr>
    </w:lvl>
  </w:abstractNum>
  <w:abstractNum w:abstractNumId="4">
    <w:nsid w:val="468705E6"/>
    <w:multiLevelType w:val="multilevel"/>
    <w:tmpl w:val="468705E6"/>
    <w:lvl w:ilvl="0" w:tentative="0">
      <w:start w:val="1"/>
      <w:numFmt w:val="none"/>
      <w:pStyle w:val="51"/>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5">
    <w:nsid w:val="540BBC22"/>
    <w:multiLevelType w:val="multilevel"/>
    <w:tmpl w:val="540BBC22"/>
    <w:lvl w:ilvl="0" w:tentative="0">
      <w:start w:val="1"/>
      <w:numFmt w:val="lowerLetter"/>
      <w:pStyle w:val="38"/>
      <w:lvlText w:val="%1)"/>
      <w:lvlJc w:val="left"/>
      <w:pPr>
        <w:tabs>
          <w:tab w:val="left" w:pos="851"/>
        </w:tabs>
        <w:ind w:left="851" w:hanging="426"/>
      </w:pPr>
      <w:rPr>
        <w:rFonts w:hint="eastAsia" w:ascii="宋体" w:hAnsi="Times New Roman" w:eastAsia="宋体" w:cs="宋体"/>
        <w:sz w:val="21"/>
      </w:rPr>
    </w:lvl>
    <w:lvl w:ilvl="1" w:tentative="0">
      <w:start w:val="1"/>
      <w:numFmt w:val="decimal"/>
      <w:lvlText w:val="%2)"/>
      <w:lvlJc w:val="left"/>
      <w:pPr>
        <w:tabs>
          <w:tab w:val="left" w:pos="1276"/>
        </w:tabs>
        <w:ind w:left="1276" w:hanging="425"/>
      </w:pPr>
      <w:rPr>
        <w:rFonts w:hint="eastAsia" w:ascii="宋体" w:hAnsi="Times New Roman" w:eastAsia="宋体" w:cs="宋体"/>
        <w:sz w:val="21"/>
      </w:rPr>
    </w:lvl>
    <w:lvl w:ilvl="2" w:tentative="0">
      <w:start w:val="1"/>
      <w:numFmt w:val="decimal"/>
      <w:lvlText w:val="(%3)"/>
      <w:lvlJc w:val="left"/>
      <w:pPr>
        <w:ind w:left="1702" w:hanging="425"/>
      </w:pPr>
      <w:rPr>
        <w:rFonts w:hint="eastAsia" w:ascii="宋体" w:hAnsi="Times New Roman" w:eastAsia="宋体" w:cs="宋体"/>
        <w:sz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6">
    <w:nsid w:val="5ADE683F"/>
    <w:multiLevelType w:val="multilevel"/>
    <w:tmpl w:val="5ADE683F"/>
    <w:lvl w:ilvl="0" w:tentative="0">
      <w:start w:val="1"/>
      <w:numFmt w:val="upperLetter"/>
      <w:pStyle w:val="52"/>
      <w:lvlText w:val="%1"/>
      <w:lvlJc w:val="left"/>
      <w:pPr>
        <w:ind w:left="420" w:hanging="420"/>
      </w:pPr>
    </w:lvl>
    <w:lvl w:ilvl="1" w:tentative="0">
      <w:start w:val="1"/>
      <w:numFmt w:val="decimal"/>
      <w:suff w:val="space"/>
      <w:lvlText w:val="图%1.%2"/>
      <w:lvlJc w:val="center"/>
      <w:pPr>
        <w:ind w:left="0" w:firstLine="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E46F3B5"/>
    <w:multiLevelType w:val="multilevel"/>
    <w:tmpl w:val="7E46F3B5"/>
    <w:lvl w:ilvl="0" w:tentative="0">
      <w:start w:val="1"/>
      <w:numFmt w:val="upperLetter"/>
      <w:pStyle w:val="40"/>
      <w:suff w:val="space"/>
      <w:lvlText w:val="%1"/>
      <w:lvlJc w:val="left"/>
      <w:pPr>
        <w:ind w:left="425" w:hanging="425"/>
      </w:pPr>
    </w:lvl>
    <w:lvl w:ilvl="1" w:tentative="0">
      <w:start w:val="1"/>
      <w:numFmt w:val="decimal"/>
      <w:pStyle w:val="45"/>
      <w:suff w:val="space"/>
      <w:lvlText w:val="表%1.%2"/>
      <w:lvlJc w:val="center"/>
      <w:pPr>
        <w:ind w:left="0" w:firstLine="0"/>
      </w:pPr>
      <w:rPr>
        <w:rFonts w:hint="eastAsia" w:ascii="黑体" w:hAnsi="Times New Roman" w:eastAsia="黑体" w:cs="黑体"/>
        <w:sz w:val="21"/>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5"/>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2"/>
  </w:num>
  <w:num w:numId="3">
    <w:abstractNumId w:val="0"/>
  </w:num>
  <w:num w:numId="4">
    <w:abstractNumId w:val="5"/>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ODNhMjk5MGU4NmZmNzJjYTFhMTQwNWE5MWI2Y2JkNjI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0435"/>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C0249CF"/>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0764670"/>
    <w:rsid w:val="721F5CDA"/>
    <w:rsid w:val="729E236D"/>
    <w:rsid w:val="79E74A2C"/>
    <w:rsid w:val="79F77526"/>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术语条一"/>
    <w:basedOn w:val="1"/>
    <w:next w:val="35"/>
    <w:qFormat/>
    <w:uiPriority w:val="0"/>
    <w:pPr>
      <w:keepNext w:val="0"/>
      <w:keepLines w:val="0"/>
      <w:widowControl/>
      <w:numPr>
        <w:ilvl w:val="2"/>
        <w:numId w:val="2"/>
      </w:numPr>
      <w:suppressLineNumbers w:val="0"/>
      <w:adjustRightInd/>
      <w:spacing w:before="0" w:beforeAutospacing="0" w:after="0" w:afterAutospacing="0" w:line="240" w:lineRule="auto"/>
      <w:ind w:left="0" w:right="0" w:firstLine="0"/>
      <w:jc w:val="both"/>
    </w:pPr>
    <w:rPr>
      <w:rFonts w:hint="eastAsia" w:ascii="宋体" w:hAnsi="Times New Roman" w:eastAsia="宋体" w:cs="Times New Roman"/>
      <w:kern w:val="0"/>
      <w:sz w:val="21"/>
      <w:szCs w:val="20"/>
      <w:lang w:val="en-US" w:eastAsia="zh-CN" w:bidi="ar"/>
    </w:rPr>
  </w:style>
  <w:style w:type="paragraph" w:customStyle="1" w:styleId="35">
    <w:name w:val="标准文件_段"/>
    <w:basedOn w:val="1"/>
    <w:link w:val="37"/>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6">
    <w:name w:val="标准文件_二级条标题"/>
    <w:basedOn w:val="1"/>
    <w:next w:val="35"/>
    <w:qFormat/>
    <w:uiPriority w:val="0"/>
    <w:pPr>
      <w:keepNext w:val="0"/>
      <w:keepLines w:val="0"/>
      <w:widowControl w:val="0"/>
      <w:numPr>
        <w:ilvl w:val="3"/>
        <w:numId w:val="3"/>
      </w:numPr>
      <w:suppressLineNumbers w:val="0"/>
      <w:adjustRightInd/>
      <w:spacing w:before="50" w:beforeLines="50" w:beforeAutospacing="0" w:after="50" w:afterLines="50" w:afterAutospacing="0" w:line="240" w:lineRule="auto"/>
      <w:ind w:left="0" w:right="0" w:firstLine="0"/>
      <w:jc w:val="both"/>
      <w:outlineLvl w:val="2"/>
    </w:pPr>
    <w:rPr>
      <w:rFonts w:hint="eastAsia" w:ascii="黑体" w:hAnsi="Times New Roman" w:eastAsia="黑体" w:cs="Times New Roman"/>
      <w:kern w:val="0"/>
      <w:sz w:val="21"/>
      <w:szCs w:val="20"/>
      <w:lang w:val="en-US" w:eastAsia="zh-CN" w:bidi="ar"/>
    </w:rPr>
  </w:style>
  <w:style w:type="character" w:customStyle="1" w:styleId="37">
    <w:name w:val="标准文件_段 Char"/>
    <w:basedOn w:val="14"/>
    <w:link w:val="35"/>
    <w:qFormat/>
    <w:uiPriority w:val="0"/>
    <w:rPr>
      <w:rFonts w:hint="eastAsia" w:ascii="宋体" w:hAnsi="Times New Roman" w:eastAsia="宋体" w:cs="宋体"/>
      <w:sz w:val="21"/>
    </w:rPr>
  </w:style>
  <w:style w:type="paragraph" w:customStyle="1" w:styleId="38">
    <w:name w:val="标准文件_字母编号列项（一级）"/>
    <w:basedOn w:val="1"/>
    <w:qFormat/>
    <w:uiPriority w:val="0"/>
    <w:pPr>
      <w:keepNext w:val="0"/>
      <w:keepLines w:val="0"/>
      <w:widowControl/>
      <w:numPr>
        <w:ilvl w:val="0"/>
        <w:numId w:val="4"/>
      </w:numPr>
      <w:suppressLineNumbers w:val="0"/>
      <w:adjustRightInd/>
      <w:spacing w:before="0" w:beforeAutospacing="0" w:after="0" w:afterAutospacing="0" w:line="240" w:lineRule="auto"/>
      <w:ind w:left="851" w:right="0" w:hanging="426"/>
      <w:jc w:val="both"/>
    </w:pPr>
    <w:rPr>
      <w:rFonts w:hint="eastAsia" w:ascii="宋体" w:hAnsi="Times New Roman" w:eastAsia="宋体" w:cs="Times New Roman"/>
      <w:kern w:val="0"/>
      <w:sz w:val="21"/>
      <w:szCs w:val="20"/>
      <w:lang w:val="en-US" w:eastAsia="zh-CN" w:bidi="ar"/>
    </w:rPr>
  </w:style>
  <w:style w:type="paragraph" w:customStyle="1" w:styleId="39">
    <w:name w:val="标准文件_章标题"/>
    <w:basedOn w:val="1"/>
    <w:next w:val="35"/>
    <w:qFormat/>
    <w:uiPriority w:val="0"/>
    <w:pPr>
      <w:keepNext w:val="0"/>
      <w:keepLines w:val="0"/>
      <w:widowControl/>
      <w:numPr>
        <w:ilvl w:val="1"/>
        <w:numId w:val="3"/>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40">
    <w:name w:val="标准文件_附录表标号"/>
    <w:basedOn w:val="35"/>
    <w:next w:val="35"/>
    <w:qFormat/>
    <w:uiPriority w:val="0"/>
    <w:pPr>
      <w:keepNext w:val="0"/>
      <w:keepLines w:val="0"/>
      <w:widowControl/>
      <w:numPr>
        <w:ilvl w:val="0"/>
        <w:numId w:val="5"/>
      </w:numPr>
      <w:suppressLineNumbers w:val="0"/>
      <w:tabs>
        <w:tab w:val="left" w:pos="360"/>
      </w:tabs>
      <w:autoSpaceDE w:val="0"/>
      <w:autoSpaceDN w:val="0"/>
      <w:spacing w:before="0" w:beforeAutospacing="0" w:after="0" w:afterAutospacing="0" w:line="14" w:lineRule="exact"/>
      <w:ind w:left="0" w:right="0" w:firstLine="0" w:firstLineChars="0"/>
      <w:jc w:val="center"/>
    </w:pPr>
    <w:rPr>
      <w:rFonts w:hint="eastAsia" w:ascii="宋体" w:hAnsi="Times New Roman" w:eastAsia="黑体" w:cs="Times New Roman"/>
      <w:vanish/>
      <w:kern w:val="0"/>
      <w:sz w:val="2"/>
      <w:szCs w:val="20"/>
      <w:lang w:val="en-US" w:eastAsia="zh-CN" w:bidi="ar"/>
    </w:rPr>
  </w:style>
  <w:style w:type="paragraph" w:customStyle="1" w:styleId="41">
    <w:name w:val="标准文件_附录标识"/>
    <w:basedOn w:val="1"/>
    <w:next w:val="35"/>
    <w:qFormat/>
    <w:uiPriority w:val="0"/>
    <w:pPr>
      <w:keepNext w:val="0"/>
      <w:keepLines w:val="0"/>
      <w:widowControl/>
      <w:numPr>
        <w:ilvl w:val="0"/>
        <w:numId w:val="2"/>
      </w:numPr>
      <w:suppressLineNumbers w:val="0"/>
      <w:shd w:val="clear" w:fill="FFFFFF"/>
      <w:tabs>
        <w:tab w:val="left" w:pos="6406"/>
      </w:tabs>
      <w:adjustRightInd/>
      <w:spacing w:before="560" w:beforeAutospacing="0" w:after="50" w:afterLines="50" w:afterAutospacing="0" w:line="240" w:lineRule="auto"/>
      <w:ind w:left="0" w:right="0" w:firstLine="0"/>
      <w:jc w:val="center"/>
      <w:outlineLvl w:val="0"/>
    </w:pPr>
    <w:rPr>
      <w:rFonts w:hint="eastAsia" w:ascii="黑体" w:hAnsi="Times New Roman" w:eastAsia="黑体" w:cs="Times New Roman"/>
      <w:kern w:val="0"/>
      <w:sz w:val="21"/>
      <w:szCs w:val="20"/>
      <w:lang w:val="en-US" w:eastAsia="zh-CN" w:bidi="ar"/>
    </w:rPr>
  </w:style>
  <w:style w:type="paragraph" w:customStyle="1" w:styleId="42">
    <w:name w:val="标准文件_标准正文"/>
    <w:basedOn w:val="1"/>
    <w:next w:val="35"/>
    <w:qFormat/>
    <w:uiPriority w:val="0"/>
    <w:pPr>
      <w:keepNext w:val="0"/>
      <w:keepLines w:val="0"/>
      <w:widowControl w:val="0"/>
      <w:suppressLineNumbers w:val="0"/>
      <w:adjustRightInd w:val="0"/>
      <w:snapToGrid w:val="0"/>
      <w:spacing w:before="0" w:beforeAutospacing="0" w:after="0" w:afterAutospacing="0" w:line="400" w:lineRule="exact"/>
      <w:ind w:left="0" w:right="0" w:firstLine="200" w:firstLineChars="200"/>
      <w:jc w:val="both"/>
    </w:pPr>
    <w:rPr>
      <w:rFonts w:hint="default" w:ascii="Calibri" w:hAnsi="Calibri" w:eastAsia="宋体" w:cs="Times New Roman"/>
      <w:kern w:val="0"/>
      <w:sz w:val="21"/>
      <w:szCs w:val="21"/>
      <w:lang w:val="en-US" w:eastAsia="zh-CN" w:bidi="ar"/>
    </w:rPr>
  </w:style>
  <w:style w:type="paragraph" w:customStyle="1" w:styleId="43">
    <w:name w:val="标准文件_二级无标题"/>
    <w:basedOn w:val="36"/>
    <w:qFormat/>
    <w:uiPriority w:val="0"/>
    <w:pPr>
      <w:keepNext w:val="0"/>
      <w:keepLines w:val="0"/>
      <w:widowControl w:val="0"/>
      <w:numPr>
        <w:ilvl w:val="3"/>
        <w:numId w:val="3"/>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44">
    <w:name w:val="标准文件_一级条标题"/>
    <w:basedOn w:val="39"/>
    <w:next w:val="35"/>
    <w:qFormat/>
    <w:uiPriority w:val="0"/>
    <w:pPr>
      <w:keepNext w:val="0"/>
      <w:keepLines w:val="0"/>
      <w:widowControl/>
      <w:numPr>
        <w:ilvl w:val="2"/>
        <w:numId w:val="3"/>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45">
    <w:name w:val="标准文件_附录表标题"/>
    <w:basedOn w:val="1"/>
    <w:next w:val="35"/>
    <w:uiPriority w:val="0"/>
    <w:pPr>
      <w:keepNext w:val="0"/>
      <w:keepLines w:val="0"/>
      <w:widowControl/>
      <w:numPr>
        <w:ilvl w:val="1"/>
        <w:numId w:val="5"/>
      </w:numPr>
      <w:suppressLineNumbers w:val="0"/>
      <w:adjustRightInd w:val="0"/>
      <w:snapToGrid w:val="0"/>
      <w:spacing w:before="50" w:beforeLines="50" w:beforeAutospacing="0" w:after="50" w:afterLines="50" w:afterAutospacing="0" w:line="240" w:lineRule="auto"/>
      <w:ind w:left="0" w:right="0" w:firstLine="0"/>
      <w:jc w:val="center"/>
    </w:pPr>
    <w:rPr>
      <w:rFonts w:hint="eastAsia" w:ascii="黑体" w:hAnsi="Times New Roman" w:eastAsia="黑体" w:cs="Times New Roman"/>
      <w:kern w:val="21"/>
      <w:sz w:val="21"/>
      <w:szCs w:val="20"/>
      <w:lang w:val="en-US" w:eastAsia="zh-CN" w:bidi="ar"/>
    </w:rPr>
  </w:style>
  <w:style w:type="paragraph" w:customStyle="1" w:styleId="46">
    <w:name w:val="标准文件_表格"/>
    <w:basedOn w:val="35"/>
    <w:qFormat/>
    <w:uiPriority w:val="0"/>
    <w:pPr>
      <w:keepNext w:val="0"/>
      <w:keepLines w:val="0"/>
      <w:widowControl/>
      <w:suppressLineNumbers w:val="0"/>
      <w:autoSpaceDE w:val="0"/>
      <w:autoSpaceDN w:val="0"/>
      <w:spacing w:before="0" w:beforeAutospacing="0" w:after="0" w:afterAutospacing="0"/>
      <w:ind w:left="0" w:right="0" w:firstLine="0" w:firstLineChars="0"/>
      <w:jc w:val="center"/>
    </w:pPr>
    <w:rPr>
      <w:rFonts w:hint="eastAsia" w:ascii="宋体" w:hAnsi="Times New Roman" w:eastAsia="宋体" w:cs="Times New Roman"/>
      <w:kern w:val="0"/>
      <w:sz w:val="18"/>
      <w:szCs w:val="20"/>
      <w:lang w:val="en-US" w:eastAsia="zh-CN" w:bidi="ar"/>
    </w:rPr>
  </w:style>
  <w:style w:type="paragraph" w:customStyle="1" w:styleId="47">
    <w:name w:val="标准文件_正文公式"/>
    <w:basedOn w:val="1"/>
    <w:next w:val="42"/>
    <w:qFormat/>
    <w:uiPriority w:val="0"/>
    <w:pPr>
      <w:keepNext w:val="0"/>
      <w:keepLines w:val="0"/>
      <w:widowControl w:val="0"/>
      <w:suppressLineNumbers w:val="0"/>
      <w:tabs>
        <w:tab w:val="center" w:pos="4678"/>
        <w:tab w:val="right" w:leader="middleDot" w:pos="9356"/>
      </w:tabs>
      <w:adjustRightInd w:val="0"/>
      <w:spacing w:before="0" w:beforeAutospacing="0" w:after="0" w:afterAutospacing="0" w:line="240" w:lineRule="auto"/>
      <w:ind w:left="0" w:right="0"/>
      <w:jc w:val="both"/>
    </w:pPr>
    <w:rPr>
      <w:rFonts w:hint="eastAsia" w:ascii="宋体" w:hAnsi="宋体" w:eastAsia="宋体" w:cs="Times New Roman"/>
      <w:kern w:val="2"/>
      <w:sz w:val="21"/>
      <w:szCs w:val="21"/>
      <w:lang w:val="en-US" w:eastAsia="zh-CN" w:bidi="ar"/>
    </w:rPr>
  </w:style>
  <w:style w:type="paragraph" w:customStyle="1" w:styleId="48">
    <w:name w:val="标准文件_四级无标题"/>
    <w:qFormat/>
    <w:uiPriority w:val="0"/>
    <w:pPr>
      <w:keepNext w:val="0"/>
      <w:keepLines w:val="0"/>
      <w:widowControl w:val="0"/>
      <w:numPr>
        <w:ilvl w:val="5"/>
        <w:numId w:val="3"/>
      </w:numPr>
      <w:suppressLineNumbers w:val="0"/>
      <w:spacing w:before="0" w:beforeLines="-2147483648" w:beforeAutospacing="0" w:after="0" w:afterLines="-2147483648" w:afterAutospacing="0"/>
      <w:ind w:left="0" w:right="0" w:firstLine="0"/>
      <w:jc w:val="both"/>
      <w:outlineLvl w:val="9"/>
    </w:pPr>
    <w:rPr>
      <w:rFonts w:hint="eastAsia" w:ascii="宋体" w:hAnsi="宋体" w:eastAsia="宋体" w:cs="Times New Roman"/>
      <w:kern w:val="0"/>
      <w:sz w:val="21"/>
      <w:szCs w:val="52"/>
      <w:lang w:val="en-US" w:eastAsia="zh-CN" w:bidi="ar"/>
    </w:rPr>
  </w:style>
  <w:style w:type="paragraph" w:customStyle="1" w:styleId="49">
    <w:name w:val="标准文件_正文图标题"/>
    <w:basedOn w:val="1"/>
    <w:next w:val="35"/>
    <w:qFormat/>
    <w:uiPriority w:val="0"/>
    <w:pPr>
      <w:keepNext w:val="0"/>
      <w:keepLines w:val="0"/>
      <w:widowControl/>
      <w:numPr>
        <w:ilvl w:val="0"/>
        <w:numId w:val="6"/>
      </w:numPr>
      <w:suppressLineNumbers w:val="0"/>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50">
    <w:name w:val="标准文件_三级条标题"/>
    <w:basedOn w:val="36"/>
    <w:next w:val="35"/>
    <w:qFormat/>
    <w:uiPriority w:val="0"/>
    <w:pPr>
      <w:keepNext w:val="0"/>
      <w:keepLines w:val="0"/>
      <w:widowControl/>
      <w:numPr>
        <w:ilvl w:val="4"/>
        <w:numId w:val="3"/>
      </w:numPr>
      <w:suppressLineNumbers w:val="0"/>
      <w:spacing w:before="50" w:beforeLines="50" w:beforeAutospacing="0" w:after="50" w:afterLines="50" w:afterAutospacing="0"/>
      <w:ind w:left="0" w:right="0" w:firstLine="0"/>
      <w:jc w:val="both"/>
      <w:outlineLvl w:val="3"/>
    </w:pPr>
    <w:rPr>
      <w:rFonts w:hint="eastAsia" w:ascii="黑体" w:hAnsi="Times New Roman" w:eastAsia="黑体" w:cs="Times New Roman"/>
      <w:kern w:val="0"/>
      <w:sz w:val="21"/>
      <w:szCs w:val="20"/>
      <w:lang w:val="en-US" w:eastAsia="zh-CN" w:bidi="ar"/>
    </w:rPr>
  </w:style>
  <w:style w:type="paragraph" w:customStyle="1" w:styleId="51">
    <w:name w:val="标准文件_一级项"/>
    <w:basedOn w:val="1"/>
    <w:qFormat/>
    <w:uiPriority w:val="0"/>
    <w:pPr>
      <w:keepNext w:val="0"/>
      <w:keepLines w:val="0"/>
      <w:widowControl/>
      <w:numPr>
        <w:ilvl w:val="0"/>
        <w:numId w:val="7"/>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52">
    <w:name w:val="标准文件_附录图标号"/>
    <w:basedOn w:val="35"/>
    <w:next w:val="35"/>
    <w:qFormat/>
    <w:uiPriority w:val="0"/>
    <w:pPr>
      <w:keepNext w:val="0"/>
      <w:keepLines w:val="0"/>
      <w:widowControl/>
      <w:numPr>
        <w:ilvl w:val="0"/>
        <w:numId w:val="8"/>
      </w:numPr>
      <w:suppressLineNumbers w:val="0"/>
      <w:tabs>
        <w:tab w:val="left" w:pos="360"/>
      </w:tabs>
      <w:autoSpaceDE w:val="0"/>
      <w:autoSpaceDN w:val="0"/>
      <w:spacing w:before="0" w:beforeAutospacing="0" w:after="0" w:afterAutospacing="0" w:line="14" w:lineRule="exact"/>
      <w:ind w:left="0" w:right="0" w:firstLine="0" w:firstLineChars="0"/>
      <w:jc w:val="center"/>
    </w:pPr>
    <w:rPr>
      <w:rFonts w:hint="eastAsia" w:ascii="黑体" w:hAnsi="宋体" w:eastAsia="黑体" w:cs="Times New Roman"/>
      <w:vanish/>
      <w:kern w:val="0"/>
      <w:sz w:val="2"/>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6694</Words>
  <Characters>7049</Characters>
  <Lines>62</Lines>
  <Paragraphs>17</Paragraphs>
  <TotalTime>2</TotalTime>
  <ScaleCrop>false</ScaleCrop>
  <LinksUpToDate>false</LinksUpToDate>
  <CharactersWithSpaces>7258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沁桑</cp:lastModifiedBy>
  <dcterms:modified xsi:type="dcterms:W3CDTF">2024-09-27T06:00:51Z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286513CB856B4AD4B4C264CC0310DEB1</vt:lpwstr>
  </property>
</Properties>
</file>