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B28B0">
      <w:pPr>
        <w:adjustRightInd w:val="0"/>
        <w:snapToGrid w:val="0"/>
        <w:spacing w:line="360" w:lineRule="auto"/>
        <w:jc w:val="center"/>
        <w:rPr>
          <w:rFonts w:hint="default" w:ascii="Times New Roman" w:hAnsi="Times New Roman" w:eastAsia="黑体" w:cs="Times New Roman"/>
          <w:b/>
          <w:sz w:val="48"/>
          <w:szCs w:val="48"/>
          <w:highlight w:val="none"/>
        </w:rPr>
      </w:pPr>
    </w:p>
    <w:p w14:paraId="412EC947">
      <w:pPr>
        <w:adjustRightInd w:val="0"/>
        <w:snapToGrid w:val="0"/>
        <w:spacing w:line="360" w:lineRule="auto"/>
        <w:jc w:val="center"/>
        <w:rPr>
          <w:rFonts w:hint="default" w:ascii="Times New Roman" w:hAnsi="Times New Roman" w:eastAsia="黑体" w:cs="Times New Roman"/>
          <w:b/>
          <w:sz w:val="48"/>
          <w:szCs w:val="48"/>
          <w:highlight w:val="none"/>
        </w:rPr>
      </w:pPr>
      <w:r>
        <w:rPr>
          <w:rFonts w:hint="default" w:ascii="Times New Roman" w:hAnsi="Times New Roman" w:eastAsia="黑体" w:cs="Times New Roman"/>
          <w:b/>
          <w:sz w:val="48"/>
          <w:szCs w:val="48"/>
          <w:highlight w:val="none"/>
        </w:rPr>
        <w:t>团</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体</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标</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准</w:t>
      </w:r>
    </w:p>
    <w:p w14:paraId="1ECA6051">
      <w:pPr>
        <w:adjustRightInd w:val="0"/>
        <w:snapToGrid w:val="0"/>
        <w:spacing w:line="360" w:lineRule="auto"/>
        <w:jc w:val="center"/>
        <w:rPr>
          <w:rFonts w:hint="default" w:ascii="Times New Roman" w:hAnsi="Times New Roman" w:eastAsia="黑体" w:cs="Times New Roman"/>
          <w:b/>
          <w:sz w:val="48"/>
          <w:szCs w:val="48"/>
          <w:highlight w:val="none"/>
        </w:rPr>
      </w:pPr>
    </w:p>
    <w:p w14:paraId="70FDD502">
      <w:pPr>
        <w:adjustRightInd w:val="0"/>
        <w:snapToGrid w:val="0"/>
        <w:spacing w:line="360" w:lineRule="auto"/>
        <w:jc w:val="center"/>
        <w:rPr>
          <w:rFonts w:hint="default" w:ascii="Times New Roman" w:hAnsi="Times New Roman" w:eastAsia="黑体" w:cs="Times New Roman"/>
          <w:b/>
          <w:sz w:val="52"/>
          <w:szCs w:val="52"/>
          <w:highlight w:val="none"/>
          <w:lang w:val="en-US" w:eastAsia="zh-CN"/>
        </w:rPr>
      </w:pPr>
      <w:r>
        <w:rPr>
          <w:rFonts w:hint="default" w:ascii="Times New Roman" w:hAnsi="Times New Roman" w:eastAsia="黑体" w:cs="Times New Roman"/>
          <w:b/>
          <w:sz w:val="52"/>
          <w:szCs w:val="52"/>
          <w:highlight w:val="none"/>
          <w:lang w:val="en-US" w:eastAsia="zh-CN"/>
        </w:rPr>
        <w:t>产品碳足迹评价规范 滚</w:t>
      </w:r>
      <w:bookmarkStart w:id="81" w:name="_GoBack"/>
      <w:bookmarkEnd w:id="81"/>
      <w:r>
        <w:rPr>
          <w:rFonts w:hint="default" w:ascii="Times New Roman" w:hAnsi="Times New Roman" w:eastAsia="黑体" w:cs="Times New Roman"/>
          <w:b/>
          <w:sz w:val="52"/>
          <w:szCs w:val="52"/>
          <w:highlight w:val="none"/>
          <w:lang w:val="en-US" w:eastAsia="zh-CN"/>
        </w:rPr>
        <w:t>珠丝杠</w:t>
      </w:r>
    </w:p>
    <w:p w14:paraId="3C229726">
      <w:pPr>
        <w:adjustRightInd w:val="0"/>
        <w:snapToGrid w:val="0"/>
        <w:spacing w:line="360" w:lineRule="auto"/>
        <w:jc w:val="center"/>
        <w:rPr>
          <w:rFonts w:hint="default" w:ascii="Times New Roman" w:hAnsi="Times New Roman" w:eastAsia="黑体" w:cs="Times New Roman"/>
          <w:b/>
          <w:sz w:val="52"/>
          <w:szCs w:val="52"/>
          <w:highlight w:val="none"/>
          <w:lang w:val="en-US" w:eastAsia="zh-CN"/>
        </w:rPr>
      </w:pPr>
    </w:p>
    <w:p w14:paraId="5FC6E721">
      <w:pPr>
        <w:spacing w:line="480" w:lineRule="auto"/>
        <w:jc w:val="center"/>
        <w:rPr>
          <w:rFonts w:hint="default" w:ascii="Times New Roman" w:hAnsi="Times New Roman" w:eastAsia="黑体" w:cs="Times New Roman"/>
          <w:b/>
          <w:sz w:val="52"/>
          <w:szCs w:val="52"/>
          <w:highlight w:val="none"/>
        </w:rPr>
      </w:pPr>
      <w:r>
        <w:rPr>
          <w:rFonts w:hint="default" w:ascii="Times New Roman" w:hAnsi="Times New Roman" w:eastAsia="黑体" w:cs="Times New Roman"/>
          <w:b/>
          <w:sz w:val="52"/>
          <w:szCs w:val="52"/>
          <w:highlight w:val="none"/>
        </w:rPr>
        <w:t>编 制 说 明</w:t>
      </w:r>
    </w:p>
    <w:p w14:paraId="574EAFC0">
      <w:pPr>
        <w:adjustRightInd w:val="0"/>
        <w:snapToGrid w:val="0"/>
        <w:spacing w:line="360" w:lineRule="auto"/>
        <w:rPr>
          <w:rFonts w:hint="default" w:ascii="Times New Roman" w:hAnsi="Times New Roman" w:eastAsia="仿宋" w:cs="Times New Roman"/>
          <w:b/>
          <w:sz w:val="24"/>
          <w:szCs w:val="24"/>
          <w:highlight w:val="none"/>
        </w:rPr>
      </w:pPr>
    </w:p>
    <w:p w14:paraId="225E50F9">
      <w:pPr>
        <w:adjustRightInd w:val="0"/>
        <w:snapToGrid w:val="0"/>
        <w:spacing w:line="360" w:lineRule="auto"/>
        <w:rPr>
          <w:rFonts w:hint="default" w:ascii="Times New Roman" w:hAnsi="Times New Roman" w:eastAsia="仿宋" w:cs="Times New Roman"/>
          <w:b/>
          <w:sz w:val="24"/>
          <w:szCs w:val="24"/>
          <w:highlight w:val="none"/>
        </w:rPr>
      </w:pPr>
    </w:p>
    <w:p w14:paraId="6184BE67">
      <w:pPr>
        <w:adjustRightInd w:val="0"/>
        <w:snapToGrid w:val="0"/>
        <w:spacing w:line="360" w:lineRule="auto"/>
        <w:rPr>
          <w:rFonts w:hint="default" w:ascii="Times New Roman" w:hAnsi="Times New Roman" w:eastAsia="仿宋" w:cs="Times New Roman"/>
          <w:b/>
          <w:sz w:val="24"/>
          <w:szCs w:val="24"/>
          <w:highlight w:val="none"/>
        </w:rPr>
      </w:pPr>
    </w:p>
    <w:p w14:paraId="0D569BDA">
      <w:pPr>
        <w:adjustRightInd w:val="0"/>
        <w:snapToGrid w:val="0"/>
        <w:spacing w:line="360" w:lineRule="auto"/>
        <w:rPr>
          <w:rFonts w:hint="default" w:ascii="Times New Roman" w:hAnsi="Times New Roman" w:eastAsia="仿宋" w:cs="Times New Roman"/>
          <w:b/>
          <w:sz w:val="24"/>
          <w:szCs w:val="24"/>
          <w:highlight w:val="none"/>
        </w:rPr>
      </w:pPr>
    </w:p>
    <w:p w14:paraId="26C199C8">
      <w:pPr>
        <w:adjustRightInd w:val="0"/>
        <w:snapToGrid w:val="0"/>
        <w:spacing w:line="360" w:lineRule="auto"/>
        <w:rPr>
          <w:rFonts w:hint="default" w:ascii="Times New Roman" w:hAnsi="Times New Roman" w:eastAsia="仿宋" w:cs="Times New Roman"/>
          <w:b/>
          <w:sz w:val="24"/>
          <w:szCs w:val="24"/>
          <w:highlight w:val="none"/>
        </w:rPr>
      </w:pPr>
    </w:p>
    <w:p w14:paraId="2F39D50B">
      <w:pPr>
        <w:adjustRightInd w:val="0"/>
        <w:snapToGrid w:val="0"/>
        <w:spacing w:line="360" w:lineRule="auto"/>
        <w:rPr>
          <w:rFonts w:hint="default" w:ascii="Times New Roman" w:hAnsi="Times New Roman" w:eastAsia="仿宋" w:cs="Times New Roman"/>
          <w:b/>
          <w:sz w:val="24"/>
          <w:szCs w:val="24"/>
          <w:highlight w:val="none"/>
        </w:rPr>
      </w:pPr>
    </w:p>
    <w:p w14:paraId="7587BCCA">
      <w:pPr>
        <w:adjustRightInd w:val="0"/>
        <w:snapToGrid w:val="0"/>
        <w:spacing w:line="360" w:lineRule="auto"/>
        <w:rPr>
          <w:rFonts w:hint="default" w:ascii="Times New Roman" w:hAnsi="Times New Roman" w:eastAsia="仿宋" w:cs="Times New Roman"/>
          <w:b/>
          <w:sz w:val="24"/>
          <w:szCs w:val="24"/>
          <w:highlight w:val="none"/>
        </w:rPr>
      </w:pPr>
    </w:p>
    <w:p w14:paraId="3711C7F8">
      <w:pPr>
        <w:adjustRightInd w:val="0"/>
        <w:snapToGrid w:val="0"/>
        <w:spacing w:line="360" w:lineRule="auto"/>
        <w:rPr>
          <w:rFonts w:hint="default" w:ascii="Times New Roman" w:hAnsi="Times New Roman" w:eastAsia="仿宋" w:cs="Times New Roman"/>
          <w:b/>
          <w:sz w:val="24"/>
          <w:szCs w:val="24"/>
          <w:highlight w:val="none"/>
        </w:rPr>
      </w:pPr>
    </w:p>
    <w:p w14:paraId="5F678DE7">
      <w:pPr>
        <w:adjustRightInd w:val="0"/>
        <w:snapToGrid w:val="0"/>
        <w:spacing w:line="360" w:lineRule="auto"/>
        <w:rPr>
          <w:rFonts w:hint="default" w:ascii="Times New Roman" w:hAnsi="Times New Roman" w:eastAsia="仿宋" w:cs="Times New Roman"/>
          <w:b/>
          <w:sz w:val="24"/>
          <w:szCs w:val="24"/>
          <w:highlight w:val="none"/>
        </w:rPr>
      </w:pPr>
    </w:p>
    <w:p w14:paraId="0E0DC456">
      <w:pPr>
        <w:adjustRightInd w:val="0"/>
        <w:snapToGrid w:val="0"/>
        <w:spacing w:line="360" w:lineRule="auto"/>
        <w:rPr>
          <w:rFonts w:hint="default" w:ascii="Times New Roman" w:hAnsi="Times New Roman" w:eastAsia="仿宋" w:cs="Times New Roman"/>
          <w:b/>
          <w:sz w:val="24"/>
          <w:szCs w:val="24"/>
          <w:highlight w:val="none"/>
        </w:rPr>
      </w:pPr>
    </w:p>
    <w:p w14:paraId="55CBA6A6">
      <w:pPr>
        <w:adjustRightInd w:val="0"/>
        <w:snapToGrid w:val="0"/>
        <w:spacing w:line="360" w:lineRule="auto"/>
        <w:rPr>
          <w:rFonts w:hint="default" w:ascii="Times New Roman" w:hAnsi="Times New Roman" w:eastAsia="仿宋" w:cs="Times New Roman"/>
          <w:b/>
          <w:sz w:val="24"/>
          <w:szCs w:val="24"/>
          <w:highlight w:val="none"/>
        </w:rPr>
      </w:pPr>
    </w:p>
    <w:p w14:paraId="3BD99433">
      <w:pPr>
        <w:adjustRightInd w:val="0"/>
        <w:snapToGrid w:val="0"/>
        <w:spacing w:line="360" w:lineRule="auto"/>
        <w:rPr>
          <w:rFonts w:hint="default" w:ascii="Times New Roman" w:hAnsi="Times New Roman" w:eastAsia="仿宋" w:cs="Times New Roman"/>
          <w:b/>
          <w:sz w:val="24"/>
          <w:szCs w:val="24"/>
          <w:highlight w:val="none"/>
        </w:rPr>
      </w:pPr>
    </w:p>
    <w:p w14:paraId="42DE6464">
      <w:pPr>
        <w:spacing w:line="480" w:lineRule="auto"/>
        <w:jc w:val="center"/>
        <w:rPr>
          <w:rFonts w:hint="default" w:ascii="Times New Roman" w:hAnsi="Times New Roman" w:eastAsia="楷体_GB2312" w:cs="Times New Roman"/>
          <w:b/>
          <w:sz w:val="36"/>
          <w:szCs w:val="36"/>
          <w:highlight w:val="none"/>
        </w:rPr>
      </w:pPr>
      <w:r>
        <w:rPr>
          <w:rFonts w:hint="default" w:ascii="Times New Roman" w:hAnsi="Times New Roman" w:eastAsia="楷体_GB2312" w:cs="Times New Roman"/>
          <w:b/>
          <w:sz w:val="36"/>
          <w:szCs w:val="36"/>
          <w:highlight w:val="none"/>
        </w:rPr>
        <w:t>《</w:t>
      </w:r>
      <w:r>
        <w:rPr>
          <w:rFonts w:hint="default" w:ascii="Times New Roman" w:hAnsi="Times New Roman" w:eastAsia="楷体_GB2312" w:cs="Times New Roman"/>
          <w:b/>
          <w:sz w:val="36"/>
          <w:szCs w:val="36"/>
          <w:highlight w:val="none"/>
          <w:lang w:val="en-US" w:eastAsia="zh-CN"/>
        </w:rPr>
        <w:t>产品碳足迹评价规范 滚珠丝杠</w:t>
      </w:r>
      <w:r>
        <w:rPr>
          <w:rFonts w:hint="default" w:ascii="Times New Roman" w:hAnsi="Times New Roman" w:eastAsia="楷体_GB2312" w:cs="Times New Roman"/>
          <w:b/>
          <w:sz w:val="36"/>
          <w:szCs w:val="36"/>
          <w:highlight w:val="none"/>
        </w:rPr>
        <w:t>》小组</w:t>
      </w:r>
    </w:p>
    <w:p w14:paraId="66309D5C">
      <w:pPr>
        <w:spacing w:line="360" w:lineRule="auto"/>
        <w:jc w:val="center"/>
        <w:rPr>
          <w:rFonts w:hint="default" w:ascii="Times New Roman" w:hAnsi="Times New Roman" w:eastAsia="楷体_GB2312" w:cs="Times New Roman"/>
          <w:b/>
          <w:sz w:val="36"/>
          <w:szCs w:val="36"/>
          <w:highlight w:val="none"/>
        </w:rPr>
      </w:pPr>
      <w:r>
        <w:rPr>
          <w:rFonts w:hint="default" w:ascii="Times New Roman" w:hAnsi="Times New Roman" w:eastAsia="楷体_GB2312" w:cs="Times New Roman"/>
          <w:b/>
          <w:sz w:val="36"/>
          <w:szCs w:val="36"/>
          <w:highlight w:val="none"/>
        </w:rPr>
        <w:t>二</w:t>
      </w:r>
      <w:r>
        <w:rPr>
          <w:rFonts w:hint="default" w:ascii="Times New Roman" w:hAnsi="Times New Roman" w:eastAsia="楷体_GB2312" w:cs="Times New Roman"/>
          <w:b/>
          <w:sz w:val="36"/>
          <w:szCs w:val="36"/>
          <w:highlight w:val="none"/>
          <w:lang w:val="en-US" w:eastAsia="zh-CN"/>
        </w:rPr>
        <w:t>〇</w:t>
      </w:r>
      <w:r>
        <w:rPr>
          <w:rFonts w:hint="default" w:ascii="Times New Roman" w:hAnsi="Times New Roman" w:eastAsia="楷体_GB2312" w:cs="Times New Roman"/>
          <w:b/>
          <w:sz w:val="36"/>
          <w:szCs w:val="36"/>
          <w:highlight w:val="none"/>
        </w:rPr>
        <w:t>二</w:t>
      </w:r>
      <w:r>
        <w:rPr>
          <w:rFonts w:hint="default" w:ascii="Times New Roman" w:hAnsi="Times New Roman" w:eastAsia="楷体_GB2312" w:cs="Times New Roman"/>
          <w:b/>
          <w:sz w:val="36"/>
          <w:szCs w:val="36"/>
          <w:highlight w:val="none"/>
          <w:lang w:val="en-US" w:eastAsia="zh-CN"/>
        </w:rPr>
        <w:t>四</w:t>
      </w:r>
      <w:r>
        <w:rPr>
          <w:rFonts w:hint="default" w:ascii="Times New Roman" w:hAnsi="Times New Roman" w:eastAsia="楷体_GB2312" w:cs="Times New Roman"/>
          <w:b/>
          <w:sz w:val="36"/>
          <w:szCs w:val="36"/>
          <w:highlight w:val="none"/>
        </w:rPr>
        <w:t>年</w:t>
      </w:r>
      <w:r>
        <w:rPr>
          <w:rFonts w:hint="eastAsia" w:ascii="Times New Roman" w:hAnsi="Times New Roman" w:eastAsia="楷体_GB2312" w:cs="Times New Roman"/>
          <w:b/>
          <w:sz w:val="36"/>
          <w:szCs w:val="36"/>
          <w:highlight w:val="none"/>
          <w:lang w:val="en-US" w:eastAsia="zh-CN"/>
        </w:rPr>
        <w:t>九</w:t>
      </w:r>
      <w:r>
        <w:rPr>
          <w:rFonts w:hint="default" w:ascii="Times New Roman" w:hAnsi="Times New Roman" w:eastAsia="楷体_GB2312" w:cs="Times New Roman"/>
          <w:b/>
          <w:sz w:val="36"/>
          <w:szCs w:val="36"/>
          <w:highlight w:val="none"/>
        </w:rPr>
        <w:t>月</w:t>
      </w:r>
    </w:p>
    <w:p w14:paraId="52C2A48A">
      <w:pPr>
        <w:spacing w:line="360" w:lineRule="auto"/>
        <w:jc w:val="center"/>
        <w:rPr>
          <w:rFonts w:hint="default" w:ascii="Times New Roman" w:hAnsi="Times New Roman" w:eastAsia="楷体_GB2312" w:cs="Times New Roman"/>
          <w:b/>
          <w:sz w:val="36"/>
          <w:szCs w:val="36"/>
          <w:highlight w:val="none"/>
        </w:rPr>
      </w:pPr>
    </w:p>
    <w:p w14:paraId="16837C79">
      <w:pPr>
        <w:spacing w:line="360" w:lineRule="auto"/>
        <w:jc w:val="center"/>
        <w:rPr>
          <w:rFonts w:hint="default" w:ascii="Times New Roman" w:hAnsi="Times New Roman" w:eastAsia="黑体" w:cs="Times New Roman"/>
          <w:sz w:val="36"/>
          <w:szCs w:val="36"/>
          <w:highlight w:val="none"/>
        </w:rPr>
        <w:sectPr>
          <w:pgSz w:w="11906" w:h="16838"/>
          <w:pgMar w:top="1418" w:right="1418" w:bottom="1985" w:left="1797" w:header="851" w:footer="992" w:gutter="0"/>
          <w:cols w:space="425" w:num="1"/>
          <w:docGrid w:linePitch="312" w:charSpace="0"/>
        </w:sectPr>
      </w:pPr>
    </w:p>
    <w:sdt>
      <w:sdtPr>
        <w:rPr>
          <w:rFonts w:hint="default" w:ascii="Times New Roman" w:hAnsi="Times New Roman" w:eastAsia="黑体" w:cs="Times New Roman"/>
          <w:kern w:val="2"/>
          <w:sz w:val="44"/>
          <w:szCs w:val="48"/>
          <w:highlight w:val="none"/>
          <w:lang w:val="en-US" w:eastAsia="zh-CN" w:bidi="ar-SA"/>
        </w:rPr>
        <w:id w:val="147469836"/>
        <w15:color w:val="DBDBDB"/>
        <w:docPartObj>
          <w:docPartGallery w:val="Table of Contents"/>
          <w:docPartUnique/>
        </w:docPartObj>
      </w:sdtPr>
      <w:sdtEndPr>
        <w:rPr>
          <w:rFonts w:hint="default" w:ascii="Times New Roman" w:hAnsi="Times New Roman" w:eastAsia="黑体" w:cs="Times New Roman"/>
          <w:kern w:val="2"/>
          <w:sz w:val="21"/>
          <w:szCs w:val="36"/>
          <w:highlight w:val="none"/>
          <w:lang w:val="en-US" w:eastAsia="zh-CN" w:bidi="ar-SA"/>
        </w:rPr>
      </w:sdtEndPr>
      <w:sdtContent>
        <w:p w14:paraId="12F489DD">
          <w:pPr>
            <w:keepNext w:val="0"/>
            <w:keepLines w:val="0"/>
            <w:pageBreakBefore w:val="0"/>
            <w:widowControl w:val="0"/>
            <w:kinsoku/>
            <w:wordWrap/>
            <w:overflowPunct/>
            <w:topLinePunct w:val="0"/>
            <w:autoSpaceDE/>
            <w:autoSpaceDN/>
            <w:bidi w:val="0"/>
            <w:adjustRightInd/>
            <w:snapToGrid/>
            <w:spacing w:before="625" w:beforeLines="200" w:after="625" w:afterLines="200" w:line="240" w:lineRule="auto"/>
            <w:ind w:left="0" w:leftChars="0" w:right="0" w:rightChars="0" w:firstLine="0" w:firstLineChars="0"/>
            <w:jc w:val="center"/>
            <w:textAlignment w:val="auto"/>
            <w:rPr>
              <w:rFonts w:hint="default" w:ascii="Times New Roman" w:hAnsi="Times New Roman" w:eastAsia="黑体" w:cs="Times New Roman"/>
              <w:sz w:val="44"/>
              <w:szCs w:val="48"/>
              <w:highlight w:val="none"/>
            </w:rPr>
          </w:pPr>
          <w:r>
            <w:rPr>
              <w:rFonts w:hint="default" w:ascii="Times New Roman" w:hAnsi="Times New Roman" w:eastAsia="黑体" w:cs="Times New Roman"/>
              <w:sz w:val="44"/>
              <w:szCs w:val="48"/>
              <w:highlight w:val="none"/>
            </w:rPr>
            <w:t>目</w:t>
          </w:r>
          <w:r>
            <w:rPr>
              <w:rFonts w:hint="default" w:ascii="Times New Roman" w:hAnsi="Times New Roman" w:eastAsia="黑体" w:cs="Times New Roman"/>
              <w:sz w:val="44"/>
              <w:szCs w:val="48"/>
              <w:highlight w:val="none"/>
              <w:lang w:val="en-US" w:eastAsia="zh-CN"/>
            </w:rPr>
            <w:t xml:space="preserve">  </w:t>
          </w:r>
          <w:r>
            <w:rPr>
              <w:rFonts w:hint="default" w:ascii="Times New Roman" w:hAnsi="Times New Roman" w:eastAsia="黑体" w:cs="Times New Roman"/>
              <w:sz w:val="44"/>
              <w:szCs w:val="48"/>
              <w:highlight w:val="none"/>
            </w:rPr>
            <w:t>录</w:t>
          </w:r>
        </w:p>
        <w:p w14:paraId="54646742">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32"/>
              <w:szCs w:val="32"/>
              <w:highlight w:val="none"/>
            </w:rPr>
            <w:fldChar w:fldCharType="begin"/>
          </w:r>
          <w:r>
            <w:rPr>
              <w:rFonts w:hint="default" w:ascii="Times New Roman" w:hAnsi="Times New Roman" w:eastAsia="黑体" w:cs="Times New Roman"/>
              <w:sz w:val="32"/>
              <w:szCs w:val="32"/>
              <w:highlight w:val="none"/>
            </w:rPr>
            <w:instrText xml:space="preserve">TOC \o "1-1" \h \u </w:instrText>
          </w:r>
          <w:r>
            <w:rPr>
              <w:rFonts w:hint="default" w:ascii="Times New Roman" w:hAnsi="Times New Roman" w:eastAsia="黑体" w:cs="Times New Roman"/>
              <w:sz w:val="32"/>
              <w:szCs w:val="32"/>
              <w:highlight w:val="none"/>
            </w:rPr>
            <w:fldChar w:fldCharType="separate"/>
          </w: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_Toc19956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sz w:val="28"/>
              <w:szCs w:val="40"/>
              <w:highlight w:val="none"/>
              <w:lang w:val="en-US" w:eastAsia="zh-CN"/>
            </w:rPr>
            <w:t>一</w:t>
          </w:r>
          <w:r>
            <w:rPr>
              <w:rFonts w:hint="default" w:ascii="Times New Roman" w:hAnsi="Times New Roman" w:eastAsia="黑体" w:cs="Times New Roman"/>
              <w:sz w:val="28"/>
              <w:szCs w:val="40"/>
              <w:highlight w:val="none"/>
            </w:rPr>
            <w:t>、工作简况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_Toc19956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626E4AB4">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_Toc16067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sz w:val="28"/>
              <w:szCs w:val="40"/>
              <w:highlight w:val="none"/>
              <w:lang w:val="en-US" w:eastAsia="zh-CN"/>
            </w:rPr>
            <w:t>二</w:t>
          </w:r>
          <w:r>
            <w:rPr>
              <w:rFonts w:hint="default" w:ascii="Times New Roman" w:hAnsi="Times New Roman" w:eastAsia="黑体" w:cs="Times New Roman"/>
              <w:sz w:val="28"/>
              <w:szCs w:val="40"/>
              <w:highlight w:val="none"/>
            </w:rPr>
            <w:t>、标准编制原则</w:t>
          </w:r>
          <w:r>
            <w:rPr>
              <w:rFonts w:hint="default" w:ascii="Times New Roman" w:hAnsi="Times New Roman" w:eastAsia="黑体" w:cs="Times New Roman"/>
              <w:sz w:val="28"/>
              <w:szCs w:val="40"/>
              <w:highlight w:val="none"/>
              <w:lang w:val="en-US" w:eastAsia="zh-CN"/>
            </w:rPr>
            <w:t>和</w:t>
          </w:r>
          <w:r>
            <w:rPr>
              <w:rFonts w:hint="default" w:ascii="Times New Roman" w:hAnsi="Times New Roman" w:eastAsia="黑体" w:cs="Times New Roman"/>
              <w:sz w:val="28"/>
              <w:szCs w:val="40"/>
              <w:highlight w:val="none"/>
            </w:rPr>
            <w:t>主要内容</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_Toc16067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3</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3496F1B9">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_Toc12675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三</w:t>
          </w:r>
          <w:r>
            <w:rPr>
              <w:rFonts w:hint="default" w:ascii="Times New Roman" w:hAnsi="Times New Roman" w:eastAsia="黑体" w:cs="Times New Roman"/>
              <w:kern w:val="0"/>
              <w:sz w:val="28"/>
              <w:szCs w:val="40"/>
              <w:highlight w:val="none"/>
            </w:rPr>
            <w:t>、主要试验</w:t>
          </w:r>
          <w:r>
            <w:rPr>
              <w:rFonts w:hint="default" w:ascii="Times New Roman" w:hAnsi="Times New Roman" w:eastAsia="黑体" w:cs="Times New Roman"/>
              <w:kern w:val="0"/>
              <w:sz w:val="28"/>
              <w:szCs w:val="40"/>
              <w:highlight w:val="none"/>
              <w:lang w:val="en-US" w:eastAsia="zh-CN"/>
            </w:rPr>
            <w:t>和情况分析</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_Toc12675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17</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14A74277">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_Toc20840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四</w:t>
          </w:r>
          <w:r>
            <w:rPr>
              <w:rFonts w:hint="default" w:ascii="Times New Roman" w:hAnsi="Times New Roman" w:eastAsia="黑体" w:cs="Times New Roman"/>
              <w:kern w:val="0"/>
              <w:sz w:val="28"/>
              <w:szCs w:val="40"/>
              <w:highlight w:val="none"/>
            </w:rPr>
            <w:t>、</w:t>
          </w:r>
          <w:r>
            <w:rPr>
              <w:rFonts w:hint="default" w:ascii="Times New Roman" w:hAnsi="Times New Roman" w:eastAsia="黑体" w:cs="Times New Roman"/>
              <w:kern w:val="0"/>
              <w:sz w:val="28"/>
              <w:szCs w:val="40"/>
              <w:highlight w:val="none"/>
              <w:lang w:val="en-US" w:eastAsia="zh-CN"/>
            </w:rPr>
            <w:t>标准中涉及专利的情况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_Toc20840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17</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23949D7E">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_Toc29243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五</w:t>
          </w:r>
          <w:r>
            <w:rPr>
              <w:rFonts w:hint="default" w:ascii="Times New Roman" w:hAnsi="Times New Roman" w:eastAsia="黑体" w:cs="Times New Roman"/>
              <w:kern w:val="0"/>
              <w:sz w:val="28"/>
              <w:szCs w:val="40"/>
              <w:highlight w:val="none"/>
            </w:rPr>
            <w:t>、</w:t>
          </w:r>
          <w:r>
            <w:rPr>
              <w:rFonts w:hint="default" w:ascii="Times New Roman" w:hAnsi="Times New Roman" w:eastAsia="黑体" w:cs="Times New Roman"/>
              <w:kern w:val="0"/>
              <w:sz w:val="28"/>
              <w:szCs w:val="40"/>
              <w:highlight w:val="none"/>
              <w:lang w:val="en-US" w:eastAsia="zh-CN"/>
            </w:rPr>
            <w:t>预期达到的效益（经济、效益、生态等），对产业发展的作用的情况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_Toc29243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17</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40075E02">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_Toc4979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六</w:t>
          </w:r>
          <w:r>
            <w:rPr>
              <w:rFonts w:hint="default" w:ascii="Times New Roman" w:hAnsi="Times New Roman" w:eastAsia="黑体" w:cs="Times New Roman"/>
              <w:kern w:val="0"/>
              <w:sz w:val="28"/>
              <w:szCs w:val="40"/>
              <w:highlight w:val="none"/>
            </w:rPr>
            <w:t>、与有关的现行法律、法规和强制性国家标准的关系</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_Toc4979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17</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BEC9882">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_Toc21799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七</w:t>
          </w:r>
          <w:r>
            <w:rPr>
              <w:rFonts w:hint="default" w:ascii="Times New Roman" w:hAnsi="Times New Roman" w:eastAsia="黑体" w:cs="Times New Roman"/>
              <w:kern w:val="0"/>
              <w:sz w:val="28"/>
              <w:szCs w:val="40"/>
              <w:highlight w:val="none"/>
            </w:rPr>
            <w:t>、重大意见分歧的处理依据和结果</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_Toc21799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17</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9C486C3">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_Toc20135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八</w:t>
          </w:r>
          <w:r>
            <w:rPr>
              <w:rFonts w:hint="default" w:ascii="Times New Roman" w:hAnsi="Times New Roman" w:eastAsia="黑体" w:cs="Times New Roman"/>
              <w:kern w:val="0"/>
              <w:sz w:val="28"/>
              <w:szCs w:val="40"/>
              <w:highlight w:val="none"/>
            </w:rPr>
            <w:t>、标准性质的建议说明</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_Toc20135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17</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2F755D32">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_Toc23106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九</w:t>
          </w:r>
          <w:r>
            <w:rPr>
              <w:rFonts w:hint="default" w:ascii="Times New Roman" w:hAnsi="Times New Roman" w:eastAsia="黑体" w:cs="Times New Roman"/>
              <w:kern w:val="0"/>
              <w:sz w:val="28"/>
              <w:szCs w:val="40"/>
              <w:highlight w:val="none"/>
            </w:rPr>
            <w:t>、贯彻标准的要求和措施建议</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_Toc23106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17</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1A21D2E0">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_Toc29517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十</w:t>
          </w:r>
          <w:r>
            <w:rPr>
              <w:rFonts w:hint="default" w:ascii="Times New Roman" w:hAnsi="Times New Roman" w:eastAsia="黑体" w:cs="Times New Roman"/>
              <w:kern w:val="0"/>
              <w:sz w:val="28"/>
              <w:szCs w:val="40"/>
              <w:highlight w:val="none"/>
            </w:rPr>
            <w:t>、废止现行相关标准的建议</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_Toc29517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17</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CDF45C8">
          <w:pPr>
            <w:pStyle w:val="10"/>
            <w:tabs>
              <w:tab w:val="right" w:leader="dot" w:pos="8691"/>
            </w:tabs>
            <w:spacing w:line="480" w:lineRule="auto"/>
            <w:rPr>
              <w:rFonts w:hint="default" w:ascii="Times New Roman" w:hAnsi="Times New Roman" w:eastAsia="黑体" w:cs="Times New Roman"/>
              <w:sz w:val="36"/>
              <w:szCs w:val="36"/>
              <w:highlight w:val="none"/>
            </w:rPr>
            <w:sectPr>
              <w:footerReference r:id="rId3" w:type="default"/>
              <w:pgSz w:w="11906" w:h="16838"/>
              <w:pgMar w:top="1418" w:right="1418" w:bottom="1985" w:left="1797" w:header="851" w:footer="992" w:gutter="0"/>
              <w:pgNumType w:start="1"/>
              <w:cols w:space="425" w:num="1"/>
              <w:docGrid w:linePitch="312" w:charSpace="0"/>
            </w:sect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_Toc18435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十一</w:t>
          </w:r>
          <w:r>
            <w:rPr>
              <w:rFonts w:hint="default" w:ascii="Times New Roman" w:hAnsi="Times New Roman" w:eastAsia="黑体" w:cs="Times New Roman"/>
              <w:kern w:val="0"/>
              <w:sz w:val="28"/>
              <w:szCs w:val="40"/>
              <w:highlight w:val="none"/>
            </w:rPr>
            <w:t>、其他应予说明的事项</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_Toc18435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17</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r>
            <w:rPr>
              <w:rFonts w:hint="default" w:ascii="Times New Roman" w:hAnsi="Times New Roman" w:eastAsia="黑体" w:cs="Times New Roman"/>
              <w:szCs w:val="32"/>
              <w:highlight w:val="none"/>
            </w:rPr>
            <w:fldChar w:fldCharType="end"/>
          </w:r>
        </w:p>
      </w:sdtContent>
    </w:sdt>
    <w:p w14:paraId="6A600C9B">
      <w:pPr>
        <w:spacing w:line="360" w:lineRule="auto"/>
        <w:jc w:val="center"/>
        <w:outlineLvl w:val="1"/>
        <w:rPr>
          <w:rFonts w:hint="default" w:ascii="Times New Roman" w:hAnsi="Times New Roman" w:eastAsia="黑体" w:cs="Times New Roman"/>
          <w:b/>
          <w:sz w:val="36"/>
          <w:szCs w:val="36"/>
          <w:highlight w:val="none"/>
        </w:rPr>
      </w:pPr>
      <w:r>
        <w:rPr>
          <w:rFonts w:hint="default" w:ascii="Times New Roman" w:hAnsi="Times New Roman" w:eastAsia="黑体" w:cs="Times New Roman"/>
          <w:b/>
          <w:sz w:val="36"/>
          <w:szCs w:val="36"/>
          <w:highlight w:val="none"/>
        </w:rPr>
        <w:t>《</w:t>
      </w:r>
      <w:r>
        <w:rPr>
          <w:rFonts w:hint="default" w:ascii="Times New Roman" w:hAnsi="Times New Roman" w:eastAsia="黑体" w:cs="Times New Roman"/>
          <w:b/>
          <w:sz w:val="36"/>
          <w:szCs w:val="36"/>
          <w:highlight w:val="none"/>
          <w:lang w:val="en-US" w:eastAsia="zh-CN"/>
        </w:rPr>
        <w:t>产品碳足迹评价规范 滚珠丝杠</w:t>
      </w:r>
      <w:r>
        <w:rPr>
          <w:rFonts w:hint="default" w:ascii="Times New Roman" w:hAnsi="Times New Roman" w:eastAsia="黑体" w:cs="Times New Roman"/>
          <w:b/>
          <w:sz w:val="36"/>
          <w:szCs w:val="36"/>
          <w:highlight w:val="none"/>
        </w:rPr>
        <w:t>》团体标准</w:t>
      </w:r>
    </w:p>
    <w:p w14:paraId="6E3DAD46">
      <w:pPr>
        <w:spacing w:line="360" w:lineRule="auto"/>
        <w:jc w:val="center"/>
        <w:outlineLvl w:val="1"/>
        <w:rPr>
          <w:rFonts w:hint="default" w:ascii="Times New Roman" w:hAnsi="Times New Roman" w:eastAsia="黑体" w:cs="Times New Roman"/>
          <w:b/>
          <w:sz w:val="36"/>
          <w:szCs w:val="36"/>
          <w:highlight w:val="none"/>
        </w:rPr>
      </w:pPr>
      <w:r>
        <w:rPr>
          <w:rFonts w:hint="default" w:ascii="Times New Roman" w:hAnsi="Times New Roman" w:eastAsia="黑体" w:cs="Times New Roman"/>
          <w:b/>
          <w:sz w:val="36"/>
          <w:szCs w:val="36"/>
          <w:highlight w:val="none"/>
        </w:rPr>
        <w:t>编制说明</w:t>
      </w:r>
    </w:p>
    <w:p w14:paraId="15EB5C5C">
      <w:pPr>
        <w:spacing w:line="360" w:lineRule="auto"/>
        <w:outlineLvl w:val="0"/>
        <w:rPr>
          <w:rFonts w:hint="default" w:ascii="Times New Roman" w:hAnsi="Times New Roman" w:eastAsia="黑体" w:cs="Times New Roman"/>
          <w:b/>
          <w:color w:val="000000" w:themeColor="text1"/>
          <w:sz w:val="30"/>
          <w:szCs w:val="30"/>
          <w:highlight w:val="none"/>
        </w:rPr>
      </w:pPr>
      <w:bookmarkStart w:id="0" w:name="_Toc19956"/>
      <w:r>
        <w:rPr>
          <w:rFonts w:hint="default" w:ascii="Times New Roman" w:hAnsi="Times New Roman" w:eastAsia="黑体" w:cs="Times New Roman"/>
          <w:b/>
          <w:sz w:val="30"/>
          <w:szCs w:val="30"/>
          <w:highlight w:val="none"/>
          <w:lang w:val="en-US" w:eastAsia="zh-CN"/>
        </w:rPr>
        <w:t>一</w:t>
      </w:r>
      <w:r>
        <w:rPr>
          <w:rFonts w:hint="default" w:ascii="Times New Roman" w:hAnsi="Times New Roman" w:eastAsia="黑体" w:cs="Times New Roman"/>
          <w:b/>
          <w:sz w:val="30"/>
          <w:szCs w:val="30"/>
          <w:highlight w:val="none"/>
        </w:rPr>
        <w:t>、工作简况</w:t>
      </w:r>
      <w:bookmarkEnd w:id="0"/>
    </w:p>
    <w:p w14:paraId="317B6785">
      <w:pPr>
        <w:spacing w:line="360" w:lineRule="auto"/>
        <w:outlineLvl w:val="2"/>
        <w:rPr>
          <w:rFonts w:hint="default" w:ascii="Times New Roman" w:hAnsi="Times New Roman" w:cs="Times New Roman"/>
          <w:b/>
          <w:color w:val="000000" w:themeColor="text1"/>
          <w:sz w:val="28"/>
          <w:szCs w:val="28"/>
          <w:highlight w:val="none"/>
        </w:rPr>
      </w:pP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一</w:t>
      </w: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rPr>
        <w:t>任务来源</w:t>
      </w:r>
    </w:p>
    <w:p w14:paraId="34E08D80">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随着全球气候变化问题的日益严重，减少温室气体排放、实现碳中和已经成为全球共识。产品碳足迹评价作为衡量产品对气候变化影响的重要指标，逐渐受到企业和消费者的重视。滚珠丝杠作为机械制造业中广泛使用的传动元件，其生产和使用过程中的碳排放问题不容忽视。当前，国内对碳足迹评价的技术和标准尚未完全成熟，缺乏统一权威的碳足迹基础数据库。滚珠丝杠作为复杂产品，其生命周期碳排放量的核算涉及多个环节和多个领域的知识，技术难度较大。同时，由于不同国家和地区资源分布不平衡、科技水平不同以及能源消耗的不对称，产品生命周期的碳足迹核算存在很大差异。</w:t>
      </w:r>
    </w:p>
    <w:p w14:paraId="3C7AF364">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因此，开展滚珠丝杠产品碳足迹评价规范标准的研制。滚珠丝杠产品碳足迹评价规范项目的研制具有重要的战略意义和实际价值。首先，可以准确评估滚珠丝杠生产和使用过程中的碳排放情况，帮助企业制定减排策略，降低产品对环境的负面影响，促进企业的可持续发展；其次，随着消费者对环保产品的需求增加，越来越多的买家要求供应商披露供应链碳足迹，通过碳足迹评价，企业可以向消费者传递产品的环保信息，提升产品的市场竞争力；最后，企业作为社会的一部分，有责任为社会和环境的可持续发展做出贡献，通过碳足迹评价，企业可以了解自身在环保方面的表现，积极履行社会责任，提升企业的社会形象。综上所述，通过滚珠丝杠产品碳足迹评价规范项目的实施，可以为企业和社会带来多方面的积极影响。</w:t>
      </w:r>
    </w:p>
    <w:p w14:paraId="0EA0D7AC">
      <w:pPr>
        <w:spacing w:line="360" w:lineRule="auto"/>
        <w:outlineLvl w:val="2"/>
        <w:rPr>
          <w:rFonts w:hint="default" w:ascii="Times New Roman" w:hAnsi="Times New Roman" w:cs="Times New Roman"/>
          <w:b/>
          <w:color w:val="000000" w:themeColor="text1"/>
          <w:sz w:val="28"/>
          <w:szCs w:val="28"/>
          <w:highlight w:val="none"/>
          <w:lang w:val="en-US" w:eastAsia="zh-CN"/>
        </w:rPr>
      </w:pP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二</w:t>
      </w: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编制过程</w:t>
      </w:r>
    </w:p>
    <w:p w14:paraId="7610843F">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为使本标准在</w:t>
      </w:r>
      <w:r>
        <w:rPr>
          <w:rFonts w:hint="default" w:ascii="Times New Roman" w:hAnsi="Times New Roman" w:cs="Times New Roman"/>
          <w:kern w:val="0"/>
          <w:sz w:val="28"/>
          <w:szCs w:val="28"/>
          <w:highlight w:val="none"/>
          <w:lang w:eastAsia="zh-CN"/>
        </w:rPr>
        <w:t>碳足迹评价</w:t>
      </w:r>
      <w:r>
        <w:rPr>
          <w:rFonts w:hint="default" w:ascii="Times New Roman" w:hAnsi="Times New Roman" w:cs="Times New Roman"/>
          <w:kern w:val="0"/>
          <w:sz w:val="28"/>
          <w:szCs w:val="28"/>
          <w:highlight w:val="none"/>
        </w:rPr>
        <w:t>市场管理工作中起到规范信息化管理作用，标准起草工作组力求科学性、可操作性，以科学、谨慎的态度，在对我国现有</w:t>
      </w:r>
      <w:r>
        <w:rPr>
          <w:rFonts w:hint="default" w:ascii="Times New Roman" w:hAnsi="Times New Roman" w:cs="Times New Roman"/>
          <w:kern w:val="0"/>
          <w:sz w:val="28"/>
          <w:szCs w:val="28"/>
          <w:highlight w:val="none"/>
          <w:lang w:eastAsia="zh-CN"/>
        </w:rPr>
        <w:t>碳足迹评价</w:t>
      </w:r>
      <w:r>
        <w:rPr>
          <w:rFonts w:hint="default" w:ascii="Times New Roman" w:hAnsi="Times New Roman" w:cs="Times New Roman"/>
          <w:kern w:val="0"/>
          <w:sz w:val="28"/>
          <w:szCs w:val="28"/>
          <w:highlight w:val="none"/>
        </w:rPr>
        <w:t>市场相关管理服务体系文件、模式基础上，经过综合分析、充分验证资料、反复讨论研究和修改，最终确定了本标准的主要内容。</w:t>
      </w:r>
    </w:p>
    <w:p w14:paraId="6315B182">
      <w:pPr>
        <w:snapToGrid w:val="0"/>
        <w:spacing w:line="360" w:lineRule="auto"/>
        <w:ind w:firstLine="560" w:firstLineChars="200"/>
        <w:rPr>
          <w:rFonts w:hint="default" w:ascii="Times New Roman" w:hAnsi="Times New Roman" w:cs="Times New Roman" w:eastAsiaTheme="minorEastAsia"/>
          <w:kern w:val="0"/>
          <w:sz w:val="28"/>
          <w:szCs w:val="28"/>
          <w:highlight w:val="none"/>
          <w:lang w:eastAsia="zh-CN"/>
        </w:rPr>
      </w:pPr>
      <w:r>
        <w:rPr>
          <w:rFonts w:hint="default" w:ascii="Times New Roman" w:hAnsi="Times New Roman" w:cs="Times New Roman"/>
          <w:kern w:val="0"/>
          <w:sz w:val="28"/>
          <w:szCs w:val="28"/>
          <w:highlight w:val="none"/>
        </w:rPr>
        <w:t>标准起草工作组在标准起草期间主要开展工作情况如下</w:t>
      </w:r>
      <w:r>
        <w:rPr>
          <w:rFonts w:hint="default" w:ascii="Times New Roman" w:hAnsi="Times New Roman" w:cs="Times New Roman"/>
          <w:kern w:val="0"/>
          <w:sz w:val="28"/>
          <w:szCs w:val="28"/>
          <w:highlight w:val="none"/>
          <w:lang w:eastAsia="zh-CN"/>
        </w:rPr>
        <w:t>：</w:t>
      </w:r>
    </w:p>
    <w:p w14:paraId="403841E5">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1、项目立项及理论研究阶段</w:t>
      </w:r>
    </w:p>
    <w:p w14:paraId="57A49211">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标准起草组成立伊始就对国内外碳足迹评价相关情况进行了深入的调查研究，同时广泛搜集相关标准和国外技术资料，进行了大量的研究分析、资料查证工作，确定了碳足迹评价市场标准化管理中现存问题，结合现有产品实际应用经验，为标准起草奠定了基础。</w:t>
      </w:r>
    </w:p>
    <w:p w14:paraId="6BFEC482">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标准起草组进一步研究了碳足迹评价需要具备的特殊条件，明确了技术要求和指标，为标准的具体起草指明了方向。</w:t>
      </w:r>
    </w:p>
    <w:p w14:paraId="6AF31990">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2、标准起草阶段</w:t>
      </w:r>
    </w:p>
    <w:p w14:paraId="7B3BEC7B">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在理论研究基础上，起草组在标准编制过程中充分借鉴已有的理论研究和实践成果，基于我国市场行情，经过数次修订，形成了《产品碳足迹评价规范 滚珠丝杠》标准草案。</w:t>
      </w:r>
    </w:p>
    <w:p w14:paraId="47CB8476">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3、标准征求意见阶段</w:t>
      </w:r>
    </w:p>
    <w:p w14:paraId="21978FB0">
      <w:pPr>
        <w:snapToGrid w:val="0"/>
        <w:spacing w:line="360" w:lineRule="auto"/>
        <w:ind w:firstLine="560" w:firstLineChars="200"/>
        <w:rPr>
          <w:rFonts w:hint="default" w:ascii="Times New Roman" w:hAnsi="Times New Roman" w:cs="Times New Roman" w:eastAsiaTheme="minorEastAsia"/>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形成标准草案之后，起草组召开了多次专家研讨会，从标准框架、标准起草等角度广泛征求多方意见，从理论完善和实践应用多方面提升标准的适用性和实用性。经过理论研究和方法验证，起草组形成了《产品碳足迹评价规范 滚珠丝杠》（征求意见稿）。</w:t>
      </w:r>
    </w:p>
    <w:p w14:paraId="159C2D4F">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三</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主要起草单位及起草人所做的工作</w:t>
      </w:r>
    </w:p>
    <w:p w14:paraId="173D6566">
      <w:pPr>
        <w:spacing w:line="360" w:lineRule="auto"/>
        <w:rPr>
          <w:rFonts w:hint="default" w:ascii="Times New Roman" w:hAnsi="Times New Roman" w:cs="Times New Roman"/>
          <w:b/>
          <w:bCs/>
          <w:kern w:val="0"/>
          <w:sz w:val="28"/>
          <w:szCs w:val="28"/>
          <w:highlight w:val="none"/>
        </w:rPr>
      </w:pPr>
      <w:r>
        <w:rPr>
          <w:rFonts w:hint="default" w:ascii="Times New Roman" w:hAnsi="Times New Roman" w:cs="Times New Roman"/>
          <w:b/>
          <w:bCs/>
          <w:kern w:val="0"/>
          <w:sz w:val="28"/>
          <w:szCs w:val="28"/>
          <w:highlight w:val="none"/>
        </w:rPr>
        <w:t>1、主要起草单位</w:t>
      </w:r>
    </w:p>
    <w:p w14:paraId="52418BF1">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中国中小企业协会</w:t>
      </w:r>
      <w:r>
        <w:rPr>
          <w:rFonts w:hint="default" w:ascii="Times New Roman" w:hAnsi="Times New Roman" w:cs="Times New Roman"/>
          <w:kern w:val="0"/>
          <w:sz w:val="28"/>
          <w:szCs w:val="28"/>
          <w:highlight w:val="none"/>
          <w:lang w:eastAsia="zh-CN"/>
        </w:rPr>
        <w:t>、</w:t>
      </w:r>
      <w:r>
        <w:rPr>
          <w:rFonts w:hint="default" w:ascii="Times New Roman" w:hAnsi="Times New Roman" w:cs="Times New Roman"/>
          <w:kern w:val="0"/>
          <w:sz w:val="28"/>
          <w:szCs w:val="28"/>
          <w:highlight w:val="none"/>
          <w:lang w:val="en-US" w:eastAsia="zh-CN"/>
        </w:rPr>
        <w:t>浙江健壮传动科技有限公司</w:t>
      </w:r>
      <w:r>
        <w:rPr>
          <w:rFonts w:hint="default" w:ascii="Times New Roman" w:hAnsi="Times New Roman" w:cs="Times New Roman"/>
          <w:kern w:val="0"/>
          <w:sz w:val="28"/>
          <w:szCs w:val="28"/>
          <w:highlight w:val="none"/>
        </w:rPr>
        <w:t>等多家单位的专家成立了规范起草小组，开展标准的编制工作。</w:t>
      </w:r>
    </w:p>
    <w:p w14:paraId="4B1B24B9">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经工作组的不懈努力，在202</w:t>
      </w:r>
      <w:r>
        <w:rPr>
          <w:rFonts w:hint="default" w:ascii="Times New Roman" w:hAnsi="Times New Roman" w:cs="Times New Roman"/>
          <w:kern w:val="0"/>
          <w:sz w:val="28"/>
          <w:szCs w:val="28"/>
          <w:highlight w:val="none"/>
          <w:lang w:val="en-US" w:eastAsia="zh-CN"/>
        </w:rPr>
        <w:t>4</w:t>
      </w:r>
      <w:r>
        <w:rPr>
          <w:rFonts w:hint="default" w:ascii="Times New Roman" w:hAnsi="Times New Roman" w:cs="Times New Roman"/>
          <w:kern w:val="0"/>
          <w:sz w:val="28"/>
          <w:szCs w:val="28"/>
          <w:highlight w:val="none"/>
        </w:rPr>
        <w:t>年</w:t>
      </w:r>
      <w:r>
        <w:rPr>
          <w:rFonts w:hint="eastAsia" w:ascii="Times New Roman" w:hAnsi="Times New Roman" w:cs="Times New Roman"/>
          <w:kern w:val="0"/>
          <w:sz w:val="28"/>
          <w:szCs w:val="28"/>
          <w:highlight w:val="none"/>
          <w:lang w:val="en-US" w:eastAsia="zh-CN"/>
        </w:rPr>
        <w:t>9</w:t>
      </w:r>
      <w:r>
        <w:rPr>
          <w:rFonts w:hint="default" w:ascii="Times New Roman" w:hAnsi="Times New Roman" w:cs="Times New Roman"/>
          <w:kern w:val="0"/>
          <w:sz w:val="28"/>
          <w:szCs w:val="28"/>
          <w:highlight w:val="none"/>
        </w:rPr>
        <w:t>月，完成了标准征求意见稿的编写工作。</w:t>
      </w:r>
    </w:p>
    <w:p w14:paraId="13C62067">
      <w:pPr>
        <w:spacing w:line="360" w:lineRule="auto"/>
        <w:rPr>
          <w:rFonts w:hint="default" w:ascii="Times New Roman" w:hAnsi="Times New Roman" w:cs="Times New Roman"/>
          <w:b/>
          <w:bCs/>
          <w:kern w:val="0"/>
          <w:sz w:val="28"/>
          <w:szCs w:val="28"/>
          <w:highlight w:val="none"/>
        </w:rPr>
      </w:pPr>
      <w:r>
        <w:rPr>
          <w:rFonts w:hint="default" w:ascii="Times New Roman" w:hAnsi="Times New Roman" w:cs="Times New Roman"/>
          <w:b/>
          <w:bCs/>
          <w:kern w:val="0"/>
          <w:sz w:val="28"/>
          <w:szCs w:val="28"/>
          <w:highlight w:val="none"/>
        </w:rPr>
        <w:t>2、起草人所做工作</w:t>
      </w:r>
    </w:p>
    <w:p w14:paraId="3AD550E4">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广泛收集相关资料。在广泛调研、查阅和研究国际标准、国家标准、行业标准的基础之上，形成本标准草案稿。</w:t>
      </w:r>
    </w:p>
    <w:p w14:paraId="778AED6F">
      <w:pPr>
        <w:spacing w:line="360" w:lineRule="auto"/>
        <w:outlineLvl w:val="0"/>
        <w:rPr>
          <w:rFonts w:hint="default" w:ascii="Times New Roman" w:hAnsi="Times New Roman" w:eastAsia="黑体" w:cs="Times New Roman"/>
          <w:b/>
          <w:sz w:val="30"/>
          <w:szCs w:val="30"/>
          <w:highlight w:val="none"/>
        </w:rPr>
      </w:pPr>
      <w:bookmarkStart w:id="1" w:name="_Toc16067"/>
      <w:r>
        <w:rPr>
          <w:rFonts w:hint="default" w:ascii="Times New Roman" w:hAnsi="Times New Roman" w:eastAsia="黑体" w:cs="Times New Roman"/>
          <w:b/>
          <w:sz w:val="30"/>
          <w:szCs w:val="30"/>
          <w:highlight w:val="none"/>
          <w:lang w:val="en-US" w:eastAsia="zh-CN"/>
        </w:rPr>
        <w:t>二</w:t>
      </w:r>
      <w:r>
        <w:rPr>
          <w:rFonts w:hint="default" w:ascii="Times New Roman" w:hAnsi="Times New Roman" w:eastAsia="黑体" w:cs="Times New Roman"/>
          <w:b/>
          <w:sz w:val="30"/>
          <w:szCs w:val="30"/>
          <w:highlight w:val="none"/>
        </w:rPr>
        <w:t>、标准编制原则</w:t>
      </w:r>
      <w:r>
        <w:rPr>
          <w:rFonts w:hint="default" w:ascii="Times New Roman" w:hAnsi="Times New Roman" w:eastAsia="黑体" w:cs="Times New Roman"/>
          <w:b/>
          <w:sz w:val="30"/>
          <w:szCs w:val="30"/>
          <w:highlight w:val="none"/>
          <w:lang w:val="en-US" w:eastAsia="zh-CN"/>
        </w:rPr>
        <w:t>和</w:t>
      </w:r>
      <w:r>
        <w:rPr>
          <w:rFonts w:hint="default" w:ascii="Times New Roman" w:hAnsi="Times New Roman" w:eastAsia="黑体" w:cs="Times New Roman"/>
          <w:b/>
          <w:sz w:val="30"/>
          <w:szCs w:val="30"/>
          <w:highlight w:val="none"/>
        </w:rPr>
        <w:t>主要内容</w:t>
      </w:r>
      <w:bookmarkEnd w:id="1"/>
    </w:p>
    <w:p w14:paraId="61515491">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一</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标准编制原则</w:t>
      </w:r>
    </w:p>
    <w:p w14:paraId="1D6024CA">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本标准依据相关行业标准，标准编制遵循“前瞻性、实用性、统一性、规范性”的原则，注重标准的可操作性，本标准严格按照《标准化工作指南》和GB/T 1.1《标准化工作导则 第一部分：标准的结构和编写》的要求进行编制。标准文本的编排采用中国标准编写模板TCS 2009版进行排版，确保标准文本的规范性。</w:t>
      </w:r>
    </w:p>
    <w:p w14:paraId="7C87CBC2">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二</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标准主要技术内容</w:t>
      </w:r>
    </w:p>
    <w:p w14:paraId="25DEC831">
      <w:pPr>
        <w:bidi w:val="0"/>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本标准报批稿包括8个部分，主要内容如下：</w:t>
      </w:r>
    </w:p>
    <w:p w14:paraId="17646057">
      <w:pPr>
        <w:pStyle w:val="43"/>
        <w:widowControl/>
        <w:numPr>
          <w:ilvl w:val="1"/>
          <w:numId w:val="5"/>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 w:name="_Toc170748224"/>
      <w:bookmarkStart w:id="3" w:name="_Toc167375529"/>
      <w:bookmarkStart w:id="4" w:name="_Toc26986771"/>
      <w:bookmarkStart w:id="5" w:name="_Toc26718930"/>
      <w:bookmarkStart w:id="6" w:name="_Toc97192964"/>
      <w:bookmarkStart w:id="7" w:name="_Toc166860765"/>
      <w:bookmarkStart w:id="8" w:name="_Toc175837998"/>
      <w:bookmarkStart w:id="9" w:name="_Toc26986530"/>
      <w:bookmarkStart w:id="10" w:name="_Toc24884218"/>
      <w:bookmarkStart w:id="11" w:name="_Toc17233325"/>
      <w:bookmarkStart w:id="12" w:name="_Toc24884211"/>
      <w:bookmarkStart w:id="13" w:name="_Toc26648465"/>
      <w:bookmarkStart w:id="14" w:name="_Toc177981125"/>
      <w:bookmarkStart w:id="15" w:name="_Toc17233333"/>
      <w:r>
        <w:rPr>
          <w:rFonts w:hint="default" w:ascii="Times New Roman" w:hAnsi="Times New Roman" w:cs="Times New Roman"/>
          <w:sz w:val="28"/>
          <w:szCs w:val="28"/>
          <w:highlight w:val="none"/>
          <w:lang w:eastAsia="zh-CN"/>
        </w:rPr>
        <w:t>范围</w:t>
      </w:r>
      <w:bookmarkEnd w:id="2"/>
      <w:bookmarkEnd w:id="3"/>
      <w:bookmarkEnd w:id="4"/>
      <w:bookmarkEnd w:id="5"/>
      <w:bookmarkEnd w:id="6"/>
      <w:bookmarkEnd w:id="7"/>
      <w:bookmarkEnd w:id="8"/>
      <w:bookmarkEnd w:id="9"/>
      <w:bookmarkEnd w:id="10"/>
      <w:bookmarkEnd w:id="11"/>
      <w:bookmarkEnd w:id="12"/>
      <w:bookmarkEnd w:id="13"/>
      <w:bookmarkEnd w:id="14"/>
      <w:bookmarkEnd w:id="15"/>
    </w:p>
    <w:p w14:paraId="63CD00F8">
      <w:pPr>
        <w:pStyle w:val="35"/>
        <w:widowControl/>
        <w:spacing w:line="360" w:lineRule="auto"/>
        <w:ind w:left="0" w:firstLine="420"/>
        <w:rPr>
          <w:rFonts w:hint="default" w:ascii="Times New Roman" w:hAnsi="Times New Roman" w:cs="Times New Roman"/>
          <w:sz w:val="28"/>
          <w:szCs w:val="28"/>
          <w:highlight w:val="none"/>
          <w:lang w:val="en-US"/>
        </w:rPr>
      </w:pPr>
      <w:bookmarkStart w:id="16" w:name="_Toc26648466"/>
      <w:bookmarkStart w:id="17" w:name="_Toc17233326"/>
      <w:bookmarkStart w:id="18" w:name="_Toc24884212"/>
      <w:bookmarkStart w:id="19" w:name="_Toc17233334"/>
      <w:bookmarkStart w:id="20" w:name="_Toc24884219"/>
      <w:r>
        <w:rPr>
          <w:rFonts w:hint="default" w:ascii="Times New Roman" w:hAnsi="Times New Roman" w:cs="Times New Roman"/>
          <w:sz w:val="28"/>
          <w:szCs w:val="28"/>
          <w:highlight w:val="none"/>
          <w:lang w:eastAsia="zh-CN"/>
        </w:rPr>
        <w:t>本文件规定了滚珠丝杠产品碳足迹评价的术语和定义、范围界定、数据收集、分配与计算、评价报告相关内容。</w:t>
      </w:r>
    </w:p>
    <w:p w14:paraId="07539000">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本文件适用于滚珠丝杠产品碳足迹评价。</w:t>
      </w:r>
    </w:p>
    <w:p w14:paraId="4AE595CF">
      <w:pPr>
        <w:pStyle w:val="43"/>
        <w:widowControl/>
        <w:numPr>
          <w:ilvl w:val="1"/>
          <w:numId w:val="5"/>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1" w:name="_Toc166860766"/>
      <w:bookmarkStart w:id="22" w:name="_Toc97192965"/>
      <w:bookmarkStart w:id="23" w:name="_Toc26986772"/>
      <w:bookmarkStart w:id="24" w:name="_Toc170748225"/>
      <w:bookmarkStart w:id="25" w:name="_Toc26986531"/>
      <w:bookmarkStart w:id="26" w:name="_Toc175837999"/>
      <w:bookmarkStart w:id="27" w:name="_Toc177981126"/>
      <w:bookmarkStart w:id="28" w:name="_Toc167375530"/>
      <w:bookmarkStart w:id="29" w:name="_Toc26718931"/>
      <w:r>
        <w:rPr>
          <w:rFonts w:hint="default" w:ascii="Times New Roman" w:hAnsi="Times New Roman" w:cs="Times New Roman"/>
          <w:sz w:val="28"/>
          <w:szCs w:val="28"/>
          <w:highlight w:val="none"/>
          <w:lang w:eastAsia="zh-CN"/>
        </w:rPr>
        <w:t>规范性引用文件</w:t>
      </w:r>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2BD66E8E">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364A3D3">
      <w:pPr>
        <w:pStyle w:val="35"/>
        <w:widowControl/>
        <w:spacing w:line="360" w:lineRule="auto"/>
        <w:ind w:left="0" w:firstLine="420"/>
        <w:jc w:val="left"/>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24040 </w:t>
      </w:r>
      <w:r>
        <w:rPr>
          <w:rFonts w:hint="default" w:ascii="Times New Roman" w:hAnsi="Times New Roman" w:cs="Times New Roman"/>
          <w:sz w:val="28"/>
          <w:szCs w:val="28"/>
          <w:highlight w:val="none"/>
          <w:lang w:eastAsia="zh-CN"/>
        </w:rPr>
        <w:t>环境管理 生命周期评价 原则与框架</w:t>
      </w:r>
    </w:p>
    <w:p w14:paraId="5BA0B493">
      <w:pPr>
        <w:pStyle w:val="35"/>
        <w:widowControl/>
        <w:spacing w:line="360" w:lineRule="auto"/>
        <w:ind w:left="0" w:firstLine="420"/>
        <w:jc w:val="left"/>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24044 </w:t>
      </w:r>
      <w:r>
        <w:rPr>
          <w:rFonts w:hint="default" w:ascii="Times New Roman" w:hAnsi="Times New Roman" w:cs="Times New Roman"/>
          <w:sz w:val="28"/>
          <w:szCs w:val="28"/>
          <w:highlight w:val="none"/>
          <w:lang w:eastAsia="zh-CN"/>
        </w:rPr>
        <w:t>环境管理 生命周期评价 要求与指南</w:t>
      </w:r>
    </w:p>
    <w:p w14:paraId="4E6E3E82">
      <w:pPr>
        <w:pStyle w:val="35"/>
        <w:widowControl/>
        <w:spacing w:line="360" w:lineRule="auto"/>
        <w:ind w:left="0" w:firstLine="420"/>
        <w:jc w:val="left"/>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T 24062 </w:t>
      </w:r>
      <w:r>
        <w:rPr>
          <w:rFonts w:hint="default" w:ascii="Times New Roman" w:hAnsi="Times New Roman" w:cs="Times New Roman"/>
          <w:sz w:val="28"/>
          <w:szCs w:val="28"/>
          <w:highlight w:val="none"/>
          <w:lang w:eastAsia="zh-CN"/>
        </w:rPr>
        <w:t>环境管理 将环境因素引入产品的设计和开发</w:t>
      </w:r>
    </w:p>
    <w:p w14:paraId="78D660A6">
      <w:pPr>
        <w:pStyle w:val="35"/>
        <w:widowControl/>
        <w:spacing w:line="360" w:lineRule="auto"/>
        <w:ind w:left="0" w:firstLine="420"/>
        <w:jc w:val="left"/>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32150 </w:t>
      </w:r>
      <w:r>
        <w:rPr>
          <w:rFonts w:hint="default" w:ascii="Times New Roman" w:hAnsi="Times New Roman" w:cs="Times New Roman"/>
          <w:sz w:val="28"/>
          <w:szCs w:val="28"/>
          <w:highlight w:val="none"/>
          <w:lang w:eastAsia="zh-CN"/>
        </w:rPr>
        <w:t>工业企业温室气体排放核算和报告通则</w:t>
      </w:r>
    </w:p>
    <w:p w14:paraId="1EFD506B">
      <w:pPr>
        <w:pStyle w:val="35"/>
        <w:widowControl/>
        <w:spacing w:line="360" w:lineRule="auto"/>
        <w:ind w:left="0" w:firstLine="420"/>
        <w:jc w:val="left"/>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ISO 14067:2018 </w:t>
      </w:r>
      <w:r>
        <w:rPr>
          <w:rFonts w:hint="default" w:ascii="Times New Roman" w:hAnsi="Times New Roman" w:cs="Times New Roman"/>
          <w:sz w:val="28"/>
          <w:szCs w:val="28"/>
          <w:highlight w:val="none"/>
          <w:lang w:eastAsia="zh-CN"/>
        </w:rPr>
        <w:t>温室气体 产品碳足迹 量化要求和指南（</w:t>
      </w:r>
      <w:r>
        <w:rPr>
          <w:rFonts w:hint="default" w:ascii="Times New Roman" w:hAnsi="Times New Roman" w:cs="Times New Roman"/>
          <w:sz w:val="28"/>
          <w:szCs w:val="28"/>
          <w:highlight w:val="none"/>
          <w:lang w:val="en-US"/>
        </w:rPr>
        <w:t>Greenhouse gases  Carbon footprint of products  Requirements and guidelines for quantification</w:t>
      </w:r>
      <w:r>
        <w:rPr>
          <w:rFonts w:hint="default" w:ascii="Times New Roman" w:hAnsi="Times New Roman" w:cs="Times New Roman"/>
          <w:sz w:val="28"/>
          <w:szCs w:val="28"/>
          <w:highlight w:val="none"/>
          <w:lang w:eastAsia="zh-CN"/>
        </w:rPr>
        <w:t>）</w:t>
      </w:r>
    </w:p>
    <w:p w14:paraId="34B6AA5B">
      <w:pPr>
        <w:pStyle w:val="43"/>
        <w:widowControl/>
        <w:numPr>
          <w:ilvl w:val="1"/>
          <w:numId w:val="5"/>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0" w:name="_Toc170748226"/>
      <w:bookmarkStart w:id="31" w:name="_Toc175838000"/>
      <w:bookmarkStart w:id="32" w:name="_Toc177981127"/>
      <w:bookmarkStart w:id="33" w:name="_Toc166860767"/>
      <w:bookmarkStart w:id="34" w:name="_Toc167375531"/>
      <w:bookmarkStart w:id="35" w:name="_Toc97192966"/>
      <w:r>
        <w:rPr>
          <w:rFonts w:hint="default" w:ascii="Times New Roman" w:hAnsi="Times New Roman" w:cs="Times New Roman"/>
          <w:sz w:val="28"/>
          <w:szCs w:val="28"/>
          <w:highlight w:val="none"/>
          <w:lang w:eastAsia="zh-CN"/>
        </w:rPr>
        <w:t>术语和定义</w:t>
      </w:r>
      <w:bookmarkEnd w:id="30"/>
      <w:bookmarkEnd w:id="31"/>
      <w:bookmarkEnd w:id="32"/>
      <w:bookmarkEnd w:id="33"/>
      <w:bookmarkEnd w:id="34"/>
      <w:bookmarkEnd w:id="35"/>
    </w:p>
    <w:p w14:paraId="09167579">
      <w:pPr>
        <w:pStyle w:val="35"/>
        <w:widowControl/>
        <w:spacing w:line="360" w:lineRule="auto"/>
        <w:ind w:left="0" w:firstLine="420"/>
        <w:rPr>
          <w:rFonts w:hint="default" w:ascii="Times New Roman" w:hAnsi="Times New Roman" w:cs="Times New Roman"/>
          <w:sz w:val="28"/>
          <w:szCs w:val="28"/>
          <w:highlight w:val="none"/>
          <w:lang w:val="en-US"/>
        </w:rPr>
      </w:pPr>
      <w:bookmarkStart w:id="36" w:name="_Toc26986532"/>
      <w:bookmarkEnd w:id="36"/>
      <w:r>
        <w:rPr>
          <w:rFonts w:hint="default" w:ascii="Times New Roman" w:hAnsi="Times New Roman" w:cs="Times New Roman"/>
          <w:sz w:val="28"/>
          <w:szCs w:val="28"/>
          <w:highlight w:val="none"/>
          <w:lang w:val="en-US"/>
        </w:rPr>
        <w:t>GB/T 24040</w:t>
      </w:r>
      <w:r>
        <w:rPr>
          <w:rFonts w:hint="default" w:ascii="Times New Roman" w:hAnsi="Times New Roman" w:cs="Times New Roman"/>
          <w:sz w:val="28"/>
          <w:szCs w:val="28"/>
          <w:highlight w:val="none"/>
          <w:lang w:eastAsia="zh-CN"/>
        </w:rPr>
        <w:t>界定的以及下列术语和定义适用于本文件。</w:t>
      </w:r>
    </w:p>
    <w:p w14:paraId="2042E90A">
      <w:pPr>
        <w:pStyle w:val="51"/>
        <w:widowControl/>
        <w:numPr>
          <w:ilvl w:val="2"/>
          <w:numId w:val="5"/>
        </w:numPr>
        <w:spacing w:line="360" w:lineRule="auto"/>
        <w:ind w:left="420" w:hanging="560" w:hangingChars="200"/>
        <w:rPr>
          <w:rFonts w:hint="default" w:ascii="Times New Roman" w:hAnsi="Times New Roman" w:eastAsia="黑体" w:cs="Times New Roman"/>
          <w:sz w:val="28"/>
          <w:szCs w:val="28"/>
          <w:highlight w:val="none"/>
          <w:lang w:val="en-US"/>
        </w:rPr>
      </w:pPr>
    </w:p>
    <w:p w14:paraId="5757A6E4">
      <w:pPr>
        <w:pStyle w:val="51"/>
        <w:widowControl/>
        <w:numPr>
          <w:ilvl w:val="2"/>
          <w:numId w:val="5"/>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eastAsia="zh-CN"/>
        </w:rPr>
        <w:t xml:space="preserve">滚珠丝杠 </w:t>
      </w:r>
      <w:r>
        <w:rPr>
          <w:rFonts w:hint="default" w:ascii="Times New Roman" w:hAnsi="Times New Roman" w:eastAsia="黑体" w:cs="Times New Roman"/>
          <w:sz w:val="28"/>
          <w:szCs w:val="28"/>
          <w:highlight w:val="none"/>
          <w:lang w:val="en-US"/>
        </w:rPr>
        <w:t>ball screws</w:t>
      </w:r>
    </w:p>
    <w:p w14:paraId="10FAB7A7">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由螺杆、螺母、钢球、预压片、反向器、防尘器组成，将回转运动转化为直线运动，或将直线运动转化为回转运动的理想产品，作为工具机械和精密机械上最常使用的传动元件，将旋转运动转换成线性运动，或将扭矩转换成轴向反复作用力，同时兼具高精度、可逆性和高效率的特点。</w:t>
      </w:r>
    </w:p>
    <w:p w14:paraId="7EAF4BF0">
      <w:pPr>
        <w:pStyle w:val="51"/>
        <w:widowControl/>
        <w:numPr>
          <w:ilvl w:val="2"/>
          <w:numId w:val="5"/>
        </w:numPr>
        <w:spacing w:line="360" w:lineRule="auto"/>
        <w:ind w:left="420" w:hanging="560" w:hangingChars="200"/>
        <w:rPr>
          <w:rFonts w:hint="default" w:ascii="Times New Roman" w:hAnsi="Times New Roman" w:eastAsia="黑体" w:cs="Times New Roman"/>
          <w:sz w:val="28"/>
          <w:szCs w:val="28"/>
          <w:highlight w:val="none"/>
          <w:lang w:val="en-US"/>
        </w:rPr>
      </w:pPr>
    </w:p>
    <w:p w14:paraId="0E6AC71B">
      <w:pPr>
        <w:pStyle w:val="51"/>
        <w:widowControl/>
        <w:numPr>
          <w:ilvl w:val="2"/>
          <w:numId w:val="5"/>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eastAsia="zh-CN"/>
        </w:rPr>
        <w:t>产品碳足迹</w:t>
      </w:r>
      <w:r>
        <w:rPr>
          <w:rFonts w:hint="default" w:ascii="Times New Roman" w:hAnsi="Times New Roman" w:eastAsia="黑体" w:cs="Times New Roman"/>
          <w:sz w:val="28"/>
          <w:szCs w:val="28"/>
          <w:highlight w:val="none"/>
          <w:lang w:val="en-US"/>
        </w:rPr>
        <w:t xml:space="preserve"> carbon footprint of a product</w:t>
      </w:r>
    </w:p>
    <w:p w14:paraId="25831AD2">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产品系统中温室气体排放和温室气体清除的总和，表示为</w:t>
      </w:r>
      <w:r>
        <w:rPr>
          <w:rFonts w:hint="default" w:ascii="Times New Roman" w:hAnsi="Times New Roman" w:cs="Times New Roman"/>
          <w:sz w:val="28"/>
          <w:szCs w:val="28"/>
          <w:highlight w:val="none"/>
          <w:lang w:val="en-US"/>
        </w:rPr>
        <w:t>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eastAsia="zh-CN"/>
        </w:rPr>
        <w:t>当量（</w:t>
      </w:r>
      <w:r>
        <w:rPr>
          <w:rFonts w:hint="default" w:ascii="Times New Roman" w:hAnsi="Times New Roman" w:cs="Times New Roman"/>
          <w:sz w:val="28"/>
          <w:szCs w:val="28"/>
          <w:highlight w:val="none"/>
          <w:lang w:val="en-US"/>
        </w:rPr>
        <w:t>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lang w:eastAsia="zh-CN"/>
        </w:rPr>
        <w:t>），并基于使用气候变化单一影响类别的生命周期评估。</w:t>
      </w:r>
    </w:p>
    <w:p w14:paraId="0B33C8D6">
      <w:pPr>
        <w:pStyle w:val="51"/>
        <w:widowControl/>
        <w:numPr>
          <w:ilvl w:val="2"/>
          <w:numId w:val="5"/>
        </w:numPr>
        <w:spacing w:line="360" w:lineRule="auto"/>
        <w:ind w:left="420" w:hanging="560" w:hangingChars="200"/>
        <w:rPr>
          <w:rFonts w:hint="default" w:ascii="Times New Roman" w:hAnsi="Times New Roman" w:eastAsia="黑体" w:cs="Times New Roman"/>
          <w:sz w:val="28"/>
          <w:szCs w:val="28"/>
          <w:highlight w:val="none"/>
          <w:lang w:val="en-US"/>
        </w:rPr>
      </w:pPr>
    </w:p>
    <w:p w14:paraId="058D46D7">
      <w:pPr>
        <w:pStyle w:val="51"/>
        <w:widowControl/>
        <w:numPr>
          <w:ilvl w:val="2"/>
          <w:numId w:val="5"/>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eastAsia="zh-CN"/>
        </w:rPr>
        <w:t>温室气体排放</w:t>
      </w:r>
      <w:r>
        <w:rPr>
          <w:rFonts w:hint="default" w:ascii="Times New Roman" w:hAnsi="Times New Roman" w:eastAsia="黑体" w:cs="Times New Roman"/>
          <w:sz w:val="28"/>
          <w:szCs w:val="28"/>
          <w:highlight w:val="none"/>
          <w:lang w:val="en-US"/>
        </w:rPr>
        <w:t xml:space="preserve"> greenhouse gas emission,GHG emission</w:t>
      </w:r>
    </w:p>
    <w:p w14:paraId="1367606B">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在特定时间段内释放到大气层中的温室气体总质量（以质量单位计算）。</w:t>
      </w:r>
    </w:p>
    <w:p w14:paraId="120B3995">
      <w:pPr>
        <w:pStyle w:val="51"/>
        <w:widowControl/>
        <w:numPr>
          <w:ilvl w:val="2"/>
          <w:numId w:val="5"/>
        </w:numPr>
        <w:spacing w:line="360" w:lineRule="auto"/>
        <w:ind w:left="420" w:hanging="560" w:hangingChars="200"/>
        <w:rPr>
          <w:rFonts w:hint="default" w:ascii="Times New Roman" w:hAnsi="Times New Roman" w:eastAsia="黑体" w:cs="Times New Roman"/>
          <w:sz w:val="28"/>
          <w:szCs w:val="28"/>
          <w:highlight w:val="none"/>
          <w:lang w:val="en-US"/>
        </w:rPr>
      </w:pPr>
    </w:p>
    <w:p w14:paraId="2538A012">
      <w:pPr>
        <w:pStyle w:val="51"/>
        <w:widowControl/>
        <w:numPr>
          <w:ilvl w:val="2"/>
          <w:numId w:val="5"/>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eastAsia="zh-CN"/>
        </w:rPr>
        <w:t>单元过程</w:t>
      </w:r>
      <w:r>
        <w:rPr>
          <w:rFonts w:hint="default" w:ascii="Times New Roman" w:hAnsi="Times New Roman" w:eastAsia="黑体" w:cs="Times New Roman"/>
          <w:sz w:val="28"/>
          <w:szCs w:val="28"/>
          <w:highlight w:val="none"/>
          <w:lang w:val="en-US"/>
        </w:rPr>
        <w:t xml:space="preserve"> unit process</w:t>
      </w:r>
    </w:p>
    <w:p w14:paraId="5EEC025D">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进行生命周期清单分析时为量化输入和输出数据而确定的最基本部分。</w:t>
      </w:r>
    </w:p>
    <w:p w14:paraId="0A5268CF">
      <w:pPr>
        <w:pStyle w:val="51"/>
        <w:widowControl/>
        <w:numPr>
          <w:ilvl w:val="2"/>
          <w:numId w:val="5"/>
        </w:numPr>
        <w:spacing w:line="360" w:lineRule="auto"/>
        <w:ind w:left="420" w:hanging="560" w:hangingChars="200"/>
        <w:rPr>
          <w:rFonts w:hint="default" w:ascii="Times New Roman" w:hAnsi="Times New Roman" w:eastAsia="黑体" w:cs="Times New Roman"/>
          <w:sz w:val="28"/>
          <w:szCs w:val="28"/>
          <w:highlight w:val="none"/>
          <w:lang w:val="en-US"/>
        </w:rPr>
      </w:pPr>
    </w:p>
    <w:p w14:paraId="31007756">
      <w:pPr>
        <w:pStyle w:val="51"/>
        <w:widowControl/>
        <w:numPr>
          <w:ilvl w:val="2"/>
          <w:numId w:val="5"/>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eastAsia="zh-CN"/>
        </w:rPr>
        <w:t>初级数据</w:t>
      </w:r>
      <w:r>
        <w:rPr>
          <w:rFonts w:hint="default" w:ascii="Times New Roman" w:hAnsi="Times New Roman" w:eastAsia="黑体" w:cs="Times New Roman"/>
          <w:sz w:val="28"/>
          <w:szCs w:val="28"/>
          <w:highlight w:val="none"/>
          <w:lang w:val="en-US"/>
        </w:rPr>
        <w:t xml:space="preserve"> primary data</w:t>
      </w:r>
    </w:p>
    <w:p w14:paraId="250E43B6">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通过直接测量或基于直接测量的计算而得到的过程或活动的量化值。</w:t>
      </w:r>
    </w:p>
    <w:p w14:paraId="46977579">
      <w:pPr>
        <w:pStyle w:val="51"/>
        <w:widowControl/>
        <w:numPr>
          <w:ilvl w:val="2"/>
          <w:numId w:val="5"/>
        </w:numPr>
        <w:spacing w:line="360" w:lineRule="auto"/>
        <w:ind w:left="420" w:hanging="560" w:hangingChars="200"/>
        <w:rPr>
          <w:rFonts w:hint="default" w:ascii="Times New Roman" w:hAnsi="Times New Roman" w:eastAsia="黑体" w:cs="Times New Roman"/>
          <w:sz w:val="28"/>
          <w:szCs w:val="28"/>
          <w:highlight w:val="none"/>
          <w:lang w:val="en-US"/>
        </w:rPr>
      </w:pPr>
    </w:p>
    <w:p w14:paraId="7F2DB555">
      <w:pPr>
        <w:pStyle w:val="51"/>
        <w:widowControl/>
        <w:numPr>
          <w:ilvl w:val="2"/>
          <w:numId w:val="5"/>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eastAsia="zh-CN"/>
        </w:rPr>
        <w:t>次级数据</w:t>
      </w:r>
      <w:r>
        <w:rPr>
          <w:rFonts w:hint="default" w:ascii="Times New Roman" w:hAnsi="Times New Roman" w:eastAsia="黑体" w:cs="Times New Roman"/>
          <w:sz w:val="28"/>
          <w:szCs w:val="28"/>
          <w:highlight w:val="none"/>
          <w:lang w:val="en-US"/>
        </w:rPr>
        <w:t xml:space="preserve"> secondary data</w:t>
      </w:r>
    </w:p>
    <w:p w14:paraId="1A85C72A">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不符合初级数据要求的数据，可包括数据库和公开文献中的数据、国家清单中的缺省排放因子、 计算数据、估计值或其他经主管部门验证的代表性数据，也可包括从代替过程或估计获得的数据。</w:t>
      </w:r>
    </w:p>
    <w:p w14:paraId="061C0FBA">
      <w:pPr>
        <w:pStyle w:val="43"/>
        <w:widowControl/>
        <w:numPr>
          <w:ilvl w:val="1"/>
          <w:numId w:val="5"/>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7" w:name="_Toc177981128"/>
      <w:bookmarkStart w:id="38" w:name="_Toc175838001"/>
      <w:bookmarkStart w:id="39" w:name="_Toc166860768"/>
      <w:bookmarkStart w:id="40" w:name="_Toc170748227"/>
      <w:bookmarkStart w:id="41" w:name="_Toc167375532"/>
      <w:bookmarkStart w:id="42" w:name="_Toc166588526"/>
      <w:bookmarkStart w:id="43" w:name="_Toc166588516"/>
      <w:r>
        <w:rPr>
          <w:rFonts w:hint="default" w:ascii="Times New Roman" w:hAnsi="Times New Roman" w:cs="Times New Roman"/>
          <w:sz w:val="28"/>
          <w:szCs w:val="28"/>
          <w:highlight w:val="none"/>
          <w:lang w:eastAsia="zh-CN"/>
        </w:rPr>
        <w:t>原则</w:t>
      </w:r>
      <w:bookmarkEnd w:id="37"/>
    </w:p>
    <w:p w14:paraId="54D7172C">
      <w:pPr>
        <w:pStyle w:val="42"/>
        <w:widowControl/>
        <w:numPr>
          <w:ilvl w:val="2"/>
          <w:numId w:val="5"/>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生命周期理念</w:t>
      </w:r>
    </w:p>
    <w:p w14:paraId="2D6010BC">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产品碳足迹的评价和通报应考虑产品生命周期的所原材料获取加工阶段、生产阶段、下游存储与分销阶段。</w:t>
      </w:r>
    </w:p>
    <w:p w14:paraId="04D92755">
      <w:pPr>
        <w:pStyle w:val="42"/>
        <w:widowControl/>
        <w:numPr>
          <w:ilvl w:val="2"/>
          <w:numId w:val="5"/>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相关性</w:t>
      </w:r>
    </w:p>
    <w:p w14:paraId="1F8625DB">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应选取适用于所评价产品系统温室气体排放与清除评价的数据与方法。</w:t>
      </w:r>
    </w:p>
    <w:p w14:paraId="48474C89">
      <w:pPr>
        <w:pStyle w:val="42"/>
        <w:widowControl/>
        <w:numPr>
          <w:ilvl w:val="2"/>
          <w:numId w:val="5"/>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完整性</w:t>
      </w:r>
    </w:p>
    <w:p w14:paraId="74894F28">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产品碳足迹评价应包括对产品碳足迹有实质性的所有温室气体的排放与清除。</w:t>
      </w:r>
    </w:p>
    <w:p w14:paraId="2EA8249B">
      <w:pPr>
        <w:pStyle w:val="42"/>
        <w:widowControl/>
        <w:numPr>
          <w:ilvl w:val="2"/>
          <w:numId w:val="5"/>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一致性</w:t>
      </w:r>
    </w:p>
    <w:p w14:paraId="77AEA19C">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在产品碳足迹评价的整个过程中应采用相同的假设、方法和数据。</w:t>
      </w:r>
    </w:p>
    <w:p w14:paraId="749104A7">
      <w:pPr>
        <w:pStyle w:val="42"/>
        <w:widowControl/>
        <w:numPr>
          <w:ilvl w:val="2"/>
          <w:numId w:val="5"/>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统一性</w:t>
      </w:r>
    </w:p>
    <w:p w14:paraId="6F068A69">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应选取的产品种类中已被认可和采用的方法学、标准和指导性文件。</w:t>
      </w:r>
    </w:p>
    <w:p w14:paraId="409F3276">
      <w:pPr>
        <w:pStyle w:val="42"/>
        <w:widowControl/>
        <w:numPr>
          <w:ilvl w:val="2"/>
          <w:numId w:val="5"/>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准确性</w:t>
      </w:r>
    </w:p>
    <w:p w14:paraId="0800EAC1">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应确保产品碳足迹量化和通报是准确的、可核证的、相关的、无误导的，并尽可能减少偏差和不确定性。</w:t>
      </w:r>
    </w:p>
    <w:p w14:paraId="29A70ED6">
      <w:pPr>
        <w:pStyle w:val="42"/>
        <w:widowControl/>
        <w:numPr>
          <w:ilvl w:val="2"/>
          <w:numId w:val="5"/>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透明性</w:t>
      </w:r>
    </w:p>
    <w:p w14:paraId="6DAC3A7C">
      <w:pPr>
        <w:pStyle w:val="49"/>
        <w:widowControl/>
        <w:numPr>
          <w:ilvl w:val="3"/>
          <w:numId w:val="5"/>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所用相关问题的记录应以公开的方式来呈现。</w:t>
      </w:r>
    </w:p>
    <w:p w14:paraId="31F3F92F">
      <w:pPr>
        <w:pStyle w:val="49"/>
        <w:widowControl/>
        <w:numPr>
          <w:ilvl w:val="3"/>
          <w:numId w:val="5"/>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应在评价报告中阐述所有的相关假设、所使用的方法学和数据来源。应清楚地解释所有估计值并避免偏差，以使产品碳足迹评价报告如实地阐明其内容。</w:t>
      </w:r>
    </w:p>
    <w:p w14:paraId="50925564">
      <w:pPr>
        <w:pStyle w:val="42"/>
        <w:widowControl/>
        <w:numPr>
          <w:ilvl w:val="2"/>
          <w:numId w:val="5"/>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避免计算重复</w:t>
      </w:r>
    </w:p>
    <w:p w14:paraId="5D02C2D1">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不应对所评价产品系统温室气体排放量与清除量进行重复计算，以及避免对其他产品系统已考虑的温室气体排放与清除进行分配。</w:t>
      </w:r>
    </w:p>
    <w:p w14:paraId="359E8786">
      <w:pPr>
        <w:pStyle w:val="42"/>
        <w:widowControl/>
        <w:numPr>
          <w:ilvl w:val="2"/>
          <w:numId w:val="5"/>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公正性</w:t>
      </w:r>
    </w:p>
    <w:p w14:paraId="71B7FB69">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应明确产品碳足迹通报是基于仅考虑气候变化这个单一影响类型的产品碳足迹评价，不涉及综合环境优势更为广泛的环境影响。</w:t>
      </w:r>
    </w:p>
    <w:p w14:paraId="43F7256F">
      <w:pPr>
        <w:pStyle w:val="43"/>
        <w:widowControl/>
        <w:numPr>
          <w:ilvl w:val="1"/>
          <w:numId w:val="5"/>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44" w:name="_Toc177981129"/>
      <w:r>
        <w:rPr>
          <w:rFonts w:hint="default" w:ascii="Times New Roman" w:hAnsi="Times New Roman" w:cs="Times New Roman"/>
          <w:sz w:val="28"/>
          <w:szCs w:val="28"/>
          <w:highlight w:val="none"/>
          <w:lang w:eastAsia="zh-CN"/>
        </w:rPr>
        <w:t>范围界定</w:t>
      </w:r>
      <w:bookmarkEnd w:id="38"/>
      <w:bookmarkEnd w:id="39"/>
      <w:bookmarkEnd w:id="40"/>
      <w:bookmarkEnd w:id="41"/>
      <w:bookmarkEnd w:id="42"/>
      <w:bookmarkEnd w:id="43"/>
      <w:bookmarkEnd w:id="44"/>
    </w:p>
    <w:p w14:paraId="157D040C">
      <w:pPr>
        <w:pStyle w:val="42"/>
        <w:widowControl/>
        <w:numPr>
          <w:ilvl w:val="2"/>
          <w:numId w:val="5"/>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功能单位</w:t>
      </w:r>
    </w:p>
    <w:p w14:paraId="10449C21">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滚珠丝杠产品的功能单位为套。对功能单位的描述应包括能显示产品特性的技术规格，包括但不限于直径、导程、长度、精度、转速、载荷、刚度等。</w:t>
      </w:r>
    </w:p>
    <w:p w14:paraId="146DBBF3">
      <w:pPr>
        <w:pStyle w:val="42"/>
        <w:widowControl/>
        <w:numPr>
          <w:ilvl w:val="2"/>
          <w:numId w:val="5"/>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系统边界界定</w:t>
      </w:r>
    </w:p>
    <w:p w14:paraId="79DB5004">
      <w:pPr>
        <w:pStyle w:val="49"/>
        <w:widowControl/>
        <w:numPr>
          <w:ilvl w:val="3"/>
          <w:numId w:val="5"/>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系统边界的设定可根据产品的数据获取难易情况和排放情况设定，包括下列五种形式：</w:t>
      </w:r>
    </w:p>
    <w:p w14:paraId="6E5CF364">
      <w:pPr>
        <w:pStyle w:val="45"/>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涵盖整个生命周期阶段的产品碳足迹评价；</w:t>
      </w:r>
    </w:p>
    <w:p w14:paraId="2A0FF6BA">
      <w:pPr>
        <w:pStyle w:val="45"/>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从原材料获取到产品离开生产组织的产品碳足迹评价；</w:t>
      </w:r>
    </w:p>
    <w:p w14:paraId="66B8A68C">
      <w:pPr>
        <w:pStyle w:val="45"/>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从生产阶段到使用阶段的产品碳足迹评价；</w:t>
      </w:r>
    </w:p>
    <w:p w14:paraId="2EC18804">
      <w:pPr>
        <w:pStyle w:val="45"/>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生产阶段的产品碳足迹评价；</w:t>
      </w:r>
    </w:p>
    <w:p w14:paraId="036C767B">
      <w:pPr>
        <w:pStyle w:val="45"/>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使用阶段的产品碳足迹评价。</w:t>
      </w:r>
    </w:p>
    <w:p w14:paraId="55E03BE1">
      <w:pPr>
        <w:pStyle w:val="49"/>
        <w:widowControl/>
        <w:numPr>
          <w:ilvl w:val="3"/>
          <w:numId w:val="5"/>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滚珠丝杠产品的系统边界原则上宜包括产品全生命周期的每个阶段，包括原材料获取与加工、生产、下游存储与分销阶段，具体系统边界内容见图</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w:t>
      </w:r>
    </w:p>
    <w:p w14:paraId="56A62521">
      <w:pPr>
        <w:pStyle w:val="50"/>
        <w:widowControl/>
        <w:numPr>
          <w:ilvl w:val="4"/>
          <w:numId w:val="0"/>
        </w:numPr>
        <w:spacing w:line="360" w:lineRule="auto"/>
        <w:jc w:val="center"/>
        <w:rPr>
          <w:rFonts w:hint="default" w:ascii="Times New Roman" w:hAnsi="Times New Roman" w:cs="Times New Roman"/>
          <w:sz w:val="28"/>
          <w:szCs w:val="28"/>
          <w:highlight w:val="none"/>
          <w:lang w:val="en-US"/>
        </w:rPr>
      </w:pPr>
    </w:p>
    <w:p w14:paraId="1910F1A5">
      <w:pPr>
        <w:pStyle w:val="50"/>
        <w:widowControl/>
        <w:numPr>
          <w:ilvl w:val="4"/>
          <w:numId w:val="0"/>
        </w:numPr>
        <w:spacing w:line="360" w:lineRule="auto"/>
        <w:jc w:val="center"/>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drawing>
          <wp:inline distT="0" distB="0" distL="114300" distR="114300">
            <wp:extent cx="5943600" cy="3429000"/>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5943600" cy="3429000"/>
                    </a:xfrm>
                    <a:prstGeom prst="rect">
                      <a:avLst/>
                    </a:prstGeom>
                    <a:noFill/>
                    <a:ln>
                      <a:noFill/>
                    </a:ln>
                  </pic:spPr>
                </pic:pic>
              </a:graphicData>
            </a:graphic>
          </wp:inline>
        </w:drawing>
      </w:r>
    </w:p>
    <w:p w14:paraId="0AE7A59B">
      <w:pPr>
        <w:pStyle w:val="44"/>
        <w:widowControl/>
        <w:numPr>
          <w:ilvl w:val="0"/>
          <w:numId w:val="6"/>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产品生命周期边界</w:t>
      </w:r>
    </w:p>
    <w:p w14:paraId="50A8E961">
      <w:pPr>
        <w:pStyle w:val="42"/>
        <w:widowControl/>
        <w:numPr>
          <w:ilvl w:val="2"/>
          <w:numId w:val="5"/>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生命周期阶段</w:t>
      </w:r>
    </w:p>
    <w:p w14:paraId="3FFEEB2C">
      <w:pPr>
        <w:pStyle w:val="40"/>
        <w:widowControl/>
        <w:numPr>
          <w:ilvl w:val="3"/>
          <w:numId w:val="5"/>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bookmarkStart w:id="45" w:name="_Hlk166509856"/>
      <w:r>
        <w:rPr>
          <w:rFonts w:hint="default" w:ascii="Times New Roman" w:hAnsi="Times New Roman" w:cs="Times New Roman"/>
          <w:sz w:val="28"/>
          <w:szCs w:val="28"/>
          <w:highlight w:val="none"/>
          <w:lang w:eastAsia="zh-CN"/>
        </w:rPr>
        <w:t>原材料获取与加工阶段</w:t>
      </w:r>
    </w:p>
    <w:p w14:paraId="79B32F86">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原材料获取与加工阶段包括进入生产阶段的所有原材料的获取和加工。在产品碳足迹评价中应纳入下列过程：</w:t>
      </w:r>
    </w:p>
    <w:p w14:paraId="088B6EAB">
      <w:pPr>
        <w:pStyle w:val="45"/>
        <w:widowControl/>
        <w:numPr>
          <w:ilvl w:val="0"/>
          <w:numId w:val="2"/>
        </w:numPr>
        <w:spacing w:line="360" w:lineRule="auto"/>
        <w:rPr>
          <w:rFonts w:hint="default" w:ascii="Times New Roman" w:hAnsi="Times New Roman" w:cs="Times New Roman"/>
          <w:sz w:val="28"/>
          <w:szCs w:val="28"/>
          <w:highlight w:val="none"/>
          <w:lang w:val="en-US"/>
        </w:rPr>
      </w:pPr>
      <w:bookmarkStart w:id="46" w:name="_Hlk166852306"/>
      <w:r>
        <w:rPr>
          <w:rFonts w:hint="default" w:ascii="Times New Roman" w:hAnsi="Times New Roman" w:cs="Times New Roman"/>
          <w:sz w:val="28"/>
          <w:szCs w:val="28"/>
          <w:highlight w:val="none"/>
          <w:lang w:eastAsia="zh-CN"/>
        </w:rPr>
        <w:t>矿石开采的生产与运输相关过程；</w:t>
      </w:r>
    </w:p>
    <w:p w14:paraId="55A976E7">
      <w:pPr>
        <w:pStyle w:val="45"/>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废金属回收的生产与运输相关过程；</w:t>
      </w:r>
    </w:p>
    <w:p w14:paraId="2BE6AC6C">
      <w:pPr>
        <w:pStyle w:val="45"/>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金属材料的生产与运输相关过程；</w:t>
      </w:r>
    </w:p>
    <w:p w14:paraId="026D8218">
      <w:pPr>
        <w:pStyle w:val="45"/>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标签及包装材料的生产与运输相关过程；</w:t>
      </w:r>
    </w:p>
    <w:p w14:paraId="60E304F2">
      <w:pPr>
        <w:pStyle w:val="45"/>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其他辅材</w:t>
      </w:r>
      <w:bookmarkEnd w:id="46"/>
      <w:r>
        <w:rPr>
          <w:rFonts w:hint="default" w:ascii="Times New Roman" w:hAnsi="Times New Roman" w:cs="Times New Roman"/>
          <w:sz w:val="28"/>
          <w:szCs w:val="28"/>
          <w:highlight w:val="none"/>
          <w:lang w:eastAsia="zh-CN"/>
        </w:rPr>
        <w:t>的生产与运输相关过程；</w:t>
      </w:r>
    </w:p>
    <w:p w14:paraId="38EB5BBD">
      <w:pPr>
        <w:pStyle w:val="45"/>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能源的开采生产与输送过程；</w:t>
      </w:r>
    </w:p>
    <w:p w14:paraId="5FA541A8">
      <w:pPr>
        <w:pStyle w:val="45"/>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水的供应过程；</w:t>
      </w:r>
    </w:p>
    <w:p w14:paraId="17529512">
      <w:pPr>
        <w:pStyle w:val="45"/>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原材料获取加工所产生的废水、 废气和固体废弃物处理相关过程。</w:t>
      </w:r>
    </w:p>
    <w:p w14:paraId="4EEF0F5A">
      <w:pPr>
        <w:pStyle w:val="40"/>
        <w:widowControl/>
        <w:numPr>
          <w:ilvl w:val="3"/>
          <w:numId w:val="5"/>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生产阶段</w:t>
      </w:r>
    </w:p>
    <w:p w14:paraId="2DE33138">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生产阶段应包括无心磨、感应淬火、锯切、钻中心孔、粗开球道、轴端加工、校直、外圆研磨、球道研磨、装配成套等生产的全部工艺。在产品碳足迹评价中应纳入下列过程：</w:t>
      </w:r>
    </w:p>
    <w:p w14:paraId="218C0D87">
      <w:pPr>
        <w:pStyle w:val="45"/>
        <w:widowControl/>
        <w:numPr>
          <w:ilvl w:val="0"/>
          <w:numId w:val="2"/>
        </w:numPr>
        <w:spacing w:line="360" w:lineRule="auto"/>
        <w:rPr>
          <w:rFonts w:hint="default" w:ascii="Times New Roman" w:hAnsi="Times New Roman" w:cs="Times New Roman"/>
          <w:sz w:val="28"/>
          <w:szCs w:val="28"/>
          <w:highlight w:val="none"/>
          <w:lang w:val="en-US"/>
        </w:rPr>
      </w:pPr>
      <w:bookmarkStart w:id="47" w:name="_Hlk175837524"/>
      <w:bookmarkStart w:id="48" w:name="_Hlk167192918"/>
      <w:r>
        <w:rPr>
          <w:rFonts w:hint="default" w:ascii="Times New Roman" w:hAnsi="Times New Roman" w:cs="Times New Roman"/>
          <w:sz w:val="28"/>
          <w:szCs w:val="28"/>
          <w:highlight w:val="none"/>
          <w:lang w:eastAsia="zh-CN"/>
        </w:rPr>
        <w:t>无心磨、感应淬火（淬火回火一体）、锯切、钻中心孔、粗开球道、轴端加工、校直、外圆研磨、球道研磨、装配成套</w:t>
      </w:r>
      <w:bookmarkEnd w:id="47"/>
      <w:r>
        <w:rPr>
          <w:rFonts w:hint="default" w:ascii="Times New Roman" w:hAnsi="Times New Roman" w:cs="Times New Roman"/>
          <w:sz w:val="28"/>
          <w:szCs w:val="28"/>
          <w:highlight w:val="none"/>
          <w:lang w:eastAsia="zh-CN"/>
        </w:rPr>
        <w:t>等生产直接相关过程；</w:t>
      </w:r>
    </w:p>
    <w:bookmarkEnd w:id="48"/>
    <w:p w14:paraId="25715F50">
      <w:pPr>
        <w:pStyle w:val="45"/>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 xml:space="preserve">包装相关过程； </w:t>
      </w:r>
    </w:p>
    <w:p w14:paraId="42DEF02A">
      <w:pPr>
        <w:pStyle w:val="45"/>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生产设备设施的运行、维护等相关过程；</w:t>
      </w:r>
    </w:p>
    <w:p w14:paraId="3A878479">
      <w:pPr>
        <w:pStyle w:val="45"/>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半成品在生产企业各车间之间的搬运过程；</w:t>
      </w:r>
    </w:p>
    <w:p w14:paraId="1A657136">
      <w:pPr>
        <w:pStyle w:val="45"/>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原材料和产品的存储过程；</w:t>
      </w:r>
    </w:p>
    <w:p w14:paraId="0B633F21">
      <w:pPr>
        <w:pStyle w:val="45"/>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用水供应相关过程；</w:t>
      </w:r>
    </w:p>
    <w:p w14:paraId="16B68866">
      <w:pPr>
        <w:pStyle w:val="45"/>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以上过程所产生的三废处理相关过程。</w:t>
      </w:r>
    </w:p>
    <w:p w14:paraId="2062810B">
      <w:pPr>
        <w:pStyle w:val="40"/>
        <w:widowControl/>
        <w:numPr>
          <w:ilvl w:val="3"/>
          <w:numId w:val="5"/>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下游存储与分销阶段</w:t>
      </w:r>
    </w:p>
    <w:p w14:paraId="1685ED28">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产品碳足迹评价中应纳入产品从出厂到下游加工地点或销售点之间的运输和存储的相关过程，具体包括从出厂到中转仓库的运输，中转仓库的存储，以及从中转仓库到下游加工地点或销售点的运输。当该阶段纳入产品碳足迹核算评价系统边界时，应包括下列适用过程：</w:t>
      </w:r>
    </w:p>
    <w:p w14:paraId="2A843534">
      <w:pPr>
        <w:pStyle w:val="45"/>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仓库照明、通风、空调和供暖的能源消耗；</w:t>
      </w:r>
    </w:p>
    <w:p w14:paraId="25AC1992">
      <w:pPr>
        <w:pStyle w:val="45"/>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工厂、仓库和转运站地点间的各类运输，包括陆运、水运及空运；</w:t>
      </w:r>
    </w:p>
    <w:p w14:paraId="70F67812">
      <w:pPr>
        <w:pStyle w:val="45"/>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装载；</w:t>
      </w:r>
    </w:p>
    <w:p w14:paraId="163E3285">
      <w:pPr>
        <w:pStyle w:val="45"/>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收货及入库；</w:t>
      </w:r>
    </w:p>
    <w:p w14:paraId="487FA592">
      <w:pPr>
        <w:pStyle w:val="45"/>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储存。</w:t>
      </w:r>
    </w:p>
    <w:p w14:paraId="1A9924AF">
      <w:pPr>
        <w:pStyle w:val="42"/>
        <w:widowControl/>
        <w:numPr>
          <w:ilvl w:val="2"/>
          <w:numId w:val="5"/>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取舍准则</w:t>
      </w:r>
    </w:p>
    <w:p w14:paraId="368DCBC4">
      <w:pPr>
        <w:pStyle w:val="49"/>
        <w:widowControl/>
        <w:numPr>
          <w:ilvl w:val="3"/>
          <w:numId w:val="5"/>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不应将对产品碳足迹有实质性贡献的温室气体排放与清除排除在外。应量化至少</w:t>
      </w:r>
      <w:r>
        <w:rPr>
          <w:rFonts w:hint="default" w:ascii="Times New Roman" w:hAnsi="Times New Roman" w:cs="Times New Roman"/>
          <w:sz w:val="28"/>
          <w:szCs w:val="28"/>
          <w:highlight w:val="none"/>
          <w:lang w:val="en-US"/>
        </w:rPr>
        <w:t>95%</w:t>
      </w:r>
      <w:r>
        <w:rPr>
          <w:rFonts w:hint="default" w:ascii="Times New Roman" w:hAnsi="Times New Roman" w:cs="Times New Roman"/>
          <w:sz w:val="28"/>
          <w:szCs w:val="28"/>
          <w:highlight w:val="none"/>
          <w:lang w:eastAsia="zh-CN"/>
        </w:rPr>
        <w:t>与功能单位相关的生命周期内预计会产生的温室气体排放与清除，即温室气体排放或清除量小于所评价产品温室气体总排放或清除估测值</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的可予以舍去，但累计不应超过</w:t>
      </w:r>
      <w:r>
        <w:rPr>
          <w:rFonts w:hint="default" w:ascii="Times New Roman" w:hAnsi="Times New Roman" w:cs="Times New Roman"/>
          <w:sz w:val="28"/>
          <w:szCs w:val="28"/>
          <w:highlight w:val="none"/>
          <w:lang w:val="en-US"/>
        </w:rPr>
        <w:t>5%</w:t>
      </w:r>
      <w:r>
        <w:rPr>
          <w:rFonts w:hint="default" w:ascii="Times New Roman" w:hAnsi="Times New Roman" w:cs="Times New Roman"/>
          <w:sz w:val="28"/>
          <w:szCs w:val="28"/>
          <w:highlight w:val="none"/>
          <w:lang w:eastAsia="zh-CN"/>
        </w:rPr>
        <w:t>。取舍准则不适用于有毒有害物质，产品碳足迹评价应包含所有有毒有害的材料和物质。</w:t>
      </w:r>
    </w:p>
    <w:p w14:paraId="18E4D1BF">
      <w:pPr>
        <w:pStyle w:val="49"/>
        <w:widowControl/>
        <w:numPr>
          <w:ilvl w:val="3"/>
          <w:numId w:val="5"/>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舍去的温室气体排放与清除应有书面记录。所选择的取舍准则对评价结果产生的影响应在评价报告中做出解释。</w:t>
      </w:r>
    </w:p>
    <w:p w14:paraId="421B87ED">
      <w:pPr>
        <w:pStyle w:val="43"/>
        <w:widowControl/>
        <w:numPr>
          <w:ilvl w:val="1"/>
          <w:numId w:val="5"/>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49" w:name="_Toc166860769"/>
      <w:bookmarkStart w:id="50" w:name="_Toc167375533"/>
      <w:bookmarkStart w:id="51" w:name="_Toc175838002"/>
      <w:bookmarkStart w:id="52" w:name="_Toc177981130"/>
      <w:bookmarkStart w:id="53" w:name="_Toc170748228"/>
      <w:r>
        <w:rPr>
          <w:rFonts w:hint="default" w:ascii="Times New Roman" w:hAnsi="Times New Roman" w:cs="Times New Roman"/>
          <w:sz w:val="28"/>
          <w:szCs w:val="28"/>
          <w:highlight w:val="none"/>
          <w:lang w:eastAsia="zh-CN"/>
        </w:rPr>
        <w:t>数据收集</w:t>
      </w:r>
      <w:bookmarkEnd w:id="49"/>
      <w:bookmarkEnd w:id="50"/>
      <w:bookmarkEnd w:id="51"/>
      <w:bookmarkEnd w:id="52"/>
      <w:bookmarkEnd w:id="53"/>
    </w:p>
    <w:p w14:paraId="18300C69">
      <w:pPr>
        <w:pStyle w:val="42"/>
        <w:widowControl/>
        <w:numPr>
          <w:ilvl w:val="2"/>
          <w:numId w:val="5"/>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数据质量要求</w:t>
      </w:r>
    </w:p>
    <w:p w14:paraId="3B50B676">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产品碳足迹评价过程中使用的数据应满足以下要求：</w:t>
      </w:r>
    </w:p>
    <w:p w14:paraId="6ED03D3C">
      <w:pPr>
        <w:pStyle w:val="45"/>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完整性：涵盖对评价的产品系统有实质性贡献的所有温室气体的排放与清除；</w:t>
      </w:r>
    </w:p>
    <w:p w14:paraId="43987F91">
      <w:pPr>
        <w:pStyle w:val="45"/>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代表性：使用对评价产品而言具有时间、地理及技术针对性的数据；</w:t>
      </w:r>
    </w:p>
    <w:p w14:paraId="0927E4D4">
      <w:pPr>
        <w:pStyle w:val="45"/>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准确性：避免非必要偏差和不确定度；</w:t>
      </w:r>
    </w:p>
    <w:p w14:paraId="6C80B9D5">
      <w:pPr>
        <w:pStyle w:val="45"/>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使用最近至少一年的数据，若产品生产不足一年，使用从生产初始至评价前的累计数据；</w:t>
      </w:r>
    </w:p>
    <w:p w14:paraId="6C371284">
      <w:pPr>
        <w:pStyle w:val="45"/>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优先使用初级数据，若无法获取初级数据，可使用次级数据，并进行书面记录，解释数据来源和使用理由。</w:t>
      </w:r>
    </w:p>
    <w:p w14:paraId="4F47CD06">
      <w:pPr>
        <w:pStyle w:val="42"/>
        <w:widowControl/>
        <w:numPr>
          <w:ilvl w:val="2"/>
          <w:numId w:val="5"/>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数据抽样</w:t>
      </w:r>
    </w:p>
    <w:p w14:paraId="5B7C28C9">
      <w:pPr>
        <w:pStyle w:val="49"/>
        <w:widowControl/>
        <w:numPr>
          <w:ilvl w:val="3"/>
          <w:numId w:val="5"/>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若单元过程的输入数据来自多个源头，宜选择具有代表性的数据样本进行温室气体排放与清除数据的收集。</w:t>
      </w:r>
    </w:p>
    <w:p w14:paraId="27F29525">
      <w:pPr>
        <w:pStyle w:val="49"/>
        <w:widowControl/>
        <w:numPr>
          <w:ilvl w:val="3"/>
          <w:numId w:val="5"/>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若单一原材料来自多个供应商时，宜收集所有供应商的初级数据。若收集所有初级数据存在困难，宜收集供应原材料数量</w:t>
      </w:r>
      <w:r>
        <w:rPr>
          <w:rFonts w:hint="default" w:ascii="Times New Roman" w:hAnsi="Times New Roman" w:cs="Times New Roman"/>
          <w:sz w:val="28"/>
          <w:szCs w:val="28"/>
          <w:highlight w:val="none"/>
          <w:lang w:val="en-US"/>
        </w:rPr>
        <w:t>50%</w:t>
      </w:r>
      <w:r>
        <w:rPr>
          <w:rFonts w:hint="default" w:ascii="Times New Roman" w:hAnsi="Times New Roman" w:cs="Times New Roman"/>
          <w:sz w:val="28"/>
          <w:szCs w:val="28"/>
          <w:highlight w:val="none"/>
          <w:lang w:eastAsia="zh-CN"/>
        </w:rPr>
        <w:t>以上的或具有代表性的供应商的初级数据，其加权平均值可作为无法取得数据的供应商的次级数据。</w:t>
      </w:r>
    </w:p>
    <w:p w14:paraId="757229DB">
      <w:pPr>
        <w:pStyle w:val="49"/>
        <w:widowControl/>
        <w:numPr>
          <w:ilvl w:val="3"/>
          <w:numId w:val="5"/>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若产品运输路线不止一条，宜收集所有路线的初级数据。若收集所有初级数据存在困难，宜收集销售量占总销售量</w:t>
      </w:r>
      <w:r>
        <w:rPr>
          <w:rFonts w:hint="default" w:ascii="Times New Roman" w:hAnsi="Times New Roman" w:cs="Times New Roman"/>
          <w:sz w:val="28"/>
          <w:szCs w:val="28"/>
          <w:highlight w:val="none"/>
          <w:lang w:val="en-US"/>
        </w:rPr>
        <w:t>50%</w:t>
      </w:r>
      <w:r>
        <w:rPr>
          <w:rFonts w:hint="default" w:ascii="Times New Roman" w:hAnsi="Times New Roman" w:cs="Times New Roman"/>
          <w:sz w:val="28"/>
          <w:szCs w:val="28"/>
          <w:highlight w:val="none"/>
          <w:lang w:eastAsia="zh-CN"/>
        </w:rPr>
        <w:t>以上的或具有代表性的主要销售点的运输路线，其加权平均值可作为无法取得数据的路线的次级数据。</w:t>
      </w:r>
    </w:p>
    <w:p w14:paraId="40E3CDE0">
      <w:pPr>
        <w:pStyle w:val="42"/>
        <w:widowControl/>
        <w:numPr>
          <w:ilvl w:val="2"/>
          <w:numId w:val="5"/>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数据收集要求</w:t>
      </w:r>
    </w:p>
    <w:p w14:paraId="0E0A31C3">
      <w:pPr>
        <w:pStyle w:val="40"/>
        <w:widowControl/>
        <w:numPr>
          <w:ilvl w:val="3"/>
          <w:numId w:val="5"/>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原材料获取与加工阶段</w:t>
      </w:r>
    </w:p>
    <w:p w14:paraId="7D7D4D87">
      <w:pPr>
        <w:pStyle w:val="50"/>
        <w:widowControl/>
        <w:numPr>
          <w:ilvl w:val="4"/>
          <w:numId w:val="5"/>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以下项目应收集初级数据：</w:t>
      </w:r>
    </w:p>
    <w:p w14:paraId="1DEF9EB9">
      <w:pPr>
        <w:pStyle w:val="45"/>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生产相关项目，包括：</w:t>
      </w:r>
    </w:p>
    <w:p w14:paraId="7858A65B">
      <w:pPr>
        <w:pStyle w:val="34"/>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矿石开采的投入量；</w:t>
      </w:r>
    </w:p>
    <w:p w14:paraId="2168E224">
      <w:pPr>
        <w:pStyle w:val="34"/>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废金属回收的投入量；</w:t>
      </w:r>
    </w:p>
    <w:p w14:paraId="672ECDB1">
      <w:pPr>
        <w:pStyle w:val="34"/>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金属材料的投入量；</w:t>
      </w:r>
    </w:p>
    <w:p w14:paraId="77B68CB6">
      <w:pPr>
        <w:pStyle w:val="34"/>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包装材料的投入量；</w:t>
      </w:r>
    </w:p>
    <w:p w14:paraId="5262DA3C">
      <w:pPr>
        <w:pStyle w:val="34"/>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其他辅材的投入量；</w:t>
      </w:r>
    </w:p>
    <w:p w14:paraId="5BE42890">
      <w:pPr>
        <w:pStyle w:val="34"/>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电力、蒸汽、燃料等能源投入量；</w:t>
      </w:r>
    </w:p>
    <w:p w14:paraId="0FD18C68">
      <w:pPr>
        <w:pStyle w:val="34"/>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水消耗量；</w:t>
      </w:r>
    </w:p>
    <w:p w14:paraId="67FB4BBE">
      <w:pPr>
        <w:pStyle w:val="34"/>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废弃物的产生量。</w:t>
      </w:r>
    </w:p>
    <w:p w14:paraId="3BAB5129">
      <w:pPr>
        <w:pStyle w:val="45"/>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石油开采及石化化工产品、基布、树脂、化学试剂、辅料、包装材料的运输相关项目，包括：</w:t>
      </w:r>
    </w:p>
    <w:p w14:paraId="6035231A">
      <w:pPr>
        <w:pStyle w:val="34"/>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每种运输方式的运输的数量和重量；</w:t>
      </w:r>
    </w:p>
    <w:p w14:paraId="4187EDA2">
      <w:pPr>
        <w:pStyle w:val="34"/>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每种运输方式的能源消耗量，或其它可计算获得能源消耗量的数据；</w:t>
      </w:r>
    </w:p>
    <w:p w14:paraId="5E04D2C0">
      <w:pPr>
        <w:pStyle w:val="34"/>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每种运输方式的吨公里数。</w:t>
      </w:r>
    </w:p>
    <w:p w14:paraId="0CAB0B13">
      <w:pPr>
        <w:pStyle w:val="50"/>
        <w:widowControl/>
        <w:numPr>
          <w:ilvl w:val="4"/>
          <w:numId w:val="5"/>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以下项目据可收集次级数据：</w:t>
      </w:r>
    </w:p>
    <w:p w14:paraId="5E358A99">
      <w:pPr>
        <w:pStyle w:val="45"/>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原料生产与运输相关的温室气体排放与清除因子；</w:t>
      </w:r>
    </w:p>
    <w:p w14:paraId="3501F42D">
      <w:pPr>
        <w:pStyle w:val="45"/>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辅料、包装材料的生产相关的温室气体排放与清除因子；</w:t>
      </w:r>
    </w:p>
    <w:p w14:paraId="4E0C9AA5">
      <w:pPr>
        <w:pStyle w:val="45"/>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助剂的生产与运输相关的温室气体排放与清除因子；</w:t>
      </w:r>
    </w:p>
    <w:p w14:paraId="288A6CA5">
      <w:pPr>
        <w:pStyle w:val="45"/>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能源、水的开采生产、消耗与输送相关的温室气体排放与清除因子；</w:t>
      </w:r>
    </w:p>
    <w:p w14:paraId="59DFC7D0">
      <w:pPr>
        <w:pStyle w:val="45"/>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废弃物处理相关的温室气体排放与清除因子。</w:t>
      </w:r>
    </w:p>
    <w:p w14:paraId="6F6EE572">
      <w:pPr>
        <w:pStyle w:val="40"/>
        <w:widowControl/>
        <w:numPr>
          <w:ilvl w:val="3"/>
          <w:numId w:val="5"/>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生产阶段</w:t>
      </w:r>
    </w:p>
    <w:p w14:paraId="0683B4BA">
      <w:pPr>
        <w:pStyle w:val="50"/>
        <w:widowControl/>
        <w:numPr>
          <w:ilvl w:val="4"/>
          <w:numId w:val="5"/>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以下项目应收集初级数据：</w:t>
      </w:r>
    </w:p>
    <w:p w14:paraId="43F80720">
      <w:pPr>
        <w:pStyle w:val="45"/>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无心磨、感应淬火（淬火回火一体）、锯切、钻中心孔、粗开球道、轴端加工、校直、外圆研磨、球道研磨、装配成套等的投入量；</w:t>
      </w:r>
    </w:p>
    <w:p w14:paraId="2BAAED01">
      <w:pPr>
        <w:pStyle w:val="45"/>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电力、蒸汽、燃料等能源投入量；</w:t>
      </w:r>
    </w:p>
    <w:p w14:paraId="5853EE24">
      <w:pPr>
        <w:pStyle w:val="45"/>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水消耗量；</w:t>
      </w:r>
    </w:p>
    <w:p w14:paraId="1AFDB366">
      <w:pPr>
        <w:pStyle w:val="45"/>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废弃物产生量。</w:t>
      </w:r>
    </w:p>
    <w:p w14:paraId="33105EE5">
      <w:pPr>
        <w:pStyle w:val="50"/>
        <w:widowControl/>
        <w:numPr>
          <w:ilvl w:val="4"/>
          <w:numId w:val="5"/>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以下项目可收集次级数据：</w:t>
      </w:r>
    </w:p>
    <w:p w14:paraId="612C43F0">
      <w:pPr>
        <w:pStyle w:val="45"/>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能源、水消耗相关的温室气体排放与清除因子；</w:t>
      </w:r>
    </w:p>
    <w:p w14:paraId="25FA503C">
      <w:pPr>
        <w:pStyle w:val="45"/>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废弃物处理相关的温室气体排放与清除因子。</w:t>
      </w:r>
    </w:p>
    <w:p w14:paraId="3D8F9764">
      <w:pPr>
        <w:pStyle w:val="40"/>
        <w:widowControl/>
        <w:numPr>
          <w:ilvl w:val="3"/>
          <w:numId w:val="5"/>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下游存储与分销阶段</w:t>
      </w:r>
    </w:p>
    <w:p w14:paraId="00E87454">
      <w:pPr>
        <w:pStyle w:val="50"/>
        <w:widowControl/>
        <w:numPr>
          <w:ilvl w:val="4"/>
          <w:numId w:val="5"/>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以下项目应收集初级数据：</w:t>
      </w:r>
    </w:p>
    <w:p w14:paraId="42F3539B">
      <w:pPr>
        <w:pStyle w:val="45"/>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每种运输方式的产品运输的数量和重量：</w:t>
      </w:r>
    </w:p>
    <w:p w14:paraId="5D31D918">
      <w:pPr>
        <w:pStyle w:val="45"/>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每种运输方式的能源消耗量，或其它可计算获得能源消耗量的数据；</w:t>
      </w:r>
    </w:p>
    <w:p w14:paraId="41EF0BA0">
      <w:pPr>
        <w:pStyle w:val="45"/>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每种运输方式的吨公里数。其它可计算获得能源消耗量的数据包括单位距离能源消耗量和运输距离、运输费用和能源单价等。</w:t>
      </w:r>
    </w:p>
    <w:p w14:paraId="2D4C2039">
      <w:pPr>
        <w:pStyle w:val="50"/>
        <w:widowControl/>
        <w:numPr>
          <w:ilvl w:val="4"/>
          <w:numId w:val="5"/>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运输相关的温室气体排放与清除因子可收集次级数据。</w:t>
      </w:r>
    </w:p>
    <w:p w14:paraId="0C53DD59">
      <w:pPr>
        <w:pStyle w:val="43"/>
        <w:widowControl/>
        <w:numPr>
          <w:ilvl w:val="1"/>
          <w:numId w:val="5"/>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54" w:name="_Toc177981131"/>
      <w:bookmarkStart w:id="55" w:name="_Toc167375534"/>
      <w:bookmarkStart w:id="56" w:name="_Toc166860770"/>
      <w:bookmarkStart w:id="57" w:name="_Toc175838003"/>
      <w:bookmarkStart w:id="58" w:name="_Toc170748229"/>
      <w:r>
        <w:rPr>
          <w:rFonts w:hint="default" w:ascii="Times New Roman" w:hAnsi="Times New Roman" w:cs="Times New Roman"/>
          <w:sz w:val="28"/>
          <w:szCs w:val="28"/>
          <w:highlight w:val="none"/>
          <w:lang w:eastAsia="zh-CN"/>
        </w:rPr>
        <w:t>分配与计算</w:t>
      </w:r>
      <w:bookmarkEnd w:id="54"/>
      <w:bookmarkEnd w:id="55"/>
      <w:bookmarkEnd w:id="56"/>
      <w:bookmarkEnd w:id="57"/>
      <w:bookmarkEnd w:id="58"/>
    </w:p>
    <w:p w14:paraId="675CFECB">
      <w:pPr>
        <w:pStyle w:val="42"/>
        <w:widowControl/>
        <w:numPr>
          <w:ilvl w:val="2"/>
          <w:numId w:val="5"/>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分配</w:t>
      </w:r>
    </w:p>
    <w:p w14:paraId="555F15DE">
      <w:pPr>
        <w:pStyle w:val="49"/>
        <w:widowControl/>
        <w:numPr>
          <w:ilvl w:val="3"/>
          <w:numId w:val="5"/>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分配应符合</w:t>
      </w:r>
      <w:r>
        <w:rPr>
          <w:rFonts w:hint="default" w:ascii="Times New Roman" w:hAnsi="Times New Roman" w:cs="Times New Roman"/>
          <w:sz w:val="28"/>
          <w:szCs w:val="28"/>
          <w:highlight w:val="none"/>
          <w:lang w:val="en-US"/>
        </w:rPr>
        <w:t>GB/T 24040</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GB/T 24044</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GB/T 24062</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GB/T 32150</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ISO14067:2018</w:t>
      </w:r>
      <w:r>
        <w:rPr>
          <w:rFonts w:hint="default" w:ascii="Times New Roman" w:hAnsi="Times New Roman" w:cs="Times New Roman"/>
          <w:sz w:val="28"/>
          <w:szCs w:val="28"/>
          <w:highlight w:val="none"/>
          <w:lang w:eastAsia="zh-CN"/>
        </w:rPr>
        <w:t>的要求。</w:t>
      </w:r>
    </w:p>
    <w:p w14:paraId="7E06AEC2">
      <w:pPr>
        <w:pStyle w:val="49"/>
        <w:widowControl/>
        <w:numPr>
          <w:ilvl w:val="3"/>
          <w:numId w:val="5"/>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对包含多个产品或循环体系的系统，宜避免分配。若分配无法避免，考虑以下方面：</w:t>
      </w:r>
    </w:p>
    <w:p w14:paraId="232A5127">
      <w:pPr>
        <w:pStyle w:val="45"/>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优先使用物理关系进行分配；</w:t>
      </w:r>
    </w:p>
    <w:p w14:paraId="5A5B62A1">
      <w:pPr>
        <w:pStyle w:val="45"/>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若无法建立物理关系，宜根据经济价值或其它关系进行分配，且应提供所使用分配关系的依据及计算说明。物理关系包括数量、质量、工时等。</w:t>
      </w:r>
    </w:p>
    <w:p w14:paraId="106105CC">
      <w:pPr>
        <w:pStyle w:val="42"/>
        <w:widowControl/>
        <w:numPr>
          <w:ilvl w:val="2"/>
          <w:numId w:val="5"/>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计算</w:t>
      </w:r>
    </w:p>
    <w:p w14:paraId="2C4ABE0D">
      <w:pPr>
        <w:pStyle w:val="49"/>
        <w:widowControl/>
        <w:numPr>
          <w:ilvl w:val="3"/>
          <w:numId w:val="5"/>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产品碳足迹的核算应包括原材料获取阶段、生产阶段、分销阶段涉及的所有单元过程，计算见公式（</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w:t>
      </w:r>
    </w:p>
    <w:p w14:paraId="45F9E8BA">
      <w:pPr>
        <w:pStyle w:val="48"/>
        <w:widowControl/>
        <w:spacing w:before="240" w:beforeLines="100" w:beforeAutospacing="0" w:after="240" w:afterLines="100" w:afterAutospacing="0" w:line="360" w:lineRule="auto"/>
        <w:ind w:left="0" w:right="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ab/>
      </w:r>
      <w:r>
        <w:rPr>
          <w:rFonts w:hint="default" w:ascii="Times New Roman" w:hAnsi="Times New Roman" w:eastAsia="等线" w:cs="Times New Roman"/>
          <w:position w:val="-14"/>
          <w:sz w:val="28"/>
          <w:szCs w:val="28"/>
          <w:highlight w:val="none"/>
          <w:lang w:val="en-US" w:eastAsia="zh-CN" w:bidi="ar"/>
        </w:rPr>
        <w:drawing>
          <wp:inline distT="0" distB="0" distL="114300" distR="114300">
            <wp:extent cx="1924050" cy="276225"/>
            <wp:effectExtent l="0" t="0" r="0" b="952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8">
                      <a:clrChange>
                        <a:clrFrom>
                          <a:srgbClr val="FFFFFF"/>
                        </a:clrFrom>
                        <a:clrTo>
                          <a:srgbClr val="FFFFFF">
                            <a:alpha val="0"/>
                          </a:srgbClr>
                        </a:clrTo>
                      </a:clrChange>
                    </a:blip>
                    <a:stretch>
                      <a:fillRect/>
                    </a:stretch>
                  </pic:blipFill>
                  <pic:spPr>
                    <a:xfrm>
                      <a:off x="0" y="0"/>
                      <a:ext cx="1924050" cy="276225"/>
                    </a:xfrm>
                    <a:prstGeom prst="rect">
                      <a:avLst/>
                    </a:prstGeom>
                    <a:noFill/>
                    <a:ln>
                      <a:noFill/>
                    </a:ln>
                  </pic:spPr>
                </pic:pic>
              </a:graphicData>
            </a:graphic>
          </wp:inline>
        </w:drawing>
      </w:r>
      <w:r>
        <w:rPr>
          <w:rFonts w:hint="default" w:ascii="Times New Roman" w:hAnsi="Times New Roman" w:eastAsia="微软雅黑" w:cs="Times New Roman"/>
          <w:sz w:val="28"/>
          <w:szCs w:val="28"/>
          <w:highlight w:val="none"/>
          <w:lang w:val="en-US"/>
        </w:rPr>
        <w:tab/>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fldChar w:fldCharType="begin"/>
      </w:r>
      <w:r>
        <w:rPr>
          <w:rFonts w:hint="default" w:ascii="Times New Roman" w:hAnsi="Times New Roman" w:cs="Times New Roman"/>
          <w:sz w:val="28"/>
          <w:szCs w:val="28"/>
          <w:highlight w:val="none"/>
          <w:lang w:val="en-US"/>
        </w:rPr>
        <w:instrText xml:space="preserve"> AUTONUM </w:instrText>
      </w:r>
      <w:r>
        <w:rPr>
          <w:rFonts w:hint="default" w:ascii="Times New Roman" w:hAnsi="Times New Roman" w:cs="Times New Roman"/>
          <w:sz w:val="28"/>
          <w:szCs w:val="28"/>
          <w:highlight w:val="none"/>
          <w:lang w:eastAsia="zh-CN"/>
        </w:rPr>
        <w:fldChar w:fldCharType="end"/>
      </w:r>
      <w:r>
        <w:rPr>
          <w:rFonts w:hint="default" w:ascii="Times New Roman" w:hAnsi="Times New Roman" w:cs="Times New Roman"/>
          <w:sz w:val="28"/>
          <w:szCs w:val="28"/>
          <w:highlight w:val="none"/>
          <w:lang w:val="en-US"/>
        </w:rPr>
        <w:t>)</w:t>
      </w:r>
    </w:p>
    <w:p w14:paraId="5306F9EE">
      <w:pPr>
        <w:pStyle w:val="39"/>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eastAsia="宋体" w:cs="Times New Roman"/>
          <w:sz w:val="28"/>
          <w:szCs w:val="28"/>
          <w:highlight w:val="none"/>
          <w:lang w:eastAsia="zh-CN"/>
        </w:rPr>
        <w:t>式中：</w:t>
      </w:r>
    </w:p>
    <w:p w14:paraId="4B22366B">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CFP</w:t>
      </w:r>
      <w:r>
        <w:rPr>
          <w:rFonts w:hint="default" w:ascii="Times New Roman" w:hAnsi="Times New Roman" w:cs="Times New Roman"/>
          <w:sz w:val="28"/>
          <w:szCs w:val="28"/>
          <w:highlight w:val="none"/>
          <w:vertAlign w:val="subscript"/>
          <w:lang w:eastAsia="zh-CN"/>
        </w:rPr>
        <w:t>产品</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滚珠丝杠产品碳足迹，即声明单位滚珠丝杠从摇篮到大门温室气体排放量（</w:t>
      </w:r>
      <w:r>
        <w:rPr>
          <w:rFonts w:hint="default" w:ascii="Times New Roman" w:hAnsi="Times New Roman" w:cs="Times New Roman"/>
          <w:sz w:val="28"/>
          <w:szCs w:val="28"/>
          <w:highlight w:val="none"/>
          <w:lang w:val="en-US"/>
        </w:rPr>
        <w:t>kgCO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e/kg</w:t>
      </w:r>
      <w:r>
        <w:rPr>
          <w:rFonts w:hint="default" w:ascii="Times New Roman" w:hAnsi="Times New Roman" w:cs="Times New Roman"/>
          <w:sz w:val="28"/>
          <w:szCs w:val="28"/>
          <w:highlight w:val="none"/>
          <w:lang w:eastAsia="zh-CN"/>
        </w:rPr>
        <w:t>）；</w:t>
      </w:r>
    </w:p>
    <w:p w14:paraId="1712A3C8">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CFP</w:t>
      </w:r>
      <w:r>
        <w:rPr>
          <w:rFonts w:hint="default" w:ascii="Times New Roman" w:hAnsi="Times New Roman" w:cs="Times New Roman"/>
          <w:sz w:val="28"/>
          <w:szCs w:val="28"/>
          <w:highlight w:val="none"/>
          <w:vertAlign w:val="subscript"/>
          <w:lang w:eastAsia="zh-CN"/>
        </w:rPr>
        <w:t>原材料</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原材料在获取加工阶段产生的对应单位滚珠丝杠产品的温室气体排放量（</w:t>
      </w:r>
      <w:r>
        <w:rPr>
          <w:rFonts w:hint="default" w:ascii="Times New Roman" w:hAnsi="Times New Roman" w:cs="Times New Roman"/>
          <w:sz w:val="28"/>
          <w:szCs w:val="28"/>
          <w:highlight w:val="none"/>
          <w:lang w:val="en-US"/>
        </w:rPr>
        <w:t>kgCO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e/kg</w:t>
      </w:r>
      <w:r>
        <w:rPr>
          <w:rFonts w:hint="default" w:ascii="Times New Roman" w:hAnsi="Times New Roman" w:cs="Times New Roman"/>
          <w:sz w:val="28"/>
          <w:szCs w:val="28"/>
          <w:highlight w:val="none"/>
          <w:lang w:eastAsia="zh-CN"/>
        </w:rPr>
        <w:t>）；</w:t>
      </w:r>
    </w:p>
    <w:p w14:paraId="51C1783A">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vertAlign w:val="subscript"/>
          <w:lang w:eastAsia="zh-CN"/>
        </w:rPr>
        <w:t>运输</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原材料等运输产生的温室气体排放量（</w:t>
      </w:r>
      <w:r>
        <w:rPr>
          <w:rFonts w:hint="default" w:ascii="Times New Roman" w:hAnsi="Times New Roman" w:cs="Times New Roman"/>
          <w:sz w:val="28"/>
          <w:szCs w:val="28"/>
          <w:highlight w:val="none"/>
          <w:lang w:val="en-US"/>
        </w:rPr>
        <w:t>kgCO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lang w:eastAsia="zh-CN"/>
        </w:rPr>
        <w:t>）；</w:t>
      </w:r>
    </w:p>
    <w:p w14:paraId="148B6495">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vertAlign w:val="subscript"/>
          <w:lang w:eastAsia="zh-CN"/>
        </w:rPr>
        <w:t>生产</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滚珠丝杠产品生产阶段的温室气体排放量（</w:t>
      </w:r>
      <w:r>
        <w:rPr>
          <w:rFonts w:hint="default" w:ascii="Times New Roman" w:hAnsi="Times New Roman" w:cs="Times New Roman"/>
          <w:sz w:val="28"/>
          <w:szCs w:val="28"/>
          <w:highlight w:val="none"/>
          <w:lang w:val="en-US"/>
        </w:rPr>
        <w:t>kgCO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lang w:eastAsia="zh-CN"/>
        </w:rPr>
        <w:t>）；</w:t>
      </w:r>
    </w:p>
    <w:p w14:paraId="6FB445C6">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Q ——</w:t>
      </w:r>
      <w:r>
        <w:rPr>
          <w:rFonts w:hint="default" w:ascii="Times New Roman" w:hAnsi="Times New Roman" w:cs="Times New Roman"/>
          <w:sz w:val="28"/>
          <w:szCs w:val="28"/>
          <w:highlight w:val="none"/>
          <w:lang w:eastAsia="zh-CN"/>
        </w:rPr>
        <w:t>滚珠丝杠产品的产量（</w:t>
      </w:r>
      <w:r>
        <w:rPr>
          <w:rFonts w:hint="default" w:ascii="Times New Roman" w:hAnsi="Times New Roman" w:cs="Times New Roman"/>
          <w:sz w:val="28"/>
          <w:szCs w:val="28"/>
          <w:highlight w:val="none"/>
          <w:lang w:val="en-US"/>
        </w:rPr>
        <w:t>kg</w:t>
      </w:r>
      <w:r>
        <w:rPr>
          <w:rFonts w:hint="default" w:ascii="Times New Roman" w:hAnsi="Times New Roman" w:cs="Times New Roman"/>
          <w:sz w:val="28"/>
          <w:szCs w:val="28"/>
          <w:highlight w:val="none"/>
          <w:lang w:eastAsia="zh-CN"/>
        </w:rPr>
        <w:t>）。</w:t>
      </w:r>
    </w:p>
    <w:p w14:paraId="2ED3FB69">
      <w:pPr>
        <w:pStyle w:val="49"/>
        <w:widowControl/>
        <w:numPr>
          <w:ilvl w:val="3"/>
          <w:numId w:val="5"/>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原材料获取阶段的碳足迹计算见公式（</w:t>
      </w:r>
      <w:r>
        <w:rPr>
          <w:rFonts w:hint="default" w:ascii="Times New Roman" w:hAnsi="Times New Roman" w:cs="Times New Roman"/>
          <w:sz w:val="28"/>
          <w:szCs w:val="28"/>
          <w:highlight w:val="none"/>
          <w:lang w:val="en-US"/>
        </w:rPr>
        <w:t>2</w:t>
      </w:r>
      <w:r>
        <w:rPr>
          <w:rFonts w:hint="default" w:ascii="Times New Roman" w:hAnsi="Times New Roman" w:cs="Times New Roman"/>
          <w:sz w:val="28"/>
          <w:szCs w:val="28"/>
          <w:highlight w:val="none"/>
          <w:lang w:eastAsia="zh-CN"/>
        </w:rPr>
        <w:t>）：</w:t>
      </w:r>
    </w:p>
    <w:p w14:paraId="4984C74C">
      <w:pPr>
        <w:pStyle w:val="48"/>
        <w:widowControl/>
        <w:spacing w:before="240" w:beforeLines="100" w:beforeAutospacing="0" w:after="240" w:afterLines="100" w:afterAutospacing="0" w:line="360" w:lineRule="auto"/>
        <w:ind w:left="0" w:right="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ab/>
      </w:r>
      <w:r>
        <w:rPr>
          <w:rFonts w:hint="default" w:ascii="Times New Roman" w:hAnsi="Times New Roman" w:eastAsia="等线" w:cs="Times New Roman"/>
          <w:position w:val="-14"/>
          <w:sz w:val="28"/>
          <w:szCs w:val="28"/>
          <w:highlight w:val="none"/>
          <w:lang w:val="en-US" w:eastAsia="zh-CN" w:bidi="ar"/>
        </w:rPr>
        <w:drawing>
          <wp:inline distT="0" distB="0" distL="114300" distR="114300">
            <wp:extent cx="4114800" cy="276225"/>
            <wp:effectExtent l="0" t="0" r="0" b="952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4114800" cy="276225"/>
                    </a:xfrm>
                    <a:prstGeom prst="rect">
                      <a:avLst/>
                    </a:prstGeom>
                    <a:noFill/>
                    <a:ln>
                      <a:noFill/>
                    </a:ln>
                  </pic:spPr>
                </pic:pic>
              </a:graphicData>
            </a:graphic>
          </wp:inline>
        </w:drawing>
      </w:r>
      <w:r>
        <w:rPr>
          <w:rFonts w:hint="default" w:ascii="Times New Roman" w:hAnsi="Times New Roman" w:eastAsia="微软雅黑" w:cs="Times New Roman"/>
          <w:sz w:val="28"/>
          <w:szCs w:val="28"/>
          <w:highlight w:val="none"/>
          <w:lang w:val="en-US"/>
        </w:rPr>
        <w:tab/>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fldChar w:fldCharType="begin"/>
      </w:r>
      <w:r>
        <w:rPr>
          <w:rFonts w:hint="default" w:ascii="Times New Roman" w:hAnsi="Times New Roman" w:cs="Times New Roman"/>
          <w:sz w:val="28"/>
          <w:szCs w:val="28"/>
          <w:highlight w:val="none"/>
          <w:lang w:val="en-US"/>
        </w:rPr>
        <w:instrText xml:space="preserve"> AUTONUM </w:instrText>
      </w:r>
      <w:r>
        <w:rPr>
          <w:rFonts w:hint="default" w:ascii="Times New Roman" w:hAnsi="Times New Roman" w:cs="Times New Roman"/>
          <w:sz w:val="28"/>
          <w:szCs w:val="28"/>
          <w:highlight w:val="none"/>
          <w:lang w:eastAsia="zh-CN"/>
        </w:rPr>
        <w:fldChar w:fldCharType="end"/>
      </w:r>
      <w:r>
        <w:rPr>
          <w:rFonts w:hint="default" w:ascii="Times New Roman" w:hAnsi="Times New Roman" w:cs="Times New Roman"/>
          <w:sz w:val="28"/>
          <w:szCs w:val="28"/>
          <w:highlight w:val="none"/>
          <w:lang w:val="en-US"/>
        </w:rPr>
        <w:t>)</w:t>
      </w:r>
    </w:p>
    <w:p w14:paraId="5E8953C8">
      <w:pPr>
        <w:pStyle w:val="39"/>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eastAsia="宋体" w:cs="Times New Roman"/>
          <w:sz w:val="28"/>
          <w:szCs w:val="28"/>
          <w:highlight w:val="none"/>
          <w:lang w:eastAsia="zh-CN"/>
        </w:rPr>
        <w:t>式中：</w:t>
      </w:r>
    </w:p>
    <w:p w14:paraId="0EA9E38F">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CFP</w:t>
      </w:r>
      <w:r>
        <w:rPr>
          <w:rFonts w:hint="default" w:ascii="Times New Roman" w:hAnsi="Times New Roman" w:cs="Times New Roman"/>
          <w:sz w:val="28"/>
          <w:szCs w:val="28"/>
          <w:highlight w:val="none"/>
          <w:vertAlign w:val="subscript"/>
          <w:lang w:eastAsia="zh-CN"/>
        </w:rPr>
        <w:t>原材料</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原材料在获取加工阶段产生的对应单位滚珠丝杠产品的温室气体排放量（</w:t>
      </w:r>
      <w:r>
        <w:rPr>
          <w:rFonts w:hint="default" w:ascii="Times New Roman" w:hAnsi="Times New Roman" w:cs="Times New Roman"/>
          <w:sz w:val="28"/>
          <w:szCs w:val="28"/>
          <w:highlight w:val="none"/>
          <w:lang w:val="en-US"/>
        </w:rPr>
        <w:t>kgCO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e/kg</w:t>
      </w:r>
      <w:r>
        <w:rPr>
          <w:rFonts w:hint="default" w:ascii="Times New Roman" w:hAnsi="Times New Roman" w:cs="Times New Roman"/>
          <w:sz w:val="28"/>
          <w:szCs w:val="28"/>
          <w:highlight w:val="none"/>
          <w:lang w:eastAsia="zh-CN"/>
        </w:rPr>
        <w:t>）；</w:t>
      </w:r>
    </w:p>
    <w:p w14:paraId="5AF1D402">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vertAlign w:val="subscript"/>
          <w:lang w:eastAsia="zh-CN"/>
        </w:rPr>
        <w:t>矿石开采生产</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矿石开采生产产生的温室气体排放量（</w:t>
      </w:r>
      <w:r>
        <w:rPr>
          <w:rFonts w:hint="default" w:ascii="Times New Roman" w:hAnsi="Times New Roman" w:cs="Times New Roman"/>
          <w:sz w:val="28"/>
          <w:szCs w:val="28"/>
          <w:highlight w:val="none"/>
          <w:lang w:val="en-US"/>
        </w:rPr>
        <w:t>kgCO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lang w:eastAsia="zh-CN"/>
        </w:rPr>
        <w:t>）；</w:t>
      </w:r>
    </w:p>
    <w:p w14:paraId="389861CF">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vertAlign w:val="subscript"/>
          <w:lang w:eastAsia="zh-CN"/>
        </w:rPr>
        <w:t>废金属回收生产</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废金属回收生产阶段的温室气体排放量（</w:t>
      </w:r>
      <w:r>
        <w:rPr>
          <w:rFonts w:hint="default" w:ascii="Times New Roman" w:hAnsi="Times New Roman" w:cs="Times New Roman"/>
          <w:sz w:val="28"/>
          <w:szCs w:val="28"/>
          <w:highlight w:val="none"/>
          <w:lang w:val="en-US"/>
        </w:rPr>
        <w:t>kgCO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lang w:eastAsia="zh-CN"/>
        </w:rPr>
        <w:t>）；</w:t>
      </w:r>
    </w:p>
    <w:p w14:paraId="286F5568">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vertAlign w:val="subscript"/>
          <w:lang w:eastAsia="zh-CN"/>
        </w:rPr>
        <w:t>金属材料生产</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金属材料生产阶段的温室气体排放量（</w:t>
      </w:r>
      <w:r>
        <w:rPr>
          <w:rFonts w:hint="default" w:ascii="Times New Roman" w:hAnsi="Times New Roman" w:cs="Times New Roman"/>
          <w:sz w:val="28"/>
          <w:szCs w:val="28"/>
          <w:highlight w:val="none"/>
          <w:lang w:val="en-US"/>
        </w:rPr>
        <w:t>kgCO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lang w:eastAsia="zh-CN"/>
        </w:rPr>
        <w:t>）；</w:t>
      </w:r>
    </w:p>
    <w:p w14:paraId="5441BF9B">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vertAlign w:val="subscript"/>
          <w:lang w:eastAsia="zh-CN"/>
        </w:rPr>
        <w:t>助剂生产</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助剂生产阶段的温室气体排放量（</w:t>
      </w:r>
      <w:r>
        <w:rPr>
          <w:rFonts w:hint="default" w:ascii="Times New Roman" w:hAnsi="Times New Roman" w:cs="Times New Roman"/>
          <w:sz w:val="28"/>
          <w:szCs w:val="28"/>
          <w:highlight w:val="none"/>
          <w:lang w:val="en-US"/>
        </w:rPr>
        <w:t>kgCO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lang w:eastAsia="zh-CN"/>
        </w:rPr>
        <w:t>）；</w:t>
      </w:r>
    </w:p>
    <w:p w14:paraId="7D2A45AB">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vertAlign w:val="subscript"/>
          <w:lang w:eastAsia="zh-CN"/>
        </w:rPr>
        <w:t>包装材料生产</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包装材料生产阶段的温室气体排放量（</w:t>
      </w:r>
      <w:r>
        <w:rPr>
          <w:rFonts w:hint="default" w:ascii="Times New Roman" w:hAnsi="Times New Roman" w:cs="Times New Roman"/>
          <w:sz w:val="28"/>
          <w:szCs w:val="28"/>
          <w:highlight w:val="none"/>
          <w:lang w:val="en-US"/>
        </w:rPr>
        <w:t>kgCO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lang w:eastAsia="zh-CN"/>
        </w:rPr>
        <w:t>）；</w:t>
      </w:r>
    </w:p>
    <w:p w14:paraId="4645BC28">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vertAlign w:val="subscript"/>
          <w:lang w:eastAsia="zh-CN"/>
        </w:rPr>
        <w:t>其他辅料生产</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其他辅料生产阶段的温室气体排放量（</w:t>
      </w:r>
      <w:r>
        <w:rPr>
          <w:rFonts w:hint="default" w:ascii="Times New Roman" w:hAnsi="Times New Roman" w:cs="Times New Roman"/>
          <w:sz w:val="28"/>
          <w:szCs w:val="28"/>
          <w:highlight w:val="none"/>
          <w:lang w:val="en-US"/>
        </w:rPr>
        <w:t>kgCO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lang w:eastAsia="zh-CN"/>
        </w:rPr>
        <w:t>）；</w:t>
      </w:r>
    </w:p>
    <w:p w14:paraId="490CE70B">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Q ——</w:t>
      </w:r>
      <w:r>
        <w:rPr>
          <w:rFonts w:hint="default" w:ascii="Times New Roman" w:hAnsi="Times New Roman" w:cs="Times New Roman"/>
          <w:sz w:val="28"/>
          <w:szCs w:val="28"/>
          <w:highlight w:val="none"/>
          <w:lang w:eastAsia="zh-CN"/>
        </w:rPr>
        <w:t>滚珠丝杠产品的产量（</w:t>
      </w:r>
      <w:r>
        <w:rPr>
          <w:rFonts w:hint="default" w:ascii="Times New Roman" w:hAnsi="Times New Roman" w:cs="Times New Roman"/>
          <w:sz w:val="28"/>
          <w:szCs w:val="28"/>
          <w:highlight w:val="none"/>
          <w:lang w:val="en-US"/>
        </w:rPr>
        <w:t>kg</w:t>
      </w:r>
      <w:r>
        <w:rPr>
          <w:rFonts w:hint="default" w:ascii="Times New Roman" w:hAnsi="Times New Roman" w:cs="Times New Roman"/>
          <w:sz w:val="28"/>
          <w:szCs w:val="28"/>
          <w:highlight w:val="none"/>
          <w:lang w:eastAsia="zh-CN"/>
        </w:rPr>
        <w:t>）。</w:t>
      </w:r>
    </w:p>
    <w:p w14:paraId="4CA5C880">
      <w:pPr>
        <w:pStyle w:val="49"/>
        <w:widowControl/>
        <w:numPr>
          <w:ilvl w:val="3"/>
          <w:numId w:val="5"/>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每个单元过程的碳足迹核算涉及化石燃料燃烧直接排放、输入电力和热力的间接排放和过程排放，计算见公式（</w:t>
      </w:r>
      <w:r>
        <w:rPr>
          <w:rFonts w:hint="default" w:ascii="Times New Roman" w:hAnsi="Times New Roman" w:cs="Times New Roman"/>
          <w:sz w:val="28"/>
          <w:szCs w:val="28"/>
          <w:highlight w:val="none"/>
          <w:lang w:val="en-US"/>
        </w:rPr>
        <w:t>3</w:t>
      </w:r>
      <w:r>
        <w:rPr>
          <w:rFonts w:hint="default" w:ascii="Times New Roman" w:hAnsi="Times New Roman" w:cs="Times New Roman"/>
          <w:sz w:val="28"/>
          <w:szCs w:val="28"/>
          <w:highlight w:val="none"/>
          <w:lang w:eastAsia="zh-CN"/>
        </w:rPr>
        <w:t>）：</w:t>
      </w:r>
    </w:p>
    <w:p w14:paraId="14B75FA4">
      <w:pPr>
        <w:pStyle w:val="48"/>
        <w:widowControl/>
        <w:spacing w:before="240" w:beforeLines="100" w:beforeAutospacing="0" w:after="240" w:afterLines="100" w:afterAutospacing="0" w:line="360" w:lineRule="auto"/>
        <w:ind w:left="0" w:right="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ab/>
      </w:r>
      <w:r>
        <w:rPr>
          <w:rFonts w:hint="default" w:ascii="Times New Roman" w:hAnsi="Times New Roman" w:eastAsia="等线" w:cs="Times New Roman"/>
          <w:position w:val="-12"/>
          <w:sz w:val="28"/>
          <w:szCs w:val="28"/>
          <w:highlight w:val="none"/>
          <w:lang w:val="en-US" w:eastAsia="zh-CN" w:bidi="ar"/>
        </w:rPr>
        <w:drawing>
          <wp:inline distT="0" distB="0" distL="114300" distR="114300">
            <wp:extent cx="2000250" cy="200025"/>
            <wp:effectExtent l="0" t="0" r="0" b="889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2000250" cy="200025"/>
                    </a:xfrm>
                    <a:prstGeom prst="rect">
                      <a:avLst/>
                    </a:prstGeom>
                    <a:noFill/>
                    <a:ln>
                      <a:noFill/>
                    </a:ln>
                  </pic:spPr>
                </pic:pic>
              </a:graphicData>
            </a:graphic>
          </wp:inline>
        </w:drawing>
      </w:r>
      <w:r>
        <w:rPr>
          <w:rFonts w:hint="default" w:ascii="Times New Roman" w:hAnsi="Times New Roman" w:eastAsia="微软雅黑" w:cs="Times New Roman"/>
          <w:sz w:val="28"/>
          <w:szCs w:val="28"/>
          <w:highlight w:val="none"/>
          <w:lang w:val="en-US"/>
        </w:rPr>
        <w:tab/>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fldChar w:fldCharType="begin"/>
      </w:r>
      <w:r>
        <w:rPr>
          <w:rFonts w:hint="default" w:ascii="Times New Roman" w:hAnsi="Times New Roman" w:cs="Times New Roman"/>
          <w:sz w:val="28"/>
          <w:szCs w:val="28"/>
          <w:highlight w:val="none"/>
          <w:lang w:val="en-US"/>
        </w:rPr>
        <w:instrText xml:space="preserve"> AUTONUM </w:instrText>
      </w:r>
      <w:r>
        <w:rPr>
          <w:rFonts w:hint="default" w:ascii="Times New Roman" w:hAnsi="Times New Roman" w:cs="Times New Roman"/>
          <w:sz w:val="28"/>
          <w:szCs w:val="28"/>
          <w:highlight w:val="none"/>
          <w:lang w:eastAsia="zh-CN"/>
        </w:rPr>
        <w:fldChar w:fldCharType="end"/>
      </w:r>
      <w:r>
        <w:rPr>
          <w:rFonts w:hint="default" w:ascii="Times New Roman" w:hAnsi="Times New Roman" w:cs="Times New Roman"/>
          <w:sz w:val="28"/>
          <w:szCs w:val="28"/>
          <w:highlight w:val="none"/>
          <w:lang w:val="en-US"/>
        </w:rPr>
        <w:t xml:space="preserve">)    </w:t>
      </w:r>
    </w:p>
    <w:p w14:paraId="3FA4D1CC">
      <w:pPr>
        <w:pStyle w:val="39"/>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eastAsia="宋体" w:cs="Times New Roman"/>
          <w:sz w:val="28"/>
          <w:szCs w:val="28"/>
          <w:highlight w:val="none"/>
          <w:lang w:eastAsia="zh-CN"/>
        </w:rPr>
        <w:t>式中：</w:t>
      </w:r>
    </w:p>
    <w:p w14:paraId="222ACC86">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vertAlign w:val="subscript"/>
          <w:lang w:val="en-US"/>
        </w:rPr>
        <w:t>i</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单元过程中总温室气体排放量（</w:t>
      </w:r>
      <w:r>
        <w:rPr>
          <w:rFonts w:hint="default" w:ascii="Times New Roman" w:hAnsi="Times New Roman" w:cs="Times New Roman"/>
          <w:sz w:val="28"/>
          <w:szCs w:val="28"/>
          <w:highlight w:val="none"/>
          <w:lang w:val="en-US"/>
        </w:rPr>
        <w:t>kgCO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lang w:eastAsia="zh-CN"/>
        </w:rPr>
        <w:t>）；</w:t>
      </w:r>
    </w:p>
    <w:p w14:paraId="027DDB4E">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vertAlign w:val="subscript"/>
          <w:lang w:eastAsia="zh-CN"/>
        </w:rPr>
        <w:t>直接燃烧，</w:t>
      </w:r>
      <w:r>
        <w:rPr>
          <w:rFonts w:hint="default" w:ascii="Times New Roman" w:hAnsi="Times New Roman" w:cs="Times New Roman"/>
          <w:sz w:val="28"/>
          <w:szCs w:val="28"/>
          <w:highlight w:val="none"/>
          <w:vertAlign w:val="subscript"/>
          <w:lang w:val="en-US"/>
        </w:rPr>
        <w:t>i</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单元过程中化石燃料燃烧直接产生的温室气体排放量（</w:t>
      </w:r>
      <w:r>
        <w:rPr>
          <w:rFonts w:hint="default" w:ascii="Times New Roman" w:hAnsi="Times New Roman" w:cs="Times New Roman"/>
          <w:sz w:val="28"/>
          <w:szCs w:val="28"/>
          <w:highlight w:val="none"/>
          <w:lang w:val="en-US"/>
        </w:rPr>
        <w:t>kgCO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lang w:eastAsia="zh-CN"/>
        </w:rPr>
        <w:t>）；</w:t>
      </w:r>
    </w:p>
    <w:p w14:paraId="175CDDB4">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vertAlign w:val="subscript"/>
          <w:lang w:eastAsia="zh-CN"/>
        </w:rPr>
        <w:t>输入能源，</w:t>
      </w:r>
      <w:r>
        <w:rPr>
          <w:rFonts w:hint="default" w:ascii="Times New Roman" w:hAnsi="Times New Roman" w:cs="Times New Roman"/>
          <w:sz w:val="28"/>
          <w:szCs w:val="28"/>
          <w:highlight w:val="none"/>
          <w:vertAlign w:val="subscript"/>
          <w:lang w:val="en-US"/>
        </w:rPr>
        <w:t>i</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单元过程中输入电力和热力间接产生的温室气体排放量（</w:t>
      </w:r>
      <w:r>
        <w:rPr>
          <w:rFonts w:hint="default" w:ascii="Times New Roman" w:hAnsi="Times New Roman" w:cs="Times New Roman"/>
          <w:sz w:val="28"/>
          <w:szCs w:val="28"/>
          <w:highlight w:val="none"/>
          <w:lang w:val="en-US"/>
        </w:rPr>
        <w:t>kgCO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lang w:eastAsia="zh-CN"/>
        </w:rPr>
        <w:t>）；</w:t>
      </w:r>
    </w:p>
    <w:p w14:paraId="7DD2D06F">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vertAlign w:val="subscript"/>
          <w:lang w:eastAsia="zh-CN"/>
        </w:rPr>
        <w:t>过程，</w:t>
      </w:r>
      <w:r>
        <w:rPr>
          <w:rFonts w:hint="default" w:ascii="Times New Roman" w:hAnsi="Times New Roman" w:cs="Times New Roman"/>
          <w:sz w:val="28"/>
          <w:szCs w:val="28"/>
          <w:highlight w:val="none"/>
          <w:vertAlign w:val="subscript"/>
          <w:lang w:val="en-US"/>
        </w:rPr>
        <w:t>i</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单元过程中产生的工艺过程排放，如废气处理过程中石灰石反应产生的二氧化碳排放、废水厌氧处理过程中的甲烷排放等（</w:t>
      </w:r>
      <w:r>
        <w:rPr>
          <w:rFonts w:hint="default" w:ascii="Times New Roman" w:hAnsi="Times New Roman" w:cs="Times New Roman"/>
          <w:sz w:val="28"/>
          <w:szCs w:val="28"/>
          <w:highlight w:val="none"/>
          <w:lang w:val="en-US"/>
        </w:rPr>
        <w:t>kgCO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lang w:eastAsia="zh-CN"/>
        </w:rPr>
        <w:t>）；</w:t>
      </w:r>
    </w:p>
    <w:p w14:paraId="16E242E6">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i——</w:t>
      </w:r>
      <w:r>
        <w:rPr>
          <w:rFonts w:hint="default" w:ascii="Times New Roman" w:hAnsi="Times New Roman" w:cs="Times New Roman"/>
          <w:sz w:val="28"/>
          <w:szCs w:val="28"/>
          <w:highlight w:val="none"/>
          <w:lang w:eastAsia="zh-CN"/>
        </w:rPr>
        <w:t>单元过程。</w:t>
      </w:r>
    </w:p>
    <w:p w14:paraId="4F71065A">
      <w:pPr>
        <w:pStyle w:val="49"/>
        <w:widowControl/>
        <w:numPr>
          <w:ilvl w:val="3"/>
          <w:numId w:val="5"/>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每个单元过程燃料燃烧排放、输入能源间接排放和过程排放的碳足迹核算方法见公式（</w:t>
      </w:r>
      <w:r>
        <w:rPr>
          <w:rFonts w:hint="default" w:ascii="Times New Roman" w:hAnsi="Times New Roman" w:cs="Times New Roman"/>
          <w:sz w:val="28"/>
          <w:szCs w:val="28"/>
          <w:highlight w:val="none"/>
          <w:lang w:val="en-US"/>
        </w:rPr>
        <w:t>4</w:t>
      </w:r>
      <w:r>
        <w:rPr>
          <w:rFonts w:hint="default" w:ascii="Times New Roman" w:hAnsi="Times New Roman" w:cs="Times New Roman"/>
          <w:sz w:val="28"/>
          <w:szCs w:val="28"/>
          <w:highlight w:val="none"/>
          <w:lang w:eastAsia="zh-CN"/>
        </w:rPr>
        <w:t>）：</w:t>
      </w:r>
    </w:p>
    <w:p w14:paraId="2BB4541C">
      <w:pPr>
        <w:pStyle w:val="48"/>
        <w:widowControl/>
        <w:spacing w:before="240" w:beforeLines="100" w:beforeAutospacing="0" w:after="240" w:afterLines="100" w:afterAutospacing="0" w:line="360" w:lineRule="auto"/>
        <w:ind w:left="0" w:right="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ab/>
      </w:r>
      <w:r>
        <w:rPr>
          <w:rFonts w:hint="default" w:ascii="Times New Roman" w:hAnsi="Times New Roman" w:eastAsia="等线" w:cs="Times New Roman"/>
          <w:position w:val="-8"/>
          <w:sz w:val="28"/>
          <w:szCs w:val="28"/>
          <w:highlight w:val="none"/>
          <w:lang w:val="en-US" w:eastAsia="zh-CN" w:bidi="ar"/>
        </w:rPr>
        <w:drawing>
          <wp:inline distT="0" distB="0" distL="114300" distR="114300">
            <wp:extent cx="2295525" cy="180975"/>
            <wp:effectExtent l="0" t="0" r="9525"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2295525" cy="180975"/>
                    </a:xfrm>
                    <a:prstGeom prst="rect">
                      <a:avLst/>
                    </a:prstGeom>
                    <a:noFill/>
                    <a:ln>
                      <a:noFill/>
                    </a:ln>
                  </pic:spPr>
                </pic:pic>
              </a:graphicData>
            </a:graphic>
          </wp:inline>
        </w:drawing>
      </w:r>
      <w:r>
        <w:rPr>
          <w:rFonts w:hint="default" w:ascii="Times New Roman" w:hAnsi="Times New Roman" w:eastAsia="微软雅黑" w:cs="Times New Roman"/>
          <w:sz w:val="28"/>
          <w:szCs w:val="28"/>
          <w:highlight w:val="none"/>
          <w:lang w:val="en-US"/>
        </w:rPr>
        <w:tab/>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fldChar w:fldCharType="begin"/>
      </w:r>
      <w:r>
        <w:rPr>
          <w:rFonts w:hint="default" w:ascii="Times New Roman" w:hAnsi="Times New Roman" w:cs="Times New Roman"/>
          <w:sz w:val="28"/>
          <w:szCs w:val="28"/>
          <w:highlight w:val="none"/>
          <w:lang w:val="en-US"/>
        </w:rPr>
        <w:instrText xml:space="preserve"> AUTONUM </w:instrText>
      </w:r>
      <w:r>
        <w:rPr>
          <w:rFonts w:hint="default" w:ascii="Times New Roman" w:hAnsi="Times New Roman" w:cs="Times New Roman"/>
          <w:sz w:val="28"/>
          <w:szCs w:val="28"/>
          <w:highlight w:val="none"/>
          <w:lang w:eastAsia="zh-CN"/>
        </w:rPr>
        <w:fldChar w:fldCharType="end"/>
      </w:r>
      <w:r>
        <w:rPr>
          <w:rFonts w:hint="default" w:ascii="Times New Roman" w:hAnsi="Times New Roman" w:cs="Times New Roman"/>
          <w:sz w:val="28"/>
          <w:szCs w:val="28"/>
          <w:highlight w:val="none"/>
          <w:lang w:val="en-US"/>
        </w:rPr>
        <w:t>)</w:t>
      </w:r>
    </w:p>
    <w:p w14:paraId="43028513">
      <w:pPr>
        <w:pStyle w:val="39"/>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eastAsia="宋体" w:cs="Times New Roman"/>
          <w:sz w:val="28"/>
          <w:szCs w:val="28"/>
          <w:highlight w:val="none"/>
          <w:lang w:eastAsia="zh-CN"/>
        </w:rPr>
        <w:t>式中：</w:t>
      </w:r>
    </w:p>
    <w:p w14:paraId="31981CCD">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vertAlign w:val="subscript"/>
          <w:lang w:val="en-US"/>
        </w:rPr>
        <w:t>i,j</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单元过程中，</w:t>
      </w:r>
      <w:r>
        <w:rPr>
          <w:rFonts w:hint="default" w:ascii="Times New Roman" w:hAnsi="Times New Roman" w:cs="Times New Roman"/>
          <w:sz w:val="28"/>
          <w:szCs w:val="28"/>
          <w:highlight w:val="none"/>
          <w:lang w:val="en-US"/>
        </w:rPr>
        <w:t>j</w:t>
      </w:r>
      <w:r>
        <w:rPr>
          <w:rFonts w:hint="default" w:ascii="Times New Roman" w:hAnsi="Times New Roman" w:cs="Times New Roman"/>
          <w:sz w:val="28"/>
          <w:szCs w:val="28"/>
          <w:highlight w:val="none"/>
          <w:lang w:eastAsia="zh-CN"/>
        </w:rPr>
        <w:t>类排放源的温室气体排放量（</w:t>
      </w:r>
      <w:r>
        <w:rPr>
          <w:rFonts w:hint="default" w:ascii="Times New Roman" w:hAnsi="Times New Roman" w:cs="Times New Roman"/>
          <w:sz w:val="28"/>
          <w:szCs w:val="28"/>
          <w:highlight w:val="none"/>
          <w:lang w:val="en-US"/>
        </w:rPr>
        <w:t>kgCO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lang w:eastAsia="zh-CN"/>
        </w:rPr>
        <w:t>）；</w:t>
      </w:r>
    </w:p>
    <w:p w14:paraId="6FFA3FC2">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j——</w:t>
      </w:r>
      <w:r>
        <w:rPr>
          <w:rFonts w:hint="default" w:ascii="Times New Roman" w:hAnsi="Times New Roman" w:cs="Times New Roman"/>
          <w:sz w:val="28"/>
          <w:szCs w:val="28"/>
          <w:highlight w:val="none"/>
          <w:lang w:eastAsia="zh-CN"/>
        </w:rPr>
        <w:t>代表化石燃料燃烧、输入能源和生产过程三种的排放源；</w:t>
      </w:r>
    </w:p>
    <w:p w14:paraId="24B1E371">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p——</w:t>
      </w:r>
      <w:r>
        <w:rPr>
          <w:rFonts w:hint="default" w:ascii="Times New Roman" w:hAnsi="Times New Roman" w:cs="Times New Roman"/>
          <w:sz w:val="28"/>
          <w:szCs w:val="28"/>
          <w:highlight w:val="none"/>
          <w:lang w:eastAsia="zh-CN"/>
        </w:rPr>
        <w:t>代表温室气体的种类；</w:t>
      </w:r>
    </w:p>
    <w:p w14:paraId="4554A1EC">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AD</w:t>
      </w:r>
      <w:r>
        <w:rPr>
          <w:rFonts w:hint="default" w:ascii="Times New Roman" w:hAnsi="Times New Roman" w:cs="Times New Roman"/>
          <w:sz w:val="28"/>
          <w:szCs w:val="28"/>
          <w:highlight w:val="none"/>
          <w:vertAlign w:val="subscript"/>
          <w:lang w:val="en-US"/>
        </w:rPr>
        <w:t>i,j,p</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单元过程中，</w:t>
      </w:r>
      <w:r>
        <w:rPr>
          <w:rFonts w:hint="default" w:ascii="Times New Roman" w:hAnsi="Times New Roman" w:cs="Times New Roman"/>
          <w:sz w:val="28"/>
          <w:szCs w:val="28"/>
          <w:highlight w:val="none"/>
          <w:lang w:val="en-US"/>
        </w:rPr>
        <w:t>j</w:t>
      </w:r>
      <w:r>
        <w:rPr>
          <w:rFonts w:hint="default" w:ascii="Times New Roman" w:hAnsi="Times New Roman" w:cs="Times New Roman"/>
          <w:sz w:val="28"/>
          <w:szCs w:val="28"/>
          <w:highlight w:val="none"/>
          <w:lang w:eastAsia="zh-CN"/>
        </w:rPr>
        <w:t>类排放源种温室气体的活动水平数据；</w:t>
      </w:r>
    </w:p>
    <w:p w14:paraId="628A3015">
      <w:pPr>
        <w:pStyle w:val="35"/>
        <w:widowControl/>
        <w:spacing w:line="360" w:lineRule="auto"/>
        <w:ind w:left="0" w:firstLine="420"/>
        <w:rPr>
          <w:rFonts w:hint="default" w:ascii="Times New Roman" w:hAnsi="Times New Roman" w:cs="Times New Roman"/>
          <w:sz w:val="28"/>
          <w:szCs w:val="28"/>
          <w:highlight w:val="none"/>
          <w:vertAlign w:val="subscript"/>
          <w:lang w:val="en-US"/>
        </w:rPr>
      </w:pPr>
      <w:r>
        <w:rPr>
          <w:rFonts w:hint="default" w:ascii="Times New Roman" w:hAnsi="Times New Roman" w:cs="Times New Roman"/>
          <w:sz w:val="28"/>
          <w:szCs w:val="28"/>
          <w:highlight w:val="none"/>
          <w:lang w:val="en-US"/>
        </w:rPr>
        <w:t>EF</w:t>
      </w:r>
      <w:r>
        <w:rPr>
          <w:rFonts w:hint="default" w:ascii="Times New Roman" w:hAnsi="Times New Roman" w:cs="Times New Roman"/>
          <w:sz w:val="28"/>
          <w:szCs w:val="28"/>
          <w:highlight w:val="none"/>
          <w:vertAlign w:val="subscript"/>
          <w:lang w:val="en-US"/>
        </w:rPr>
        <w:t>i,j,P</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单元过程中，</w:t>
      </w:r>
      <w:r>
        <w:rPr>
          <w:rFonts w:hint="default" w:ascii="Times New Roman" w:hAnsi="Times New Roman" w:cs="Times New Roman"/>
          <w:sz w:val="28"/>
          <w:szCs w:val="28"/>
          <w:highlight w:val="none"/>
          <w:lang w:val="en-US"/>
        </w:rPr>
        <w:t>j</w:t>
      </w:r>
      <w:r>
        <w:rPr>
          <w:rFonts w:hint="default" w:ascii="Times New Roman" w:hAnsi="Times New Roman" w:cs="Times New Roman"/>
          <w:sz w:val="28"/>
          <w:szCs w:val="28"/>
          <w:highlight w:val="none"/>
          <w:lang w:eastAsia="zh-CN"/>
        </w:rPr>
        <w:t>类排放源种温室气体的排放因子，其中使用的电力排放因子应为电力生命周期碳足迹因子；</w:t>
      </w:r>
    </w:p>
    <w:p w14:paraId="121BEA9E">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GWPp——</w:t>
      </w:r>
      <w:r>
        <w:rPr>
          <w:rFonts w:hint="default" w:ascii="Times New Roman" w:hAnsi="Times New Roman" w:cs="Times New Roman"/>
          <w:sz w:val="28"/>
          <w:szCs w:val="28"/>
          <w:highlight w:val="none"/>
          <w:lang w:eastAsia="zh-CN"/>
        </w:rPr>
        <w:t>第</w:t>
      </w:r>
      <w:r>
        <w:rPr>
          <w:rFonts w:hint="default" w:ascii="Times New Roman" w:hAnsi="Times New Roman" w:cs="Times New Roman"/>
          <w:sz w:val="28"/>
          <w:szCs w:val="28"/>
          <w:highlight w:val="none"/>
          <w:lang w:val="en-US"/>
        </w:rPr>
        <w:t>p</w:t>
      </w:r>
      <w:r>
        <w:rPr>
          <w:rFonts w:hint="default" w:ascii="Times New Roman" w:hAnsi="Times New Roman" w:cs="Times New Roman"/>
          <w:sz w:val="28"/>
          <w:szCs w:val="28"/>
          <w:highlight w:val="none"/>
          <w:lang w:eastAsia="zh-CN"/>
        </w:rPr>
        <w:t>种温室气体活动对应的全球变暖潜势值，需使用</w:t>
      </w:r>
      <w:r>
        <w:rPr>
          <w:rFonts w:hint="default" w:ascii="Times New Roman" w:hAnsi="Times New Roman" w:cs="Times New Roman"/>
          <w:sz w:val="28"/>
          <w:szCs w:val="28"/>
          <w:highlight w:val="none"/>
          <w:lang w:val="en-US"/>
        </w:rPr>
        <w:t>IPCC</w:t>
      </w:r>
      <w:r>
        <w:rPr>
          <w:rFonts w:hint="default" w:ascii="Times New Roman" w:hAnsi="Times New Roman" w:cs="Times New Roman"/>
          <w:sz w:val="28"/>
          <w:szCs w:val="28"/>
          <w:highlight w:val="none"/>
          <w:lang w:eastAsia="zh-CN"/>
        </w:rPr>
        <w:t>最新发布的气候评估报告（</w:t>
      </w:r>
      <w:r>
        <w:rPr>
          <w:rFonts w:hint="default" w:ascii="Times New Roman" w:hAnsi="Times New Roman" w:cs="Times New Roman"/>
          <w:sz w:val="28"/>
          <w:szCs w:val="28"/>
          <w:highlight w:val="none"/>
          <w:lang w:val="en-US"/>
        </w:rPr>
        <w:t>Assessment Report</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AR</w:t>
      </w:r>
      <w:r>
        <w:rPr>
          <w:rFonts w:hint="default" w:ascii="Times New Roman" w:hAnsi="Times New Roman" w:cs="Times New Roman"/>
          <w:sz w:val="28"/>
          <w:szCs w:val="28"/>
          <w:highlight w:val="none"/>
          <w:lang w:eastAsia="zh-CN"/>
        </w:rPr>
        <w:t>）中的</w:t>
      </w:r>
      <w:r>
        <w:rPr>
          <w:rFonts w:hint="default" w:ascii="Times New Roman" w:hAnsi="Times New Roman" w:cs="Times New Roman"/>
          <w:sz w:val="28"/>
          <w:szCs w:val="28"/>
          <w:highlight w:val="none"/>
          <w:lang w:val="en-US"/>
        </w:rPr>
        <w:t>GWP</w:t>
      </w:r>
      <w:r>
        <w:rPr>
          <w:rFonts w:hint="default" w:ascii="Times New Roman" w:hAnsi="Times New Roman" w:cs="Times New Roman"/>
          <w:sz w:val="28"/>
          <w:szCs w:val="28"/>
          <w:highlight w:val="none"/>
          <w:lang w:eastAsia="zh-CN"/>
        </w:rPr>
        <w:t>值。</w:t>
      </w:r>
    </w:p>
    <w:bookmarkEnd w:id="45"/>
    <w:p w14:paraId="7B84ADA8">
      <w:pPr>
        <w:pStyle w:val="43"/>
        <w:widowControl/>
        <w:numPr>
          <w:ilvl w:val="1"/>
          <w:numId w:val="5"/>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59" w:name="_Toc170748230"/>
      <w:bookmarkStart w:id="60" w:name="_Toc166588520"/>
      <w:bookmarkStart w:id="61" w:name="_Toc166588530"/>
      <w:bookmarkStart w:id="62" w:name="_Toc177981132"/>
      <w:bookmarkStart w:id="63" w:name="_Toc167375535"/>
      <w:bookmarkStart w:id="64" w:name="_Toc166860771"/>
      <w:bookmarkStart w:id="65" w:name="_Toc175838004"/>
      <w:r>
        <w:rPr>
          <w:rFonts w:hint="default" w:ascii="Times New Roman" w:hAnsi="Times New Roman" w:cs="Times New Roman"/>
          <w:sz w:val="28"/>
          <w:szCs w:val="28"/>
          <w:highlight w:val="none"/>
          <w:lang w:eastAsia="zh-CN"/>
        </w:rPr>
        <w:t>评价报告</w:t>
      </w:r>
      <w:bookmarkEnd w:id="59"/>
      <w:bookmarkEnd w:id="60"/>
      <w:bookmarkEnd w:id="61"/>
      <w:bookmarkEnd w:id="62"/>
      <w:bookmarkEnd w:id="63"/>
      <w:bookmarkEnd w:id="64"/>
      <w:bookmarkEnd w:id="65"/>
    </w:p>
    <w:p w14:paraId="46A9E2CB">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评价报告应包括但不限于以下内容：</w:t>
      </w:r>
    </w:p>
    <w:p w14:paraId="583CE9A5">
      <w:pPr>
        <w:pStyle w:val="45"/>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基本情况：</w:t>
      </w:r>
    </w:p>
    <w:p w14:paraId="05D558BB">
      <w:pPr>
        <w:pStyle w:val="34"/>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产品名称；</w:t>
      </w:r>
    </w:p>
    <w:p w14:paraId="31FD406C">
      <w:pPr>
        <w:pStyle w:val="34"/>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产品介绍；</w:t>
      </w:r>
    </w:p>
    <w:p w14:paraId="5AD171E2">
      <w:pPr>
        <w:pStyle w:val="34"/>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功能单位。</w:t>
      </w:r>
    </w:p>
    <w:p w14:paraId="5F020F68">
      <w:pPr>
        <w:pStyle w:val="45"/>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系统边界：</w:t>
      </w:r>
    </w:p>
    <w:p w14:paraId="3166C645">
      <w:pPr>
        <w:pStyle w:val="34"/>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阶段定义；</w:t>
      </w:r>
    </w:p>
    <w:p w14:paraId="7E5786E6">
      <w:pPr>
        <w:pStyle w:val="34"/>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时间周期；</w:t>
      </w:r>
    </w:p>
    <w:p w14:paraId="62C15606">
      <w:pPr>
        <w:pStyle w:val="34"/>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地理范围；</w:t>
      </w:r>
    </w:p>
    <w:p w14:paraId="260B9009">
      <w:pPr>
        <w:pStyle w:val="34"/>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排放源类型；</w:t>
      </w:r>
    </w:p>
    <w:p w14:paraId="249A37EC">
      <w:pPr>
        <w:pStyle w:val="34"/>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排放源排除。</w:t>
      </w:r>
    </w:p>
    <w:p w14:paraId="7B270CFC">
      <w:pPr>
        <w:pStyle w:val="45"/>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计算方法公式：</w:t>
      </w:r>
    </w:p>
    <w:p w14:paraId="6EF541C3">
      <w:pPr>
        <w:pStyle w:val="34"/>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化石燃料燃烧；</w:t>
      </w:r>
    </w:p>
    <w:p w14:paraId="4294E2EE">
      <w:pPr>
        <w:pStyle w:val="34"/>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电力得排放计。</w:t>
      </w:r>
    </w:p>
    <w:p w14:paraId="1F3C4C14">
      <w:pPr>
        <w:pStyle w:val="45"/>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产品碳足迹核算：</w:t>
      </w:r>
    </w:p>
    <w:p w14:paraId="0565E783">
      <w:pPr>
        <w:pStyle w:val="34"/>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各阶段排放源计算程序；</w:t>
      </w:r>
    </w:p>
    <w:p w14:paraId="3A124B94">
      <w:pPr>
        <w:pStyle w:val="34"/>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活动数据收集及排放系数来源说明；</w:t>
      </w:r>
    </w:p>
    <w:p w14:paraId="6FF87FDD">
      <w:pPr>
        <w:pStyle w:val="34"/>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产品生命周期碳足迹结果及说明。</w:t>
      </w:r>
    </w:p>
    <w:p w14:paraId="62EE71CD">
      <w:pPr>
        <w:pStyle w:val="45"/>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报告管理和保存：</w:t>
      </w:r>
    </w:p>
    <w:p w14:paraId="31144BCF">
      <w:pPr>
        <w:pStyle w:val="34"/>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使用；</w:t>
      </w:r>
    </w:p>
    <w:p w14:paraId="7687FAE9">
      <w:pPr>
        <w:pStyle w:val="34"/>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管理保存方法；</w:t>
      </w:r>
    </w:p>
    <w:p w14:paraId="2B4A91CA">
      <w:pPr>
        <w:pStyle w:val="34"/>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有效期；</w:t>
      </w:r>
    </w:p>
    <w:p w14:paraId="7D8DDB6F">
      <w:pPr>
        <w:pStyle w:val="34"/>
        <w:widowControl/>
        <w:numPr>
          <w:ilvl w:val="1"/>
          <w:numId w:val="2"/>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保密性。</w:t>
      </w:r>
    </w:p>
    <w:p w14:paraId="60085EDD">
      <w:pPr>
        <w:pStyle w:val="45"/>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参考文献；</w:t>
      </w:r>
    </w:p>
    <w:p w14:paraId="0374264A">
      <w:pPr>
        <w:pStyle w:val="45"/>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支持性文献。</w:t>
      </w:r>
    </w:p>
    <w:p w14:paraId="2C49C9E2">
      <w:pPr>
        <w:pStyle w:val="45"/>
        <w:widowControl/>
        <w:numPr>
          <w:ilvl w:val="0"/>
          <w:numId w:val="0"/>
        </w:numPr>
        <w:rPr>
          <w:rFonts w:hint="default" w:ascii="Times New Roman" w:hAnsi="Times New Roman" w:cs="Times New Roman"/>
          <w:highlight w:val="none"/>
          <w:lang w:val="en-US"/>
        </w:rPr>
      </w:pPr>
    </w:p>
    <w:p w14:paraId="5B139407">
      <w:pPr>
        <w:pStyle w:val="35"/>
        <w:widowControl/>
        <w:ind w:left="0" w:firstLine="420"/>
        <w:rPr>
          <w:rFonts w:hint="default" w:ascii="Times New Roman" w:hAnsi="Times New Roman" w:cs="Times New Roman"/>
          <w:highlight w:val="none"/>
          <w:lang w:val="en-US"/>
        </w:rPr>
      </w:pPr>
    </w:p>
    <w:p w14:paraId="451277E8">
      <w:pPr>
        <w:pStyle w:val="35"/>
        <w:widowControl/>
        <w:ind w:left="0" w:firstLine="420"/>
        <w:rPr>
          <w:rFonts w:hint="default" w:ascii="Times New Roman" w:hAnsi="Times New Roman" w:cs="Times New Roman"/>
          <w:highlight w:val="none"/>
          <w:lang w:val="en-US"/>
        </w:rPr>
      </w:pPr>
    </w:p>
    <w:p w14:paraId="315A5D6E">
      <w:pPr>
        <w:pStyle w:val="35"/>
        <w:widowControl/>
        <w:ind w:left="0" w:firstLine="420"/>
        <w:rPr>
          <w:rFonts w:hint="default" w:ascii="Times New Roman" w:hAnsi="Times New Roman" w:cs="Times New Roman"/>
          <w:highlight w:val="none"/>
          <w:lang w:val="en-US"/>
        </w:rPr>
      </w:pPr>
    </w:p>
    <w:p w14:paraId="54500C71">
      <w:pPr>
        <w:pStyle w:val="35"/>
        <w:widowControl/>
        <w:ind w:left="0" w:firstLine="420"/>
        <w:rPr>
          <w:rFonts w:hint="default" w:ascii="Times New Roman" w:hAnsi="Times New Roman" w:cs="Times New Roman"/>
          <w:highlight w:val="none"/>
          <w:lang w:val="en-US"/>
        </w:rPr>
      </w:pPr>
    </w:p>
    <w:p w14:paraId="49342E4C">
      <w:pPr>
        <w:rPr>
          <w:rFonts w:hint="default" w:ascii="Times New Roman" w:hAnsi="Times New Roman" w:eastAsia="宋体" w:cs="Times New Roman"/>
          <w:sz w:val="21"/>
          <w:szCs w:val="20"/>
          <w:highlight w:val="none"/>
          <w:lang w:val="en-US" w:eastAsia="zh-CN" w:bidi="ar"/>
        </w:rPr>
        <w:sectPr>
          <w:footerReference r:id="rId4" w:type="default"/>
          <w:pgSz w:w="11906" w:h="16838"/>
          <w:pgMar w:top="1928" w:right="1135" w:bottom="1135" w:left="1135" w:header="1418" w:footer="1135" w:gutter="284"/>
          <w:pgNumType w:fmt="decimal" w:start="1"/>
          <w:cols w:space="425" w:num="1"/>
          <w:formProt w:val="0"/>
          <w:docGrid w:linePitch="312" w:charSpace="0"/>
        </w:sectPr>
      </w:pPr>
    </w:p>
    <w:p w14:paraId="311DEFFA">
      <w:pPr>
        <w:pStyle w:val="46"/>
        <w:widowControl/>
        <w:numPr>
          <w:ilvl w:val="0"/>
          <w:numId w:val="7"/>
        </w:numPr>
        <w:tabs>
          <w:tab w:val="left" w:pos="420"/>
          <w:tab w:val="clear" w:pos="360"/>
        </w:tabs>
        <w:ind w:left="420" w:firstLine="0"/>
        <w:rPr>
          <w:rFonts w:hint="default" w:ascii="Times New Roman" w:hAnsi="Times New Roman" w:cs="Times New Roman"/>
          <w:vanish w:val="0"/>
          <w:highlight w:val="none"/>
          <w:lang w:val="en-US"/>
        </w:rPr>
      </w:pPr>
      <w:bookmarkStart w:id="66" w:name="BookMark5"/>
    </w:p>
    <w:p w14:paraId="75D61E0B">
      <w:pPr>
        <w:pStyle w:val="41"/>
        <w:widowControl/>
        <w:numPr>
          <w:ilvl w:val="0"/>
          <w:numId w:val="4"/>
        </w:numPr>
        <w:tabs>
          <w:tab w:val="left" w:pos="420"/>
          <w:tab w:val="clear" w:pos="360"/>
        </w:tabs>
        <w:ind w:left="425" w:firstLine="0"/>
        <w:rPr>
          <w:rFonts w:hint="default" w:ascii="Times New Roman" w:hAnsi="Times New Roman" w:cs="Times New Roman"/>
          <w:vanish w:val="0"/>
          <w:highlight w:val="none"/>
          <w:lang w:val="en-US"/>
        </w:rPr>
      </w:pPr>
    </w:p>
    <w:p w14:paraId="571E431A">
      <w:pPr>
        <w:pStyle w:val="36"/>
        <w:widowControl/>
        <w:numPr>
          <w:ilvl w:val="0"/>
          <w:numId w:val="3"/>
        </w:numPr>
        <w:spacing w:before="560" w:beforeAutospacing="0" w:after="120" w:afterLines="50" w:afterAutospacing="0"/>
        <w:ind w:left="0" w:right="0" w:firstLine="0"/>
        <w:rPr>
          <w:rFonts w:hint="default" w:ascii="Times New Roman" w:hAnsi="Times New Roman" w:cs="Times New Roman"/>
          <w:sz w:val="24"/>
          <w:szCs w:val="24"/>
          <w:highlight w:val="none"/>
          <w:lang w:val="en-US"/>
        </w:rPr>
      </w:pPr>
      <w:bookmarkStart w:id="67" w:name="_Toc166860772"/>
      <w:bookmarkStart w:id="68" w:name="_Toc170748231"/>
      <w:bookmarkStart w:id="69" w:name="_Toc167375536"/>
      <w:bookmarkStart w:id="70" w:name="_Toc177981133"/>
      <w:bookmarkStart w:id="71" w:name="_Toc175838005"/>
    </w:p>
    <w:p w14:paraId="46965E7B">
      <w:pPr>
        <w:pStyle w:val="36"/>
        <w:widowControl/>
        <w:numPr>
          <w:ilvl w:val="0"/>
          <w:numId w:val="3"/>
        </w:numPr>
        <w:spacing w:before="560" w:beforeAutospacing="0" w:after="120" w:afterLines="50" w:afterAutospacing="0"/>
        <w:ind w:left="0" w:right="0" w:firstLine="0"/>
        <w:rPr>
          <w:rFonts w:hint="default" w:ascii="Times New Roman" w:hAnsi="Times New Roman" w:cs="Times New Roman"/>
          <w:sz w:val="24"/>
          <w:szCs w:val="24"/>
          <w:highlight w:val="none"/>
          <w:lang w:val="en-US"/>
        </w:rPr>
      </w:pPr>
      <w:r>
        <w:rPr>
          <w:rFonts w:hint="default" w:ascii="Times New Roman" w:hAnsi="Times New Roman" w:cs="Times New Roman"/>
          <w:color w:val="auto"/>
          <w:sz w:val="24"/>
          <w:szCs w:val="24"/>
          <w:highlight w:val="none"/>
          <w:lang w:eastAsia="zh-CN"/>
        </w:rPr>
        <w:t>（资料性）</w:t>
      </w:r>
    </w:p>
    <w:p w14:paraId="57E7F901">
      <w:pPr>
        <w:pStyle w:val="36"/>
        <w:widowControl/>
        <w:numPr>
          <w:ilvl w:val="0"/>
          <w:numId w:val="3"/>
        </w:numPr>
        <w:spacing w:before="560" w:beforeAutospacing="0" w:after="120" w:afterLines="50" w:afterAutospacing="0"/>
        <w:ind w:left="0" w:right="0" w:firstLine="0"/>
        <w:rPr>
          <w:rFonts w:hint="default" w:ascii="Times New Roman" w:hAnsi="Times New Roman" w:cs="Times New Roman"/>
          <w:sz w:val="24"/>
          <w:szCs w:val="24"/>
          <w:highlight w:val="none"/>
          <w:lang w:val="en-US"/>
        </w:rPr>
      </w:pPr>
      <w:r>
        <w:rPr>
          <w:rFonts w:hint="default" w:ascii="Times New Roman" w:hAnsi="Times New Roman" w:cs="Times New Roman"/>
          <w:color w:val="auto"/>
          <w:sz w:val="24"/>
          <w:szCs w:val="24"/>
          <w:highlight w:val="none"/>
          <w:lang w:eastAsia="zh-CN"/>
        </w:rPr>
        <w:t>产品碳足迹评价报告</w:t>
      </w:r>
      <w:bookmarkEnd w:id="67"/>
      <w:bookmarkEnd w:id="68"/>
      <w:bookmarkEnd w:id="69"/>
      <w:bookmarkEnd w:id="70"/>
      <w:bookmarkEnd w:id="71"/>
    </w:p>
    <w:p w14:paraId="0EBD45C9">
      <w:pPr>
        <w:pStyle w:val="35"/>
        <w:widowControl/>
        <w:ind w:left="0" w:firstLine="420"/>
        <w:rPr>
          <w:rFonts w:hint="default" w:ascii="Times New Roman" w:hAnsi="Times New Roman" w:cs="Times New Roman"/>
          <w:sz w:val="24"/>
          <w:szCs w:val="24"/>
          <w:highlight w:val="none"/>
          <w:lang w:val="en-US"/>
        </w:rPr>
      </w:pPr>
      <w:r>
        <w:rPr>
          <w:rFonts w:hint="default" w:ascii="Times New Roman" w:hAnsi="Times New Roman" w:cs="Times New Roman"/>
          <w:sz w:val="24"/>
          <w:szCs w:val="24"/>
          <w:highlight w:val="none"/>
          <w:lang w:eastAsia="zh-CN"/>
        </w:rPr>
        <w:t>产品碳足迹评价报告见表</w:t>
      </w:r>
      <w:r>
        <w:rPr>
          <w:rFonts w:hint="default" w:ascii="Times New Roman" w:hAnsi="Times New Roman" w:cs="Times New Roman"/>
          <w:sz w:val="24"/>
          <w:szCs w:val="24"/>
          <w:highlight w:val="none"/>
          <w:lang w:val="en-US"/>
        </w:rPr>
        <w:t>A.1</w:t>
      </w:r>
      <w:r>
        <w:rPr>
          <w:rFonts w:hint="default" w:ascii="Times New Roman" w:hAnsi="Times New Roman" w:cs="Times New Roman"/>
          <w:sz w:val="24"/>
          <w:szCs w:val="24"/>
          <w:highlight w:val="none"/>
          <w:lang w:eastAsia="zh-CN"/>
        </w:rPr>
        <w:t>。</w:t>
      </w:r>
    </w:p>
    <w:p w14:paraId="7B995DEA">
      <w:pPr>
        <w:pStyle w:val="37"/>
        <w:widowControl/>
        <w:numPr>
          <w:ilvl w:val="1"/>
          <w:numId w:val="4"/>
        </w:numPr>
        <w:spacing w:before="120" w:beforeLines="50" w:beforeAutospacing="0" w:after="120" w:afterLines="50" w:afterAutospacing="0"/>
        <w:ind w:left="0" w:right="0" w:firstLine="0"/>
        <w:rPr>
          <w:rFonts w:hint="default" w:ascii="Times New Roman" w:hAnsi="Times New Roman" w:cs="Times New Roman"/>
          <w:sz w:val="24"/>
          <w:szCs w:val="24"/>
          <w:highlight w:val="none"/>
          <w:lang w:val="en-US"/>
        </w:rPr>
      </w:pPr>
      <w:r>
        <w:rPr>
          <w:rFonts w:hint="default" w:ascii="Times New Roman" w:hAnsi="Times New Roman" w:cs="Times New Roman"/>
          <w:sz w:val="24"/>
          <w:szCs w:val="24"/>
          <w:highlight w:val="none"/>
          <w:lang w:eastAsia="zh-CN"/>
        </w:rPr>
        <w:t>产品碳足迹评价报告</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265"/>
        <w:gridCol w:w="1264"/>
        <w:gridCol w:w="1226"/>
        <w:gridCol w:w="1263"/>
        <w:gridCol w:w="1226"/>
        <w:gridCol w:w="1239"/>
        <w:gridCol w:w="1228"/>
      </w:tblGrid>
      <w:tr w14:paraId="24697C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cantSplit/>
          <w:jc w:val="center"/>
        </w:trPr>
        <w:tc>
          <w:tcPr>
            <w:tcW w:w="9334" w:type="dxa"/>
            <w:gridSpan w:val="7"/>
            <w:tcBorders>
              <w:top w:val="single" w:color="auto" w:sz="8" w:space="0"/>
              <w:left w:val="single" w:color="auto" w:sz="8" w:space="0"/>
              <w:bottom w:val="single" w:color="auto" w:sz="8" w:space="0"/>
              <w:right w:val="single" w:color="auto" w:sz="8" w:space="0"/>
            </w:tcBorders>
            <w:shd w:val="clear" w:color="auto" w:fill="auto"/>
            <w:vAlign w:val="top"/>
          </w:tcPr>
          <w:p w14:paraId="355F95B6">
            <w:pPr>
              <w:pStyle w:val="38"/>
              <w:widowControl/>
              <w:rPr>
                <w:rFonts w:hint="default" w:ascii="Times New Roman" w:hAnsi="Times New Roman" w:cs="Times New Roman"/>
                <w:highlight w:val="none"/>
                <w:lang w:val="en-US"/>
              </w:rPr>
            </w:pPr>
            <w:r>
              <w:rPr>
                <w:rFonts w:hint="default" w:ascii="Times New Roman" w:hAnsi="Times New Roman" w:cs="Times New Roman"/>
                <w:highlight w:val="none"/>
              </w:rPr>
              <w:t>产品碳足迹评价报告</w:t>
            </w:r>
          </w:p>
        </w:tc>
      </w:tr>
      <w:tr w14:paraId="1F9A6A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349" w:type="dxa"/>
            <w:vMerge w:val="restart"/>
            <w:tcBorders>
              <w:top w:val="single" w:color="auto" w:sz="8" w:space="0"/>
              <w:left w:val="single" w:color="auto" w:sz="8" w:space="0"/>
              <w:bottom w:val="single" w:color="auto" w:sz="4" w:space="0"/>
              <w:right w:val="single" w:color="auto" w:sz="4" w:space="0"/>
            </w:tcBorders>
            <w:shd w:val="clear" w:color="auto" w:fill="auto"/>
            <w:vAlign w:val="center"/>
          </w:tcPr>
          <w:p w14:paraId="0937F498">
            <w:pPr>
              <w:pStyle w:val="38"/>
              <w:widowControl/>
              <w:rPr>
                <w:rFonts w:hint="default" w:ascii="Times New Roman" w:hAnsi="Times New Roman" w:cs="Times New Roman"/>
                <w:highlight w:val="none"/>
                <w:lang w:val="en-US"/>
              </w:rPr>
            </w:pPr>
            <w:r>
              <w:rPr>
                <w:rFonts w:hint="default" w:ascii="Times New Roman" w:hAnsi="Times New Roman" w:cs="Times New Roman"/>
                <w:highlight w:val="none"/>
              </w:rPr>
              <w:t>申请方</w:t>
            </w:r>
          </w:p>
        </w:tc>
        <w:tc>
          <w:tcPr>
            <w:tcW w:w="1349" w:type="dxa"/>
            <w:tcBorders>
              <w:top w:val="single" w:color="auto" w:sz="8" w:space="0"/>
              <w:left w:val="single" w:color="auto" w:sz="4" w:space="0"/>
              <w:bottom w:val="single" w:color="auto" w:sz="4" w:space="0"/>
              <w:right w:val="single" w:color="auto" w:sz="4" w:space="0"/>
            </w:tcBorders>
            <w:shd w:val="clear" w:color="auto" w:fill="auto"/>
            <w:vAlign w:val="center"/>
          </w:tcPr>
          <w:p w14:paraId="467E426D">
            <w:pPr>
              <w:pStyle w:val="38"/>
              <w:widowControl/>
              <w:rPr>
                <w:rFonts w:hint="default" w:ascii="Times New Roman" w:hAnsi="Times New Roman" w:cs="Times New Roman"/>
                <w:highlight w:val="none"/>
                <w:lang w:val="en-US"/>
              </w:rPr>
            </w:pPr>
            <w:r>
              <w:rPr>
                <w:rFonts w:hint="default" w:ascii="Times New Roman" w:hAnsi="Times New Roman" w:cs="Times New Roman"/>
                <w:highlight w:val="none"/>
              </w:rPr>
              <w:t>名称</w:t>
            </w:r>
          </w:p>
        </w:tc>
        <w:tc>
          <w:tcPr>
            <w:tcW w:w="6636" w:type="dxa"/>
            <w:gridSpan w:val="5"/>
            <w:tcBorders>
              <w:top w:val="single" w:color="auto" w:sz="8" w:space="0"/>
              <w:left w:val="single" w:color="auto" w:sz="4" w:space="0"/>
              <w:bottom w:val="single" w:color="auto" w:sz="4" w:space="0"/>
              <w:right w:val="single" w:color="auto" w:sz="8" w:space="0"/>
            </w:tcBorders>
            <w:shd w:val="clear" w:color="auto" w:fill="auto"/>
            <w:vAlign w:val="center"/>
          </w:tcPr>
          <w:p w14:paraId="09F4B198">
            <w:pPr>
              <w:pStyle w:val="38"/>
              <w:widowControl/>
              <w:rPr>
                <w:rFonts w:hint="default" w:ascii="Times New Roman" w:hAnsi="Times New Roman" w:cs="Times New Roman"/>
                <w:highlight w:val="none"/>
                <w:lang w:val="en-US"/>
              </w:rPr>
            </w:pPr>
          </w:p>
        </w:tc>
      </w:tr>
      <w:tr w14:paraId="189FCE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349"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66B09C33">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14:paraId="60140CB4">
            <w:pPr>
              <w:pStyle w:val="38"/>
              <w:widowControl/>
              <w:rPr>
                <w:rFonts w:hint="default" w:ascii="Times New Roman" w:hAnsi="Times New Roman" w:cs="Times New Roman"/>
                <w:highlight w:val="none"/>
                <w:lang w:val="en-US"/>
              </w:rPr>
            </w:pPr>
            <w:r>
              <w:rPr>
                <w:rFonts w:hint="default" w:ascii="Times New Roman" w:hAnsi="Times New Roman" w:cs="Times New Roman"/>
                <w:highlight w:val="none"/>
              </w:rPr>
              <w:t>地址</w:t>
            </w:r>
          </w:p>
        </w:tc>
        <w:tc>
          <w:tcPr>
            <w:tcW w:w="6636" w:type="dxa"/>
            <w:gridSpan w:val="5"/>
            <w:tcBorders>
              <w:top w:val="single" w:color="auto" w:sz="4" w:space="0"/>
              <w:left w:val="single" w:color="auto" w:sz="4" w:space="0"/>
              <w:bottom w:val="single" w:color="auto" w:sz="4" w:space="0"/>
              <w:right w:val="single" w:color="auto" w:sz="8" w:space="0"/>
            </w:tcBorders>
            <w:shd w:val="clear" w:color="auto" w:fill="auto"/>
            <w:vAlign w:val="center"/>
          </w:tcPr>
          <w:p w14:paraId="11639B9A">
            <w:pPr>
              <w:pStyle w:val="38"/>
              <w:widowControl/>
              <w:rPr>
                <w:rFonts w:hint="default" w:ascii="Times New Roman" w:hAnsi="Times New Roman" w:cs="Times New Roman"/>
                <w:highlight w:val="none"/>
                <w:lang w:val="en-US"/>
              </w:rPr>
            </w:pPr>
          </w:p>
        </w:tc>
      </w:tr>
      <w:tr w14:paraId="6AF828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349"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53EFCCB8">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14:paraId="44673F84">
            <w:pPr>
              <w:pStyle w:val="38"/>
              <w:widowControl/>
              <w:rPr>
                <w:rFonts w:hint="default" w:ascii="Times New Roman" w:hAnsi="Times New Roman" w:cs="Times New Roman"/>
                <w:highlight w:val="none"/>
                <w:lang w:val="en-US"/>
              </w:rPr>
            </w:pPr>
            <w:r>
              <w:rPr>
                <w:rFonts w:hint="default" w:ascii="Times New Roman" w:hAnsi="Times New Roman" w:cs="Times New Roman"/>
                <w:highlight w:val="none"/>
              </w:rPr>
              <w:t>负责人</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center"/>
          </w:tcPr>
          <w:p w14:paraId="6EF639BC">
            <w:pPr>
              <w:pStyle w:val="38"/>
              <w:widowControl/>
              <w:rPr>
                <w:rFonts w:hint="default" w:ascii="Times New Roman" w:hAnsi="Times New Roman" w:cs="Times New Roman"/>
                <w:highlight w:val="none"/>
                <w:lang w:val="en-US"/>
              </w:rPr>
            </w:pP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14:paraId="20F55DD5">
            <w:pPr>
              <w:pStyle w:val="38"/>
              <w:widowControl/>
              <w:rPr>
                <w:rFonts w:hint="default" w:ascii="Times New Roman" w:hAnsi="Times New Roman" w:cs="Times New Roman"/>
                <w:highlight w:val="none"/>
                <w:lang w:val="en-US"/>
              </w:rPr>
            </w:pPr>
            <w:r>
              <w:rPr>
                <w:rFonts w:hint="default" w:ascii="Times New Roman" w:hAnsi="Times New Roman" w:cs="Times New Roman"/>
                <w:highlight w:val="none"/>
              </w:rPr>
              <w:t>电话</w:t>
            </w:r>
          </w:p>
        </w:tc>
        <w:tc>
          <w:tcPr>
            <w:tcW w:w="1322" w:type="dxa"/>
            <w:tcBorders>
              <w:top w:val="single" w:color="auto" w:sz="4" w:space="0"/>
              <w:left w:val="single" w:color="auto" w:sz="4" w:space="0"/>
              <w:bottom w:val="single" w:color="auto" w:sz="4" w:space="0"/>
              <w:right w:val="single" w:color="auto" w:sz="4" w:space="0"/>
            </w:tcBorders>
            <w:shd w:val="clear" w:color="auto" w:fill="auto"/>
            <w:vAlign w:val="top"/>
          </w:tcPr>
          <w:p w14:paraId="1B755457">
            <w:pPr>
              <w:pStyle w:val="38"/>
              <w:widowControl/>
              <w:rPr>
                <w:rFonts w:hint="default" w:ascii="Times New Roman" w:hAnsi="Times New Roman" w:cs="Times New Roman"/>
                <w:highlight w:val="none"/>
                <w:lang w:val="en-US"/>
              </w:rPr>
            </w:pP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646DB3D2">
            <w:pPr>
              <w:pStyle w:val="38"/>
              <w:widowControl/>
              <w:rPr>
                <w:rFonts w:hint="default" w:ascii="Times New Roman" w:hAnsi="Times New Roman" w:cs="Times New Roman"/>
                <w:highlight w:val="none"/>
                <w:lang w:val="en-US"/>
              </w:rPr>
            </w:pPr>
            <w:r>
              <w:rPr>
                <w:rFonts w:hint="default" w:ascii="Times New Roman" w:hAnsi="Times New Roman" w:cs="Times New Roman"/>
                <w:highlight w:val="none"/>
              </w:rPr>
              <w:t>传真</w:t>
            </w:r>
          </w:p>
        </w:tc>
        <w:tc>
          <w:tcPr>
            <w:tcW w:w="1323" w:type="dxa"/>
            <w:tcBorders>
              <w:top w:val="single" w:color="auto" w:sz="4" w:space="0"/>
              <w:left w:val="single" w:color="auto" w:sz="4" w:space="0"/>
              <w:bottom w:val="single" w:color="auto" w:sz="4" w:space="0"/>
              <w:right w:val="single" w:color="auto" w:sz="8" w:space="0"/>
            </w:tcBorders>
            <w:shd w:val="clear" w:color="auto" w:fill="auto"/>
            <w:vAlign w:val="center"/>
          </w:tcPr>
          <w:p w14:paraId="2D70241B">
            <w:pPr>
              <w:pStyle w:val="38"/>
              <w:widowControl/>
              <w:rPr>
                <w:rFonts w:hint="default" w:ascii="Times New Roman" w:hAnsi="Times New Roman" w:cs="Times New Roman"/>
                <w:highlight w:val="none"/>
                <w:lang w:val="en-US"/>
              </w:rPr>
            </w:pPr>
          </w:p>
        </w:tc>
      </w:tr>
      <w:tr w14:paraId="4E3EF3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349"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6D9821EF">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14:paraId="3A8C31FC">
            <w:pPr>
              <w:pStyle w:val="38"/>
              <w:widowControl/>
              <w:rPr>
                <w:rFonts w:hint="default" w:ascii="Times New Roman" w:hAnsi="Times New Roman" w:cs="Times New Roman"/>
                <w:highlight w:val="none"/>
                <w:lang w:val="en-US"/>
              </w:rPr>
            </w:pPr>
            <w:r>
              <w:rPr>
                <w:rFonts w:hint="default" w:ascii="Times New Roman" w:hAnsi="Times New Roman" w:cs="Times New Roman"/>
                <w:highlight w:val="none"/>
              </w:rPr>
              <w:t>联系人</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center"/>
          </w:tcPr>
          <w:p w14:paraId="6BD87766">
            <w:pPr>
              <w:pStyle w:val="38"/>
              <w:widowControl/>
              <w:rPr>
                <w:rFonts w:hint="default" w:ascii="Times New Roman" w:hAnsi="Times New Roman" w:cs="Times New Roman"/>
                <w:highlight w:val="none"/>
                <w:lang w:val="en-US"/>
              </w:rPr>
            </w:pP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14:paraId="04237D24">
            <w:pPr>
              <w:pStyle w:val="38"/>
              <w:widowControl/>
              <w:rPr>
                <w:rFonts w:hint="default" w:ascii="Times New Roman" w:hAnsi="Times New Roman" w:cs="Times New Roman"/>
                <w:highlight w:val="none"/>
                <w:lang w:val="en-US"/>
              </w:rPr>
            </w:pPr>
            <w:r>
              <w:rPr>
                <w:rFonts w:hint="default" w:ascii="Times New Roman" w:hAnsi="Times New Roman" w:cs="Times New Roman"/>
                <w:highlight w:val="none"/>
              </w:rPr>
              <w:t>电话</w:t>
            </w:r>
          </w:p>
        </w:tc>
        <w:tc>
          <w:tcPr>
            <w:tcW w:w="1322" w:type="dxa"/>
            <w:tcBorders>
              <w:top w:val="single" w:color="auto" w:sz="4" w:space="0"/>
              <w:left w:val="single" w:color="auto" w:sz="4" w:space="0"/>
              <w:bottom w:val="single" w:color="auto" w:sz="4" w:space="0"/>
              <w:right w:val="single" w:color="auto" w:sz="4" w:space="0"/>
            </w:tcBorders>
            <w:shd w:val="clear" w:color="auto" w:fill="auto"/>
            <w:vAlign w:val="top"/>
          </w:tcPr>
          <w:p w14:paraId="0B6394EB">
            <w:pPr>
              <w:pStyle w:val="38"/>
              <w:widowControl/>
              <w:rPr>
                <w:rFonts w:hint="default" w:ascii="Times New Roman" w:hAnsi="Times New Roman" w:cs="Times New Roman"/>
                <w:highlight w:val="none"/>
                <w:lang w:val="en-US"/>
              </w:rPr>
            </w:pP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2300F409">
            <w:pPr>
              <w:pStyle w:val="38"/>
              <w:widowControl/>
              <w:rPr>
                <w:rFonts w:hint="default" w:ascii="Times New Roman" w:hAnsi="Times New Roman" w:cs="Times New Roman"/>
                <w:highlight w:val="none"/>
                <w:lang w:val="en-US"/>
              </w:rPr>
            </w:pPr>
            <w:r>
              <w:rPr>
                <w:rFonts w:hint="default" w:ascii="Times New Roman" w:hAnsi="Times New Roman" w:cs="Times New Roman"/>
                <w:highlight w:val="none"/>
              </w:rPr>
              <w:t>邮政编码</w:t>
            </w:r>
          </w:p>
        </w:tc>
        <w:tc>
          <w:tcPr>
            <w:tcW w:w="1323" w:type="dxa"/>
            <w:tcBorders>
              <w:top w:val="single" w:color="auto" w:sz="4" w:space="0"/>
              <w:left w:val="single" w:color="auto" w:sz="4" w:space="0"/>
              <w:bottom w:val="single" w:color="auto" w:sz="4" w:space="0"/>
              <w:right w:val="single" w:color="auto" w:sz="8" w:space="0"/>
            </w:tcBorders>
            <w:shd w:val="clear" w:color="auto" w:fill="auto"/>
            <w:vAlign w:val="center"/>
          </w:tcPr>
          <w:p w14:paraId="4703B143">
            <w:pPr>
              <w:pStyle w:val="38"/>
              <w:widowControl/>
              <w:rPr>
                <w:rFonts w:hint="default" w:ascii="Times New Roman" w:hAnsi="Times New Roman" w:cs="Times New Roman"/>
                <w:highlight w:val="none"/>
                <w:lang w:val="en-US"/>
              </w:rPr>
            </w:pPr>
          </w:p>
        </w:tc>
      </w:tr>
      <w:tr w14:paraId="662AAB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349"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1C84CFFB">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14:paraId="2AB2CCE1">
            <w:pPr>
              <w:pStyle w:val="38"/>
              <w:widowControl/>
              <w:rPr>
                <w:rFonts w:hint="default" w:ascii="Times New Roman" w:hAnsi="Times New Roman" w:cs="Times New Roman"/>
                <w:highlight w:val="none"/>
                <w:lang w:val="en-US"/>
              </w:rPr>
            </w:pPr>
            <w:r>
              <w:rPr>
                <w:rFonts w:hint="default" w:ascii="Times New Roman" w:hAnsi="Times New Roman" w:cs="Times New Roman"/>
                <w:highlight w:val="none"/>
              </w:rPr>
              <w:t>电子邮箱</w:t>
            </w:r>
          </w:p>
        </w:tc>
        <w:tc>
          <w:tcPr>
            <w:tcW w:w="6636" w:type="dxa"/>
            <w:gridSpan w:val="5"/>
            <w:tcBorders>
              <w:top w:val="single" w:color="auto" w:sz="4" w:space="0"/>
              <w:left w:val="single" w:color="auto" w:sz="4" w:space="0"/>
              <w:bottom w:val="single" w:color="auto" w:sz="4" w:space="0"/>
              <w:right w:val="single" w:color="auto" w:sz="8" w:space="0"/>
            </w:tcBorders>
            <w:shd w:val="clear" w:color="auto" w:fill="auto"/>
            <w:vAlign w:val="center"/>
          </w:tcPr>
          <w:p w14:paraId="56DA76C4">
            <w:pPr>
              <w:pStyle w:val="38"/>
              <w:widowControl/>
              <w:rPr>
                <w:rFonts w:hint="default" w:ascii="Times New Roman" w:hAnsi="Times New Roman" w:cs="Times New Roman"/>
                <w:highlight w:val="none"/>
                <w:lang w:val="en-US"/>
              </w:rPr>
            </w:pPr>
          </w:p>
        </w:tc>
      </w:tr>
      <w:tr w14:paraId="1B6714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349"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712436CB">
            <w:pPr>
              <w:pStyle w:val="38"/>
              <w:widowControl/>
              <w:rPr>
                <w:rFonts w:hint="default" w:ascii="Times New Roman" w:hAnsi="Times New Roman" w:cs="Times New Roman"/>
                <w:highlight w:val="none"/>
                <w:lang w:val="en-US"/>
              </w:rPr>
            </w:pPr>
            <w:r>
              <w:rPr>
                <w:rFonts w:hint="default" w:ascii="Times New Roman" w:hAnsi="Times New Roman" w:cs="Times New Roman"/>
                <w:highlight w:val="none"/>
              </w:rPr>
              <w:t>评价结构</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14:paraId="01FB162C">
            <w:pPr>
              <w:pStyle w:val="38"/>
              <w:widowControl/>
              <w:rPr>
                <w:rFonts w:hint="default" w:ascii="Times New Roman" w:hAnsi="Times New Roman" w:cs="Times New Roman"/>
                <w:highlight w:val="none"/>
                <w:lang w:val="en-US"/>
              </w:rPr>
            </w:pPr>
            <w:r>
              <w:rPr>
                <w:rFonts w:hint="default" w:ascii="Times New Roman" w:hAnsi="Times New Roman" w:cs="Times New Roman"/>
                <w:highlight w:val="none"/>
              </w:rPr>
              <w:t>机构名称</w:t>
            </w:r>
          </w:p>
        </w:tc>
        <w:tc>
          <w:tcPr>
            <w:tcW w:w="6636" w:type="dxa"/>
            <w:gridSpan w:val="5"/>
            <w:tcBorders>
              <w:top w:val="single" w:color="auto" w:sz="4" w:space="0"/>
              <w:left w:val="single" w:color="auto" w:sz="4" w:space="0"/>
              <w:bottom w:val="single" w:color="auto" w:sz="4" w:space="0"/>
              <w:right w:val="single" w:color="auto" w:sz="8" w:space="0"/>
            </w:tcBorders>
            <w:shd w:val="clear" w:color="auto" w:fill="auto"/>
            <w:vAlign w:val="center"/>
          </w:tcPr>
          <w:p w14:paraId="162155CB">
            <w:pPr>
              <w:pStyle w:val="38"/>
              <w:widowControl/>
              <w:rPr>
                <w:rFonts w:hint="default" w:ascii="Times New Roman" w:hAnsi="Times New Roman" w:cs="Times New Roman"/>
                <w:highlight w:val="none"/>
                <w:lang w:val="en-US"/>
              </w:rPr>
            </w:pPr>
          </w:p>
        </w:tc>
      </w:tr>
      <w:tr w14:paraId="1C760A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349"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71FD0D0F">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14:paraId="4402CC8D">
            <w:pPr>
              <w:pStyle w:val="38"/>
              <w:widowControl/>
              <w:rPr>
                <w:rFonts w:hint="default" w:ascii="Times New Roman" w:hAnsi="Times New Roman" w:cs="Times New Roman"/>
                <w:highlight w:val="none"/>
                <w:lang w:val="en-US"/>
              </w:rPr>
            </w:pPr>
            <w:r>
              <w:rPr>
                <w:rFonts w:hint="default" w:ascii="Times New Roman" w:hAnsi="Times New Roman" w:cs="Times New Roman"/>
                <w:highlight w:val="none"/>
              </w:rPr>
              <w:t>地址</w:t>
            </w:r>
          </w:p>
        </w:tc>
        <w:tc>
          <w:tcPr>
            <w:tcW w:w="6636" w:type="dxa"/>
            <w:gridSpan w:val="5"/>
            <w:tcBorders>
              <w:top w:val="single" w:color="auto" w:sz="4" w:space="0"/>
              <w:left w:val="single" w:color="auto" w:sz="4" w:space="0"/>
              <w:bottom w:val="single" w:color="auto" w:sz="4" w:space="0"/>
              <w:right w:val="single" w:color="auto" w:sz="8" w:space="0"/>
            </w:tcBorders>
            <w:shd w:val="clear" w:color="auto" w:fill="auto"/>
            <w:vAlign w:val="center"/>
          </w:tcPr>
          <w:p w14:paraId="3749FF48">
            <w:pPr>
              <w:pStyle w:val="38"/>
              <w:widowControl/>
              <w:rPr>
                <w:rFonts w:hint="default" w:ascii="Times New Roman" w:hAnsi="Times New Roman" w:cs="Times New Roman"/>
                <w:highlight w:val="none"/>
                <w:lang w:val="en-US"/>
              </w:rPr>
            </w:pPr>
          </w:p>
        </w:tc>
      </w:tr>
      <w:tr w14:paraId="796C45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349"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2112F9B9">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14:paraId="4D93B72E">
            <w:pPr>
              <w:pStyle w:val="38"/>
              <w:widowControl/>
              <w:rPr>
                <w:rFonts w:hint="default" w:ascii="Times New Roman" w:hAnsi="Times New Roman" w:cs="Times New Roman"/>
                <w:highlight w:val="none"/>
                <w:lang w:val="en-US"/>
              </w:rPr>
            </w:pPr>
            <w:r>
              <w:rPr>
                <w:rFonts w:hint="default" w:ascii="Times New Roman" w:hAnsi="Times New Roman" w:cs="Times New Roman"/>
                <w:highlight w:val="none"/>
              </w:rPr>
              <w:t>负责人</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center"/>
          </w:tcPr>
          <w:p w14:paraId="736BE50D">
            <w:pPr>
              <w:pStyle w:val="38"/>
              <w:widowControl/>
              <w:rPr>
                <w:rFonts w:hint="default" w:ascii="Times New Roman" w:hAnsi="Times New Roman" w:cs="Times New Roman"/>
                <w:highlight w:val="none"/>
                <w:lang w:val="en-US"/>
              </w:rPr>
            </w:pP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14:paraId="33B61F63">
            <w:pPr>
              <w:pStyle w:val="38"/>
              <w:widowControl/>
              <w:rPr>
                <w:rFonts w:hint="default" w:ascii="Times New Roman" w:hAnsi="Times New Roman" w:cs="Times New Roman"/>
                <w:highlight w:val="none"/>
                <w:lang w:val="en-US"/>
              </w:rPr>
            </w:pPr>
            <w:r>
              <w:rPr>
                <w:rFonts w:hint="default" w:ascii="Times New Roman" w:hAnsi="Times New Roman" w:cs="Times New Roman"/>
                <w:highlight w:val="none"/>
              </w:rPr>
              <w:t>电话</w:t>
            </w:r>
          </w:p>
        </w:tc>
        <w:tc>
          <w:tcPr>
            <w:tcW w:w="1322" w:type="dxa"/>
            <w:tcBorders>
              <w:top w:val="single" w:color="auto" w:sz="4" w:space="0"/>
              <w:left w:val="single" w:color="auto" w:sz="4" w:space="0"/>
              <w:bottom w:val="single" w:color="auto" w:sz="4" w:space="0"/>
              <w:right w:val="single" w:color="auto" w:sz="4" w:space="0"/>
            </w:tcBorders>
            <w:shd w:val="clear" w:color="auto" w:fill="auto"/>
            <w:vAlign w:val="top"/>
          </w:tcPr>
          <w:p w14:paraId="633E05EA">
            <w:pPr>
              <w:pStyle w:val="38"/>
              <w:widowControl/>
              <w:rPr>
                <w:rFonts w:hint="default" w:ascii="Times New Roman" w:hAnsi="Times New Roman" w:cs="Times New Roman"/>
                <w:highlight w:val="none"/>
                <w:lang w:val="en-US"/>
              </w:rPr>
            </w:pP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5056E8C0">
            <w:pPr>
              <w:pStyle w:val="38"/>
              <w:widowControl/>
              <w:rPr>
                <w:rFonts w:hint="default" w:ascii="Times New Roman" w:hAnsi="Times New Roman" w:cs="Times New Roman"/>
                <w:highlight w:val="none"/>
                <w:lang w:val="en-US"/>
              </w:rPr>
            </w:pPr>
            <w:r>
              <w:rPr>
                <w:rFonts w:hint="default" w:ascii="Times New Roman" w:hAnsi="Times New Roman" w:cs="Times New Roman"/>
                <w:highlight w:val="none"/>
              </w:rPr>
              <w:t>传真</w:t>
            </w:r>
          </w:p>
        </w:tc>
        <w:tc>
          <w:tcPr>
            <w:tcW w:w="1323" w:type="dxa"/>
            <w:tcBorders>
              <w:top w:val="single" w:color="auto" w:sz="4" w:space="0"/>
              <w:left w:val="single" w:color="auto" w:sz="4" w:space="0"/>
              <w:bottom w:val="single" w:color="auto" w:sz="4" w:space="0"/>
              <w:right w:val="single" w:color="auto" w:sz="8" w:space="0"/>
            </w:tcBorders>
            <w:shd w:val="clear" w:color="auto" w:fill="auto"/>
            <w:vAlign w:val="center"/>
          </w:tcPr>
          <w:p w14:paraId="6E859BAE">
            <w:pPr>
              <w:pStyle w:val="38"/>
              <w:widowControl/>
              <w:rPr>
                <w:rFonts w:hint="default" w:ascii="Times New Roman" w:hAnsi="Times New Roman" w:cs="Times New Roman"/>
                <w:highlight w:val="none"/>
                <w:lang w:val="en-US"/>
              </w:rPr>
            </w:pPr>
          </w:p>
        </w:tc>
      </w:tr>
      <w:tr w14:paraId="448193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349"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58B9CFA2">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14:paraId="0BB85F38">
            <w:pPr>
              <w:pStyle w:val="38"/>
              <w:widowControl/>
              <w:rPr>
                <w:rFonts w:hint="default" w:ascii="Times New Roman" w:hAnsi="Times New Roman" w:cs="Times New Roman"/>
                <w:highlight w:val="none"/>
                <w:lang w:val="en-US"/>
              </w:rPr>
            </w:pPr>
            <w:r>
              <w:rPr>
                <w:rFonts w:hint="default" w:ascii="Times New Roman" w:hAnsi="Times New Roman" w:cs="Times New Roman"/>
                <w:highlight w:val="none"/>
              </w:rPr>
              <w:t>联系人</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center"/>
          </w:tcPr>
          <w:p w14:paraId="0BA7921C">
            <w:pPr>
              <w:pStyle w:val="38"/>
              <w:widowControl/>
              <w:rPr>
                <w:rFonts w:hint="default" w:ascii="Times New Roman" w:hAnsi="Times New Roman" w:cs="Times New Roman"/>
                <w:highlight w:val="none"/>
                <w:lang w:val="en-US"/>
              </w:rPr>
            </w:pP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14:paraId="61C865F6">
            <w:pPr>
              <w:pStyle w:val="38"/>
              <w:widowControl/>
              <w:rPr>
                <w:rFonts w:hint="default" w:ascii="Times New Roman" w:hAnsi="Times New Roman" w:cs="Times New Roman"/>
                <w:highlight w:val="none"/>
                <w:lang w:val="en-US"/>
              </w:rPr>
            </w:pPr>
            <w:r>
              <w:rPr>
                <w:rFonts w:hint="default" w:ascii="Times New Roman" w:hAnsi="Times New Roman" w:cs="Times New Roman"/>
                <w:highlight w:val="none"/>
              </w:rPr>
              <w:t>电话</w:t>
            </w:r>
          </w:p>
        </w:tc>
        <w:tc>
          <w:tcPr>
            <w:tcW w:w="1322" w:type="dxa"/>
            <w:tcBorders>
              <w:top w:val="single" w:color="auto" w:sz="4" w:space="0"/>
              <w:left w:val="single" w:color="auto" w:sz="4" w:space="0"/>
              <w:bottom w:val="single" w:color="auto" w:sz="4" w:space="0"/>
              <w:right w:val="single" w:color="auto" w:sz="4" w:space="0"/>
            </w:tcBorders>
            <w:shd w:val="clear" w:color="auto" w:fill="auto"/>
            <w:vAlign w:val="top"/>
          </w:tcPr>
          <w:p w14:paraId="04B9AA48">
            <w:pPr>
              <w:pStyle w:val="38"/>
              <w:widowControl/>
              <w:rPr>
                <w:rFonts w:hint="default" w:ascii="Times New Roman" w:hAnsi="Times New Roman" w:cs="Times New Roman"/>
                <w:highlight w:val="none"/>
                <w:lang w:val="en-US"/>
              </w:rPr>
            </w:pP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52CB693C">
            <w:pPr>
              <w:pStyle w:val="38"/>
              <w:widowControl/>
              <w:rPr>
                <w:rFonts w:hint="default" w:ascii="Times New Roman" w:hAnsi="Times New Roman" w:cs="Times New Roman"/>
                <w:highlight w:val="none"/>
                <w:lang w:val="en-US"/>
              </w:rPr>
            </w:pPr>
            <w:r>
              <w:rPr>
                <w:rFonts w:hint="default" w:ascii="Times New Roman" w:hAnsi="Times New Roman" w:cs="Times New Roman"/>
                <w:highlight w:val="none"/>
              </w:rPr>
              <w:t>邮政编码</w:t>
            </w:r>
          </w:p>
        </w:tc>
        <w:tc>
          <w:tcPr>
            <w:tcW w:w="1323" w:type="dxa"/>
            <w:tcBorders>
              <w:top w:val="single" w:color="auto" w:sz="4" w:space="0"/>
              <w:left w:val="single" w:color="auto" w:sz="4" w:space="0"/>
              <w:bottom w:val="single" w:color="auto" w:sz="4" w:space="0"/>
              <w:right w:val="single" w:color="auto" w:sz="8" w:space="0"/>
            </w:tcBorders>
            <w:shd w:val="clear" w:color="auto" w:fill="auto"/>
            <w:vAlign w:val="center"/>
          </w:tcPr>
          <w:p w14:paraId="07BFF55A">
            <w:pPr>
              <w:pStyle w:val="38"/>
              <w:widowControl/>
              <w:rPr>
                <w:rFonts w:hint="default" w:ascii="Times New Roman" w:hAnsi="Times New Roman" w:cs="Times New Roman"/>
                <w:highlight w:val="none"/>
                <w:lang w:val="en-US"/>
              </w:rPr>
            </w:pPr>
          </w:p>
        </w:tc>
      </w:tr>
      <w:tr w14:paraId="523ECD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349"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059E5DC2">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14:paraId="76C1F8E2">
            <w:pPr>
              <w:pStyle w:val="38"/>
              <w:widowControl/>
              <w:rPr>
                <w:rFonts w:hint="default" w:ascii="Times New Roman" w:hAnsi="Times New Roman" w:cs="Times New Roman"/>
                <w:highlight w:val="none"/>
                <w:lang w:val="en-US"/>
              </w:rPr>
            </w:pPr>
            <w:r>
              <w:rPr>
                <w:rFonts w:hint="default" w:ascii="Times New Roman" w:hAnsi="Times New Roman" w:cs="Times New Roman"/>
                <w:highlight w:val="none"/>
              </w:rPr>
              <w:t>电子邮箱</w:t>
            </w:r>
          </w:p>
        </w:tc>
        <w:tc>
          <w:tcPr>
            <w:tcW w:w="6636" w:type="dxa"/>
            <w:gridSpan w:val="5"/>
            <w:tcBorders>
              <w:top w:val="single" w:color="auto" w:sz="4" w:space="0"/>
              <w:left w:val="single" w:color="auto" w:sz="4" w:space="0"/>
              <w:bottom w:val="single" w:color="auto" w:sz="4" w:space="0"/>
              <w:right w:val="single" w:color="auto" w:sz="8" w:space="0"/>
            </w:tcBorders>
            <w:shd w:val="clear" w:color="auto" w:fill="auto"/>
            <w:vAlign w:val="center"/>
          </w:tcPr>
          <w:p w14:paraId="4D889D5F">
            <w:pPr>
              <w:pStyle w:val="38"/>
              <w:widowControl/>
              <w:rPr>
                <w:rFonts w:hint="default" w:ascii="Times New Roman" w:hAnsi="Times New Roman" w:cs="Times New Roman"/>
                <w:highlight w:val="none"/>
                <w:lang w:val="en-US"/>
              </w:rPr>
            </w:pPr>
          </w:p>
        </w:tc>
      </w:tr>
      <w:tr w14:paraId="7EBDC9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9334" w:type="dxa"/>
            <w:gridSpan w:val="7"/>
            <w:tcBorders>
              <w:top w:val="single" w:color="auto" w:sz="4" w:space="0"/>
              <w:left w:val="single" w:color="auto" w:sz="8" w:space="0"/>
              <w:bottom w:val="single" w:color="auto" w:sz="4" w:space="0"/>
              <w:right w:val="single" w:color="auto" w:sz="8" w:space="0"/>
            </w:tcBorders>
            <w:shd w:val="clear" w:color="auto" w:fill="auto"/>
            <w:vAlign w:val="center"/>
          </w:tcPr>
          <w:p w14:paraId="058D0979">
            <w:pPr>
              <w:pStyle w:val="38"/>
              <w:widowControl/>
              <w:rPr>
                <w:rFonts w:hint="default" w:ascii="Times New Roman" w:hAnsi="Times New Roman" w:cs="Times New Roman"/>
                <w:highlight w:val="none"/>
                <w:lang w:val="en-US"/>
              </w:rPr>
            </w:pPr>
            <w:r>
              <w:rPr>
                <w:rFonts w:hint="default" w:ascii="Times New Roman" w:hAnsi="Times New Roman" w:cs="Times New Roman"/>
                <w:highlight w:val="none"/>
              </w:rPr>
              <w:t>产品信息</w:t>
            </w:r>
          </w:p>
        </w:tc>
      </w:tr>
      <w:tr w14:paraId="69575C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731" w:hRule="atLeast"/>
          <w:jc w:val="center"/>
        </w:trPr>
        <w:tc>
          <w:tcPr>
            <w:tcW w:w="9334" w:type="dxa"/>
            <w:gridSpan w:val="7"/>
            <w:tcBorders>
              <w:top w:val="single" w:color="auto" w:sz="4" w:space="0"/>
              <w:left w:val="single" w:color="auto" w:sz="8" w:space="0"/>
              <w:bottom w:val="single" w:color="auto" w:sz="4" w:space="0"/>
              <w:right w:val="single" w:color="auto" w:sz="8" w:space="0"/>
            </w:tcBorders>
            <w:shd w:val="clear" w:color="auto" w:fill="auto"/>
            <w:vAlign w:val="center"/>
          </w:tcPr>
          <w:p w14:paraId="1EF7B602">
            <w:pPr>
              <w:pStyle w:val="38"/>
              <w:widowControl/>
              <w:jc w:val="left"/>
              <w:rPr>
                <w:rFonts w:hint="default" w:ascii="Times New Roman" w:hAnsi="Times New Roman" w:cs="Times New Roman"/>
                <w:highlight w:val="none"/>
                <w:lang w:val="en-US"/>
              </w:rPr>
            </w:pPr>
            <w:r>
              <w:rPr>
                <w:rFonts w:hint="default" w:ascii="Times New Roman" w:hAnsi="Times New Roman" w:cs="Times New Roman"/>
                <w:highlight w:val="none"/>
              </w:rPr>
              <w:t>（包括但不限于产品名称、产品介绍等内容）</w:t>
            </w:r>
          </w:p>
        </w:tc>
      </w:tr>
      <w:tr w14:paraId="36649E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9334" w:type="dxa"/>
            <w:gridSpan w:val="7"/>
            <w:tcBorders>
              <w:top w:val="single" w:color="auto" w:sz="4" w:space="0"/>
              <w:left w:val="single" w:color="auto" w:sz="8" w:space="0"/>
              <w:bottom w:val="single" w:color="auto" w:sz="4" w:space="0"/>
              <w:right w:val="single" w:color="auto" w:sz="8" w:space="0"/>
            </w:tcBorders>
            <w:shd w:val="clear" w:color="auto" w:fill="auto"/>
            <w:vAlign w:val="center"/>
          </w:tcPr>
          <w:p w14:paraId="4347F42F">
            <w:pPr>
              <w:pStyle w:val="38"/>
              <w:widowControl/>
              <w:rPr>
                <w:rFonts w:hint="default" w:ascii="Times New Roman" w:hAnsi="Times New Roman" w:cs="Times New Roman"/>
                <w:highlight w:val="none"/>
                <w:lang w:val="en-US"/>
              </w:rPr>
            </w:pPr>
            <w:r>
              <w:rPr>
                <w:rFonts w:hint="default" w:ascii="Times New Roman" w:hAnsi="Times New Roman" w:cs="Times New Roman"/>
                <w:highlight w:val="none"/>
              </w:rPr>
              <w:t>系统边界</w:t>
            </w:r>
          </w:p>
        </w:tc>
      </w:tr>
      <w:tr w14:paraId="1EC76F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747" w:hRule="atLeast"/>
          <w:jc w:val="center"/>
        </w:trPr>
        <w:tc>
          <w:tcPr>
            <w:tcW w:w="9334" w:type="dxa"/>
            <w:gridSpan w:val="7"/>
            <w:tcBorders>
              <w:top w:val="single" w:color="auto" w:sz="4" w:space="0"/>
              <w:left w:val="single" w:color="auto" w:sz="8" w:space="0"/>
              <w:bottom w:val="single" w:color="auto" w:sz="4" w:space="0"/>
              <w:right w:val="single" w:color="auto" w:sz="8" w:space="0"/>
            </w:tcBorders>
            <w:shd w:val="clear" w:color="auto" w:fill="auto"/>
            <w:vAlign w:val="center"/>
          </w:tcPr>
          <w:p w14:paraId="32EA3CDF">
            <w:pPr>
              <w:pStyle w:val="38"/>
              <w:widowControl/>
              <w:jc w:val="left"/>
              <w:rPr>
                <w:rFonts w:hint="default" w:ascii="Times New Roman" w:hAnsi="Times New Roman" w:cs="Times New Roman"/>
                <w:highlight w:val="none"/>
                <w:lang w:val="en-US"/>
              </w:rPr>
            </w:pPr>
            <w:r>
              <w:rPr>
                <w:rFonts w:hint="default" w:ascii="Times New Roman" w:hAnsi="Times New Roman" w:cs="Times New Roman"/>
                <w:highlight w:val="none"/>
              </w:rPr>
              <w:t>（包括但不限于产品生命周期阶段定义、时间周期、地理范围、排放源类型等内容）</w:t>
            </w:r>
          </w:p>
        </w:tc>
      </w:tr>
      <w:tr w14:paraId="408D3C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9334" w:type="dxa"/>
            <w:gridSpan w:val="7"/>
            <w:tcBorders>
              <w:top w:val="single" w:color="auto" w:sz="4" w:space="0"/>
              <w:left w:val="single" w:color="auto" w:sz="8" w:space="0"/>
              <w:bottom w:val="single" w:color="auto" w:sz="4" w:space="0"/>
              <w:right w:val="single" w:color="auto" w:sz="8" w:space="0"/>
            </w:tcBorders>
            <w:shd w:val="clear" w:color="auto" w:fill="auto"/>
            <w:vAlign w:val="center"/>
          </w:tcPr>
          <w:p w14:paraId="49C10596">
            <w:pPr>
              <w:pStyle w:val="38"/>
              <w:widowControl/>
              <w:rPr>
                <w:rFonts w:hint="default" w:ascii="Times New Roman" w:hAnsi="Times New Roman" w:cs="Times New Roman"/>
                <w:highlight w:val="none"/>
                <w:lang w:val="en-US"/>
              </w:rPr>
            </w:pPr>
            <w:r>
              <w:rPr>
                <w:rFonts w:hint="default" w:ascii="Times New Roman" w:hAnsi="Times New Roman" w:cs="Times New Roman"/>
                <w:highlight w:val="none"/>
              </w:rPr>
              <w:t>碳足迹计算方法</w:t>
            </w:r>
          </w:p>
        </w:tc>
      </w:tr>
      <w:tr w14:paraId="6CFF8C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877" w:hRule="atLeast"/>
          <w:jc w:val="center"/>
        </w:trPr>
        <w:tc>
          <w:tcPr>
            <w:tcW w:w="9334" w:type="dxa"/>
            <w:gridSpan w:val="7"/>
            <w:tcBorders>
              <w:top w:val="single" w:color="auto" w:sz="4" w:space="0"/>
              <w:left w:val="single" w:color="auto" w:sz="8" w:space="0"/>
              <w:bottom w:val="single" w:color="auto" w:sz="4" w:space="0"/>
              <w:right w:val="single" w:color="auto" w:sz="8" w:space="0"/>
            </w:tcBorders>
            <w:shd w:val="clear" w:color="auto" w:fill="auto"/>
            <w:vAlign w:val="center"/>
          </w:tcPr>
          <w:p w14:paraId="4A43A85E">
            <w:pPr>
              <w:pStyle w:val="38"/>
              <w:widowControl/>
              <w:jc w:val="left"/>
              <w:rPr>
                <w:rFonts w:hint="default" w:ascii="Times New Roman" w:hAnsi="Times New Roman" w:cs="Times New Roman"/>
                <w:highlight w:val="none"/>
                <w:lang w:val="en-US"/>
              </w:rPr>
            </w:pPr>
            <w:r>
              <w:rPr>
                <w:rFonts w:hint="default" w:ascii="Times New Roman" w:hAnsi="Times New Roman" w:cs="Times New Roman"/>
                <w:highlight w:val="none"/>
              </w:rPr>
              <w:t>（包括但不限于各种排放源的计算公式，如电力排放计算公式等内容）</w:t>
            </w:r>
          </w:p>
        </w:tc>
      </w:tr>
      <w:tr w14:paraId="31D897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9334" w:type="dxa"/>
            <w:gridSpan w:val="7"/>
            <w:tcBorders>
              <w:top w:val="single" w:color="auto" w:sz="4" w:space="0"/>
              <w:left w:val="single" w:color="auto" w:sz="8" w:space="0"/>
              <w:bottom w:val="single" w:color="auto" w:sz="4" w:space="0"/>
              <w:right w:val="single" w:color="auto" w:sz="8" w:space="0"/>
            </w:tcBorders>
            <w:shd w:val="clear" w:color="auto" w:fill="auto"/>
            <w:vAlign w:val="center"/>
          </w:tcPr>
          <w:p w14:paraId="5265A490">
            <w:pPr>
              <w:pStyle w:val="38"/>
              <w:widowControl/>
              <w:rPr>
                <w:rFonts w:hint="default" w:ascii="Times New Roman" w:hAnsi="Times New Roman" w:cs="Times New Roman"/>
                <w:highlight w:val="none"/>
                <w:lang w:val="en-US"/>
              </w:rPr>
            </w:pPr>
            <w:r>
              <w:rPr>
                <w:rFonts w:hint="default" w:ascii="Times New Roman" w:hAnsi="Times New Roman" w:cs="Times New Roman"/>
                <w:highlight w:val="none"/>
              </w:rPr>
              <w:t>碳足迹核算</w:t>
            </w:r>
          </w:p>
        </w:tc>
      </w:tr>
      <w:tr w14:paraId="5289D4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865" w:hRule="atLeast"/>
          <w:jc w:val="center"/>
        </w:trPr>
        <w:tc>
          <w:tcPr>
            <w:tcW w:w="9334" w:type="dxa"/>
            <w:gridSpan w:val="7"/>
            <w:tcBorders>
              <w:top w:val="single" w:color="auto" w:sz="4" w:space="0"/>
              <w:left w:val="single" w:color="auto" w:sz="8" w:space="0"/>
              <w:bottom w:val="single" w:color="auto" w:sz="4" w:space="0"/>
              <w:right w:val="single" w:color="auto" w:sz="8" w:space="0"/>
            </w:tcBorders>
            <w:shd w:val="clear" w:color="auto" w:fill="auto"/>
            <w:vAlign w:val="center"/>
          </w:tcPr>
          <w:p w14:paraId="70D30BB9">
            <w:pPr>
              <w:pStyle w:val="38"/>
              <w:widowControl/>
              <w:jc w:val="left"/>
              <w:rPr>
                <w:rFonts w:hint="default" w:ascii="Times New Roman" w:hAnsi="Times New Roman" w:cs="Times New Roman"/>
                <w:highlight w:val="none"/>
                <w:lang w:val="en-US"/>
              </w:rPr>
            </w:pPr>
            <w:r>
              <w:rPr>
                <w:rFonts w:hint="default" w:ascii="Times New Roman" w:hAnsi="Times New Roman" w:cs="Times New Roman"/>
                <w:highlight w:val="none"/>
              </w:rPr>
              <w:t>（包括但不限于各阶段排放源计算程序、活动数据收集及排放系数来源说明、产品生命周期碳足迹结果及说明等内容）</w:t>
            </w:r>
          </w:p>
        </w:tc>
      </w:tr>
      <w:tr w14:paraId="4B35EF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9334" w:type="dxa"/>
            <w:gridSpan w:val="7"/>
            <w:tcBorders>
              <w:top w:val="single" w:color="auto" w:sz="4" w:space="0"/>
              <w:left w:val="single" w:color="auto" w:sz="8" w:space="0"/>
              <w:bottom w:val="single" w:color="auto" w:sz="4" w:space="0"/>
              <w:right w:val="single" w:color="auto" w:sz="8" w:space="0"/>
            </w:tcBorders>
            <w:shd w:val="clear" w:color="auto" w:fill="auto"/>
            <w:vAlign w:val="center"/>
          </w:tcPr>
          <w:p w14:paraId="06068249">
            <w:pPr>
              <w:pStyle w:val="38"/>
              <w:widowControl/>
              <w:rPr>
                <w:rFonts w:hint="default" w:ascii="Times New Roman" w:hAnsi="Times New Roman" w:cs="Times New Roman"/>
                <w:highlight w:val="none"/>
                <w:lang w:val="en-US"/>
              </w:rPr>
            </w:pPr>
            <w:r>
              <w:rPr>
                <w:rFonts w:hint="default" w:ascii="Times New Roman" w:hAnsi="Times New Roman" w:cs="Times New Roman"/>
                <w:highlight w:val="none"/>
              </w:rPr>
              <w:t>报告管理和保存</w:t>
            </w:r>
          </w:p>
        </w:tc>
      </w:tr>
      <w:tr w14:paraId="6EB239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753" w:hRule="atLeast"/>
          <w:jc w:val="center"/>
        </w:trPr>
        <w:tc>
          <w:tcPr>
            <w:tcW w:w="9334" w:type="dxa"/>
            <w:gridSpan w:val="7"/>
            <w:tcBorders>
              <w:top w:val="single" w:color="auto" w:sz="4" w:space="0"/>
              <w:left w:val="single" w:color="auto" w:sz="8" w:space="0"/>
              <w:bottom w:val="single" w:color="auto" w:sz="4" w:space="0"/>
              <w:right w:val="single" w:color="auto" w:sz="8" w:space="0"/>
            </w:tcBorders>
            <w:shd w:val="clear" w:color="auto" w:fill="auto"/>
            <w:vAlign w:val="center"/>
          </w:tcPr>
          <w:p w14:paraId="5E38B0F9">
            <w:pPr>
              <w:pStyle w:val="38"/>
              <w:widowControl/>
              <w:jc w:val="left"/>
              <w:rPr>
                <w:rFonts w:hint="default" w:ascii="Times New Roman" w:hAnsi="Times New Roman" w:cs="Times New Roman"/>
                <w:highlight w:val="none"/>
                <w:lang w:val="en-US"/>
              </w:rPr>
            </w:pPr>
            <w:r>
              <w:rPr>
                <w:rFonts w:hint="default" w:ascii="Times New Roman" w:hAnsi="Times New Roman" w:cs="Times New Roman"/>
                <w:highlight w:val="none"/>
              </w:rPr>
              <w:t>（对报告的使用这、管理保存方法、有效期、保密性等内容）</w:t>
            </w:r>
          </w:p>
        </w:tc>
      </w:tr>
      <w:tr w14:paraId="1BAE75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9334" w:type="dxa"/>
            <w:gridSpan w:val="7"/>
            <w:tcBorders>
              <w:top w:val="single" w:color="auto" w:sz="4" w:space="0"/>
              <w:left w:val="single" w:color="auto" w:sz="8" w:space="0"/>
              <w:bottom w:val="single" w:color="auto" w:sz="4" w:space="0"/>
              <w:right w:val="single" w:color="auto" w:sz="8" w:space="0"/>
            </w:tcBorders>
            <w:shd w:val="clear" w:color="auto" w:fill="auto"/>
            <w:vAlign w:val="center"/>
          </w:tcPr>
          <w:p w14:paraId="1CB671EB">
            <w:pPr>
              <w:pStyle w:val="38"/>
              <w:widowControl/>
              <w:rPr>
                <w:rFonts w:hint="default" w:ascii="Times New Roman" w:hAnsi="Times New Roman" w:cs="Times New Roman"/>
                <w:highlight w:val="none"/>
                <w:lang w:val="en-US"/>
              </w:rPr>
            </w:pPr>
            <w:r>
              <w:rPr>
                <w:rFonts w:hint="default" w:ascii="Times New Roman" w:hAnsi="Times New Roman" w:cs="Times New Roman"/>
                <w:highlight w:val="none"/>
              </w:rPr>
              <w:t>参考文献</w:t>
            </w:r>
          </w:p>
        </w:tc>
      </w:tr>
      <w:tr w14:paraId="5E730C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828" w:hRule="atLeast"/>
          <w:jc w:val="center"/>
        </w:trPr>
        <w:tc>
          <w:tcPr>
            <w:tcW w:w="9334" w:type="dxa"/>
            <w:gridSpan w:val="7"/>
            <w:tcBorders>
              <w:top w:val="single" w:color="auto" w:sz="4" w:space="0"/>
              <w:left w:val="single" w:color="auto" w:sz="8" w:space="0"/>
              <w:bottom w:val="single" w:color="auto" w:sz="4" w:space="0"/>
              <w:right w:val="single" w:color="auto" w:sz="8" w:space="0"/>
            </w:tcBorders>
            <w:shd w:val="clear" w:color="auto" w:fill="auto"/>
            <w:vAlign w:val="center"/>
          </w:tcPr>
          <w:p w14:paraId="3C1AB819">
            <w:pPr>
              <w:pStyle w:val="38"/>
              <w:widowControl/>
              <w:jc w:val="left"/>
              <w:rPr>
                <w:rFonts w:hint="default" w:ascii="Times New Roman" w:hAnsi="Times New Roman" w:cs="Times New Roman"/>
                <w:highlight w:val="none"/>
                <w:lang w:val="en-US"/>
              </w:rPr>
            </w:pPr>
            <w:r>
              <w:rPr>
                <w:rFonts w:hint="default" w:ascii="Times New Roman" w:hAnsi="Times New Roman" w:cs="Times New Roman"/>
                <w:highlight w:val="none"/>
              </w:rPr>
              <w:t>（报告涉及到的所有参考文献说明等内容）</w:t>
            </w:r>
          </w:p>
        </w:tc>
      </w:tr>
      <w:tr w14:paraId="468D3D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9334" w:type="dxa"/>
            <w:gridSpan w:val="7"/>
            <w:tcBorders>
              <w:top w:val="single" w:color="auto" w:sz="4" w:space="0"/>
              <w:left w:val="single" w:color="auto" w:sz="8" w:space="0"/>
              <w:bottom w:val="single" w:color="auto" w:sz="4" w:space="0"/>
              <w:right w:val="single" w:color="auto" w:sz="8" w:space="0"/>
            </w:tcBorders>
            <w:shd w:val="clear" w:color="auto" w:fill="auto"/>
            <w:vAlign w:val="center"/>
          </w:tcPr>
          <w:p w14:paraId="367FF750">
            <w:pPr>
              <w:pStyle w:val="38"/>
              <w:widowControl/>
              <w:rPr>
                <w:rFonts w:hint="default" w:ascii="Times New Roman" w:hAnsi="Times New Roman" w:cs="Times New Roman"/>
                <w:highlight w:val="none"/>
                <w:lang w:val="en-US"/>
              </w:rPr>
            </w:pPr>
            <w:r>
              <w:rPr>
                <w:rFonts w:hint="default" w:ascii="Times New Roman" w:hAnsi="Times New Roman" w:cs="Times New Roman"/>
                <w:highlight w:val="none"/>
              </w:rPr>
              <w:t>支持性文献</w:t>
            </w:r>
          </w:p>
        </w:tc>
      </w:tr>
      <w:tr w14:paraId="09ACDC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65" w:hRule="atLeast"/>
          <w:jc w:val="center"/>
        </w:trPr>
        <w:tc>
          <w:tcPr>
            <w:tcW w:w="9334" w:type="dxa"/>
            <w:gridSpan w:val="7"/>
            <w:tcBorders>
              <w:top w:val="single" w:color="auto" w:sz="4" w:space="0"/>
              <w:left w:val="single" w:color="auto" w:sz="8" w:space="0"/>
              <w:bottom w:val="single" w:color="auto" w:sz="4" w:space="0"/>
              <w:right w:val="single" w:color="auto" w:sz="8" w:space="0"/>
            </w:tcBorders>
            <w:shd w:val="clear" w:color="auto" w:fill="auto"/>
            <w:vAlign w:val="center"/>
          </w:tcPr>
          <w:p w14:paraId="7F670A58">
            <w:pPr>
              <w:pStyle w:val="38"/>
              <w:widowControl/>
              <w:jc w:val="left"/>
              <w:rPr>
                <w:rFonts w:hint="default" w:ascii="Times New Roman" w:hAnsi="Times New Roman" w:cs="Times New Roman"/>
                <w:highlight w:val="none"/>
                <w:lang w:val="en-US"/>
              </w:rPr>
            </w:pPr>
            <w:r>
              <w:rPr>
                <w:rFonts w:hint="default" w:ascii="Times New Roman" w:hAnsi="Times New Roman" w:cs="Times New Roman"/>
                <w:highlight w:val="none"/>
              </w:rPr>
              <w:t>（报告涉及的相关支持材料清单及附件等内容）</w:t>
            </w:r>
          </w:p>
        </w:tc>
      </w:tr>
      <w:tr w14:paraId="137399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9334" w:type="dxa"/>
            <w:gridSpan w:val="7"/>
            <w:tcBorders>
              <w:top w:val="single" w:color="auto" w:sz="4" w:space="0"/>
              <w:left w:val="single" w:color="auto" w:sz="8" w:space="0"/>
              <w:bottom w:val="single" w:color="auto" w:sz="4" w:space="0"/>
              <w:right w:val="single" w:color="auto" w:sz="8" w:space="0"/>
            </w:tcBorders>
            <w:shd w:val="clear" w:color="auto" w:fill="auto"/>
            <w:vAlign w:val="center"/>
          </w:tcPr>
          <w:p w14:paraId="68F0F5DD">
            <w:pPr>
              <w:pStyle w:val="38"/>
              <w:widowControl/>
              <w:rPr>
                <w:rFonts w:hint="default" w:ascii="Times New Roman" w:hAnsi="Times New Roman" w:cs="Times New Roman"/>
                <w:highlight w:val="none"/>
                <w:lang w:val="en-US"/>
              </w:rPr>
            </w:pPr>
            <w:r>
              <w:rPr>
                <w:rFonts w:hint="default" w:ascii="Times New Roman" w:hAnsi="Times New Roman" w:cs="Times New Roman"/>
                <w:highlight w:val="none"/>
              </w:rPr>
              <w:t>其他需要说明的事项</w:t>
            </w:r>
          </w:p>
        </w:tc>
      </w:tr>
      <w:tr w14:paraId="23BBC9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57" w:hRule="atLeast"/>
          <w:jc w:val="center"/>
        </w:trPr>
        <w:tc>
          <w:tcPr>
            <w:tcW w:w="9334" w:type="dxa"/>
            <w:gridSpan w:val="7"/>
            <w:tcBorders>
              <w:top w:val="single" w:color="auto" w:sz="4" w:space="0"/>
              <w:left w:val="single" w:color="auto" w:sz="8" w:space="0"/>
              <w:bottom w:val="single" w:color="auto" w:sz="8" w:space="0"/>
              <w:right w:val="single" w:color="auto" w:sz="8" w:space="0"/>
            </w:tcBorders>
            <w:shd w:val="clear" w:color="auto" w:fill="auto"/>
            <w:vAlign w:val="center"/>
          </w:tcPr>
          <w:p w14:paraId="730D1390">
            <w:pPr>
              <w:pStyle w:val="38"/>
              <w:widowControl/>
              <w:jc w:val="left"/>
              <w:rPr>
                <w:rFonts w:hint="default" w:ascii="Times New Roman" w:hAnsi="Times New Roman" w:cs="Times New Roman"/>
                <w:highlight w:val="none"/>
                <w:lang w:val="en-US"/>
              </w:rPr>
            </w:pPr>
            <w:r>
              <w:rPr>
                <w:rFonts w:hint="default" w:ascii="Times New Roman" w:hAnsi="Times New Roman" w:cs="Times New Roman"/>
                <w:highlight w:val="none"/>
              </w:rPr>
              <w:t>（其他需要说明的事项）</w:t>
            </w:r>
            <w:bookmarkEnd w:id="66"/>
          </w:p>
        </w:tc>
      </w:tr>
    </w:tbl>
    <w:p w14:paraId="3A277540">
      <w:pPr>
        <w:pStyle w:val="18"/>
        <w:keepNext w:val="0"/>
        <w:keepLines w:val="0"/>
        <w:pageBreakBefore w:val="0"/>
        <w:widowControl w:val="0"/>
        <w:kinsoku/>
        <w:wordWrap/>
        <w:overflowPunct/>
        <w:topLinePunct w:val="0"/>
        <w:autoSpaceDE/>
        <w:autoSpaceDN/>
        <w:bidi w:val="0"/>
        <w:adjustRightInd/>
        <w:snapToGrid/>
        <w:spacing w:before="313" w:beforeLines="100" w:line="360" w:lineRule="auto"/>
        <w:ind w:firstLine="0" w:firstLineChars="0"/>
        <w:textAlignment w:val="auto"/>
        <w:outlineLvl w:val="0"/>
        <w:rPr>
          <w:rFonts w:hint="default" w:ascii="Times New Roman" w:hAnsi="Times New Roman" w:eastAsia="黑体" w:cs="Times New Roman"/>
          <w:b/>
          <w:kern w:val="0"/>
          <w:sz w:val="30"/>
          <w:szCs w:val="30"/>
          <w:highlight w:val="none"/>
        </w:rPr>
      </w:pPr>
      <w:bookmarkStart w:id="72" w:name="_Toc12675"/>
      <w:r>
        <w:rPr>
          <w:rFonts w:hint="default" w:ascii="Times New Roman" w:hAnsi="Times New Roman" w:eastAsia="黑体" w:cs="Times New Roman"/>
          <w:b/>
          <w:kern w:val="0"/>
          <w:sz w:val="30"/>
          <w:szCs w:val="30"/>
          <w:highlight w:val="none"/>
          <w:lang w:val="en-US" w:eastAsia="zh-CN"/>
        </w:rPr>
        <w:t>三</w:t>
      </w:r>
      <w:r>
        <w:rPr>
          <w:rFonts w:hint="default" w:ascii="Times New Roman" w:hAnsi="Times New Roman" w:eastAsia="黑体" w:cs="Times New Roman"/>
          <w:b/>
          <w:kern w:val="0"/>
          <w:sz w:val="30"/>
          <w:szCs w:val="30"/>
          <w:highlight w:val="none"/>
        </w:rPr>
        <w:t>、主要试验</w:t>
      </w:r>
      <w:r>
        <w:rPr>
          <w:rFonts w:hint="default" w:ascii="Times New Roman" w:hAnsi="Times New Roman" w:eastAsia="黑体" w:cs="Times New Roman"/>
          <w:b/>
          <w:kern w:val="0"/>
          <w:sz w:val="30"/>
          <w:szCs w:val="30"/>
          <w:highlight w:val="none"/>
          <w:lang w:val="en-US" w:eastAsia="zh-CN"/>
        </w:rPr>
        <w:t>和情况分析</w:t>
      </w:r>
      <w:bookmarkEnd w:id="72"/>
    </w:p>
    <w:p w14:paraId="16E81E1D">
      <w:pPr>
        <w:widowControl/>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结合国内外的行业测试标准和企业内部工厂管控的项目进行要求规定和试验验证。</w:t>
      </w:r>
    </w:p>
    <w:p w14:paraId="09BFA834">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73" w:name="_Toc20840"/>
      <w:r>
        <w:rPr>
          <w:rFonts w:hint="default" w:ascii="Times New Roman" w:hAnsi="Times New Roman" w:eastAsia="黑体" w:cs="Times New Roman"/>
          <w:b/>
          <w:kern w:val="0"/>
          <w:sz w:val="30"/>
          <w:szCs w:val="30"/>
          <w:highlight w:val="none"/>
          <w:lang w:val="en-US" w:eastAsia="zh-CN"/>
        </w:rPr>
        <w:t>四</w:t>
      </w:r>
      <w:r>
        <w:rPr>
          <w:rFonts w:hint="default" w:ascii="Times New Roman" w:hAnsi="Times New Roman" w:eastAsia="黑体" w:cs="Times New Roman"/>
          <w:b/>
          <w:kern w:val="0"/>
          <w:sz w:val="30"/>
          <w:szCs w:val="30"/>
          <w:highlight w:val="none"/>
        </w:rPr>
        <w:t>、</w:t>
      </w:r>
      <w:r>
        <w:rPr>
          <w:rFonts w:hint="default" w:ascii="Times New Roman" w:hAnsi="Times New Roman" w:eastAsia="黑体" w:cs="Times New Roman"/>
          <w:b/>
          <w:kern w:val="0"/>
          <w:sz w:val="30"/>
          <w:szCs w:val="30"/>
          <w:highlight w:val="none"/>
          <w:lang w:val="en-US" w:eastAsia="zh-CN"/>
        </w:rPr>
        <w:t>标准中涉及专利的情况</w:t>
      </w:r>
      <w:bookmarkEnd w:id="73"/>
    </w:p>
    <w:p w14:paraId="3FA31E1F">
      <w:pPr>
        <w:widowControl/>
        <w:spacing w:line="360" w:lineRule="auto"/>
        <w:ind w:firstLine="560" w:firstLineChars="20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sz w:val="28"/>
          <w:szCs w:val="28"/>
          <w:highlight w:val="none"/>
          <w:lang w:val="en-US" w:eastAsia="zh-CN"/>
        </w:rPr>
        <w:t>无</w:t>
      </w:r>
    </w:p>
    <w:p w14:paraId="4059468E">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74" w:name="_Toc29243"/>
      <w:r>
        <w:rPr>
          <w:rFonts w:hint="default" w:ascii="Times New Roman" w:hAnsi="Times New Roman" w:eastAsia="黑体" w:cs="Times New Roman"/>
          <w:b/>
          <w:kern w:val="0"/>
          <w:sz w:val="30"/>
          <w:szCs w:val="30"/>
          <w:highlight w:val="none"/>
          <w:lang w:val="en-US" w:eastAsia="zh-CN"/>
        </w:rPr>
        <w:t>五</w:t>
      </w:r>
      <w:r>
        <w:rPr>
          <w:rFonts w:hint="default" w:ascii="Times New Roman" w:hAnsi="Times New Roman" w:eastAsia="黑体" w:cs="Times New Roman"/>
          <w:b/>
          <w:kern w:val="0"/>
          <w:sz w:val="30"/>
          <w:szCs w:val="30"/>
          <w:highlight w:val="none"/>
        </w:rPr>
        <w:t>、</w:t>
      </w:r>
      <w:r>
        <w:rPr>
          <w:rFonts w:hint="default" w:ascii="Times New Roman" w:hAnsi="Times New Roman" w:eastAsia="黑体" w:cs="Times New Roman"/>
          <w:b/>
          <w:kern w:val="0"/>
          <w:sz w:val="30"/>
          <w:szCs w:val="30"/>
          <w:highlight w:val="none"/>
          <w:lang w:val="en-US" w:eastAsia="zh-CN"/>
        </w:rPr>
        <w:t>预期达到的效益（经济、效益、生态等），对产业发展的作用的情况</w:t>
      </w:r>
      <w:bookmarkEnd w:id="74"/>
    </w:p>
    <w:p w14:paraId="1875FE01">
      <w:pPr>
        <w:widowControl/>
        <w:spacing w:line="360" w:lineRule="auto"/>
        <w:ind w:firstLine="560" w:firstLineChars="200"/>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kern w:val="0"/>
          <w:sz w:val="28"/>
          <w:szCs w:val="28"/>
          <w:highlight w:val="none"/>
          <w:lang w:val="en-US" w:eastAsia="zh-CN" w:bidi="ar-SA"/>
        </w:rPr>
        <w:t>碳足迹评价</w:t>
      </w:r>
      <w:r>
        <w:rPr>
          <w:rFonts w:hint="default" w:ascii="Times New Roman" w:hAnsi="Times New Roman" w:cs="Times New Roman" w:eastAsiaTheme="minorEastAsia"/>
          <w:kern w:val="0"/>
          <w:sz w:val="28"/>
          <w:szCs w:val="28"/>
          <w:highlight w:val="none"/>
          <w:lang w:val="en-US" w:eastAsia="zh-CN" w:bidi="ar-SA"/>
        </w:rPr>
        <w:t>企业规范运营，在国际市场上有机会与其他各国（相关）企业竞争。</w:t>
      </w:r>
    </w:p>
    <w:p w14:paraId="229515A0">
      <w:pPr>
        <w:spacing w:line="360" w:lineRule="auto"/>
        <w:outlineLvl w:val="0"/>
        <w:rPr>
          <w:rFonts w:hint="default" w:ascii="Times New Roman" w:hAnsi="Times New Roman" w:eastAsia="黑体" w:cs="Times New Roman"/>
          <w:b/>
          <w:kern w:val="0"/>
          <w:sz w:val="30"/>
          <w:szCs w:val="30"/>
          <w:highlight w:val="none"/>
        </w:rPr>
      </w:pPr>
      <w:bookmarkStart w:id="75" w:name="_Toc4979"/>
      <w:r>
        <w:rPr>
          <w:rFonts w:hint="default" w:ascii="Times New Roman" w:hAnsi="Times New Roman" w:eastAsia="黑体" w:cs="Times New Roman"/>
          <w:b/>
          <w:kern w:val="0"/>
          <w:sz w:val="30"/>
          <w:szCs w:val="30"/>
          <w:highlight w:val="none"/>
          <w:lang w:val="en-US" w:eastAsia="zh-CN"/>
        </w:rPr>
        <w:t>六</w:t>
      </w:r>
      <w:r>
        <w:rPr>
          <w:rFonts w:hint="default" w:ascii="Times New Roman" w:hAnsi="Times New Roman" w:eastAsia="黑体" w:cs="Times New Roman"/>
          <w:b/>
          <w:kern w:val="0"/>
          <w:sz w:val="30"/>
          <w:szCs w:val="30"/>
          <w:highlight w:val="none"/>
        </w:rPr>
        <w:t>、与有关的现行法律、法规和强制性国家标准的关系</w:t>
      </w:r>
      <w:bookmarkEnd w:id="75"/>
    </w:p>
    <w:p w14:paraId="659EEBCF">
      <w:pPr>
        <w:pStyle w:val="18"/>
        <w:spacing w:line="360" w:lineRule="auto"/>
        <w:ind w:firstLine="56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与现行法律、法规和强制性标准没有冲突。</w:t>
      </w:r>
    </w:p>
    <w:p w14:paraId="2D385539">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76" w:name="_Toc21799"/>
      <w:r>
        <w:rPr>
          <w:rFonts w:hint="default" w:ascii="Times New Roman" w:hAnsi="Times New Roman" w:eastAsia="黑体" w:cs="Times New Roman"/>
          <w:b/>
          <w:kern w:val="0"/>
          <w:sz w:val="30"/>
          <w:szCs w:val="30"/>
          <w:highlight w:val="none"/>
          <w:lang w:val="en-US" w:eastAsia="zh-CN"/>
        </w:rPr>
        <w:t>七</w:t>
      </w:r>
      <w:r>
        <w:rPr>
          <w:rFonts w:hint="default" w:ascii="Times New Roman" w:hAnsi="Times New Roman" w:eastAsia="黑体" w:cs="Times New Roman"/>
          <w:b/>
          <w:kern w:val="0"/>
          <w:sz w:val="30"/>
          <w:szCs w:val="30"/>
          <w:highlight w:val="none"/>
        </w:rPr>
        <w:t>、重大意见分歧的处理依据和结果</w:t>
      </w:r>
      <w:bookmarkEnd w:id="76"/>
    </w:p>
    <w:p w14:paraId="055726EA">
      <w:pPr>
        <w:pStyle w:val="18"/>
        <w:spacing w:line="360" w:lineRule="auto"/>
        <w:ind w:firstLine="56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标准制定过程中，未出现重大意见分歧。</w:t>
      </w:r>
    </w:p>
    <w:p w14:paraId="5F9FB0B0">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77" w:name="_Toc20135"/>
      <w:r>
        <w:rPr>
          <w:rFonts w:hint="default" w:ascii="Times New Roman" w:hAnsi="Times New Roman" w:eastAsia="黑体" w:cs="Times New Roman"/>
          <w:b/>
          <w:kern w:val="0"/>
          <w:sz w:val="30"/>
          <w:szCs w:val="30"/>
          <w:highlight w:val="none"/>
          <w:lang w:val="en-US" w:eastAsia="zh-CN"/>
        </w:rPr>
        <w:t>八</w:t>
      </w:r>
      <w:r>
        <w:rPr>
          <w:rFonts w:hint="default" w:ascii="Times New Roman" w:hAnsi="Times New Roman" w:eastAsia="黑体" w:cs="Times New Roman"/>
          <w:b/>
          <w:kern w:val="0"/>
          <w:sz w:val="30"/>
          <w:szCs w:val="30"/>
          <w:highlight w:val="none"/>
        </w:rPr>
        <w:t>、标准性质的建议说明</w:t>
      </w:r>
      <w:bookmarkEnd w:id="77"/>
    </w:p>
    <w:p w14:paraId="348C1AAD">
      <w:pPr>
        <w:pStyle w:val="18"/>
        <w:spacing w:line="360" w:lineRule="auto"/>
        <w:ind w:firstLine="560"/>
        <w:rPr>
          <w:rFonts w:hint="default" w:ascii="Times New Roman" w:hAnsi="Times New Roman" w:cs="Times New Roman" w:eastAsiaTheme="minorEastAsia"/>
          <w:kern w:val="0"/>
          <w:sz w:val="28"/>
          <w:szCs w:val="28"/>
          <w:highlight w:val="none"/>
          <w:lang w:eastAsia="zh-CN"/>
        </w:rPr>
      </w:pPr>
      <w:r>
        <w:rPr>
          <w:rFonts w:hint="default" w:ascii="Times New Roman" w:hAnsi="Times New Roman" w:cs="Times New Roman"/>
          <w:kern w:val="0"/>
          <w:sz w:val="28"/>
          <w:szCs w:val="28"/>
          <w:highlight w:val="none"/>
          <w:lang w:val="en-US" w:eastAsia="zh-CN"/>
        </w:rPr>
        <w:t>本</w:t>
      </w:r>
      <w:r>
        <w:rPr>
          <w:rFonts w:hint="default" w:ascii="Times New Roman" w:hAnsi="Times New Roman" w:cs="Times New Roman"/>
          <w:kern w:val="0"/>
          <w:sz w:val="28"/>
          <w:szCs w:val="28"/>
          <w:highlight w:val="none"/>
        </w:rPr>
        <w:t>标准为团体标准，供社会各界自愿使用</w:t>
      </w:r>
      <w:r>
        <w:rPr>
          <w:rFonts w:hint="default" w:ascii="Times New Roman" w:hAnsi="Times New Roman" w:cs="Times New Roman"/>
          <w:kern w:val="0"/>
          <w:sz w:val="28"/>
          <w:szCs w:val="28"/>
          <w:highlight w:val="none"/>
          <w:lang w:eastAsia="zh-CN"/>
        </w:rPr>
        <w:t>。</w:t>
      </w:r>
    </w:p>
    <w:p w14:paraId="043CD525">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78" w:name="_Toc23106"/>
      <w:r>
        <w:rPr>
          <w:rFonts w:hint="default" w:ascii="Times New Roman" w:hAnsi="Times New Roman" w:eastAsia="黑体" w:cs="Times New Roman"/>
          <w:b/>
          <w:kern w:val="0"/>
          <w:sz w:val="30"/>
          <w:szCs w:val="30"/>
          <w:highlight w:val="none"/>
          <w:lang w:val="en-US" w:eastAsia="zh-CN"/>
        </w:rPr>
        <w:t>九</w:t>
      </w:r>
      <w:r>
        <w:rPr>
          <w:rFonts w:hint="default" w:ascii="Times New Roman" w:hAnsi="Times New Roman" w:eastAsia="黑体" w:cs="Times New Roman"/>
          <w:b/>
          <w:kern w:val="0"/>
          <w:sz w:val="30"/>
          <w:szCs w:val="30"/>
          <w:highlight w:val="none"/>
        </w:rPr>
        <w:t>、贯彻标准的要求和措施建议</w:t>
      </w:r>
      <w:bookmarkEnd w:id="78"/>
    </w:p>
    <w:p w14:paraId="36DC6A02">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eastAsiaTheme="minorEastAsia"/>
          <w:kern w:val="0"/>
          <w:sz w:val="28"/>
          <w:szCs w:val="28"/>
          <w:highlight w:val="none"/>
          <w:lang w:val="en-US" w:eastAsia="zh-CN" w:bidi="ar-SA"/>
        </w:rPr>
        <w:t>无。</w:t>
      </w:r>
    </w:p>
    <w:p w14:paraId="2B161AC9">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79" w:name="_Toc29517"/>
      <w:r>
        <w:rPr>
          <w:rFonts w:hint="default" w:ascii="Times New Roman" w:hAnsi="Times New Roman" w:eastAsia="黑体" w:cs="Times New Roman"/>
          <w:b/>
          <w:kern w:val="0"/>
          <w:sz w:val="30"/>
          <w:szCs w:val="30"/>
          <w:highlight w:val="none"/>
          <w:lang w:val="en-US" w:eastAsia="zh-CN"/>
        </w:rPr>
        <w:t>十</w:t>
      </w:r>
      <w:r>
        <w:rPr>
          <w:rFonts w:hint="default" w:ascii="Times New Roman" w:hAnsi="Times New Roman" w:eastAsia="黑体" w:cs="Times New Roman"/>
          <w:b/>
          <w:kern w:val="0"/>
          <w:sz w:val="30"/>
          <w:szCs w:val="30"/>
          <w:highlight w:val="none"/>
        </w:rPr>
        <w:t>、废止现行相关标准的建议</w:t>
      </w:r>
      <w:bookmarkEnd w:id="79"/>
    </w:p>
    <w:p w14:paraId="4A740603">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eastAsiaTheme="minorEastAsia"/>
          <w:kern w:val="0"/>
          <w:sz w:val="28"/>
          <w:szCs w:val="28"/>
          <w:highlight w:val="none"/>
          <w:lang w:val="en-US" w:eastAsia="zh-CN" w:bidi="ar-SA"/>
        </w:rPr>
        <w:t>本标准为首次发布。</w:t>
      </w:r>
    </w:p>
    <w:p w14:paraId="20497102">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80" w:name="_Toc18435"/>
      <w:r>
        <w:rPr>
          <w:rFonts w:hint="default" w:ascii="Times New Roman" w:hAnsi="Times New Roman" w:eastAsia="黑体" w:cs="Times New Roman"/>
          <w:b/>
          <w:kern w:val="0"/>
          <w:sz w:val="30"/>
          <w:szCs w:val="30"/>
          <w:highlight w:val="none"/>
          <w:lang w:val="en-US" w:eastAsia="zh-CN"/>
        </w:rPr>
        <w:t>十一</w:t>
      </w:r>
      <w:r>
        <w:rPr>
          <w:rFonts w:hint="default" w:ascii="Times New Roman" w:hAnsi="Times New Roman" w:eastAsia="黑体" w:cs="Times New Roman"/>
          <w:b/>
          <w:kern w:val="0"/>
          <w:sz w:val="30"/>
          <w:szCs w:val="30"/>
          <w:highlight w:val="none"/>
        </w:rPr>
        <w:t>、其他应予说明的事项</w:t>
      </w:r>
      <w:bookmarkEnd w:id="80"/>
    </w:p>
    <w:p w14:paraId="3DA312C8">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eastAsia="宋体" w:cs="Times New Roman"/>
          <w:kern w:val="0"/>
          <w:sz w:val="28"/>
          <w:szCs w:val="28"/>
          <w:highlight w:val="none"/>
        </w:rPr>
      </w:pPr>
      <w:r>
        <w:rPr>
          <w:rFonts w:hint="default" w:ascii="Times New Roman" w:hAnsi="Times New Roman" w:eastAsia="宋体" w:cs="Times New Roman"/>
          <w:kern w:val="0"/>
          <w:sz w:val="28"/>
          <w:szCs w:val="28"/>
          <w:highlight w:val="none"/>
          <w:lang w:val="en-US" w:eastAsia="zh-CN"/>
        </w:rPr>
        <w:t>无</w:t>
      </w:r>
      <w:r>
        <w:rPr>
          <w:rFonts w:hint="default" w:ascii="Times New Roman" w:hAnsi="Times New Roman" w:eastAsia="宋体" w:cs="Times New Roman"/>
          <w:kern w:val="0"/>
          <w:sz w:val="28"/>
          <w:szCs w:val="28"/>
          <w:highlight w:val="none"/>
        </w:rPr>
        <w:t>。</w:t>
      </w:r>
    </w:p>
    <w:p w14:paraId="6561E702">
      <w:pPr>
        <w:spacing w:line="540" w:lineRule="exact"/>
        <w:ind w:firstLine="560" w:firstLineChars="200"/>
        <w:rPr>
          <w:rFonts w:hint="default" w:ascii="Times New Roman" w:hAnsi="Times New Roman" w:eastAsia="宋体" w:cs="Times New Roman"/>
          <w:kern w:val="0"/>
          <w:sz w:val="28"/>
          <w:szCs w:val="28"/>
          <w:highlight w:val="none"/>
        </w:rPr>
      </w:pPr>
    </w:p>
    <w:sectPr>
      <w:footerReference r:id="rId5" w:type="default"/>
      <w:pgSz w:w="11906" w:h="16838"/>
      <w:pgMar w:top="1418" w:right="1418" w:bottom="1985" w:left="1797"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F91D6">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CB6E7">
    <w:pPr>
      <w:pStyle w:val="8"/>
    </w:pPr>
    <w:r>
      <w:rPr>
        <w:sz w:val="18"/>
      </w:rPr>
      <w:pict>
        <v:shape id="_x0000_s4097" o:spid="_x0000_s4097" o:spt="202" type="#_x0000_t202" style="position:absolute;left:0pt;height:144pt;width:144pt;mso-position-horizontal:center;mso-position-horizontal-relative:margin;mso-position-vertical:center;mso-wrap-style:none;z-index:251659264;mso-width-relative:page;mso-height-relative:page;" filled="f" stroked="f" coordsize="21600,21600">
          <v:path/>
          <v:fill on="f" focussize="0,0"/>
          <v:stroke on="f"/>
          <v:imagedata o:title=""/>
          <o:lock v:ext="edit" aspectratio="f"/>
          <v:textbox inset="0mm,0mm,0mm,0mm" style="mso-fit-shape-to-text:t;">
            <w:txbxContent>
              <w:p w14:paraId="335E1675">
                <w:pPr>
                  <w:pStyle w:val="8"/>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3BB1C">
    <w:pPr>
      <w:pStyle w:val="8"/>
    </w:pPr>
    <w:r>
      <w:rPr>
        <w:sz w:val="18"/>
      </w:rPr>
      <w:pict>
        <v:shape id="_x0000_s4098" o:spid="_x0000_s4098" o:spt="202" type="#_x0000_t202" style="position:absolute;left:0pt;height:144pt;width:144pt;mso-position-horizontal:center;mso-position-horizontal-relative:margin;mso-position-vertical:center;mso-wrap-style:none;z-index:251660288;mso-width-relative:page;mso-height-relative:page;" filled="f" stroked="f" coordsize="21600,21600">
          <v:path/>
          <v:fill on="f" focussize="0,0"/>
          <v:stroke on="f"/>
          <v:imagedata o:title=""/>
          <o:lock v:ext="edit" aspectratio="f"/>
          <v:textbox inset="0mm,0mm,0mm,0mm" style="mso-fit-shape-to-text:t;">
            <w:txbxContent>
              <w:p w14:paraId="25B5CC40">
                <w:pPr>
                  <w:pStyle w:val="8"/>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EFC9BF"/>
    <w:multiLevelType w:val="multilevel"/>
    <w:tmpl w:val="A9EFC9BF"/>
    <w:lvl w:ilvl="0" w:tentative="0">
      <w:start w:val="1"/>
      <w:numFmt w:val="upperLetter"/>
      <w:pStyle w:val="41"/>
      <w:suff w:val="space"/>
      <w:lvlText w:val="%1"/>
      <w:lvlJc w:val="left"/>
      <w:pPr>
        <w:ind w:left="425" w:hanging="425"/>
      </w:pPr>
    </w:lvl>
    <w:lvl w:ilvl="1" w:tentative="0">
      <w:start w:val="1"/>
      <w:numFmt w:val="decimal"/>
      <w:pStyle w:val="37"/>
      <w:suff w:val="space"/>
      <w:lvlText w:val="表%1.%2"/>
      <w:lvlJc w:val="center"/>
      <w:pPr>
        <w:ind w:left="0" w:firstLine="0"/>
      </w:pPr>
      <w:rPr>
        <w:rFonts w:hint="eastAsia" w:ascii="黑体" w:hAnsi="Times New Roman" w:eastAsia="黑体" w:cs="黑体"/>
        <w:sz w:val="21"/>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5"/>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D2F800B3"/>
    <w:multiLevelType w:val="multilevel"/>
    <w:tmpl w:val="D2F800B3"/>
    <w:lvl w:ilvl="0" w:tentative="0">
      <w:start w:val="1"/>
      <w:numFmt w:val="upperLetter"/>
      <w:pStyle w:val="36"/>
      <w:suff w:val="nothing"/>
      <w:lvlText w:val="附录%1"/>
      <w:lvlJc w:val="left"/>
      <w:pPr>
        <w:ind w:left="0" w:firstLine="0"/>
      </w:pPr>
      <w:rPr>
        <w:spacing w:val="100"/>
      </w:rPr>
    </w:lvl>
    <w:lvl w:ilvl="1" w:tentative="0">
      <w:start w:val="1"/>
      <w:numFmt w:val="decimal"/>
      <w:suff w:val="nothing"/>
      <w:lvlText w:val="%1.%2　"/>
      <w:lvlJc w:val="left"/>
      <w:pPr>
        <w:ind w:left="0" w:firstLine="0"/>
      </w:pPr>
      <w:rPr>
        <w:rFonts w:hint="eastAsia" w:ascii="黑体" w:hAnsi="Times New Roman" w:eastAsia="黑体" w:cs="黑体"/>
        <w:b w:val="0"/>
        <w:i w:val="0"/>
        <w:sz w:val="21"/>
      </w:rPr>
    </w:lvl>
    <w:lvl w:ilvl="2" w:tentative="0">
      <w:start w:val="1"/>
      <w:numFmt w:val="decimal"/>
      <w:pStyle w:val="51"/>
      <w:suff w:val="nothing"/>
      <w:lvlText w:val="%1.%2.%3　"/>
      <w:lvlJc w:val="left"/>
      <w:pPr>
        <w:ind w:left="0" w:firstLine="0"/>
      </w:pPr>
      <w:rPr>
        <w:rFonts w:hint="eastAsia" w:ascii="黑体" w:hAnsi="Times New Roman" w:eastAsia="黑体" w:cs="黑体"/>
        <w:b w:val="0"/>
        <w:i w:val="0"/>
        <w:sz w:val="21"/>
      </w:rPr>
    </w:lvl>
    <w:lvl w:ilvl="3" w:tentative="0">
      <w:start w:val="1"/>
      <w:numFmt w:val="decimal"/>
      <w:suff w:val="nothing"/>
      <w:lvlText w:val="%1.%2.%3.%4　"/>
      <w:lvlJc w:val="left"/>
      <w:pPr>
        <w:ind w:left="0" w:firstLine="0"/>
      </w:pPr>
      <w:rPr>
        <w:rFonts w:hint="eastAsia" w:ascii="黑体" w:hAnsi="Times New Roman" w:eastAsia="黑体" w:cs="黑体"/>
        <w:b w:val="0"/>
        <w:i w:val="0"/>
        <w:sz w:val="21"/>
      </w:rPr>
    </w:lvl>
    <w:lvl w:ilvl="4" w:tentative="0">
      <w:start w:val="1"/>
      <w:numFmt w:val="decimal"/>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E27BD1B8"/>
    <w:multiLevelType w:val="multilevel"/>
    <w:tmpl w:val="E27BD1B8"/>
    <w:lvl w:ilvl="0" w:tentative="0">
      <w:start w:val="1"/>
      <w:numFmt w:val="upperLetter"/>
      <w:pStyle w:val="46"/>
      <w:lvlText w:val="%1"/>
      <w:lvlJc w:val="left"/>
      <w:pPr>
        <w:ind w:left="420" w:hanging="420"/>
      </w:pPr>
    </w:lvl>
    <w:lvl w:ilvl="1" w:tentative="0">
      <w:start w:val="1"/>
      <w:numFmt w:val="decimal"/>
      <w:suff w:val="space"/>
      <w:lvlText w:val="图%1.%2"/>
      <w:lvlJc w:val="center"/>
      <w:pPr>
        <w:ind w:left="0" w:firstLine="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19430B3"/>
    <w:multiLevelType w:val="multilevel"/>
    <w:tmpl w:val="019430B3"/>
    <w:lvl w:ilvl="0" w:tentative="0">
      <w:start w:val="1"/>
      <w:numFmt w:val="decimal"/>
      <w:pStyle w:val="30"/>
      <w:lvlText w:val="%1"/>
      <w:lvlJc w:val="left"/>
      <w:pPr>
        <w:ind w:left="425" w:hanging="425"/>
      </w:pPr>
    </w:lvl>
    <w:lvl w:ilvl="1" w:tentative="0">
      <w:start w:val="1"/>
      <w:numFmt w:val="decimal"/>
      <w:pStyle w:val="31"/>
      <w:lvlText w:val="%1.%2"/>
      <w:lvlJc w:val="left"/>
      <w:pPr>
        <w:ind w:left="992" w:hanging="567"/>
      </w:pPr>
    </w:lvl>
    <w:lvl w:ilvl="2" w:tentative="0">
      <w:start w:val="1"/>
      <w:numFmt w:val="decimal"/>
      <w:pStyle w:val="28"/>
      <w:lvlText w:val="%1.%2.%3"/>
      <w:lvlJc w:val="left"/>
      <w:pPr>
        <w:ind w:left="56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4">
    <w:nsid w:val="18FC3016"/>
    <w:multiLevelType w:val="multilevel"/>
    <w:tmpl w:val="18FC3016"/>
    <w:lvl w:ilvl="0" w:tentative="0">
      <w:start w:val="1"/>
      <w:numFmt w:val="decimal"/>
      <w:pStyle w:val="4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72" w:hanging="1418"/>
      </w:pPr>
    </w:lvl>
    <w:lvl w:ilvl="8" w:tentative="0">
      <w:start w:val="1"/>
      <w:numFmt w:val="decimal"/>
      <w:lvlText w:val="%1.%2.%3.%4.%5.%6.%7.%8.%9"/>
      <w:lvlJc w:val="left"/>
      <w:pPr>
        <w:tabs>
          <w:tab w:val="left" w:pos="4774"/>
        </w:tabs>
        <w:ind w:left="4677" w:hanging="1702"/>
      </w:pPr>
    </w:lvl>
  </w:abstractNum>
  <w:abstractNum w:abstractNumId="5">
    <w:nsid w:val="5DAF0F8A"/>
    <w:multiLevelType w:val="multilevel"/>
    <w:tmpl w:val="5DAF0F8A"/>
    <w:lvl w:ilvl="0" w:tentative="0">
      <w:start w:val="1"/>
      <w:numFmt w:val="none"/>
      <w:suff w:val="nothing"/>
      <w:lvlText w:val="%1"/>
      <w:lvlJc w:val="left"/>
      <w:pPr>
        <w:ind w:left="0" w:firstLine="0"/>
      </w:pPr>
    </w:lvl>
    <w:lvl w:ilvl="1" w:tentative="0">
      <w:start w:val="1"/>
      <w:numFmt w:val="decimal"/>
      <w:pStyle w:val="43"/>
      <w:suff w:val="nothing"/>
      <w:lvlText w:val="%1%2　"/>
      <w:lvlJc w:val="left"/>
      <w:pPr>
        <w:ind w:left="0" w:firstLine="0"/>
      </w:pPr>
      <w:rPr>
        <w:rFonts w:hint="eastAsia" w:ascii="黑体" w:hAnsi="Times New Roman" w:eastAsia="黑体" w:cs="黑体"/>
        <w:b w:val="0"/>
        <w:i w:val="0"/>
        <w:sz w:val="21"/>
      </w:rPr>
    </w:lvl>
    <w:lvl w:ilvl="2" w:tentative="0">
      <w:start w:val="1"/>
      <w:numFmt w:val="decimal"/>
      <w:pStyle w:val="42"/>
      <w:suff w:val="nothing"/>
      <w:lvlText w:val="%1%2.%3　"/>
      <w:lvlJc w:val="left"/>
      <w:pPr>
        <w:ind w:left="0" w:firstLine="0"/>
        <w:textAlignment w:val="baseline"/>
      </w:pPr>
      <w:rPr>
        <w:rFonts w:hint="eastAsia" w:ascii="黑体" w:hAnsi="Times New Roman" w:eastAsia="黑体" w:cs="Times New Roman"/>
        <w:b w:val="0"/>
        <w:bCs w:val="0"/>
        <w:i w:val="0"/>
        <w:iCs w:val="0"/>
        <w:caps w:val="0"/>
        <w:strike w:val="0"/>
        <w:dstrike w:val="0"/>
        <w:vanish w:val="0"/>
        <w:color w:val="000000"/>
        <w:spacing w:val="0"/>
        <w:kern w:val="0"/>
        <w:position w:val="0"/>
        <w:sz w:val="21"/>
        <w:u w:val="none"/>
      </w:rPr>
    </w:lvl>
    <w:lvl w:ilvl="3" w:tentative="0">
      <w:start w:val="1"/>
      <w:numFmt w:val="decimal"/>
      <w:pStyle w:val="49"/>
      <w:suff w:val="nothing"/>
      <w:lvlText w:val="%1%2.%3.%4　"/>
      <w:lvlJc w:val="left"/>
      <w:pPr>
        <w:ind w:left="0" w:firstLine="0"/>
      </w:pPr>
      <w:rPr>
        <w:rFonts w:hint="eastAsia" w:ascii="黑体" w:hAnsi="Times New Roman" w:eastAsia="黑体" w:cs="黑体"/>
        <w:b w:val="0"/>
        <w:i w:val="0"/>
        <w:sz w:val="21"/>
      </w:rPr>
    </w:lvl>
    <w:lvl w:ilvl="4" w:tentative="0">
      <w:start w:val="1"/>
      <w:numFmt w:val="decimal"/>
      <w:pStyle w:val="50"/>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abstractNum w:abstractNumId="6">
    <w:nsid w:val="6724196D"/>
    <w:multiLevelType w:val="multilevel"/>
    <w:tmpl w:val="6724196D"/>
    <w:lvl w:ilvl="0" w:tentative="0">
      <w:start w:val="1"/>
      <w:numFmt w:val="none"/>
      <w:pStyle w:val="45"/>
      <w:lvlText w:val="%1——"/>
      <w:lvlJc w:val="left"/>
      <w:pPr>
        <w:tabs>
          <w:tab w:val="left" w:pos="851"/>
        </w:tabs>
        <w:ind w:left="851" w:hanging="426"/>
      </w:pPr>
      <w:rPr>
        <w:rFonts w:hint="eastAsia" w:ascii="宋体" w:hAnsi="Times New Roman" w:eastAsia="宋体" w:cs="宋体"/>
        <w:b w:val="0"/>
        <w:i w:val="0"/>
        <w:sz w:val="21"/>
      </w:rPr>
    </w:lvl>
    <w:lvl w:ilvl="1" w:tentative="0">
      <w:start w:val="1"/>
      <w:numFmt w:val="none"/>
      <w:pStyle w:val="34"/>
      <w:lvlText w:val=""/>
      <w:lvlJc w:val="left"/>
      <w:pPr>
        <w:ind w:left="851" w:hanging="431"/>
      </w:pPr>
      <w:rPr>
        <w:rFonts w:ascii="Symbol" w:hAnsi="Symbol" w:cs="Symbol"/>
        <w:sz w:val="21"/>
      </w:rPr>
    </w:lvl>
    <w:lvl w:ilvl="2" w:tentative="0">
      <w:start w:val="1"/>
      <w:numFmt w:val="bullet"/>
      <w:lvlText w:val=""/>
      <w:lvlJc w:val="left"/>
      <w:pPr>
        <w:ind w:left="851" w:hanging="426"/>
      </w:pPr>
      <w:rPr>
        <w:rFonts w:hint="default" w:ascii="Wingdings" w:hAnsi="Wingdings" w:cs="Wingdings"/>
        <w:sz w:val="21"/>
      </w:rPr>
    </w:lvl>
    <w:lvl w:ilvl="3" w:tentative="0">
      <w:start w:val="1"/>
      <w:numFmt w:val="decimal"/>
      <w:lvlText w:val="%4."/>
      <w:lvlJc w:val="left"/>
      <w:pPr>
        <w:tabs>
          <w:tab w:val="left" w:pos="2071"/>
        </w:tabs>
        <w:ind w:left="1884" w:hanging="528"/>
      </w:pPr>
    </w:lvl>
    <w:lvl w:ilvl="4" w:tentative="0">
      <w:start w:val="1"/>
      <w:numFmt w:val="lowerLetter"/>
      <w:lvlText w:val="%5)"/>
      <w:lvlJc w:val="left"/>
      <w:pPr>
        <w:tabs>
          <w:tab w:val="left" w:pos="2383"/>
        </w:tabs>
        <w:ind w:left="2196" w:hanging="528"/>
      </w:pPr>
    </w:lvl>
    <w:lvl w:ilvl="5" w:tentative="0">
      <w:start w:val="1"/>
      <w:numFmt w:val="lowerRoman"/>
      <w:lvlText w:val="%6."/>
      <w:lvlJc w:val="right"/>
      <w:pPr>
        <w:tabs>
          <w:tab w:val="left" w:pos="2695"/>
        </w:tabs>
        <w:ind w:left="2508" w:hanging="528"/>
      </w:pPr>
    </w:lvl>
    <w:lvl w:ilvl="6" w:tentative="0">
      <w:start w:val="1"/>
      <w:numFmt w:val="decimal"/>
      <w:lvlText w:val="%7."/>
      <w:lvlJc w:val="left"/>
      <w:pPr>
        <w:tabs>
          <w:tab w:val="left" w:pos="3007"/>
        </w:tabs>
        <w:ind w:left="2820" w:hanging="528"/>
      </w:pPr>
    </w:lvl>
    <w:lvl w:ilvl="7" w:tentative="0">
      <w:start w:val="1"/>
      <w:numFmt w:val="lowerLetter"/>
      <w:lvlText w:val="%8)"/>
      <w:lvlJc w:val="left"/>
      <w:pPr>
        <w:tabs>
          <w:tab w:val="left" w:pos="3319"/>
        </w:tabs>
        <w:ind w:left="3132" w:hanging="528"/>
      </w:pPr>
    </w:lvl>
    <w:lvl w:ilvl="8" w:tentative="0">
      <w:start w:val="1"/>
      <w:numFmt w:val="lowerRoman"/>
      <w:lvlText w:val="%9."/>
      <w:lvlJc w:val="right"/>
      <w:pPr>
        <w:tabs>
          <w:tab w:val="left" w:pos="3631"/>
        </w:tabs>
        <w:ind w:left="3444" w:hanging="528"/>
      </w:pPr>
    </w:lvl>
  </w:abstractNum>
  <w:num w:numId="1">
    <w:abstractNumId w:val="3"/>
  </w:num>
  <w:num w:numId="2">
    <w:abstractNumId w:val="6"/>
  </w:num>
  <w:num w:numId="3">
    <w:abstractNumId w:val="1"/>
  </w:num>
  <w:num w:numId="4">
    <w:abstractNumId w:val="0"/>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ODNhMjk5MGU4NmZmNzJjYTFhMTQwNWE5MWI2Y2JkNjIifQ=="/>
  </w:docVars>
  <w:rsids>
    <w:rsidRoot w:val="00BF050A"/>
    <w:rsid w:val="00014360"/>
    <w:rsid w:val="0002253B"/>
    <w:rsid w:val="0004018C"/>
    <w:rsid w:val="000413D1"/>
    <w:rsid w:val="000564F6"/>
    <w:rsid w:val="0007271C"/>
    <w:rsid w:val="00077B87"/>
    <w:rsid w:val="00093711"/>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E59EA"/>
    <w:rsid w:val="00210B1B"/>
    <w:rsid w:val="00231E76"/>
    <w:rsid w:val="002506EB"/>
    <w:rsid w:val="0025166A"/>
    <w:rsid w:val="002645BB"/>
    <w:rsid w:val="00277345"/>
    <w:rsid w:val="0028530B"/>
    <w:rsid w:val="00285841"/>
    <w:rsid w:val="002A391A"/>
    <w:rsid w:val="002D3A9F"/>
    <w:rsid w:val="002E2B56"/>
    <w:rsid w:val="002F3045"/>
    <w:rsid w:val="00305109"/>
    <w:rsid w:val="0031256A"/>
    <w:rsid w:val="0031561A"/>
    <w:rsid w:val="00317D74"/>
    <w:rsid w:val="003257DB"/>
    <w:rsid w:val="00352B42"/>
    <w:rsid w:val="00357168"/>
    <w:rsid w:val="00373823"/>
    <w:rsid w:val="003813CC"/>
    <w:rsid w:val="003A00FA"/>
    <w:rsid w:val="003A0364"/>
    <w:rsid w:val="003A509B"/>
    <w:rsid w:val="003B6441"/>
    <w:rsid w:val="003C1B72"/>
    <w:rsid w:val="003F7535"/>
    <w:rsid w:val="00401889"/>
    <w:rsid w:val="00410BC2"/>
    <w:rsid w:val="00413119"/>
    <w:rsid w:val="004172C0"/>
    <w:rsid w:val="004252F2"/>
    <w:rsid w:val="00435663"/>
    <w:rsid w:val="00436EE9"/>
    <w:rsid w:val="00463563"/>
    <w:rsid w:val="004803B5"/>
    <w:rsid w:val="004B2F65"/>
    <w:rsid w:val="004B6E6F"/>
    <w:rsid w:val="004F4747"/>
    <w:rsid w:val="004F6F77"/>
    <w:rsid w:val="00520FFB"/>
    <w:rsid w:val="005251AE"/>
    <w:rsid w:val="00534D5E"/>
    <w:rsid w:val="00534FAE"/>
    <w:rsid w:val="00545EB7"/>
    <w:rsid w:val="00596690"/>
    <w:rsid w:val="005A4896"/>
    <w:rsid w:val="005B7647"/>
    <w:rsid w:val="00601423"/>
    <w:rsid w:val="00606BF2"/>
    <w:rsid w:val="006252E3"/>
    <w:rsid w:val="006878C7"/>
    <w:rsid w:val="006965B4"/>
    <w:rsid w:val="006A01A1"/>
    <w:rsid w:val="006B0B1B"/>
    <w:rsid w:val="006B6D21"/>
    <w:rsid w:val="006B75F5"/>
    <w:rsid w:val="006E5B41"/>
    <w:rsid w:val="00705D75"/>
    <w:rsid w:val="007417C1"/>
    <w:rsid w:val="00747D95"/>
    <w:rsid w:val="00752097"/>
    <w:rsid w:val="00756D5D"/>
    <w:rsid w:val="00776D4B"/>
    <w:rsid w:val="0079502D"/>
    <w:rsid w:val="00795550"/>
    <w:rsid w:val="007A2FC6"/>
    <w:rsid w:val="007A5AAC"/>
    <w:rsid w:val="007C21C2"/>
    <w:rsid w:val="007D4B87"/>
    <w:rsid w:val="0082096B"/>
    <w:rsid w:val="008257DF"/>
    <w:rsid w:val="008368E2"/>
    <w:rsid w:val="008665F7"/>
    <w:rsid w:val="0086666E"/>
    <w:rsid w:val="00874660"/>
    <w:rsid w:val="008B18A3"/>
    <w:rsid w:val="008B34EE"/>
    <w:rsid w:val="008F54B9"/>
    <w:rsid w:val="008F5B83"/>
    <w:rsid w:val="00910049"/>
    <w:rsid w:val="0091708A"/>
    <w:rsid w:val="00932F00"/>
    <w:rsid w:val="00966791"/>
    <w:rsid w:val="00981821"/>
    <w:rsid w:val="00987820"/>
    <w:rsid w:val="009943E0"/>
    <w:rsid w:val="009A16C4"/>
    <w:rsid w:val="009A27FC"/>
    <w:rsid w:val="009A488E"/>
    <w:rsid w:val="009A5078"/>
    <w:rsid w:val="009A6F90"/>
    <w:rsid w:val="009B1FF6"/>
    <w:rsid w:val="009D56C3"/>
    <w:rsid w:val="009E6D91"/>
    <w:rsid w:val="009F0E3F"/>
    <w:rsid w:val="00A06F10"/>
    <w:rsid w:val="00A262E4"/>
    <w:rsid w:val="00A27845"/>
    <w:rsid w:val="00A31084"/>
    <w:rsid w:val="00A44A72"/>
    <w:rsid w:val="00A4610C"/>
    <w:rsid w:val="00A50B02"/>
    <w:rsid w:val="00A54455"/>
    <w:rsid w:val="00A5702C"/>
    <w:rsid w:val="00A6194C"/>
    <w:rsid w:val="00A64776"/>
    <w:rsid w:val="00A80365"/>
    <w:rsid w:val="00A83680"/>
    <w:rsid w:val="00AB1353"/>
    <w:rsid w:val="00AC01B1"/>
    <w:rsid w:val="00AC09D3"/>
    <w:rsid w:val="00AD0EA1"/>
    <w:rsid w:val="00AD2695"/>
    <w:rsid w:val="00AD39DA"/>
    <w:rsid w:val="00AF01D8"/>
    <w:rsid w:val="00B01C45"/>
    <w:rsid w:val="00B22220"/>
    <w:rsid w:val="00B47E66"/>
    <w:rsid w:val="00B743AB"/>
    <w:rsid w:val="00B97970"/>
    <w:rsid w:val="00BA15CF"/>
    <w:rsid w:val="00BA3C4F"/>
    <w:rsid w:val="00BB2288"/>
    <w:rsid w:val="00BB3D50"/>
    <w:rsid w:val="00BB5CFC"/>
    <w:rsid w:val="00BC3BB1"/>
    <w:rsid w:val="00BD4F24"/>
    <w:rsid w:val="00BE6F2E"/>
    <w:rsid w:val="00BF050A"/>
    <w:rsid w:val="00C21DF8"/>
    <w:rsid w:val="00C51238"/>
    <w:rsid w:val="00C52B4D"/>
    <w:rsid w:val="00C62D4B"/>
    <w:rsid w:val="00C869DA"/>
    <w:rsid w:val="00C9265C"/>
    <w:rsid w:val="00CA5205"/>
    <w:rsid w:val="00CB0852"/>
    <w:rsid w:val="00D06630"/>
    <w:rsid w:val="00D237D4"/>
    <w:rsid w:val="00D311EA"/>
    <w:rsid w:val="00D77694"/>
    <w:rsid w:val="00D80910"/>
    <w:rsid w:val="00D81489"/>
    <w:rsid w:val="00D837B2"/>
    <w:rsid w:val="00DB46BB"/>
    <w:rsid w:val="00DB5CCC"/>
    <w:rsid w:val="00DD0DFD"/>
    <w:rsid w:val="00DE3ACA"/>
    <w:rsid w:val="00DE7470"/>
    <w:rsid w:val="00E15D39"/>
    <w:rsid w:val="00E16774"/>
    <w:rsid w:val="00E34260"/>
    <w:rsid w:val="00E43D54"/>
    <w:rsid w:val="00E6367D"/>
    <w:rsid w:val="00E6636F"/>
    <w:rsid w:val="00E66D9D"/>
    <w:rsid w:val="00E673E8"/>
    <w:rsid w:val="00E85E1E"/>
    <w:rsid w:val="00E866B8"/>
    <w:rsid w:val="00E92169"/>
    <w:rsid w:val="00EA0AC1"/>
    <w:rsid w:val="00EC6BB9"/>
    <w:rsid w:val="00EC777A"/>
    <w:rsid w:val="00ED0D16"/>
    <w:rsid w:val="00ED17F5"/>
    <w:rsid w:val="00ED19A1"/>
    <w:rsid w:val="00ED28CC"/>
    <w:rsid w:val="00EF1BF1"/>
    <w:rsid w:val="00F02E72"/>
    <w:rsid w:val="00F06A1A"/>
    <w:rsid w:val="00F27E12"/>
    <w:rsid w:val="00F319AF"/>
    <w:rsid w:val="00F40C1D"/>
    <w:rsid w:val="00F43CD1"/>
    <w:rsid w:val="00F51C15"/>
    <w:rsid w:val="00F741B8"/>
    <w:rsid w:val="00F878B5"/>
    <w:rsid w:val="00F91EFF"/>
    <w:rsid w:val="00F92513"/>
    <w:rsid w:val="00F943A4"/>
    <w:rsid w:val="00F96275"/>
    <w:rsid w:val="00F97976"/>
    <w:rsid w:val="00FB5476"/>
    <w:rsid w:val="00FC26FD"/>
    <w:rsid w:val="00FE00B0"/>
    <w:rsid w:val="00FE5339"/>
    <w:rsid w:val="00FF7FD9"/>
    <w:rsid w:val="0FF06439"/>
    <w:rsid w:val="169901DF"/>
    <w:rsid w:val="170D2EB2"/>
    <w:rsid w:val="1F15287C"/>
    <w:rsid w:val="255B6B18"/>
    <w:rsid w:val="2C2D1EE2"/>
    <w:rsid w:val="2D467F37"/>
    <w:rsid w:val="2DAD6C8F"/>
    <w:rsid w:val="3AFC0F1D"/>
    <w:rsid w:val="3B44332B"/>
    <w:rsid w:val="40E14CE3"/>
    <w:rsid w:val="44A715FE"/>
    <w:rsid w:val="542D0422"/>
    <w:rsid w:val="57BF1D4F"/>
    <w:rsid w:val="663F4E49"/>
    <w:rsid w:val="67A80C44"/>
    <w:rsid w:val="6B9E6287"/>
    <w:rsid w:val="6E433E9B"/>
    <w:rsid w:val="6FF12124"/>
    <w:rsid w:val="706C61B1"/>
    <w:rsid w:val="70764670"/>
    <w:rsid w:val="721F5CDA"/>
    <w:rsid w:val="729E236D"/>
    <w:rsid w:val="79E74A2C"/>
    <w:rsid w:val="7C103D46"/>
    <w:rsid w:val="7C324657"/>
    <w:rsid w:val="7D8109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unhideWhenUsed/>
    <w:qFormat/>
    <w:uiPriority w:val="9"/>
    <w:pPr>
      <w:keepNext/>
      <w:keepLines/>
      <w:adjustRightInd w:val="0"/>
      <w:snapToGrid w:val="0"/>
      <w:spacing w:line="360" w:lineRule="auto"/>
      <w:outlineLvl w:val="2"/>
    </w:pPr>
    <w:rPr>
      <w:rFonts w:ascii="Times New Roman" w:hAnsi="Times New Roman"/>
      <w:b/>
      <w:bCs/>
      <w:szCs w:val="32"/>
    </w:rPr>
  </w:style>
  <w:style w:type="character" w:default="1" w:styleId="14">
    <w:name w:val="Default Paragraph Font"/>
    <w:semiHidden/>
    <w:unhideWhenUsed/>
    <w:qFormat/>
    <w:uiPriority w:val="1"/>
  </w:style>
  <w:style w:type="table" w:default="1" w:styleId="12">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caption"/>
    <w:basedOn w:val="1"/>
    <w:next w:val="1"/>
    <w:unhideWhenUsed/>
    <w:qFormat/>
    <w:uiPriority w:val="35"/>
    <w:pPr>
      <w:jc w:val="center"/>
    </w:pPr>
    <w:rPr>
      <w:rFonts w:eastAsia="黑体" w:asciiTheme="majorHAnsi" w:hAnsiTheme="majorHAnsi" w:cstheme="majorBidi"/>
      <w:szCs w:val="20"/>
    </w:rPr>
  </w:style>
  <w:style w:type="paragraph" w:styleId="4">
    <w:name w:val="Body Text Indent"/>
    <w:basedOn w:val="1"/>
    <w:link w:val="27"/>
    <w:autoRedefine/>
    <w:qFormat/>
    <w:uiPriority w:val="0"/>
    <w:pPr>
      <w:spacing w:line="300" w:lineRule="auto"/>
      <w:ind w:firstLine="420" w:firstLineChars="200"/>
    </w:pPr>
    <w:rPr>
      <w:rFonts w:ascii="Times New Roman" w:hAnsi="宋体" w:eastAsia="宋体" w:cs="Times New Roman"/>
      <w:szCs w:val="20"/>
    </w:rPr>
  </w:style>
  <w:style w:type="paragraph" w:styleId="5">
    <w:name w:val="Date"/>
    <w:basedOn w:val="1"/>
    <w:next w:val="1"/>
    <w:link w:val="26"/>
    <w:autoRedefine/>
    <w:semiHidden/>
    <w:unhideWhenUsed/>
    <w:qFormat/>
    <w:uiPriority w:val="99"/>
    <w:pPr>
      <w:ind w:left="100" w:leftChars="2500"/>
    </w:pPr>
  </w:style>
  <w:style w:type="paragraph" w:styleId="6">
    <w:name w:val="endnote text"/>
    <w:basedOn w:val="1"/>
    <w:link w:val="24"/>
    <w:autoRedefine/>
    <w:qFormat/>
    <w:uiPriority w:val="99"/>
    <w:pPr>
      <w:snapToGrid w:val="0"/>
      <w:jc w:val="left"/>
    </w:pPr>
    <w:rPr>
      <w:rFonts w:ascii="Calibri" w:hAnsi="Calibri" w:eastAsia="宋体" w:cs="Times New Roman"/>
      <w:szCs w:val="24"/>
    </w:rPr>
  </w:style>
  <w:style w:type="paragraph" w:styleId="7">
    <w:name w:val="Balloon Text"/>
    <w:basedOn w:val="1"/>
    <w:link w:val="23"/>
    <w:autoRedefine/>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标题 3 字符"/>
    <w:basedOn w:val="14"/>
    <w:link w:val="2"/>
    <w:autoRedefine/>
    <w:qFormat/>
    <w:uiPriority w:val="9"/>
    <w:rPr>
      <w:rFonts w:ascii="Times New Roman" w:hAnsi="Times New Roman"/>
      <w:b/>
      <w:bCs/>
      <w:szCs w:val="32"/>
    </w:rPr>
  </w:style>
  <w:style w:type="character" w:customStyle="1" w:styleId="17">
    <w:name w:val="页脚 字符"/>
    <w:basedOn w:val="14"/>
    <w:link w:val="8"/>
    <w:qFormat/>
    <w:uiPriority w:val="99"/>
    <w:rPr>
      <w:sz w:val="18"/>
      <w:szCs w:val="18"/>
    </w:rPr>
  </w:style>
  <w:style w:type="paragraph" w:styleId="18">
    <w:name w:val="List Paragraph"/>
    <w:basedOn w:val="1"/>
    <w:autoRedefine/>
    <w:qFormat/>
    <w:uiPriority w:val="34"/>
    <w:pPr>
      <w:ind w:firstLine="420" w:firstLineChars="200"/>
    </w:pPr>
  </w:style>
  <w:style w:type="paragraph" w:customStyle="1" w:styleId="19">
    <w:name w:val="段"/>
    <w:link w:val="2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20">
    <w:name w:val="段 Char"/>
    <w:link w:val="19"/>
    <w:autoRedefine/>
    <w:qFormat/>
    <w:uiPriority w:val="0"/>
    <w:rPr>
      <w:rFonts w:ascii="宋体" w:hAnsi="Times New Roman" w:eastAsia="宋体" w:cs="Times New Roman"/>
      <w:kern w:val="0"/>
      <w:szCs w:val="20"/>
    </w:rPr>
  </w:style>
  <w:style w:type="table" w:customStyle="1" w:styleId="21">
    <w:name w:val="浅色底纹1"/>
    <w:basedOn w:val="12"/>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22">
    <w:name w:val="页眉 字符"/>
    <w:basedOn w:val="14"/>
    <w:link w:val="9"/>
    <w:autoRedefine/>
    <w:qFormat/>
    <w:uiPriority w:val="99"/>
    <w:rPr>
      <w:sz w:val="18"/>
      <w:szCs w:val="18"/>
    </w:rPr>
  </w:style>
  <w:style w:type="character" w:customStyle="1" w:styleId="23">
    <w:name w:val="批注框文本 字符"/>
    <w:basedOn w:val="14"/>
    <w:link w:val="7"/>
    <w:autoRedefine/>
    <w:semiHidden/>
    <w:qFormat/>
    <w:uiPriority w:val="99"/>
    <w:rPr>
      <w:sz w:val="18"/>
      <w:szCs w:val="18"/>
    </w:rPr>
  </w:style>
  <w:style w:type="character" w:customStyle="1" w:styleId="24">
    <w:name w:val="尾注文本 字符"/>
    <w:basedOn w:val="14"/>
    <w:link w:val="6"/>
    <w:autoRedefine/>
    <w:qFormat/>
    <w:uiPriority w:val="99"/>
    <w:rPr>
      <w:rFonts w:ascii="Calibri" w:hAnsi="Calibri" w:eastAsia="宋体" w:cs="Times New Roman"/>
      <w:szCs w:val="24"/>
    </w:rPr>
  </w:style>
  <w:style w:type="table" w:customStyle="1" w:styleId="25">
    <w:name w:val="网格型1"/>
    <w:basedOn w:val="12"/>
    <w:autoRedefine/>
    <w:qFormat/>
    <w:uiPriority w:val="59"/>
    <w:rPr>
      <w:rFonts w:ascii="宋体"/>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
    <w:name w:val="日期 字符"/>
    <w:basedOn w:val="14"/>
    <w:link w:val="5"/>
    <w:autoRedefine/>
    <w:semiHidden/>
    <w:qFormat/>
    <w:uiPriority w:val="99"/>
  </w:style>
  <w:style w:type="character" w:customStyle="1" w:styleId="27">
    <w:name w:val="正文文本缩进 字符"/>
    <w:basedOn w:val="14"/>
    <w:link w:val="4"/>
    <w:autoRedefine/>
    <w:qFormat/>
    <w:uiPriority w:val="0"/>
    <w:rPr>
      <w:rFonts w:ascii="Times New Roman" w:hAnsi="宋体" w:eastAsia="宋体" w:cs="Times New Roman"/>
      <w:szCs w:val="20"/>
    </w:rPr>
  </w:style>
  <w:style w:type="paragraph" w:customStyle="1" w:styleId="28">
    <w:name w:val="二级条标题"/>
    <w:basedOn w:val="1"/>
    <w:next w:val="19"/>
    <w:autoRedefine/>
    <w:qFormat/>
    <w:uiPriority w:val="0"/>
    <w:pPr>
      <w:widowControl/>
      <w:numPr>
        <w:ilvl w:val="2"/>
        <w:numId w:val="1"/>
      </w:numPr>
      <w:spacing w:beforeLines="50" w:afterLines="50"/>
      <w:jc w:val="left"/>
      <w:outlineLvl w:val="3"/>
    </w:pPr>
    <w:rPr>
      <w:rFonts w:ascii="黑体" w:hAnsi="Times New Roman" w:eastAsia="黑体" w:cs="Times New Roman"/>
      <w:kern w:val="0"/>
      <w:szCs w:val="21"/>
    </w:rPr>
  </w:style>
  <w:style w:type="character" w:customStyle="1" w:styleId="29">
    <w:name w:val="headline-content2"/>
    <w:basedOn w:val="14"/>
    <w:autoRedefine/>
    <w:qFormat/>
    <w:uiPriority w:val="0"/>
  </w:style>
  <w:style w:type="paragraph" w:customStyle="1" w:styleId="30">
    <w:name w:val="章标题"/>
    <w:next w:val="19"/>
    <w:autoRedefine/>
    <w:qFormat/>
    <w:uiPriority w:val="0"/>
    <w:pPr>
      <w:numPr>
        <w:ilvl w:val="0"/>
        <w:numId w:val="1"/>
      </w:numPr>
      <w:spacing w:beforeLines="100" w:afterLines="100"/>
      <w:ind w:left="426"/>
      <w:jc w:val="both"/>
      <w:outlineLvl w:val="1"/>
    </w:pPr>
    <w:rPr>
      <w:rFonts w:ascii="黑体" w:hAnsi="Times New Roman" w:eastAsia="黑体" w:cs="Times New Roman"/>
      <w:kern w:val="0"/>
      <w:sz w:val="21"/>
      <w:szCs w:val="20"/>
      <w:lang w:val="en-US" w:eastAsia="zh-CN" w:bidi="ar-SA"/>
    </w:rPr>
  </w:style>
  <w:style w:type="paragraph" w:customStyle="1" w:styleId="31">
    <w:name w:val="一级条标题"/>
    <w:next w:val="19"/>
    <w:autoRedefine/>
    <w:qFormat/>
    <w:uiPriority w:val="0"/>
    <w:pPr>
      <w:numPr>
        <w:ilvl w:val="1"/>
        <w:numId w:val="1"/>
      </w:numPr>
      <w:spacing w:beforeLines="50" w:afterLines="50"/>
      <w:ind w:left="0"/>
      <w:outlineLvl w:val="2"/>
    </w:pPr>
    <w:rPr>
      <w:rFonts w:ascii="黑体" w:hAnsi="Times New Roman" w:eastAsia="黑体" w:cs="Times New Roman"/>
      <w:kern w:val="0"/>
      <w:sz w:val="21"/>
      <w:szCs w:val="21"/>
      <w:lang w:val="en-US" w:eastAsia="zh-CN" w:bidi="ar-SA"/>
    </w:rPr>
  </w:style>
  <w:style w:type="paragraph" w:customStyle="1" w:styleId="32">
    <w:name w:val="二级无"/>
    <w:basedOn w:val="28"/>
    <w:autoRedefine/>
    <w:qFormat/>
    <w:uiPriority w:val="0"/>
    <w:pPr>
      <w:spacing w:beforeLines="0" w:afterLines="0"/>
      <w:ind w:left="0" w:firstLine="0"/>
    </w:pPr>
    <w:rPr>
      <w:rFonts w:ascii="宋体" w:eastAsia="宋体"/>
    </w:rPr>
  </w:style>
  <w:style w:type="paragraph" w:customStyle="1" w:styleId="33">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4">
    <w:name w:val="标准文件_二级项2"/>
    <w:basedOn w:val="35"/>
    <w:qFormat/>
    <w:uiPriority w:val="0"/>
    <w:pPr>
      <w:keepNext w:val="0"/>
      <w:keepLines w:val="0"/>
      <w:widowControl/>
      <w:numPr>
        <w:ilvl w:val="1"/>
        <w:numId w:val="2"/>
      </w:numPr>
      <w:suppressLineNumbers w:val="0"/>
      <w:tabs>
        <w:tab w:val="left" w:pos="360"/>
      </w:tabs>
      <w:autoSpaceDE w:val="0"/>
      <w:autoSpaceDN w:val="0"/>
      <w:spacing w:before="0" w:beforeAutospacing="0" w:after="0" w:afterAutospacing="0"/>
      <w:ind w:left="0" w:right="0" w:firstLine="0" w:firstLineChars="0"/>
      <w:jc w:val="both"/>
    </w:pPr>
    <w:rPr>
      <w:rFonts w:hint="eastAsia" w:ascii="宋体" w:hAnsi="Times New Roman" w:eastAsia="宋体" w:cs="Times New Roman"/>
      <w:kern w:val="0"/>
      <w:sz w:val="21"/>
      <w:szCs w:val="20"/>
      <w:lang w:val="en-US" w:eastAsia="zh-CN" w:bidi="ar"/>
    </w:rPr>
  </w:style>
  <w:style w:type="paragraph" w:customStyle="1" w:styleId="35">
    <w:name w:val="标准文件_段"/>
    <w:basedOn w:val="1"/>
    <w:link w:val="47"/>
    <w:qFormat/>
    <w:uiPriority w:val="0"/>
    <w:pPr>
      <w:keepNext w:val="0"/>
      <w:keepLines w:val="0"/>
      <w:widowControl/>
      <w:suppressLineNumbers w:val="0"/>
      <w:autoSpaceDE w:val="0"/>
      <w:autoSpaceDN w:val="0"/>
      <w:adjustRightInd/>
      <w:spacing w:before="0" w:beforeAutospacing="0" w:after="0" w:afterAutospacing="0" w:line="240" w:lineRule="auto"/>
      <w:ind w:left="0" w:right="0" w:firstLine="200" w:firstLineChars="200"/>
      <w:jc w:val="both"/>
    </w:pPr>
    <w:rPr>
      <w:rFonts w:hint="eastAsia" w:ascii="宋体" w:hAnsi="Times New Roman" w:eastAsia="宋体" w:cs="Times New Roman"/>
      <w:kern w:val="0"/>
      <w:sz w:val="21"/>
      <w:szCs w:val="20"/>
      <w:lang w:val="en-US" w:eastAsia="zh-CN" w:bidi="ar"/>
    </w:rPr>
  </w:style>
  <w:style w:type="paragraph" w:customStyle="1" w:styleId="36">
    <w:name w:val="标准文件_附录标识"/>
    <w:basedOn w:val="1"/>
    <w:next w:val="35"/>
    <w:qFormat/>
    <w:uiPriority w:val="0"/>
    <w:pPr>
      <w:keepNext w:val="0"/>
      <w:keepLines w:val="0"/>
      <w:widowControl/>
      <w:numPr>
        <w:ilvl w:val="0"/>
        <w:numId w:val="3"/>
      </w:numPr>
      <w:suppressLineNumbers w:val="0"/>
      <w:shd w:val="clear" w:fill="FFFFFF"/>
      <w:tabs>
        <w:tab w:val="left" w:pos="6406"/>
      </w:tabs>
      <w:adjustRightInd/>
      <w:spacing w:before="560" w:beforeAutospacing="0" w:after="50" w:afterLines="50" w:afterAutospacing="0" w:line="240" w:lineRule="auto"/>
      <w:ind w:left="0" w:right="0" w:firstLine="0"/>
      <w:jc w:val="center"/>
      <w:outlineLvl w:val="0"/>
    </w:pPr>
    <w:rPr>
      <w:rFonts w:hint="eastAsia" w:ascii="黑体" w:hAnsi="Times New Roman" w:eastAsia="黑体" w:cs="Times New Roman"/>
      <w:kern w:val="0"/>
      <w:sz w:val="21"/>
      <w:szCs w:val="20"/>
      <w:lang w:val="en-US" w:eastAsia="zh-CN" w:bidi="ar"/>
    </w:rPr>
  </w:style>
  <w:style w:type="paragraph" w:customStyle="1" w:styleId="37">
    <w:name w:val="标准文件_附录表标题"/>
    <w:basedOn w:val="1"/>
    <w:next w:val="35"/>
    <w:uiPriority w:val="0"/>
    <w:pPr>
      <w:keepNext w:val="0"/>
      <w:keepLines w:val="0"/>
      <w:widowControl/>
      <w:numPr>
        <w:ilvl w:val="1"/>
        <w:numId w:val="4"/>
      </w:numPr>
      <w:suppressLineNumbers w:val="0"/>
      <w:adjustRightInd w:val="0"/>
      <w:snapToGrid w:val="0"/>
      <w:spacing w:before="50" w:beforeLines="50" w:beforeAutospacing="0" w:after="50" w:afterLines="50" w:afterAutospacing="0" w:line="240" w:lineRule="auto"/>
      <w:ind w:left="0" w:right="0" w:firstLine="0"/>
      <w:jc w:val="center"/>
    </w:pPr>
    <w:rPr>
      <w:rFonts w:hint="eastAsia" w:ascii="黑体" w:hAnsi="Times New Roman" w:eastAsia="黑体" w:cs="Times New Roman"/>
      <w:kern w:val="21"/>
      <w:sz w:val="21"/>
      <w:szCs w:val="20"/>
      <w:lang w:val="en-US" w:eastAsia="zh-CN" w:bidi="ar"/>
    </w:rPr>
  </w:style>
  <w:style w:type="paragraph" w:customStyle="1" w:styleId="38">
    <w:name w:val="标准文件_表格"/>
    <w:basedOn w:val="35"/>
    <w:qFormat/>
    <w:uiPriority w:val="0"/>
    <w:pPr>
      <w:keepNext w:val="0"/>
      <w:keepLines w:val="0"/>
      <w:widowControl/>
      <w:suppressLineNumbers w:val="0"/>
      <w:autoSpaceDE w:val="0"/>
      <w:autoSpaceDN w:val="0"/>
      <w:spacing w:before="0" w:beforeAutospacing="0" w:after="0" w:afterAutospacing="0"/>
      <w:ind w:left="0" w:right="0" w:firstLine="0" w:firstLineChars="0"/>
      <w:jc w:val="center"/>
    </w:pPr>
    <w:rPr>
      <w:rFonts w:hint="eastAsia" w:ascii="宋体" w:hAnsi="Times New Roman" w:eastAsia="宋体" w:cs="Times New Roman"/>
      <w:kern w:val="0"/>
      <w:sz w:val="18"/>
      <w:szCs w:val="20"/>
      <w:lang w:val="en-US" w:eastAsia="zh-CN" w:bidi="ar"/>
    </w:rPr>
  </w:style>
  <w:style w:type="paragraph" w:customStyle="1" w:styleId="39">
    <w:name w:val="标准文件_标准正文"/>
    <w:basedOn w:val="1"/>
    <w:next w:val="35"/>
    <w:uiPriority w:val="0"/>
    <w:pPr>
      <w:keepNext w:val="0"/>
      <w:keepLines w:val="0"/>
      <w:widowControl w:val="0"/>
      <w:suppressLineNumbers w:val="0"/>
      <w:adjustRightInd w:val="0"/>
      <w:snapToGrid w:val="0"/>
      <w:spacing w:before="0" w:beforeAutospacing="0" w:after="0" w:afterAutospacing="0" w:line="400" w:lineRule="exact"/>
      <w:ind w:left="0" w:right="0" w:firstLine="200" w:firstLineChars="200"/>
      <w:jc w:val="both"/>
    </w:pPr>
    <w:rPr>
      <w:rFonts w:hint="default" w:ascii="Calibri" w:hAnsi="Calibri" w:eastAsia="宋体" w:cs="Times New Roman"/>
      <w:kern w:val="0"/>
      <w:sz w:val="21"/>
      <w:szCs w:val="21"/>
      <w:lang w:val="en-US" w:eastAsia="zh-CN" w:bidi="ar"/>
    </w:rPr>
  </w:style>
  <w:style w:type="paragraph" w:customStyle="1" w:styleId="40">
    <w:name w:val="标准文件_二级条标题"/>
    <w:basedOn w:val="1"/>
    <w:next w:val="35"/>
    <w:qFormat/>
    <w:uiPriority w:val="0"/>
    <w:pPr>
      <w:keepNext w:val="0"/>
      <w:keepLines w:val="0"/>
      <w:widowControl w:val="0"/>
      <w:numPr>
        <w:ilvl w:val="3"/>
        <w:numId w:val="5"/>
      </w:numPr>
      <w:suppressLineNumbers w:val="0"/>
      <w:adjustRightInd/>
      <w:spacing w:before="50" w:beforeLines="50" w:beforeAutospacing="0" w:after="50" w:afterLines="50" w:afterAutospacing="0" w:line="240" w:lineRule="auto"/>
      <w:ind w:left="0" w:right="0" w:firstLine="0"/>
      <w:jc w:val="both"/>
      <w:outlineLvl w:val="2"/>
    </w:pPr>
    <w:rPr>
      <w:rFonts w:hint="eastAsia" w:ascii="黑体" w:hAnsi="Times New Roman" w:eastAsia="黑体" w:cs="Times New Roman"/>
      <w:kern w:val="0"/>
      <w:sz w:val="21"/>
      <w:szCs w:val="20"/>
      <w:lang w:val="en-US" w:eastAsia="zh-CN" w:bidi="ar"/>
    </w:rPr>
  </w:style>
  <w:style w:type="paragraph" w:customStyle="1" w:styleId="41">
    <w:name w:val="标准文件_附录表标号"/>
    <w:basedOn w:val="35"/>
    <w:next w:val="35"/>
    <w:qFormat/>
    <w:uiPriority w:val="0"/>
    <w:pPr>
      <w:keepNext w:val="0"/>
      <w:keepLines w:val="0"/>
      <w:widowControl/>
      <w:numPr>
        <w:ilvl w:val="0"/>
        <w:numId w:val="4"/>
      </w:numPr>
      <w:suppressLineNumbers w:val="0"/>
      <w:tabs>
        <w:tab w:val="left" w:pos="360"/>
      </w:tabs>
      <w:autoSpaceDE w:val="0"/>
      <w:autoSpaceDN w:val="0"/>
      <w:spacing w:before="0" w:beforeAutospacing="0" w:after="0" w:afterAutospacing="0" w:line="14" w:lineRule="exact"/>
      <w:ind w:left="0" w:right="0" w:firstLine="0" w:firstLineChars="0"/>
      <w:jc w:val="center"/>
    </w:pPr>
    <w:rPr>
      <w:rFonts w:hint="eastAsia" w:ascii="宋体" w:hAnsi="Times New Roman" w:eastAsia="黑体" w:cs="Times New Roman"/>
      <w:vanish/>
      <w:kern w:val="0"/>
      <w:sz w:val="2"/>
      <w:szCs w:val="20"/>
      <w:lang w:val="en-US" w:eastAsia="zh-CN" w:bidi="ar"/>
    </w:rPr>
  </w:style>
  <w:style w:type="paragraph" w:customStyle="1" w:styleId="42">
    <w:name w:val="标准文件_一级条标题"/>
    <w:basedOn w:val="43"/>
    <w:next w:val="35"/>
    <w:qFormat/>
    <w:uiPriority w:val="0"/>
    <w:pPr>
      <w:keepNext w:val="0"/>
      <w:keepLines w:val="0"/>
      <w:widowControl/>
      <w:numPr>
        <w:ilvl w:val="2"/>
        <w:numId w:val="5"/>
      </w:numPr>
      <w:suppressLineNumbers w:val="0"/>
      <w:spacing w:before="50" w:beforeLines="50" w:beforeAutospacing="0" w:after="50" w:afterLines="50" w:afterAutospacing="0"/>
      <w:ind w:left="0" w:right="0" w:firstLine="0"/>
      <w:jc w:val="both"/>
      <w:outlineLvl w:val="1"/>
    </w:pPr>
    <w:rPr>
      <w:rFonts w:hint="eastAsia" w:ascii="黑体" w:hAnsi="Times New Roman" w:eastAsia="黑体" w:cs="Times New Roman"/>
      <w:kern w:val="0"/>
      <w:sz w:val="21"/>
      <w:szCs w:val="20"/>
      <w:lang w:val="en-US" w:eastAsia="zh-CN" w:bidi="ar"/>
    </w:rPr>
  </w:style>
  <w:style w:type="paragraph" w:customStyle="1" w:styleId="43">
    <w:name w:val="标准文件_章标题"/>
    <w:basedOn w:val="1"/>
    <w:next w:val="35"/>
    <w:qFormat/>
    <w:uiPriority w:val="0"/>
    <w:pPr>
      <w:keepNext w:val="0"/>
      <w:keepLines w:val="0"/>
      <w:widowControl/>
      <w:numPr>
        <w:ilvl w:val="1"/>
        <w:numId w:val="5"/>
      </w:numPr>
      <w:suppressLineNumbers w:val="0"/>
      <w:adjustRightInd/>
      <w:spacing w:before="100" w:beforeLines="100" w:beforeAutospacing="0" w:after="100" w:afterLines="100" w:afterAutospacing="0" w:line="240" w:lineRule="auto"/>
      <w:ind w:left="0" w:right="0" w:firstLine="0"/>
      <w:jc w:val="both"/>
      <w:outlineLvl w:val="0"/>
    </w:pPr>
    <w:rPr>
      <w:rFonts w:hint="eastAsia" w:ascii="黑体" w:hAnsi="Times New Roman" w:eastAsia="黑体" w:cs="Times New Roman"/>
      <w:kern w:val="0"/>
      <w:sz w:val="21"/>
      <w:szCs w:val="20"/>
      <w:lang w:val="en-US" w:eastAsia="zh-CN" w:bidi="ar"/>
    </w:rPr>
  </w:style>
  <w:style w:type="paragraph" w:customStyle="1" w:styleId="44">
    <w:name w:val="标准文件_正文图标题"/>
    <w:basedOn w:val="1"/>
    <w:next w:val="35"/>
    <w:qFormat/>
    <w:uiPriority w:val="0"/>
    <w:pPr>
      <w:keepNext w:val="0"/>
      <w:keepLines w:val="0"/>
      <w:widowControl/>
      <w:numPr>
        <w:ilvl w:val="0"/>
        <w:numId w:val="6"/>
      </w:numPr>
      <w:suppressLineNumbers w:val="0"/>
      <w:adjustRightInd/>
      <w:spacing w:before="50" w:beforeLines="50" w:beforeAutospacing="0" w:after="50" w:afterLines="50" w:afterAutospacing="0" w:line="240" w:lineRule="auto"/>
      <w:ind w:left="0" w:right="0" w:firstLine="0"/>
      <w:jc w:val="center"/>
    </w:pPr>
    <w:rPr>
      <w:rFonts w:hint="eastAsia" w:ascii="黑体" w:hAnsi="Times New Roman" w:eastAsia="黑体" w:cs="Times New Roman"/>
      <w:kern w:val="0"/>
      <w:sz w:val="21"/>
      <w:szCs w:val="20"/>
      <w:lang w:val="en-US" w:eastAsia="zh-CN" w:bidi="ar"/>
    </w:rPr>
  </w:style>
  <w:style w:type="paragraph" w:customStyle="1" w:styleId="45">
    <w:name w:val="标准文件_一级项"/>
    <w:basedOn w:val="1"/>
    <w:qFormat/>
    <w:uiPriority w:val="0"/>
    <w:pPr>
      <w:keepNext w:val="0"/>
      <w:keepLines w:val="0"/>
      <w:widowControl/>
      <w:numPr>
        <w:ilvl w:val="0"/>
        <w:numId w:val="2"/>
      </w:numPr>
      <w:suppressLineNumbers w:val="0"/>
      <w:adjustRightInd/>
      <w:spacing w:before="0" w:beforeAutospacing="0" w:after="0" w:afterAutospacing="0" w:line="240" w:lineRule="auto"/>
      <w:ind w:left="851" w:right="0" w:hanging="426"/>
      <w:jc w:val="left"/>
    </w:pPr>
    <w:rPr>
      <w:rFonts w:hint="eastAsia" w:ascii="宋体" w:hAnsi="Times New Roman" w:eastAsia="宋体" w:cs="Times New Roman"/>
      <w:kern w:val="0"/>
      <w:sz w:val="21"/>
      <w:szCs w:val="20"/>
      <w:lang w:val="en-US" w:eastAsia="zh-CN" w:bidi="ar"/>
    </w:rPr>
  </w:style>
  <w:style w:type="paragraph" w:customStyle="1" w:styleId="46">
    <w:name w:val="标准文件_附录图标号"/>
    <w:basedOn w:val="35"/>
    <w:next w:val="35"/>
    <w:qFormat/>
    <w:uiPriority w:val="0"/>
    <w:pPr>
      <w:keepNext w:val="0"/>
      <w:keepLines w:val="0"/>
      <w:widowControl/>
      <w:numPr>
        <w:ilvl w:val="0"/>
        <w:numId w:val="7"/>
      </w:numPr>
      <w:suppressLineNumbers w:val="0"/>
      <w:tabs>
        <w:tab w:val="left" w:pos="360"/>
      </w:tabs>
      <w:autoSpaceDE w:val="0"/>
      <w:autoSpaceDN w:val="0"/>
      <w:spacing w:before="0" w:beforeAutospacing="0" w:after="0" w:afterAutospacing="0" w:line="14" w:lineRule="exact"/>
      <w:ind w:left="0" w:right="0" w:firstLine="0" w:firstLineChars="0"/>
      <w:jc w:val="center"/>
    </w:pPr>
    <w:rPr>
      <w:rFonts w:hint="eastAsia" w:ascii="黑体" w:hAnsi="宋体" w:eastAsia="黑体" w:cs="Times New Roman"/>
      <w:vanish/>
      <w:kern w:val="0"/>
      <w:sz w:val="2"/>
      <w:szCs w:val="21"/>
      <w:lang w:val="en-US" w:eastAsia="zh-CN" w:bidi="ar"/>
    </w:rPr>
  </w:style>
  <w:style w:type="character" w:customStyle="1" w:styleId="47">
    <w:name w:val="标准文件_段 Char"/>
    <w:basedOn w:val="14"/>
    <w:link w:val="35"/>
    <w:qFormat/>
    <w:uiPriority w:val="0"/>
    <w:rPr>
      <w:rFonts w:hint="eastAsia" w:ascii="宋体" w:hAnsi="Times New Roman" w:eastAsia="宋体" w:cs="宋体"/>
      <w:sz w:val="21"/>
    </w:rPr>
  </w:style>
  <w:style w:type="paragraph" w:customStyle="1" w:styleId="48">
    <w:name w:val="标准文件_正文公式"/>
    <w:basedOn w:val="1"/>
    <w:next w:val="39"/>
    <w:qFormat/>
    <w:uiPriority w:val="0"/>
    <w:pPr>
      <w:keepNext w:val="0"/>
      <w:keepLines w:val="0"/>
      <w:widowControl w:val="0"/>
      <w:suppressLineNumbers w:val="0"/>
      <w:tabs>
        <w:tab w:val="center" w:pos="4678"/>
        <w:tab w:val="right" w:leader="middleDot" w:pos="9356"/>
      </w:tabs>
      <w:adjustRightInd w:val="0"/>
      <w:spacing w:before="0" w:beforeAutospacing="0" w:after="0" w:afterAutospacing="0" w:line="240" w:lineRule="auto"/>
      <w:ind w:left="0" w:right="0"/>
      <w:jc w:val="both"/>
    </w:pPr>
    <w:rPr>
      <w:rFonts w:hint="eastAsia" w:ascii="宋体" w:hAnsi="宋体" w:eastAsia="宋体" w:cs="Times New Roman"/>
      <w:kern w:val="2"/>
      <w:sz w:val="21"/>
      <w:szCs w:val="21"/>
      <w:lang w:val="en-US" w:eastAsia="zh-CN" w:bidi="ar"/>
    </w:rPr>
  </w:style>
  <w:style w:type="paragraph" w:customStyle="1" w:styleId="49">
    <w:name w:val="标准文件_二级无标题"/>
    <w:basedOn w:val="40"/>
    <w:qFormat/>
    <w:uiPriority w:val="0"/>
    <w:pPr>
      <w:keepNext w:val="0"/>
      <w:keepLines w:val="0"/>
      <w:widowControl w:val="0"/>
      <w:numPr>
        <w:ilvl w:val="3"/>
        <w:numId w:val="5"/>
      </w:numPr>
      <w:suppressLineNumbers w:val="0"/>
      <w:spacing w:before="0" w:beforeLines="-2147483648" w:beforeAutospacing="0" w:after="0" w:afterLines="-2147483648" w:afterAutospacing="0"/>
      <w:ind w:left="0" w:right="0" w:firstLine="0"/>
      <w:jc w:val="both"/>
      <w:outlineLvl w:val="9"/>
    </w:pPr>
    <w:rPr>
      <w:rFonts w:hint="eastAsia" w:ascii="宋体" w:hAnsi="Times New Roman" w:eastAsia="宋体" w:cs="Times New Roman"/>
      <w:kern w:val="0"/>
      <w:sz w:val="21"/>
      <w:szCs w:val="20"/>
      <w:lang w:val="en-US" w:eastAsia="zh-CN" w:bidi="ar"/>
    </w:rPr>
  </w:style>
  <w:style w:type="paragraph" w:customStyle="1" w:styleId="50">
    <w:name w:val="标准文件_三级无标题"/>
    <w:qFormat/>
    <w:uiPriority w:val="0"/>
    <w:pPr>
      <w:keepNext w:val="0"/>
      <w:keepLines w:val="0"/>
      <w:widowControl/>
      <w:numPr>
        <w:ilvl w:val="4"/>
        <w:numId w:val="5"/>
      </w:numPr>
      <w:suppressLineNumbers w:val="0"/>
      <w:spacing w:before="0" w:beforeLines="-2147483648" w:beforeAutospacing="0" w:after="0" w:afterLines="-2147483648" w:afterAutospacing="0"/>
      <w:ind w:left="0" w:right="0" w:firstLine="0"/>
      <w:jc w:val="both"/>
      <w:outlineLvl w:val="9"/>
    </w:pPr>
    <w:rPr>
      <w:rFonts w:hint="eastAsia" w:ascii="宋体" w:hAnsi="Times New Roman" w:eastAsia="宋体" w:cs="Times New Roman"/>
      <w:kern w:val="0"/>
      <w:sz w:val="21"/>
      <w:szCs w:val="20"/>
      <w:lang w:val="en-US" w:eastAsia="zh-CN" w:bidi="ar"/>
    </w:rPr>
  </w:style>
  <w:style w:type="paragraph" w:customStyle="1" w:styleId="51">
    <w:name w:val="标准文件_术语条一"/>
    <w:basedOn w:val="1"/>
    <w:next w:val="35"/>
    <w:qFormat/>
    <w:uiPriority w:val="0"/>
    <w:pPr>
      <w:keepNext w:val="0"/>
      <w:keepLines w:val="0"/>
      <w:widowControl/>
      <w:numPr>
        <w:ilvl w:val="2"/>
        <w:numId w:val="3"/>
      </w:numPr>
      <w:suppressLineNumbers w:val="0"/>
      <w:adjustRightInd/>
      <w:spacing w:before="0" w:beforeAutospacing="0" w:after="0" w:afterAutospacing="0" w:line="240" w:lineRule="auto"/>
      <w:ind w:left="0" w:right="0" w:firstLine="0"/>
      <w:jc w:val="both"/>
    </w:pPr>
    <w:rPr>
      <w:rFonts w:hint="eastAsia" w:ascii="宋体" w:hAnsi="Times New Roman" w:eastAsia="宋体" w:cs="Times New Roman"/>
      <w:kern w:val="0"/>
      <w:sz w:val="21"/>
      <w:szCs w:val="2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textRotate="1"/>
    <customShpInfo spid="_x0000_s4098"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20</Pages>
  <Words>6914</Words>
  <Characters>7363</Characters>
  <Lines>62</Lines>
  <Paragraphs>17</Paragraphs>
  <TotalTime>1</TotalTime>
  <ScaleCrop>false</ScaleCrop>
  <LinksUpToDate>false</LinksUpToDate>
  <CharactersWithSpaces>7482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2019-06-25T01:51:00Z</dcterms:created>
  <dc:creator>yao jiang</dc:creator>
  <cp:lastModifiedBy>沁桑</cp:lastModifiedBy>
  <dcterms:modified xsi:type="dcterms:W3CDTF">2024-09-27T06:00:21Z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286513CB856B4AD4B4C264CC0310DEB1</vt:lpwstr>
  </property>
</Properties>
</file>