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9C848D2" w14:textId="77777777" w:rsidTr="00215ADD">
        <w:tc>
          <w:tcPr>
            <w:tcW w:w="509" w:type="dxa"/>
          </w:tcPr>
          <w:p w14:paraId="2661F42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6DF262D" w14:textId="459BD4DD"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F4B50">
              <w:rPr>
                <w:rFonts w:ascii="黑体" w:eastAsia="黑体" w:hAnsi="黑体" w:hint="eastAsia"/>
                <w:sz w:val="21"/>
                <w:szCs w:val="21"/>
              </w:rPr>
              <w:t>65.120</w:t>
            </w:r>
            <w:r w:rsidRPr="00672BFD">
              <w:rPr>
                <w:rFonts w:ascii="黑体" w:eastAsia="黑体" w:hAnsi="黑体"/>
                <w:sz w:val="21"/>
                <w:szCs w:val="21"/>
              </w:rPr>
              <w:fldChar w:fldCharType="end"/>
            </w:r>
            <w:bookmarkEnd w:id="0"/>
          </w:p>
        </w:tc>
      </w:tr>
      <w:tr w:rsidR="007B7453" w:rsidRPr="00672BFD" w14:paraId="5EF75C1E" w14:textId="77777777" w:rsidTr="00215ADD">
        <w:tc>
          <w:tcPr>
            <w:tcW w:w="509" w:type="dxa"/>
          </w:tcPr>
          <w:p w14:paraId="639E43C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3A1EB0F" w14:textId="77777777" w:rsidTr="008A173B">
              <w:trPr>
                <w:trHeight w:hRule="exact" w:val="1021"/>
              </w:trPr>
              <w:tc>
                <w:tcPr>
                  <w:tcW w:w="9242" w:type="dxa"/>
                  <w:vAlign w:val="center"/>
                </w:tcPr>
                <w:p w14:paraId="499C136C" w14:textId="441F4592" w:rsidR="000F4050" w:rsidRDefault="007B6032" w:rsidP="00FE417F">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9A7F6DF" wp14:editId="5BB67E6F">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31D55B9" wp14:editId="0401C25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F2336">
                    <w:rPr>
                      <w:rFonts w:hint="eastAsia"/>
                    </w:rPr>
                    <w:t>CSTC</w:t>
                  </w:r>
                  <w:r w:rsidR="009C3257">
                    <w:fldChar w:fldCharType="end"/>
                  </w:r>
                  <w:bookmarkEnd w:id="1"/>
                </w:p>
              </w:tc>
            </w:tr>
          </w:tbl>
          <w:p w14:paraId="75C3433C" w14:textId="2FBC963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F4B50">
              <w:rPr>
                <w:rFonts w:ascii="黑体" w:eastAsia="黑体" w:hAnsi="黑体" w:hint="eastAsia"/>
                <w:sz w:val="21"/>
                <w:szCs w:val="21"/>
              </w:rPr>
              <w:t>B 46</w:t>
            </w:r>
            <w:r w:rsidRPr="00672BFD">
              <w:rPr>
                <w:rFonts w:ascii="黑体" w:eastAsia="黑体" w:hAnsi="黑体"/>
                <w:sz w:val="21"/>
                <w:szCs w:val="21"/>
              </w:rPr>
              <w:fldChar w:fldCharType="end"/>
            </w:r>
            <w:bookmarkEnd w:id="2"/>
          </w:p>
        </w:tc>
      </w:tr>
    </w:tbl>
    <w:bookmarkStart w:id="3" w:name="_Hlk26473981"/>
    <w:p w14:paraId="5295C689" w14:textId="3D0258FF"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F4B50" w:rsidRPr="001F4B50">
        <w:rPr>
          <w:rFonts w:ascii="黑体" w:eastAsia="黑体" w:hint="eastAsia"/>
          <w:b w:val="0"/>
          <w:w w:val="100"/>
          <w:sz w:val="48"/>
        </w:rPr>
        <w:t>中国热带作物学会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6EE553A"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10487BA6" w14:textId="36BEC904"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5B4F3F">
        <w:rPr>
          <w:rFonts w:hAnsi="黑体"/>
        </w:rPr>
        <w:t> </w:t>
      </w:r>
      <w:r w:rsidR="005B4F3F">
        <w:rPr>
          <w:rFonts w:hAnsi="黑体"/>
        </w:rPr>
        <w:t> </w:t>
      </w:r>
      <w:r w:rsidR="005B4F3F">
        <w:rPr>
          <w:rFonts w:hAnsi="黑体"/>
        </w:rPr>
        <w:t> </w:t>
      </w:r>
      <w:r w:rsidR="005B4F3F">
        <w:rPr>
          <w:rFonts w:hAnsi="黑体"/>
        </w:rPr>
        <w:t> </w:t>
      </w:r>
      <w:r w:rsidR="005B4F3F">
        <w:rPr>
          <w:rFonts w:hAnsi="黑体"/>
        </w:rPr>
        <w:t> </w:t>
      </w:r>
      <w:r w:rsidRPr="001E4882">
        <w:rPr>
          <w:rFonts w:hAnsi="黑体"/>
        </w:rPr>
        <w:fldChar w:fldCharType="end"/>
      </w:r>
      <w:bookmarkEnd w:id="8"/>
    </w:p>
    <w:p w14:paraId="47BC4028"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EC67750" wp14:editId="1EDC32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15FE"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BF628D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D8A29BB" w14:textId="45509B7A"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E417F">
        <w:rPr>
          <w:rFonts w:hint="eastAsia"/>
        </w:rPr>
        <w:t>木薯嫩茎叶青贮饲料生产技术规程</w:t>
      </w:r>
      <w:r>
        <w:fldChar w:fldCharType="end"/>
      </w:r>
      <w:bookmarkEnd w:id="9"/>
    </w:p>
    <w:p w14:paraId="486FD269" w14:textId="77777777" w:rsidR="00815419" w:rsidRPr="00815419" w:rsidRDefault="00815419" w:rsidP="00324EDD">
      <w:pPr>
        <w:framePr w:w="9639" w:h="6974" w:hRule="exact" w:wrap="around" w:vAnchor="page" w:hAnchor="page" w:x="1419" w:y="6408" w:anchorLock="1"/>
        <w:ind w:left="-1418"/>
      </w:pPr>
    </w:p>
    <w:p w14:paraId="15D2EC4F" w14:textId="77777777" w:rsidR="00FE417F"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E417F" w:rsidRPr="00FE417F">
        <w:rPr>
          <w:rFonts w:eastAsia="黑体" w:hint="eastAsia"/>
          <w:noProof/>
          <w:szCs w:val="28"/>
        </w:rPr>
        <w:t xml:space="preserve">Technical code of practice for the production of silage from cassava tender stems </w:t>
      </w:r>
    </w:p>
    <w:p w14:paraId="04E7DA11" w14:textId="42DF9138" w:rsidR="00755402" w:rsidRPr="008B50C8" w:rsidRDefault="00FE417F" w:rsidP="00463B77">
      <w:pPr>
        <w:pStyle w:val="afffffff5"/>
        <w:framePr w:w="9639" w:h="6974" w:hRule="exact" w:wrap="around" w:vAnchor="page" w:hAnchor="page" w:x="1419" w:y="6408" w:anchorLock="1"/>
        <w:textAlignment w:val="bottom"/>
        <w:rPr>
          <w:rFonts w:eastAsia="黑体"/>
          <w:noProof/>
          <w:szCs w:val="28"/>
        </w:rPr>
      </w:pPr>
      <w:r w:rsidRPr="00FE417F">
        <w:rPr>
          <w:rFonts w:eastAsia="黑体" w:hint="eastAsia"/>
          <w:noProof/>
          <w:szCs w:val="28"/>
        </w:rPr>
        <w:t>and leaves</w:t>
      </w:r>
      <w:r w:rsidR="00DA1F7B" w:rsidRPr="00DA1F7B">
        <w:rPr>
          <w:rFonts w:eastAsia="黑体"/>
          <w:noProof/>
          <w:szCs w:val="28"/>
        </w:rPr>
        <w:t xml:space="preserve"> </w:t>
      </w:r>
      <w:r w:rsidR="00F515EE">
        <w:rPr>
          <w:rFonts w:eastAsia="黑体"/>
          <w:noProof/>
          <w:szCs w:val="28"/>
        </w:rPr>
        <w:fldChar w:fldCharType="end"/>
      </w:r>
      <w:bookmarkEnd w:id="10"/>
    </w:p>
    <w:p w14:paraId="4DA5826F" w14:textId="77777777" w:rsidR="00815419" w:rsidRPr="00324EDD" w:rsidRDefault="00815419" w:rsidP="00324EDD">
      <w:pPr>
        <w:framePr w:w="9639" w:h="6974" w:hRule="exact" w:wrap="around" w:vAnchor="page" w:hAnchor="page" w:x="1419" w:y="6408" w:anchorLock="1"/>
        <w:spacing w:line="760" w:lineRule="exact"/>
        <w:ind w:left="-1418"/>
      </w:pPr>
    </w:p>
    <w:p w14:paraId="6189C85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DD8BB80" w14:textId="18D0ED5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E9E1947" w14:textId="420B8472"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F4B50">
        <w:rPr>
          <w:rFonts w:hint="eastAsia"/>
          <w:noProof/>
          <w:sz w:val="21"/>
          <w:szCs w:val="28"/>
        </w:rPr>
        <w:t>（本草案完成时间：</w:t>
      </w:r>
      <w:r w:rsidR="001F4B50">
        <w:rPr>
          <w:rFonts w:hint="eastAsia"/>
          <w:noProof/>
          <w:sz w:val="21"/>
          <w:szCs w:val="28"/>
        </w:rPr>
        <w:t>2024-</w:t>
      </w:r>
      <w:r w:rsidR="00D32636">
        <w:rPr>
          <w:rFonts w:hint="eastAsia"/>
          <w:noProof/>
          <w:sz w:val="21"/>
          <w:szCs w:val="28"/>
        </w:rPr>
        <w:t>0</w:t>
      </w:r>
      <w:r w:rsidR="00B142D0">
        <w:rPr>
          <w:rFonts w:hint="eastAsia"/>
          <w:noProof/>
          <w:sz w:val="21"/>
          <w:szCs w:val="28"/>
        </w:rPr>
        <w:t>9</w:t>
      </w:r>
      <w:r w:rsidR="001F4B50">
        <w:rPr>
          <w:rFonts w:hint="eastAsia"/>
          <w:noProof/>
          <w:sz w:val="21"/>
          <w:szCs w:val="28"/>
        </w:rPr>
        <w:t>-1</w:t>
      </w:r>
      <w:r w:rsidR="00B142D0">
        <w:rPr>
          <w:rFonts w:hint="eastAsia"/>
          <w:noProof/>
          <w:sz w:val="21"/>
          <w:szCs w:val="28"/>
        </w:rPr>
        <w:t>2</w:t>
      </w:r>
      <w:r w:rsidR="001F4B50">
        <w:rPr>
          <w:rFonts w:hint="eastAsia"/>
          <w:noProof/>
          <w:sz w:val="21"/>
          <w:szCs w:val="28"/>
        </w:rPr>
        <w:t>）</w:t>
      </w:r>
      <w:r>
        <w:rPr>
          <w:noProof/>
          <w:sz w:val="21"/>
          <w:szCs w:val="28"/>
        </w:rPr>
        <w:fldChar w:fldCharType="end"/>
      </w:r>
      <w:bookmarkEnd w:id="12"/>
    </w:p>
    <w:p w14:paraId="123CBBB2" w14:textId="285C8C71"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3EF95BB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F40D405"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512C1C5" w14:textId="14B8BFE5"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F4B50">
        <w:rPr>
          <w:rFonts w:hAnsi="黑体" w:hint="eastAsia"/>
          <w:w w:val="100"/>
          <w:sz w:val="28"/>
        </w:rPr>
        <w:t>中国热带作物学会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BA08971" w14:textId="77777777" w:rsidR="00A02BAE" w:rsidRPr="00CD50A1" w:rsidRDefault="006A37B9"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0844499" wp14:editId="6D4840E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452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DBC696F" w14:textId="6526C87B" w:rsidR="001F4B50" w:rsidRDefault="001F4B50" w:rsidP="001F4B50">
      <w:pPr>
        <w:pStyle w:val="a6"/>
        <w:spacing w:after="360"/>
      </w:pPr>
      <w:bookmarkStart w:id="21" w:name="_Toc177050067"/>
      <w:bookmarkStart w:id="22" w:name="_Toc177050093"/>
      <w:bookmarkStart w:id="23" w:name="_Toc177050119"/>
      <w:bookmarkStart w:id="24" w:name="_Toc177050137"/>
      <w:bookmarkStart w:id="25" w:name="BookMark2"/>
      <w:r w:rsidRPr="001F4B50">
        <w:rPr>
          <w:spacing w:val="320"/>
        </w:rPr>
        <w:lastRenderedPageBreak/>
        <w:t>前</w:t>
      </w:r>
      <w:r>
        <w:t>言</w:t>
      </w:r>
      <w:bookmarkEnd w:id="21"/>
      <w:bookmarkEnd w:id="22"/>
      <w:bookmarkEnd w:id="23"/>
      <w:bookmarkEnd w:id="24"/>
    </w:p>
    <w:p w14:paraId="7BA4ECB8" w14:textId="77777777" w:rsidR="001F4B50" w:rsidRDefault="001F4B50" w:rsidP="001F4B50">
      <w:pPr>
        <w:pStyle w:val="affffb"/>
        <w:ind w:firstLine="420"/>
      </w:pPr>
      <w:r>
        <w:rPr>
          <w:rFonts w:hint="eastAsia"/>
        </w:rPr>
        <w:t>本文件按照GB/T 1.1—2020《标准化工作导则  第1部分：标准化文件的结构和起草规则》的规定起草。</w:t>
      </w:r>
    </w:p>
    <w:p w14:paraId="4418FA49" w14:textId="77777777" w:rsidR="001F4B50" w:rsidRDefault="001F4B50" w:rsidP="001F4B50">
      <w:pPr>
        <w:pStyle w:val="affffb"/>
        <w:ind w:firstLine="420"/>
      </w:pPr>
      <w:r>
        <w:rPr>
          <w:rFonts w:hint="eastAsia"/>
        </w:rPr>
        <w:t>请注意本文件的某些内容可能涉及专利。本文件的发布机构不承担识别专利的责任。</w:t>
      </w:r>
    </w:p>
    <w:p w14:paraId="6853CDD1" w14:textId="6BFD1751" w:rsidR="001F4B50" w:rsidRDefault="001F4B50" w:rsidP="001F4B50">
      <w:pPr>
        <w:pStyle w:val="affffb"/>
        <w:ind w:firstLine="420"/>
      </w:pPr>
      <w:r>
        <w:rPr>
          <w:rFonts w:hint="eastAsia"/>
        </w:rPr>
        <w:t>本文件由中国热带作物学会</w:t>
      </w:r>
      <w:r w:rsidR="00FE417F">
        <w:rPr>
          <w:rFonts w:hint="eastAsia"/>
        </w:rPr>
        <w:t>提出并</w:t>
      </w:r>
      <w:r>
        <w:rPr>
          <w:rFonts w:hint="eastAsia"/>
        </w:rPr>
        <w:t>归口。</w:t>
      </w:r>
    </w:p>
    <w:p w14:paraId="720BBACA" w14:textId="5E22238E" w:rsidR="001F4B50" w:rsidRDefault="001F4B50" w:rsidP="001F4B50">
      <w:pPr>
        <w:pStyle w:val="affffb"/>
        <w:ind w:firstLine="420"/>
      </w:pPr>
      <w:r>
        <w:rPr>
          <w:rFonts w:hint="eastAsia"/>
        </w:rPr>
        <w:t>本文件起草单位：中国热带农业科学院热带作物品种资源研究所</w:t>
      </w:r>
      <w:r w:rsidR="00C73D6E">
        <w:rPr>
          <w:rFonts w:hint="eastAsia"/>
        </w:rPr>
        <w:t>，</w:t>
      </w:r>
      <w:r w:rsidR="00C73D6E" w:rsidRPr="00C73D6E">
        <w:rPr>
          <w:rFonts w:hint="eastAsia"/>
        </w:rPr>
        <w:t>广西壮族自治区亚热带作物研究所</w:t>
      </w:r>
      <w:r>
        <w:rPr>
          <w:rFonts w:hint="eastAsia"/>
        </w:rPr>
        <w:t>。</w:t>
      </w:r>
    </w:p>
    <w:p w14:paraId="6A8A5447" w14:textId="22731DE1" w:rsidR="001F4B50" w:rsidRDefault="001F4B50" w:rsidP="006C2304">
      <w:pPr>
        <w:pStyle w:val="affffb"/>
        <w:ind w:firstLine="420"/>
      </w:pPr>
      <w:r>
        <w:rPr>
          <w:rFonts w:hint="eastAsia"/>
        </w:rPr>
        <w:t>本文件主要起草人：王琴飞、林立铭、</w:t>
      </w:r>
      <w:r w:rsidR="004D1094">
        <w:rPr>
          <w:rFonts w:hint="eastAsia"/>
        </w:rPr>
        <w:t>张振文、</w:t>
      </w:r>
      <w:r w:rsidR="005B4F3F">
        <w:rPr>
          <w:rFonts w:hint="eastAsia"/>
        </w:rPr>
        <w:t>陆小静、卢塞清、李</w:t>
      </w:r>
      <w:r w:rsidR="007766F0">
        <w:rPr>
          <w:rFonts w:hint="eastAsia"/>
        </w:rPr>
        <w:t xml:space="preserve"> </w:t>
      </w:r>
      <w:r w:rsidR="005B4F3F">
        <w:rPr>
          <w:rFonts w:hint="eastAsia"/>
        </w:rPr>
        <w:t>茂、姚庆群、余厚美</w:t>
      </w:r>
      <w:r>
        <w:rPr>
          <w:rFonts w:hint="eastAsia"/>
        </w:rPr>
        <w:t>。</w:t>
      </w:r>
    </w:p>
    <w:p w14:paraId="5EBE0E8B" w14:textId="7C62CF9A" w:rsidR="001F4B50" w:rsidRPr="001F4B50" w:rsidRDefault="001F4B50" w:rsidP="001F4B50">
      <w:pPr>
        <w:pStyle w:val="affffb"/>
        <w:ind w:firstLineChars="0" w:firstLine="0"/>
        <w:sectPr w:rsidR="001F4B50" w:rsidRPr="001F4B50" w:rsidSect="00F17AFD">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08C59D07"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2025DB7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8019E84BFB84766A840A8C6DD4D93D2"/>
        </w:placeholder>
      </w:sdtPr>
      <w:sdtContent>
        <w:bookmarkStart w:id="27" w:name="NEW_STAND_NAME" w:displacedByCustomXml="prev"/>
        <w:p w14:paraId="6760B6AC" w14:textId="11451765" w:rsidR="00F26B7E" w:rsidRPr="00F26B7E" w:rsidRDefault="00A66AE4" w:rsidP="00FE417F">
          <w:pPr>
            <w:pStyle w:val="afffffffff8"/>
            <w:spacing w:beforeLines="1" w:before="2" w:afterLines="220" w:after="528"/>
            <w:rPr>
              <w:rFonts w:hint="eastAsia"/>
            </w:rPr>
          </w:pPr>
          <w:r>
            <w:rPr>
              <w:rFonts w:hint="eastAsia"/>
            </w:rPr>
            <w:t>木薯嫩茎叶青贮饲料生产技术规程</w:t>
          </w:r>
        </w:p>
      </w:sdtContent>
    </w:sdt>
    <w:bookmarkEnd w:id="27" w:displacedByCustomXml="prev"/>
    <w:p w14:paraId="044CD3E8"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67027442"/>
      <w:bookmarkStart w:id="38" w:name="_Toc177050068"/>
      <w:bookmarkStart w:id="39" w:name="_Toc177050094"/>
      <w:bookmarkStart w:id="40" w:name="_Toc177050120"/>
      <w:bookmarkStart w:id="41" w:name="_Toc17705013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E8FC66E" w14:textId="15FCA338" w:rsidR="001F4B50" w:rsidRDefault="001F4B50" w:rsidP="00FE417F">
      <w:pPr>
        <w:pStyle w:val="affffb"/>
        <w:spacing w:line="400" w:lineRule="exact"/>
        <w:ind w:firstLine="420"/>
      </w:pPr>
      <w:bookmarkStart w:id="42" w:name="_Toc17233326"/>
      <w:bookmarkStart w:id="43" w:name="_Toc17233334"/>
      <w:bookmarkStart w:id="44" w:name="_Toc24884212"/>
      <w:bookmarkStart w:id="45" w:name="_Toc24884219"/>
      <w:bookmarkStart w:id="46" w:name="_Toc26648466"/>
      <w:r>
        <w:rPr>
          <w:rFonts w:hint="eastAsia"/>
        </w:rPr>
        <w:t>本文件规定了木薯嫩茎叶青贮饲料</w:t>
      </w:r>
      <w:r w:rsidR="00F776A7">
        <w:rPr>
          <w:rFonts w:hint="eastAsia"/>
        </w:rPr>
        <w:t>生产的总体要求、</w:t>
      </w:r>
      <w:r>
        <w:rPr>
          <w:rFonts w:hint="eastAsia"/>
        </w:rPr>
        <w:t>贮前准备、</w:t>
      </w:r>
      <w:r w:rsidR="004F1E68" w:rsidRPr="004F1E68">
        <w:rPr>
          <w:rFonts w:hint="eastAsia"/>
        </w:rPr>
        <w:t>青贮原料</w:t>
      </w:r>
      <w:r w:rsidR="004F1E68">
        <w:rPr>
          <w:rFonts w:hint="eastAsia"/>
        </w:rPr>
        <w:t>、</w:t>
      </w:r>
      <w:r>
        <w:rPr>
          <w:rFonts w:hint="eastAsia"/>
        </w:rPr>
        <w:t>采收、</w:t>
      </w:r>
      <w:r w:rsidR="004F1E68">
        <w:rPr>
          <w:rFonts w:hint="eastAsia"/>
        </w:rPr>
        <w:t>切碎</w:t>
      </w:r>
      <w:r>
        <w:rPr>
          <w:rFonts w:hint="eastAsia"/>
        </w:rPr>
        <w:t>、</w:t>
      </w:r>
      <w:r w:rsidR="004F1E68">
        <w:rPr>
          <w:rFonts w:hint="eastAsia"/>
        </w:rPr>
        <w:t>拌料、</w:t>
      </w:r>
      <w:r>
        <w:rPr>
          <w:rFonts w:hint="eastAsia"/>
        </w:rPr>
        <w:t>装填</w:t>
      </w:r>
      <w:r w:rsidR="00F17AFD">
        <w:rPr>
          <w:rFonts w:hint="eastAsia"/>
        </w:rPr>
        <w:t>与</w:t>
      </w:r>
      <w:r>
        <w:rPr>
          <w:rFonts w:hint="eastAsia"/>
        </w:rPr>
        <w:t>压实、密封</w:t>
      </w:r>
      <w:r w:rsidR="00F17AFD">
        <w:rPr>
          <w:rFonts w:hint="eastAsia"/>
        </w:rPr>
        <w:t>、青贮管理、取饲、品质要求和卫生要求</w:t>
      </w:r>
      <w:r>
        <w:rPr>
          <w:rFonts w:hint="eastAsia"/>
        </w:rPr>
        <w:t>等技术要求。</w:t>
      </w:r>
    </w:p>
    <w:p w14:paraId="126A2295" w14:textId="55E072F4" w:rsidR="008B0C9C" w:rsidRDefault="001F4B50" w:rsidP="00FE417F">
      <w:pPr>
        <w:pStyle w:val="affffb"/>
        <w:spacing w:line="400" w:lineRule="exact"/>
        <w:ind w:firstLine="420"/>
      </w:pPr>
      <w:r>
        <w:rPr>
          <w:rFonts w:hint="eastAsia"/>
        </w:rPr>
        <w:t>本文件适用于</w:t>
      </w:r>
      <w:r w:rsidR="00D7316F" w:rsidRPr="00A60D30">
        <w:rPr>
          <w:rFonts w:hint="eastAsia"/>
        </w:rPr>
        <w:t>木薯嫩茎叶或</w:t>
      </w:r>
      <w:r w:rsidR="00D7316F">
        <w:rPr>
          <w:rFonts w:hint="eastAsia"/>
        </w:rPr>
        <w:t>块根</w:t>
      </w:r>
      <w:r w:rsidR="00D7316F" w:rsidRPr="00A60D30">
        <w:rPr>
          <w:rFonts w:hint="eastAsia"/>
        </w:rPr>
        <w:t>采收</w:t>
      </w:r>
      <w:r w:rsidR="00D7316F">
        <w:rPr>
          <w:rFonts w:hint="eastAsia"/>
        </w:rPr>
        <w:t>后植株顶端嫩茎叶</w:t>
      </w:r>
      <w:r w:rsidR="00F17AFD">
        <w:rPr>
          <w:rFonts w:hint="eastAsia"/>
        </w:rPr>
        <w:t>青贮饲料的生产</w:t>
      </w:r>
      <w:r>
        <w:rPr>
          <w:rFonts w:hint="eastAsia"/>
        </w:rPr>
        <w:t>。</w:t>
      </w:r>
    </w:p>
    <w:p w14:paraId="0CBD638E" w14:textId="77777777" w:rsidR="00E2552F" w:rsidRDefault="00E2552F" w:rsidP="00A77CCB">
      <w:pPr>
        <w:pStyle w:val="affc"/>
        <w:spacing w:before="240" w:after="240"/>
      </w:pPr>
      <w:bookmarkStart w:id="47" w:name="_Toc26718931"/>
      <w:bookmarkStart w:id="48" w:name="_Toc26986531"/>
      <w:bookmarkStart w:id="49" w:name="_Toc26986772"/>
      <w:bookmarkStart w:id="50" w:name="_Toc97192965"/>
      <w:bookmarkStart w:id="51" w:name="_Toc167027443"/>
      <w:bookmarkStart w:id="52" w:name="_Toc177050069"/>
      <w:bookmarkStart w:id="53" w:name="_Toc177050095"/>
      <w:bookmarkStart w:id="54" w:name="_Toc177050121"/>
      <w:bookmarkStart w:id="55" w:name="_Toc177050139"/>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A4052F45CF34425DB8BD30E15AC89C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8A1059E" w14:textId="77777777" w:rsidR="008A57E6" w:rsidRDefault="008A57E6" w:rsidP="00FE417F">
          <w:pPr>
            <w:pStyle w:val="affffb"/>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2A6F00" w14:textId="337FD4BC"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6432 </w:t>
      </w:r>
      <w:r w:rsidRPr="00FE417F">
        <w:rPr>
          <w:rFonts w:ascii="Times New Roman"/>
        </w:rPr>
        <w:t>饲料中粗蛋白的测定</w:t>
      </w:r>
      <w:r w:rsidRPr="00FE417F">
        <w:rPr>
          <w:rFonts w:ascii="Times New Roman"/>
        </w:rPr>
        <w:t xml:space="preserve"> </w:t>
      </w:r>
      <w:r w:rsidRPr="00FE417F">
        <w:rPr>
          <w:rFonts w:ascii="Times New Roman"/>
        </w:rPr>
        <w:t>凯氏定氮法</w:t>
      </w:r>
    </w:p>
    <w:p w14:paraId="5CF111DD" w14:textId="06B9A0B0"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6434 </w:t>
      </w:r>
      <w:r w:rsidRPr="00FE417F">
        <w:rPr>
          <w:rFonts w:ascii="Times New Roman"/>
        </w:rPr>
        <w:t>饲料中粗纤维的含量测定</w:t>
      </w:r>
      <w:r w:rsidRPr="00FE417F">
        <w:rPr>
          <w:rFonts w:ascii="Times New Roman"/>
        </w:rPr>
        <w:t xml:space="preserve"> </w:t>
      </w:r>
      <w:r w:rsidRPr="00FE417F">
        <w:rPr>
          <w:rFonts w:ascii="Times New Roman"/>
        </w:rPr>
        <w:t>过滤法</w:t>
      </w:r>
    </w:p>
    <w:p w14:paraId="27473456" w14:textId="7A8E9DB1"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6435 </w:t>
      </w:r>
      <w:r w:rsidRPr="00FE417F">
        <w:rPr>
          <w:rFonts w:ascii="Times New Roman"/>
        </w:rPr>
        <w:t>饲料中水分的测定</w:t>
      </w:r>
    </w:p>
    <w:p w14:paraId="71AF940A" w14:textId="7A5C7AF9"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6438 </w:t>
      </w:r>
      <w:r w:rsidRPr="00FE417F">
        <w:rPr>
          <w:rFonts w:ascii="Times New Roman"/>
        </w:rPr>
        <w:t>饲料中粗灰分的含量测定</w:t>
      </w:r>
    </w:p>
    <w:p w14:paraId="77CF4ACD" w14:textId="6A9F76E6"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9724 </w:t>
      </w:r>
      <w:r w:rsidRPr="00FE417F">
        <w:rPr>
          <w:rFonts w:ascii="Times New Roman"/>
        </w:rPr>
        <w:t>化学试剂</w:t>
      </w:r>
      <w:r w:rsidRPr="00FE417F">
        <w:rPr>
          <w:rFonts w:ascii="Times New Roman"/>
        </w:rPr>
        <w:t xml:space="preserve"> pH</w:t>
      </w:r>
      <w:r w:rsidRPr="00FE417F">
        <w:rPr>
          <w:rFonts w:ascii="Times New Roman"/>
        </w:rPr>
        <w:t>值测定通则</w:t>
      </w:r>
    </w:p>
    <w:p w14:paraId="66758E62" w14:textId="19F0D1D0"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10647 </w:t>
      </w:r>
      <w:r w:rsidRPr="00FE417F">
        <w:rPr>
          <w:rFonts w:ascii="Times New Roman"/>
        </w:rPr>
        <w:t>饲料工业术语</w:t>
      </w:r>
    </w:p>
    <w:p w14:paraId="77CAABE0" w14:textId="141D7172" w:rsidR="00A60492" w:rsidRPr="00FE417F" w:rsidRDefault="00A60492" w:rsidP="00FE417F">
      <w:pPr>
        <w:pStyle w:val="affffb"/>
        <w:spacing w:line="400" w:lineRule="exact"/>
        <w:ind w:firstLine="420"/>
        <w:rPr>
          <w:rFonts w:ascii="Times New Roman"/>
        </w:rPr>
      </w:pPr>
      <w:r w:rsidRPr="00FE417F">
        <w:rPr>
          <w:rFonts w:ascii="Times New Roman"/>
        </w:rPr>
        <w:t>GB</w:t>
      </w:r>
      <w:r w:rsidR="00E83B14" w:rsidRPr="00FE417F">
        <w:rPr>
          <w:rFonts w:ascii="Times New Roman"/>
        </w:rPr>
        <w:t> </w:t>
      </w:r>
      <w:r w:rsidRPr="00FE417F">
        <w:rPr>
          <w:rFonts w:ascii="Times New Roman"/>
        </w:rPr>
        <w:t>13078</w:t>
      </w:r>
      <w:r w:rsidR="00E1259A" w:rsidRPr="00FE417F">
        <w:rPr>
          <w:rFonts w:ascii="Times New Roman"/>
        </w:rPr>
        <w:t xml:space="preserve"> </w:t>
      </w:r>
      <w:r w:rsidRPr="00FE417F">
        <w:rPr>
          <w:rFonts w:ascii="Times New Roman"/>
        </w:rPr>
        <w:t>饲料卫生标准</w:t>
      </w:r>
    </w:p>
    <w:p w14:paraId="46E445CE" w14:textId="39AE014F"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Pr="00FE417F">
        <w:rPr>
          <w:rFonts w:ascii="Times New Roman"/>
        </w:rPr>
        <w:t>13084</w:t>
      </w:r>
      <w:r w:rsidR="00E1259A" w:rsidRPr="00FE417F">
        <w:rPr>
          <w:rFonts w:ascii="Times New Roman"/>
        </w:rPr>
        <w:t xml:space="preserve"> </w:t>
      </w:r>
      <w:r w:rsidRPr="00FE417F">
        <w:rPr>
          <w:rFonts w:ascii="Times New Roman"/>
        </w:rPr>
        <w:t>饲料中氰化物的测定</w:t>
      </w:r>
    </w:p>
    <w:p w14:paraId="214A719E" w14:textId="5F2E1047"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00E1259A" w:rsidRPr="00FE417F">
        <w:rPr>
          <w:rFonts w:ascii="Times New Roman"/>
        </w:rPr>
        <w:t xml:space="preserve">19424 </w:t>
      </w:r>
      <w:r w:rsidRPr="00FE417F">
        <w:rPr>
          <w:rFonts w:ascii="Times New Roman"/>
        </w:rPr>
        <w:t>天然植物饲料原料通用要求</w:t>
      </w:r>
    </w:p>
    <w:p w14:paraId="3FF588A0" w14:textId="0B496AFF"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Pr="00FE417F">
        <w:rPr>
          <w:rFonts w:ascii="Times New Roman"/>
        </w:rPr>
        <w:t xml:space="preserve">22141 </w:t>
      </w:r>
      <w:r w:rsidRPr="00FE417F">
        <w:rPr>
          <w:rFonts w:ascii="Times New Roman"/>
        </w:rPr>
        <w:t>混合型饲料添加剂</w:t>
      </w:r>
      <w:r w:rsidRPr="00FE417F">
        <w:rPr>
          <w:rFonts w:ascii="Times New Roman"/>
        </w:rPr>
        <w:t xml:space="preserve"> </w:t>
      </w:r>
      <w:r w:rsidRPr="00FE417F">
        <w:rPr>
          <w:rFonts w:ascii="Times New Roman"/>
        </w:rPr>
        <w:t>酸化剂通用要求</w:t>
      </w:r>
    </w:p>
    <w:p w14:paraId="1E6AFB45" w14:textId="44C576F2" w:rsidR="004D278A" w:rsidRPr="00FE417F" w:rsidRDefault="004D278A"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Pr="00FE417F">
        <w:rPr>
          <w:rFonts w:ascii="Times New Roman"/>
        </w:rPr>
        <w:t xml:space="preserve">22142 </w:t>
      </w:r>
      <w:r w:rsidRPr="00FE417F">
        <w:rPr>
          <w:rFonts w:ascii="Times New Roman"/>
        </w:rPr>
        <w:t>混合型饲料添加剂</w:t>
      </w:r>
      <w:r w:rsidRPr="00FE417F">
        <w:rPr>
          <w:rFonts w:ascii="Times New Roman"/>
        </w:rPr>
        <w:t xml:space="preserve"> </w:t>
      </w:r>
      <w:r w:rsidRPr="00FE417F">
        <w:rPr>
          <w:rFonts w:ascii="Times New Roman"/>
        </w:rPr>
        <w:t>有机酸通用要求</w:t>
      </w:r>
    </w:p>
    <w:p w14:paraId="3AC3D7D6" w14:textId="016DCECB" w:rsidR="004D278A" w:rsidRPr="00FE417F" w:rsidRDefault="004D278A"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Pr="00FE417F">
        <w:rPr>
          <w:rFonts w:ascii="Times New Roman"/>
        </w:rPr>
        <w:t xml:space="preserve">22143 </w:t>
      </w:r>
      <w:r w:rsidRPr="00FE417F">
        <w:rPr>
          <w:rFonts w:ascii="Times New Roman"/>
        </w:rPr>
        <w:t>混合型饲料添加剂</w:t>
      </w:r>
      <w:r w:rsidRPr="00FE417F">
        <w:rPr>
          <w:rFonts w:ascii="Times New Roman"/>
        </w:rPr>
        <w:t xml:space="preserve"> </w:t>
      </w:r>
      <w:r w:rsidRPr="00FE417F">
        <w:rPr>
          <w:rFonts w:ascii="Times New Roman"/>
        </w:rPr>
        <w:t>无机酸通用要求</w:t>
      </w:r>
    </w:p>
    <w:p w14:paraId="49872DE1" w14:textId="025B51B2"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Pr="00FE417F">
        <w:rPr>
          <w:rFonts w:ascii="Times New Roman"/>
        </w:rPr>
        <w:t xml:space="preserve">23181 </w:t>
      </w:r>
      <w:r w:rsidRPr="00FE417F">
        <w:rPr>
          <w:rFonts w:ascii="Times New Roman"/>
        </w:rPr>
        <w:t>微生物饲料添加剂通用要求</w:t>
      </w:r>
    </w:p>
    <w:p w14:paraId="61F7DCB7" w14:textId="17C7692B" w:rsidR="001F4B50" w:rsidRPr="00FE417F" w:rsidRDefault="001F4B50" w:rsidP="00FE417F">
      <w:pPr>
        <w:pStyle w:val="affffb"/>
        <w:spacing w:line="400" w:lineRule="exact"/>
        <w:ind w:firstLine="420"/>
        <w:rPr>
          <w:rFonts w:ascii="Times New Roman"/>
        </w:rPr>
      </w:pPr>
      <w:r w:rsidRPr="00FE417F">
        <w:rPr>
          <w:rFonts w:ascii="Times New Roman"/>
        </w:rPr>
        <w:t>GB/T</w:t>
      </w:r>
      <w:r w:rsidR="00E83B14" w:rsidRPr="00FE417F">
        <w:rPr>
          <w:rFonts w:ascii="Times New Roman"/>
        </w:rPr>
        <w:t> </w:t>
      </w:r>
      <w:r w:rsidRPr="00FE417F">
        <w:rPr>
          <w:rFonts w:ascii="Times New Roman"/>
        </w:rPr>
        <w:t xml:space="preserve">31215 </w:t>
      </w:r>
      <w:r w:rsidRPr="00FE417F">
        <w:rPr>
          <w:rFonts w:ascii="Times New Roman"/>
        </w:rPr>
        <w:t>混合型饲料添加剂</w:t>
      </w:r>
      <w:r w:rsidRPr="00FE417F">
        <w:rPr>
          <w:rFonts w:ascii="Times New Roman"/>
        </w:rPr>
        <w:t xml:space="preserve"> </w:t>
      </w:r>
      <w:r w:rsidRPr="00FE417F">
        <w:rPr>
          <w:rFonts w:ascii="Times New Roman"/>
        </w:rPr>
        <w:t>甜味剂通用要求</w:t>
      </w:r>
    </w:p>
    <w:p w14:paraId="34615FBB" w14:textId="51217349" w:rsidR="00AA6EC9" w:rsidRPr="00FE417F" w:rsidRDefault="001F4B50" w:rsidP="00FE417F">
      <w:pPr>
        <w:pStyle w:val="affffb"/>
        <w:spacing w:line="400" w:lineRule="exact"/>
        <w:ind w:firstLine="420"/>
        <w:rPr>
          <w:rFonts w:ascii="Times New Roman"/>
        </w:rPr>
      </w:pPr>
      <w:r w:rsidRPr="00FE417F">
        <w:rPr>
          <w:rFonts w:ascii="Times New Roman"/>
        </w:rPr>
        <w:t>GB/T</w:t>
      </w:r>
      <w:r w:rsidR="007766F0" w:rsidRPr="00FE417F">
        <w:rPr>
          <w:rFonts w:ascii="Times New Roman"/>
        </w:rPr>
        <w:t> </w:t>
      </w:r>
      <w:r w:rsidRPr="00FE417F">
        <w:rPr>
          <w:rFonts w:ascii="Times New Roman"/>
        </w:rPr>
        <w:t xml:space="preserve">36863 </w:t>
      </w:r>
      <w:r w:rsidRPr="00FE417F">
        <w:rPr>
          <w:rFonts w:ascii="Times New Roman"/>
        </w:rPr>
        <w:t>混合型饲料添加剂</w:t>
      </w:r>
      <w:r w:rsidRPr="00FE417F">
        <w:rPr>
          <w:rFonts w:ascii="Times New Roman"/>
        </w:rPr>
        <w:t xml:space="preserve"> </w:t>
      </w:r>
      <w:r w:rsidRPr="00FE417F">
        <w:rPr>
          <w:rFonts w:ascii="Times New Roman"/>
        </w:rPr>
        <w:t>防霉剂通用要求</w:t>
      </w:r>
    </w:p>
    <w:p w14:paraId="53B80F15" w14:textId="1578F9F7" w:rsidR="00A60492" w:rsidRPr="00FE417F" w:rsidRDefault="00A60492" w:rsidP="00FE417F">
      <w:pPr>
        <w:pStyle w:val="affffb"/>
        <w:spacing w:line="400" w:lineRule="exact"/>
        <w:ind w:firstLine="420"/>
        <w:rPr>
          <w:rFonts w:ascii="Times New Roman"/>
        </w:rPr>
      </w:pPr>
      <w:r w:rsidRPr="00FE417F">
        <w:rPr>
          <w:rFonts w:ascii="Times New Roman"/>
        </w:rPr>
        <w:t>GB/T</w:t>
      </w:r>
      <w:r w:rsidR="007766F0" w:rsidRPr="00FE417F">
        <w:rPr>
          <w:rFonts w:ascii="Times New Roman"/>
        </w:rPr>
        <w:t> </w:t>
      </w:r>
      <w:r w:rsidRPr="00FE417F">
        <w:rPr>
          <w:rFonts w:ascii="Times New Roman"/>
        </w:rPr>
        <w:t xml:space="preserve">42679 </w:t>
      </w:r>
      <w:r w:rsidRPr="00FE417F">
        <w:rPr>
          <w:rFonts w:ascii="Times New Roman"/>
        </w:rPr>
        <w:t>农业废弃物资源化利用</w:t>
      </w:r>
      <w:r w:rsidRPr="00FE417F">
        <w:rPr>
          <w:rFonts w:ascii="Times New Roman"/>
        </w:rPr>
        <w:t xml:space="preserve"> </w:t>
      </w:r>
      <w:r w:rsidRPr="00FE417F">
        <w:rPr>
          <w:rFonts w:ascii="Times New Roman"/>
        </w:rPr>
        <w:t>生物质资源综合利用</w:t>
      </w:r>
    </w:p>
    <w:p w14:paraId="16A260E7" w14:textId="77777777" w:rsidR="00B265BC" w:rsidRPr="00E030F9" w:rsidRDefault="00FD59EB" w:rsidP="00FD59EB">
      <w:pPr>
        <w:pStyle w:val="affc"/>
        <w:spacing w:before="240" w:after="240"/>
      </w:pPr>
      <w:bookmarkStart w:id="56" w:name="_Toc97192966"/>
      <w:bookmarkStart w:id="57" w:name="_Toc167027444"/>
      <w:bookmarkStart w:id="58" w:name="_Toc177050070"/>
      <w:bookmarkStart w:id="59" w:name="_Toc177050096"/>
      <w:bookmarkStart w:id="60" w:name="_Toc177050122"/>
      <w:bookmarkStart w:id="61" w:name="_Toc177050140"/>
      <w:r>
        <w:rPr>
          <w:rFonts w:hint="eastAsia"/>
          <w:szCs w:val="21"/>
        </w:rPr>
        <w:t>术语和定义</w:t>
      </w:r>
      <w:bookmarkEnd w:id="56"/>
      <w:bookmarkEnd w:id="57"/>
      <w:bookmarkEnd w:id="58"/>
      <w:bookmarkEnd w:id="59"/>
      <w:bookmarkEnd w:id="60"/>
      <w:bookmarkEnd w:id="61"/>
    </w:p>
    <w:bookmarkStart w:id="62" w:name="_Toc26986532" w:displacedByCustomXml="next"/>
    <w:bookmarkEnd w:id="62" w:displacedByCustomXml="next"/>
    <w:sdt>
      <w:sdtPr>
        <w:rPr>
          <w:rFonts w:ascii="Times New Roman"/>
        </w:rPr>
        <w:id w:val="-1909835108"/>
        <w:placeholder>
          <w:docPart w:val="0E0362D69B374D92A66CEFBFA30F10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E6C3AD5" w14:textId="5A33644C" w:rsidR="003C010C" w:rsidRDefault="007766F0" w:rsidP="00BA263B">
          <w:pPr>
            <w:pStyle w:val="affffb"/>
            <w:ind w:firstLine="420"/>
          </w:pPr>
          <w:r w:rsidRPr="00FE417F">
            <w:rPr>
              <w:rFonts w:ascii="Times New Roman"/>
            </w:rPr>
            <w:t>GB/T 10647</w:t>
          </w:r>
          <w:r w:rsidRPr="00FE417F">
            <w:rPr>
              <w:rFonts w:ascii="Times New Roman"/>
            </w:rPr>
            <w:t>界定的以及下列术语和定义适用于本文件。</w:t>
          </w:r>
        </w:p>
      </w:sdtContent>
    </w:sdt>
    <w:p w14:paraId="660908E9" w14:textId="7785FCDC" w:rsidR="001F4B50" w:rsidRPr="001F4B50" w:rsidRDefault="001F4B50" w:rsidP="00A60492">
      <w:pPr>
        <w:pStyle w:val="afffffffffff5"/>
        <w:ind w:left="420" w:hangingChars="200" w:hanging="420"/>
        <w:rPr>
          <w:rFonts w:ascii="黑体" w:eastAsia="黑体" w:hAnsi="黑体" w:hint="eastAsia"/>
        </w:rPr>
      </w:pPr>
      <w:bookmarkStart w:id="63" w:name="_Toc90885218"/>
      <w:bookmarkEnd w:id="63"/>
      <w:r w:rsidRPr="001F4B50">
        <w:rPr>
          <w:rFonts w:ascii="黑体" w:eastAsia="黑体" w:hAnsi="黑体"/>
        </w:rPr>
        <w:br/>
      </w:r>
      <w:bookmarkStart w:id="64" w:name="_Toc90885219"/>
      <w:r w:rsidRPr="001F4B50">
        <w:rPr>
          <w:rFonts w:ascii="黑体" w:eastAsia="黑体" w:hAnsi="黑体" w:hint="eastAsia"/>
        </w:rPr>
        <w:t xml:space="preserve">木薯嫩茎叶 </w:t>
      </w:r>
      <w:r w:rsidRPr="00FE417F">
        <w:rPr>
          <w:rFonts w:ascii="Times New Roman" w:eastAsia="黑体"/>
        </w:rPr>
        <w:t>Cassava Foliage</w:t>
      </w:r>
      <w:bookmarkEnd w:id="64"/>
    </w:p>
    <w:p w14:paraId="4919F111" w14:textId="0F868EEE" w:rsidR="004B3E93" w:rsidRDefault="001F4B50" w:rsidP="001F4B50">
      <w:pPr>
        <w:widowControl/>
        <w:autoSpaceDE w:val="0"/>
        <w:autoSpaceDN w:val="0"/>
        <w:adjustRightInd/>
        <w:spacing w:line="240" w:lineRule="auto"/>
        <w:ind w:firstLineChars="200" w:firstLine="420"/>
        <w:rPr>
          <w:rFonts w:ascii="宋体" w:hAnsi="Times New Roman"/>
          <w:noProof/>
          <w:kern w:val="0"/>
          <w:szCs w:val="20"/>
        </w:rPr>
      </w:pPr>
      <w:r w:rsidRPr="001F4B50">
        <w:rPr>
          <w:rFonts w:ascii="宋体" w:hAnsi="Times New Roman" w:hint="eastAsia"/>
          <w:noProof/>
          <w:kern w:val="0"/>
          <w:szCs w:val="20"/>
        </w:rPr>
        <w:t>指木薯叶片（含叶柄）和未完全木质化的嫩茎。</w:t>
      </w:r>
    </w:p>
    <w:p w14:paraId="184A0516" w14:textId="77777777" w:rsidR="00FE417F" w:rsidRPr="001F4B50" w:rsidRDefault="00FE417F" w:rsidP="001F4B50">
      <w:pPr>
        <w:widowControl/>
        <w:autoSpaceDE w:val="0"/>
        <w:autoSpaceDN w:val="0"/>
        <w:adjustRightInd/>
        <w:spacing w:line="240" w:lineRule="auto"/>
        <w:ind w:firstLineChars="200" w:firstLine="420"/>
        <w:rPr>
          <w:rFonts w:ascii="宋体" w:hAnsi="Times New Roman" w:hint="eastAsia"/>
          <w:noProof/>
          <w:kern w:val="0"/>
          <w:szCs w:val="20"/>
        </w:rPr>
      </w:pPr>
    </w:p>
    <w:p w14:paraId="070B01E6" w14:textId="476881D8" w:rsidR="001F4B50" w:rsidRDefault="001F4B50" w:rsidP="001F4B50">
      <w:pPr>
        <w:pStyle w:val="affc"/>
        <w:spacing w:before="240" w:after="240"/>
      </w:pPr>
      <w:bookmarkStart w:id="65" w:name="_Toc177050071"/>
      <w:bookmarkStart w:id="66" w:name="_Toc177050097"/>
      <w:bookmarkStart w:id="67" w:name="_Toc177050123"/>
      <w:bookmarkStart w:id="68" w:name="_Toc177050141"/>
      <w:r>
        <w:rPr>
          <w:rFonts w:hint="eastAsia"/>
        </w:rPr>
        <w:lastRenderedPageBreak/>
        <w:t>总体要求</w:t>
      </w:r>
      <w:bookmarkEnd w:id="65"/>
      <w:bookmarkEnd w:id="66"/>
      <w:bookmarkEnd w:id="67"/>
      <w:bookmarkEnd w:id="68"/>
    </w:p>
    <w:p w14:paraId="049D09C6" w14:textId="156A3B4F" w:rsidR="008E0B04" w:rsidRDefault="008E0B04" w:rsidP="00FE417F">
      <w:pPr>
        <w:pStyle w:val="affffffffe"/>
        <w:spacing w:line="400" w:lineRule="exact"/>
      </w:pPr>
      <w:bookmarkStart w:id="69" w:name="_Toc24711950"/>
      <w:bookmarkStart w:id="70" w:name="_Toc24712007"/>
      <w:bookmarkStart w:id="71" w:name="_Toc24712064"/>
      <w:bookmarkStart w:id="72" w:name="_Toc24712098"/>
      <w:bookmarkStart w:id="73" w:name="_Toc24897411"/>
      <w:bookmarkStart w:id="74" w:name="_Toc90885220"/>
      <w:bookmarkStart w:id="75" w:name="_Toc90966828"/>
      <w:bookmarkStart w:id="76" w:name="_Toc177050072"/>
      <w:bookmarkStart w:id="77" w:name="_Toc177050098"/>
      <w:bookmarkStart w:id="78" w:name="_Toc177050124"/>
      <w:bookmarkStart w:id="79" w:name="_Toc177050142"/>
      <w:r w:rsidRPr="00361808">
        <w:rPr>
          <w:rFonts w:hint="eastAsia"/>
        </w:rPr>
        <w:t>应根据当地经济发展水平和生产条件，木薯青贮饲料原料不同，选择合适的原料制备和青贮方式，以获取最佳经济效益。</w:t>
      </w:r>
    </w:p>
    <w:p w14:paraId="178CAB27" w14:textId="151D016F" w:rsidR="008E0B04" w:rsidRPr="00361808" w:rsidRDefault="008E0B04" w:rsidP="00FE417F">
      <w:pPr>
        <w:pStyle w:val="affffffffe"/>
        <w:spacing w:line="400" w:lineRule="exact"/>
      </w:pPr>
      <w:r w:rsidRPr="00361808">
        <w:rPr>
          <w:rFonts w:hint="eastAsia"/>
        </w:rPr>
        <w:t>木薯茎叶作为木</w:t>
      </w:r>
      <w:r w:rsidR="008617FA">
        <w:rPr>
          <w:rFonts w:hint="eastAsia"/>
        </w:rPr>
        <w:t>薯采收后的废弃物，应与当地产业发展结合，因地制宜，选择技术可行</w:t>
      </w:r>
      <w:r w:rsidRPr="00361808">
        <w:rPr>
          <w:rFonts w:hint="eastAsia"/>
        </w:rPr>
        <w:t>、绿色安全的饲料化利用方式和技术</w:t>
      </w:r>
      <w:r w:rsidR="008617FA">
        <w:rPr>
          <w:rFonts w:hint="eastAsia"/>
        </w:rPr>
        <w:t>，</w:t>
      </w:r>
      <w:r w:rsidR="008617FA" w:rsidRPr="00361808">
        <w:rPr>
          <w:rFonts w:hint="eastAsia"/>
        </w:rPr>
        <w:t>以获取最佳生态效益</w:t>
      </w:r>
      <w:r w:rsidRPr="00361808">
        <w:rPr>
          <w:rFonts w:hint="eastAsia"/>
        </w:rPr>
        <w:t>。</w:t>
      </w:r>
    </w:p>
    <w:p w14:paraId="0A8EAFD1" w14:textId="2E014EDF" w:rsidR="008E0B04" w:rsidRPr="00361808" w:rsidRDefault="008E0B04" w:rsidP="00FE417F">
      <w:pPr>
        <w:pStyle w:val="affffffffe"/>
        <w:spacing w:line="400" w:lineRule="exact"/>
      </w:pPr>
      <w:r w:rsidRPr="00361808">
        <w:rPr>
          <w:rFonts w:hint="eastAsia"/>
        </w:rPr>
        <w:t>在木薯青贮饲料制备的过程</w:t>
      </w:r>
      <w:r w:rsidR="008617FA">
        <w:rPr>
          <w:rFonts w:hint="eastAsia"/>
        </w:rPr>
        <w:t>中，产生的废弃物应达标处理排放，产生的废水、废气、废渣合理处置应</w:t>
      </w:r>
      <w:r w:rsidRPr="00361808">
        <w:rPr>
          <w:rFonts w:hint="eastAsia"/>
        </w:rPr>
        <w:t>符合</w:t>
      </w:r>
      <w:r w:rsidRPr="00FE417F">
        <w:rPr>
          <w:rFonts w:ascii="Times New Roman"/>
        </w:rPr>
        <w:t>GB/T</w:t>
      </w:r>
      <w:r w:rsidR="007766F0" w:rsidRPr="00FE417F">
        <w:rPr>
          <w:rFonts w:ascii="Times New Roman"/>
        </w:rPr>
        <w:t> </w:t>
      </w:r>
      <w:r w:rsidRPr="00FE417F">
        <w:rPr>
          <w:rFonts w:ascii="Times New Roman"/>
        </w:rPr>
        <w:t>42679</w:t>
      </w:r>
      <w:r w:rsidRPr="00361808">
        <w:rPr>
          <w:rFonts w:hint="eastAsia"/>
        </w:rPr>
        <w:t>的要求和国家相关法律法规的规定。</w:t>
      </w:r>
    </w:p>
    <w:p w14:paraId="69D656A3" w14:textId="181996E2" w:rsidR="00233D41" w:rsidRDefault="00233D41" w:rsidP="00233D41">
      <w:pPr>
        <w:pStyle w:val="affc"/>
        <w:spacing w:before="240" w:after="240"/>
      </w:pPr>
      <w:r w:rsidRPr="00A60D30">
        <w:rPr>
          <w:rFonts w:hint="eastAsia"/>
        </w:rPr>
        <w:t>贮前准备</w:t>
      </w:r>
      <w:bookmarkEnd w:id="69"/>
      <w:bookmarkEnd w:id="70"/>
      <w:bookmarkEnd w:id="71"/>
      <w:bookmarkEnd w:id="72"/>
      <w:bookmarkEnd w:id="73"/>
      <w:bookmarkEnd w:id="74"/>
      <w:bookmarkEnd w:id="75"/>
      <w:bookmarkEnd w:id="76"/>
      <w:bookmarkEnd w:id="77"/>
      <w:bookmarkEnd w:id="78"/>
      <w:bookmarkEnd w:id="79"/>
    </w:p>
    <w:p w14:paraId="5EC6AAB4" w14:textId="77777777" w:rsidR="00233D41" w:rsidRDefault="00233D41" w:rsidP="00233D41">
      <w:pPr>
        <w:pStyle w:val="affd"/>
        <w:spacing w:before="120" w:after="120"/>
      </w:pPr>
      <w:bookmarkStart w:id="80" w:name="_Toc90885221"/>
      <w:bookmarkStart w:id="81" w:name="_Toc177050073"/>
      <w:bookmarkStart w:id="82" w:name="_Toc177050099"/>
      <w:bookmarkStart w:id="83" w:name="_Toc177050143"/>
      <w:r w:rsidRPr="00A60D30">
        <w:rPr>
          <w:rFonts w:hint="eastAsia"/>
        </w:rPr>
        <w:t>青贮设施</w:t>
      </w:r>
      <w:bookmarkEnd w:id="80"/>
      <w:bookmarkEnd w:id="81"/>
      <w:bookmarkEnd w:id="82"/>
      <w:bookmarkEnd w:id="83"/>
    </w:p>
    <w:p w14:paraId="068FAABD" w14:textId="77777777" w:rsidR="00233D41" w:rsidRPr="00A60D30" w:rsidRDefault="00233D41" w:rsidP="00233D41">
      <w:pPr>
        <w:pStyle w:val="affe"/>
        <w:spacing w:before="120" w:after="120"/>
      </w:pPr>
      <w:r>
        <w:rPr>
          <w:rFonts w:hint="eastAsia"/>
        </w:rPr>
        <w:t>青贮池</w:t>
      </w:r>
    </w:p>
    <w:p w14:paraId="5095C4FD" w14:textId="77777777" w:rsidR="00233D41" w:rsidRPr="00A60D30" w:rsidRDefault="00233D41" w:rsidP="00FE417F">
      <w:pPr>
        <w:pStyle w:val="affffb"/>
        <w:spacing w:line="400" w:lineRule="exact"/>
        <w:ind w:firstLine="420"/>
      </w:pPr>
      <w:r w:rsidRPr="00A60D30">
        <w:rPr>
          <w:rFonts w:hint="eastAsia"/>
        </w:rPr>
        <w:t>按形状分，青贮池有圆形和方形，其大小根据需要设计。青贮池底部及池的四周需要用水泥浆粉刷，防止漏气和漏水，底部留有带开关的排水孔。青贮池建设地点宜选择在地势高、排水良好、四周无污染源的地方。</w:t>
      </w:r>
    </w:p>
    <w:p w14:paraId="1CB2FDD2" w14:textId="77777777" w:rsidR="00233D41" w:rsidRDefault="00233D41" w:rsidP="00233D41">
      <w:pPr>
        <w:pStyle w:val="affe"/>
        <w:spacing w:before="120" w:after="120"/>
      </w:pPr>
      <w:r w:rsidRPr="00A60D30">
        <w:rPr>
          <w:rFonts w:hint="eastAsia"/>
        </w:rPr>
        <w:t>青贮罐</w:t>
      </w:r>
    </w:p>
    <w:p w14:paraId="19C027F3" w14:textId="1026F75C" w:rsidR="00233D41" w:rsidRPr="00A60D30" w:rsidRDefault="00233D41" w:rsidP="00FE417F">
      <w:pPr>
        <w:pStyle w:val="affffb"/>
        <w:spacing w:line="400" w:lineRule="exact"/>
        <w:ind w:firstLine="420"/>
      </w:pPr>
      <w:r w:rsidRPr="00A60D30">
        <w:rPr>
          <w:rFonts w:hint="eastAsia"/>
        </w:rPr>
        <w:t>青贮罐应带有PE(聚乙烯)或</w:t>
      </w:r>
      <w:r w:rsidR="00FE417F">
        <w:t> </w:t>
      </w:r>
      <w:r w:rsidRPr="00FE417F">
        <w:rPr>
          <w:rFonts w:ascii="Times New Roman"/>
        </w:rPr>
        <w:t>PP</w:t>
      </w:r>
      <w:r w:rsidRPr="00A60D30">
        <w:rPr>
          <w:rFonts w:hint="eastAsia"/>
        </w:rPr>
        <w:t>(聚丙烯)标志、装饰图案少、无色无味、表面光洁的塑料制品，灌口为宽口，盖子为螺旋式，以减少氧气渗入青贮设施内部。</w:t>
      </w:r>
    </w:p>
    <w:p w14:paraId="7BC953C4" w14:textId="77777777" w:rsidR="00233D41" w:rsidRDefault="00233D41" w:rsidP="00233D41">
      <w:pPr>
        <w:pStyle w:val="affe"/>
        <w:spacing w:before="120" w:after="120"/>
      </w:pPr>
      <w:r w:rsidRPr="00A60D30">
        <w:rPr>
          <w:rFonts w:hint="eastAsia"/>
        </w:rPr>
        <w:t>青贮袋</w:t>
      </w:r>
    </w:p>
    <w:p w14:paraId="759F72C5" w14:textId="77777777" w:rsidR="00233D41" w:rsidRDefault="00233D41" w:rsidP="00FE417F">
      <w:pPr>
        <w:pStyle w:val="affffb"/>
        <w:spacing w:line="400" w:lineRule="exact"/>
        <w:ind w:firstLine="420"/>
      </w:pPr>
      <w:r w:rsidRPr="00A60D30">
        <w:rPr>
          <w:rFonts w:hint="eastAsia"/>
        </w:rPr>
        <w:t>青贮袋应含有乙烯等高分子阻氧材料，以减少氧气渗入青贮设施内部。</w:t>
      </w:r>
    </w:p>
    <w:p w14:paraId="2537EAA2" w14:textId="61A01101" w:rsidR="004D278A" w:rsidRDefault="004D278A" w:rsidP="004D278A">
      <w:pPr>
        <w:pStyle w:val="affd"/>
        <w:spacing w:before="120" w:after="120"/>
      </w:pPr>
      <w:bookmarkStart w:id="84" w:name="_Toc177050074"/>
      <w:bookmarkStart w:id="85" w:name="_Toc177050100"/>
      <w:bookmarkStart w:id="86" w:name="_Toc177050144"/>
      <w:r>
        <w:rPr>
          <w:rFonts w:hint="eastAsia"/>
        </w:rPr>
        <w:t>设施检查</w:t>
      </w:r>
      <w:bookmarkEnd w:id="84"/>
      <w:bookmarkEnd w:id="85"/>
      <w:bookmarkEnd w:id="86"/>
    </w:p>
    <w:p w14:paraId="54B936F1" w14:textId="5563F1C7" w:rsidR="004D278A" w:rsidRDefault="004D278A" w:rsidP="00FE417F">
      <w:pPr>
        <w:pStyle w:val="afffffffff1"/>
        <w:spacing w:line="400" w:lineRule="atLeast"/>
      </w:pPr>
      <w:r>
        <w:rPr>
          <w:rFonts w:hint="eastAsia"/>
        </w:rPr>
        <w:t>检修青贮用各类机械设备，保证运行良好</w:t>
      </w:r>
      <w:r w:rsidR="00FE417F">
        <w:rPr>
          <w:rFonts w:hint="eastAsia"/>
        </w:rPr>
        <w:t>。</w:t>
      </w:r>
    </w:p>
    <w:p w14:paraId="3F129A7B" w14:textId="2A1EFA62" w:rsidR="004D278A" w:rsidRPr="004D278A" w:rsidRDefault="000E3D75" w:rsidP="00FE417F">
      <w:pPr>
        <w:pStyle w:val="afffffffff1"/>
        <w:spacing w:line="400" w:lineRule="atLeast"/>
      </w:pPr>
      <w:r>
        <w:rPr>
          <w:rFonts w:hint="eastAsia"/>
        </w:rPr>
        <w:t>准备</w:t>
      </w:r>
      <w:r w:rsidR="004D278A">
        <w:rPr>
          <w:rFonts w:hint="eastAsia"/>
        </w:rPr>
        <w:t>青贮必须</w:t>
      </w:r>
      <w:r>
        <w:rPr>
          <w:rFonts w:hint="eastAsia"/>
        </w:rPr>
        <w:t>的</w:t>
      </w:r>
      <w:r w:rsidR="004D278A">
        <w:rPr>
          <w:rFonts w:hint="eastAsia"/>
        </w:rPr>
        <w:t>材料，清理青贮设施内的杂物</w:t>
      </w:r>
      <w:r w:rsidR="00FE417F">
        <w:rPr>
          <w:rFonts w:hint="eastAsia"/>
        </w:rPr>
        <w:t>。</w:t>
      </w:r>
    </w:p>
    <w:p w14:paraId="0102F76A" w14:textId="6AA515ED" w:rsidR="00233D41" w:rsidRDefault="00233D41" w:rsidP="00233D41">
      <w:pPr>
        <w:pStyle w:val="affc"/>
        <w:spacing w:before="240" w:after="240"/>
      </w:pPr>
      <w:bookmarkStart w:id="87" w:name="_Toc90885222"/>
      <w:bookmarkStart w:id="88" w:name="_Toc90966829"/>
      <w:bookmarkStart w:id="89" w:name="_Toc177050075"/>
      <w:bookmarkStart w:id="90" w:name="_Toc177050101"/>
      <w:bookmarkStart w:id="91" w:name="_Toc177050125"/>
      <w:bookmarkStart w:id="92" w:name="_Toc177050145"/>
      <w:r w:rsidRPr="00A60D30">
        <w:rPr>
          <w:rFonts w:hint="eastAsia"/>
        </w:rPr>
        <w:t>青贮原料</w:t>
      </w:r>
      <w:bookmarkEnd w:id="87"/>
      <w:bookmarkEnd w:id="88"/>
      <w:bookmarkEnd w:id="89"/>
      <w:bookmarkEnd w:id="90"/>
      <w:bookmarkEnd w:id="91"/>
      <w:bookmarkEnd w:id="92"/>
    </w:p>
    <w:p w14:paraId="69DA5D1F" w14:textId="77777777" w:rsidR="00233D41" w:rsidRDefault="00233D41" w:rsidP="00233D41">
      <w:pPr>
        <w:pStyle w:val="affd"/>
        <w:spacing w:before="120" w:after="120"/>
      </w:pPr>
      <w:bookmarkStart w:id="93" w:name="_Toc177050076"/>
      <w:bookmarkStart w:id="94" w:name="_Toc177050102"/>
      <w:bookmarkStart w:id="95" w:name="_Toc177050146"/>
      <w:r>
        <w:rPr>
          <w:rFonts w:hint="eastAsia"/>
        </w:rPr>
        <w:t>原料要求</w:t>
      </w:r>
      <w:bookmarkEnd w:id="93"/>
      <w:bookmarkEnd w:id="94"/>
      <w:bookmarkEnd w:id="95"/>
    </w:p>
    <w:p w14:paraId="79335044" w14:textId="6BC24B81" w:rsidR="00233D41" w:rsidRPr="00FE417F" w:rsidRDefault="00233D41" w:rsidP="00FE417F">
      <w:pPr>
        <w:pStyle w:val="affffb"/>
        <w:spacing w:line="400" w:lineRule="exact"/>
        <w:ind w:firstLine="420"/>
        <w:rPr>
          <w:rFonts w:ascii="Times New Roman" w:hint="eastAsia"/>
        </w:rPr>
      </w:pPr>
      <w:r w:rsidRPr="00FE417F">
        <w:rPr>
          <w:rFonts w:ascii="Times New Roman"/>
        </w:rPr>
        <w:t>原料应符合</w:t>
      </w:r>
      <w:r w:rsidR="00FE417F">
        <w:rPr>
          <w:rFonts w:ascii="Times New Roman"/>
        </w:rPr>
        <w:t> </w:t>
      </w:r>
      <w:r w:rsidRPr="00FE417F">
        <w:rPr>
          <w:rFonts w:ascii="Times New Roman"/>
        </w:rPr>
        <w:t>GB/T 19424</w:t>
      </w:r>
      <w:r w:rsidR="00FE417F">
        <w:rPr>
          <w:rFonts w:ascii="Times New Roman"/>
        </w:rPr>
        <w:t> </w:t>
      </w:r>
      <w:r w:rsidRPr="00FE417F">
        <w:rPr>
          <w:rFonts w:ascii="Times New Roman"/>
        </w:rPr>
        <w:t>和</w:t>
      </w:r>
      <w:r w:rsidR="00FE417F">
        <w:rPr>
          <w:rFonts w:ascii="Times New Roman"/>
        </w:rPr>
        <w:t> </w:t>
      </w:r>
      <w:r w:rsidRPr="00FE417F">
        <w:rPr>
          <w:rFonts w:ascii="Times New Roman"/>
        </w:rPr>
        <w:t>GB/T 13078</w:t>
      </w:r>
      <w:r w:rsidR="00FE417F">
        <w:rPr>
          <w:rFonts w:ascii="Times New Roman"/>
        </w:rPr>
        <w:t> </w:t>
      </w:r>
      <w:r w:rsidRPr="00FE417F">
        <w:rPr>
          <w:rFonts w:ascii="Times New Roman"/>
        </w:rPr>
        <w:t>的要求。</w:t>
      </w:r>
    </w:p>
    <w:p w14:paraId="409B3C7C" w14:textId="3980BA3D" w:rsidR="00233D41" w:rsidRDefault="00F17AFD" w:rsidP="00233D41">
      <w:pPr>
        <w:pStyle w:val="affd"/>
        <w:spacing w:before="120" w:after="120"/>
      </w:pPr>
      <w:r>
        <w:rPr>
          <w:rFonts w:hint="eastAsia"/>
        </w:rPr>
        <w:t>原料选择</w:t>
      </w:r>
    </w:p>
    <w:p w14:paraId="1E6C3D96" w14:textId="09062FF6" w:rsidR="00233D41" w:rsidRPr="00FE417F" w:rsidRDefault="005A24E2" w:rsidP="00FE417F">
      <w:pPr>
        <w:pStyle w:val="affffb"/>
        <w:spacing w:line="400" w:lineRule="exact"/>
        <w:ind w:firstLine="420"/>
        <w:rPr>
          <w:rFonts w:ascii="Times New Roman"/>
        </w:rPr>
      </w:pPr>
      <w:r w:rsidRPr="00FE417F">
        <w:rPr>
          <w:rFonts w:ascii="Times New Roman"/>
        </w:rPr>
        <w:t>宜</w:t>
      </w:r>
      <w:r w:rsidR="00233D41" w:rsidRPr="00FE417F">
        <w:rPr>
          <w:rFonts w:ascii="Times New Roman"/>
        </w:rPr>
        <w:t>选择</w:t>
      </w:r>
      <w:r w:rsidR="007766F0" w:rsidRPr="00FE417F">
        <w:rPr>
          <w:rFonts w:ascii="Times New Roman"/>
        </w:rPr>
        <w:t>生长期</w:t>
      </w:r>
      <w:r w:rsidR="00FE417F">
        <w:rPr>
          <w:rFonts w:ascii="Times New Roman"/>
        </w:rPr>
        <w:t> </w:t>
      </w:r>
      <w:r w:rsidR="007766F0" w:rsidRPr="00FE417F">
        <w:rPr>
          <w:rFonts w:ascii="Times New Roman"/>
        </w:rPr>
        <w:t>60 d</w:t>
      </w:r>
      <w:r w:rsidR="007766F0" w:rsidRPr="00FE417F">
        <w:rPr>
          <w:rFonts w:ascii="Times New Roman"/>
        </w:rPr>
        <w:t>～</w:t>
      </w:r>
      <w:r w:rsidR="007766F0" w:rsidRPr="00FE417F">
        <w:rPr>
          <w:rFonts w:ascii="Times New Roman"/>
        </w:rPr>
        <w:t>120 d</w:t>
      </w:r>
      <w:r w:rsidR="00FE417F">
        <w:rPr>
          <w:rFonts w:ascii="Times New Roman"/>
        </w:rPr>
        <w:t> </w:t>
      </w:r>
      <w:r w:rsidR="007766F0" w:rsidRPr="00FE417F">
        <w:rPr>
          <w:rFonts w:ascii="Times New Roman"/>
        </w:rPr>
        <w:t>的</w:t>
      </w:r>
      <w:r w:rsidRPr="00FE417F">
        <w:rPr>
          <w:rFonts w:ascii="Times New Roman"/>
        </w:rPr>
        <w:t>栽培品种</w:t>
      </w:r>
      <w:r w:rsidR="00233D41" w:rsidRPr="00FE417F">
        <w:rPr>
          <w:rFonts w:ascii="Times New Roman"/>
        </w:rPr>
        <w:t>木薯嫩茎叶或</w:t>
      </w:r>
      <w:r w:rsidR="001E34F3" w:rsidRPr="00FE417F">
        <w:rPr>
          <w:rFonts w:ascii="Times New Roman"/>
        </w:rPr>
        <w:t>木薯</w:t>
      </w:r>
      <w:r w:rsidR="00D7316F" w:rsidRPr="00FE417F">
        <w:rPr>
          <w:rFonts w:ascii="Times New Roman"/>
        </w:rPr>
        <w:t>块根</w:t>
      </w:r>
      <w:r w:rsidR="00233D41" w:rsidRPr="00FE417F">
        <w:rPr>
          <w:rFonts w:ascii="Times New Roman"/>
        </w:rPr>
        <w:t>采收</w:t>
      </w:r>
      <w:r w:rsidR="001E34F3" w:rsidRPr="00FE417F">
        <w:rPr>
          <w:rFonts w:ascii="Times New Roman"/>
        </w:rPr>
        <w:t>后植株</w:t>
      </w:r>
      <w:r w:rsidR="00233D41" w:rsidRPr="00FE417F">
        <w:rPr>
          <w:rFonts w:ascii="Times New Roman"/>
        </w:rPr>
        <w:t>顶端嫩茎</w:t>
      </w:r>
      <w:r w:rsidR="00D7316F" w:rsidRPr="00FE417F">
        <w:rPr>
          <w:rFonts w:ascii="Times New Roman"/>
        </w:rPr>
        <w:t>叶</w:t>
      </w:r>
      <w:r w:rsidR="00233D41" w:rsidRPr="00FE417F">
        <w:rPr>
          <w:rFonts w:ascii="Times New Roman"/>
        </w:rPr>
        <w:t>。</w:t>
      </w:r>
    </w:p>
    <w:p w14:paraId="3983637B" w14:textId="0B9BB45C" w:rsidR="00233D41" w:rsidRDefault="00233D41" w:rsidP="00233D41">
      <w:pPr>
        <w:pStyle w:val="affd"/>
        <w:spacing w:before="120" w:after="120"/>
      </w:pPr>
      <w:bookmarkStart w:id="96" w:name="_Toc24711956"/>
      <w:bookmarkStart w:id="97" w:name="_Toc24712013"/>
      <w:bookmarkStart w:id="98" w:name="_Toc24712068"/>
      <w:bookmarkStart w:id="99" w:name="_Toc90885224"/>
      <w:bookmarkStart w:id="100" w:name="_Toc177050078"/>
      <w:bookmarkStart w:id="101" w:name="_Toc177050104"/>
      <w:bookmarkStart w:id="102" w:name="_Toc177050148"/>
      <w:r>
        <w:rPr>
          <w:rFonts w:hint="eastAsia"/>
        </w:rPr>
        <w:t>饲料添加剂</w:t>
      </w:r>
      <w:bookmarkEnd w:id="96"/>
      <w:bookmarkEnd w:id="97"/>
      <w:bookmarkEnd w:id="98"/>
      <w:bookmarkEnd w:id="99"/>
      <w:bookmarkEnd w:id="100"/>
      <w:bookmarkEnd w:id="101"/>
      <w:bookmarkEnd w:id="102"/>
    </w:p>
    <w:p w14:paraId="008C442C" w14:textId="50A79627" w:rsidR="00233D41" w:rsidRDefault="00D7316F" w:rsidP="00FE417F">
      <w:pPr>
        <w:pStyle w:val="affffb"/>
        <w:spacing w:line="400" w:lineRule="exact"/>
        <w:ind w:firstLine="420"/>
        <w:rPr>
          <w:rFonts w:ascii="Times New Roman"/>
        </w:rPr>
      </w:pPr>
      <w:r w:rsidRPr="00FE417F">
        <w:rPr>
          <w:rFonts w:ascii="Times New Roman"/>
        </w:rPr>
        <w:t>可以选择性使用抑制开窖有氧</w:t>
      </w:r>
      <w:r w:rsidR="00A60492" w:rsidRPr="00FE417F">
        <w:rPr>
          <w:rFonts w:ascii="Times New Roman"/>
        </w:rPr>
        <w:t>变质</w:t>
      </w:r>
      <w:r w:rsidRPr="00FE417F">
        <w:rPr>
          <w:rFonts w:ascii="Times New Roman"/>
        </w:rPr>
        <w:t>的添加剂，添加剂的使用</w:t>
      </w:r>
      <w:r w:rsidR="00A60492" w:rsidRPr="00FE417F">
        <w:rPr>
          <w:rFonts w:ascii="Times New Roman"/>
        </w:rPr>
        <w:t>应</w:t>
      </w:r>
      <w:r w:rsidRPr="00FE417F">
        <w:rPr>
          <w:rFonts w:ascii="Times New Roman"/>
        </w:rPr>
        <w:t>符合</w:t>
      </w:r>
      <w:r w:rsidR="00FE417F">
        <w:rPr>
          <w:rFonts w:ascii="Times New Roman"/>
        </w:rPr>
        <w:t> </w:t>
      </w:r>
      <w:r w:rsidRPr="00FE417F">
        <w:rPr>
          <w:rFonts w:ascii="Times New Roman"/>
        </w:rPr>
        <w:t>GB/T 22141</w:t>
      </w:r>
      <w:r w:rsidRPr="00FE417F">
        <w:rPr>
          <w:rFonts w:ascii="Times New Roman"/>
        </w:rPr>
        <w:t>、</w:t>
      </w:r>
      <w:r w:rsidRPr="00FE417F">
        <w:rPr>
          <w:rFonts w:ascii="Times New Roman"/>
        </w:rPr>
        <w:t>GB/T 22142</w:t>
      </w:r>
      <w:r w:rsidRPr="00FE417F">
        <w:rPr>
          <w:rFonts w:ascii="Times New Roman"/>
        </w:rPr>
        <w:t>、</w:t>
      </w:r>
      <w:r w:rsidRPr="00FE417F">
        <w:rPr>
          <w:rFonts w:ascii="Times New Roman"/>
        </w:rPr>
        <w:t>GB/T 22143</w:t>
      </w:r>
      <w:r w:rsidRPr="00FE417F">
        <w:rPr>
          <w:rFonts w:ascii="Times New Roman"/>
        </w:rPr>
        <w:t>、</w:t>
      </w:r>
      <w:r w:rsidRPr="00FE417F">
        <w:rPr>
          <w:rFonts w:ascii="Times New Roman"/>
        </w:rPr>
        <w:t>GB/T 31215</w:t>
      </w:r>
      <w:r w:rsidRPr="00FE417F">
        <w:rPr>
          <w:rFonts w:ascii="Times New Roman"/>
        </w:rPr>
        <w:t>、</w:t>
      </w:r>
      <w:r w:rsidRPr="00FE417F">
        <w:rPr>
          <w:rFonts w:ascii="Times New Roman"/>
        </w:rPr>
        <w:t>GB/T 36863</w:t>
      </w:r>
      <w:r w:rsidR="00FE417F">
        <w:rPr>
          <w:rFonts w:ascii="Times New Roman"/>
        </w:rPr>
        <w:t> </w:t>
      </w:r>
      <w:r w:rsidR="004D278A" w:rsidRPr="00FE417F">
        <w:rPr>
          <w:rFonts w:ascii="Times New Roman"/>
        </w:rPr>
        <w:t>的</w:t>
      </w:r>
      <w:r w:rsidR="00A60492" w:rsidRPr="00FE417F">
        <w:rPr>
          <w:rFonts w:ascii="Times New Roman"/>
        </w:rPr>
        <w:t>要求</w:t>
      </w:r>
      <w:r w:rsidR="004D278A" w:rsidRPr="00FE417F">
        <w:rPr>
          <w:rFonts w:ascii="Times New Roman"/>
        </w:rPr>
        <w:t>。</w:t>
      </w:r>
    </w:p>
    <w:p w14:paraId="7B8E473F" w14:textId="77777777" w:rsidR="00FE417F" w:rsidRPr="00FE417F" w:rsidRDefault="00FE417F" w:rsidP="00FE417F">
      <w:pPr>
        <w:pStyle w:val="affffb"/>
        <w:spacing w:line="400" w:lineRule="exact"/>
        <w:ind w:firstLine="420"/>
        <w:rPr>
          <w:rFonts w:ascii="Times New Roman" w:hint="eastAsia"/>
        </w:rPr>
      </w:pPr>
    </w:p>
    <w:p w14:paraId="20200156" w14:textId="77777777" w:rsidR="00233D41" w:rsidRDefault="00233D41" w:rsidP="00233D41">
      <w:pPr>
        <w:pStyle w:val="affc"/>
        <w:spacing w:before="240" w:after="240"/>
      </w:pPr>
      <w:bookmarkStart w:id="103" w:name="_Toc90885225"/>
      <w:bookmarkStart w:id="104" w:name="_Toc90966830"/>
      <w:bookmarkStart w:id="105" w:name="_Toc177050079"/>
      <w:bookmarkStart w:id="106" w:name="_Toc177050105"/>
      <w:bookmarkStart w:id="107" w:name="_Toc177050126"/>
      <w:bookmarkStart w:id="108" w:name="_Toc177050149"/>
      <w:r w:rsidRPr="00A60D30">
        <w:rPr>
          <w:rFonts w:hint="eastAsia"/>
        </w:rPr>
        <w:lastRenderedPageBreak/>
        <w:t>采收</w:t>
      </w:r>
      <w:bookmarkEnd w:id="103"/>
      <w:bookmarkEnd w:id="104"/>
      <w:bookmarkEnd w:id="105"/>
      <w:bookmarkEnd w:id="106"/>
      <w:bookmarkEnd w:id="107"/>
      <w:bookmarkEnd w:id="108"/>
    </w:p>
    <w:p w14:paraId="06E00050" w14:textId="6A5E14C4" w:rsidR="00233D41" w:rsidRPr="00A60D30" w:rsidRDefault="00233D41" w:rsidP="00FE417F">
      <w:pPr>
        <w:pStyle w:val="affffb"/>
        <w:spacing w:line="400" w:lineRule="exact"/>
        <w:ind w:firstLine="420"/>
      </w:pPr>
      <w:r w:rsidRPr="00FE417F">
        <w:rPr>
          <w:rFonts w:ascii="Times New Roman"/>
        </w:rPr>
        <w:t>用刀或机器刈割</w:t>
      </w:r>
      <w:r w:rsidR="0068211E" w:rsidRPr="00FE417F">
        <w:rPr>
          <w:rFonts w:ascii="Times New Roman"/>
        </w:rPr>
        <w:t>生长期</w:t>
      </w:r>
      <w:r w:rsidR="00FE417F">
        <w:rPr>
          <w:rFonts w:ascii="Times New Roman"/>
        </w:rPr>
        <w:t> </w:t>
      </w:r>
      <w:r w:rsidR="0068211E" w:rsidRPr="00FE417F">
        <w:rPr>
          <w:rFonts w:ascii="Times New Roman"/>
        </w:rPr>
        <w:t>60 d</w:t>
      </w:r>
      <w:r w:rsidR="0068211E" w:rsidRPr="00FE417F">
        <w:rPr>
          <w:rFonts w:ascii="Times New Roman"/>
        </w:rPr>
        <w:t>～</w:t>
      </w:r>
      <w:r w:rsidR="0068211E" w:rsidRPr="00FE417F">
        <w:rPr>
          <w:rFonts w:ascii="Times New Roman"/>
        </w:rPr>
        <w:t>120 d</w:t>
      </w:r>
      <w:r w:rsidR="00FE417F">
        <w:rPr>
          <w:rFonts w:ascii="Times New Roman"/>
        </w:rPr>
        <w:t> </w:t>
      </w:r>
      <w:r w:rsidRPr="00FE417F">
        <w:rPr>
          <w:rFonts w:ascii="Times New Roman"/>
        </w:rPr>
        <w:t>木薯嫩茎</w:t>
      </w:r>
      <w:r w:rsidR="0068211E" w:rsidRPr="00FE417F">
        <w:rPr>
          <w:rFonts w:ascii="Times New Roman"/>
        </w:rPr>
        <w:t>叶</w:t>
      </w:r>
      <w:r w:rsidRPr="00FE417F">
        <w:rPr>
          <w:rFonts w:ascii="Times New Roman"/>
        </w:rPr>
        <w:t>或</w:t>
      </w:r>
      <w:r w:rsidR="0068211E" w:rsidRPr="00FE417F">
        <w:rPr>
          <w:rFonts w:ascii="Times New Roman"/>
        </w:rPr>
        <w:t>木薯块根采收后植株顶端嫩茎叶</w:t>
      </w:r>
      <w:r w:rsidR="0068211E">
        <w:rPr>
          <w:rFonts w:hint="eastAsia"/>
        </w:rPr>
        <w:t>。</w:t>
      </w:r>
    </w:p>
    <w:p w14:paraId="5A78A14A" w14:textId="766ECCA4" w:rsidR="00233D41" w:rsidRDefault="00D7316F" w:rsidP="00233D41">
      <w:pPr>
        <w:pStyle w:val="affc"/>
        <w:spacing w:before="240" w:after="240"/>
      </w:pPr>
      <w:bookmarkStart w:id="109" w:name="_Toc90885226"/>
      <w:bookmarkStart w:id="110" w:name="_Toc90966831"/>
      <w:bookmarkStart w:id="111" w:name="_Toc177050080"/>
      <w:bookmarkStart w:id="112" w:name="_Toc177050106"/>
      <w:bookmarkStart w:id="113" w:name="_Toc177050127"/>
      <w:bookmarkStart w:id="114" w:name="_Toc177050150"/>
      <w:r>
        <w:rPr>
          <w:rFonts w:hint="eastAsia"/>
        </w:rPr>
        <w:t>切</w:t>
      </w:r>
      <w:r w:rsidR="00233D41" w:rsidRPr="00A60D30">
        <w:rPr>
          <w:rFonts w:hint="eastAsia"/>
        </w:rPr>
        <w:t>碎</w:t>
      </w:r>
      <w:bookmarkEnd w:id="109"/>
      <w:bookmarkEnd w:id="110"/>
      <w:bookmarkEnd w:id="111"/>
      <w:bookmarkEnd w:id="112"/>
      <w:bookmarkEnd w:id="113"/>
      <w:bookmarkEnd w:id="114"/>
    </w:p>
    <w:p w14:paraId="60D07A1F" w14:textId="7B456F79" w:rsidR="00233D41" w:rsidRPr="00FE417F" w:rsidRDefault="0068211E" w:rsidP="00FE417F">
      <w:pPr>
        <w:pStyle w:val="affffffffe"/>
        <w:spacing w:line="400" w:lineRule="exact"/>
        <w:rPr>
          <w:rFonts w:ascii="Times New Roman"/>
        </w:rPr>
      </w:pPr>
      <w:bookmarkStart w:id="115" w:name="_Toc90885227"/>
      <w:r w:rsidRPr="00FE417F">
        <w:rPr>
          <w:rFonts w:ascii="Times New Roman"/>
        </w:rPr>
        <w:t>采收后的木薯嫩茎叶迅速</w:t>
      </w:r>
      <w:r w:rsidR="00233D41" w:rsidRPr="00FE417F">
        <w:rPr>
          <w:rFonts w:ascii="Times New Roman"/>
        </w:rPr>
        <w:t>用粉碎机</w:t>
      </w:r>
      <w:r w:rsidR="00307A7C" w:rsidRPr="00FE417F">
        <w:rPr>
          <w:rFonts w:ascii="Times New Roman"/>
        </w:rPr>
        <w:t>切</w:t>
      </w:r>
      <w:r w:rsidR="00233D41" w:rsidRPr="00FE417F">
        <w:rPr>
          <w:rFonts w:ascii="Times New Roman"/>
        </w:rPr>
        <w:t>碎，</w:t>
      </w:r>
      <w:r w:rsidRPr="00FE417F">
        <w:rPr>
          <w:rFonts w:ascii="Times New Roman"/>
        </w:rPr>
        <w:t>切碎</w:t>
      </w:r>
      <w:r w:rsidR="00233D41" w:rsidRPr="00FE417F">
        <w:rPr>
          <w:rFonts w:ascii="Times New Roman"/>
        </w:rPr>
        <w:t>长度</w:t>
      </w:r>
      <w:r w:rsidR="00233D41" w:rsidRPr="00FE417F">
        <w:rPr>
          <w:rFonts w:ascii="Times New Roman"/>
        </w:rPr>
        <w:t>1</w:t>
      </w:r>
      <w:r w:rsidR="00AC1074" w:rsidRPr="00FE417F">
        <w:rPr>
          <w:rFonts w:ascii="Times New Roman"/>
        </w:rPr>
        <w:t> </w:t>
      </w:r>
      <w:r w:rsidR="00233D41" w:rsidRPr="00FE417F">
        <w:rPr>
          <w:rFonts w:ascii="Times New Roman"/>
        </w:rPr>
        <w:t>cm</w:t>
      </w:r>
      <w:r w:rsidR="00233D41" w:rsidRPr="00FE417F">
        <w:rPr>
          <w:rFonts w:ascii="Times New Roman"/>
        </w:rPr>
        <w:t>～</w:t>
      </w:r>
      <w:r w:rsidR="00233D41" w:rsidRPr="00FE417F">
        <w:rPr>
          <w:rFonts w:ascii="Times New Roman"/>
        </w:rPr>
        <w:t>2</w:t>
      </w:r>
      <w:r w:rsidR="00AC1074" w:rsidRPr="00FE417F">
        <w:rPr>
          <w:rFonts w:ascii="Times New Roman"/>
        </w:rPr>
        <w:t> </w:t>
      </w:r>
      <w:r w:rsidR="00233D41" w:rsidRPr="00FE417F">
        <w:rPr>
          <w:rFonts w:ascii="Times New Roman"/>
        </w:rPr>
        <w:t>cm</w:t>
      </w:r>
      <w:bookmarkEnd w:id="115"/>
      <w:r w:rsidRPr="00FE417F">
        <w:rPr>
          <w:rFonts w:ascii="Times New Roman"/>
        </w:rPr>
        <w:t>，晾晒至含水量</w:t>
      </w:r>
      <w:r w:rsidRPr="00FE417F">
        <w:rPr>
          <w:rFonts w:ascii="Times New Roman"/>
        </w:rPr>
        <w:t>60</w:t>
      </w:r>
      <w:r w:rsidR="00FE417F">
        <w:rPr>
          <w:rFonts w:ascii="Times New Roman"/>
        </w:rPr>
        <w:t> </w:t>
      </w:r>
      <w:r w:rsidRPr="00FE417F">
        <w:rPr>
          <w:rFonts w:ascii="Times New Roman"/>
        </w:rPr>
        <w:t>%</w:t>
      </w:r>
      <w:r w:rsidR="00FE417F">
        <w:rPr>
          <w:rFonts w:ascii="Times New Roman"/>
        </w:rPr>
        <w:t> </w:t>
      </w:r>
      <w:r w:rsidRPr="00FE417F">
        <w:rPr>
          <w:rFonts w:ascii="Times New Roman"/>
        </w:rPr>
        <w:t>～</w:t>
      </w:r>
      <w:r w:rsidR="00FE417F">
        <w:rPr>
          <w:rFonts w:ascii="Times New Roman"/>
        </w:rPr>
        <w:t> </w:t>
      </w:r>
      <w:r w:rsidRPr="00FE417F">
        <w:rPr>
          <w:rFonts w:ascii="Times New Roman"/>
        </w:rPr>
        <w:t>75</w:t>
      </w:r>
      <w:r w:rsidR="00FE417F">
        <w:rPr>
          <w:rFonts w:ascii="Times New Roman"/>
        </w:rPr>
        <w:t> </w:t>
      </w:r>
      <w:r w:rsidRPr="00FE417F">
        <w:rPr>
          <w:rFonts w:ascii="Times New Roman"/>
        </w:rPr>
        <w:t>%</w:t>
      </w:r>
      <w:r w:rsidRPr="00FE417F">
        <w:rPr>
          <w:rFonts w:ascii="Times New Roman"/>
        </w:rPr>
        <w:t>为宜。</w:t>
      </w:r>
    </w:p>
    <w:p w14:paraId="7F0A2CF7" w14:textId="565F68CB" w:rsidR="00233D41" w:rsidRPr="00FE417F" w:rsidRDefault="004D278A" w:rsidP="00FE417F">
      <w:pPr>
        <w:pStyle w:val="affffffffe"/>
        <w:spacing w:line="400" w:lineRule="exact"/>
        <w:rPr>
          <w:rFonts w:ascii="Times New Roman"/>
        </w:rPr>
      </w:pPr>
      <w:bookmarkStart w:id="116" w:name="_Toc90885229"/>
      <w:r w:rsidRPr="00FE417F">
        <w:rPr>
          <w:rFonts w:ascii="Times New Roman"/>
        </w:rPr>
        <w:t>收获原料</w:t>
      </w:r>
      <w:r w:rsidR="00233D41" w:rsidRPr="00FE417F">
        <w:rPr>
          <w:rFonts w:ascii="Times New Roman"/>
        </w:rPr>
        <w:t>从收获到青贮，时间不得超过</w:t>
      </w:r>
      <w:r w:rsidR="00233D41" w:rsidRPr="00FE417F">
        <w:rPr>
          <w:rFonts w:ascii="Times New Roman"/>
        </w:rPr>
        <w:t>12</w:t>
      </w:r>
      <w:r w:rsidR="00AC1074" w:rsidRPr="00FE417F">
        <w:rPr>
          <w:rFonts w:ascii="Times New Roman"/>
        </w:rPr>
        <w:t> </w:t>
      </w:r>
      <w:r w:rsidR="00233D41" w:rsidRPr="00FE417F">
        <w:rPr>
          <w:rFonts w:ascii="Times New Roman"/>
        </w:rPr>
        <w:t>h</w:t>
      </w:r>
      <w:r w:rsidR="00233D41" w:rsidRPr="00FE417F">
        <w:rPr>
          <w:rFonts w:ascii="Times New Roman"/>
        </w:rPr>
        <w:t>。</w:t>
      </w:r>
      <w:bookmarkEnd w:id="116"/>
    </w:p>
    <w:p w14:paraId="7174F16F" w14:textId="67FFA68C" w:rsidR="004D278A" w:rsidRPr="00FE417F" w:rsidRDefault="00307A7C" w:rsidP="00FE417F">
      <w:pPr>
        <w:pStyle w:val="affffffffe"/>
        <w:spacing w:line="400" w:lineRule="exact"/>
        <w:rPr>
          <w:rFonts w:ascii="Times New Roman"/>
        </w:rPr>
      </w:pPr>
      <w:bookmarkStart w:id="117" w:name="_Toc90885228"/>
      <w:r w:rsidRPr="00FE417F">
        <w:rPr>
          <w:rFonts w:ascii="Times New Roman"/>
        </w:rPr>
        <w:t>切</w:t>
      </w:r>
      <w:r w:rsidR="0068211E" w:rsidRPr="00FE417F">
        <w:rPr>
          <w:rFonts w:ascii="Times New Roman"/>
        </w:rPr>
        <w:t>碎作业不得带入泥土</w:t>
      </w:r>
      <w:r w:rsidR="004D278A" w:rsidRPr="00FE417F">
        <w:rPr>
          <w:rFonts w:ascii="Times New Roman"/>
        </w:rPr>
        <w:t>等杂物。</w:t>
      </w:r>
      <w:bookmarkEnd w:id="117"/>
    </w:p>
    <w:p w14:paraId="32994464" w14:textId="194DF046" w:rsidR="00233D41" w:rsidRPr="00A37B52" w:rsidRDefault="00233D41" w:rsidP="00233D41">
      <w:pPr>
        <w:pStyle w:val="affc"/>
        <w:spacing w:before="240" w:after="240"/>
      </w:pPr>
      <w:bookmarkStart w:id="118" w:name="_Toc90885235"/>
      <w:bookmarkStart w:id="119" w:name="_Toc90966834"/>
      <w:bookmarkStart w:id="120" w:name="_Toc177050081"/>
      <w:bookmarkStart w:id="121" w:name="_Toc177050107"/>
      <w:bookmarkStart w:id="122" w:name="_Toc177050128"/>
      <w:bookmarkStart w:id="123" w:name="_Toc177050151"/>
      <w:r w:rsidRPr="00A37B52">
        <w:rPr>
          <w:rFonts w:hint="eastAsia"/>
        </w:rPr>
        <w:t>拌料</w:t>
      </w:r>
      <w:bookmarkEnd w:id="118"/>
      <w:bookmarkEnd w:id="119"/>
      <w:bookmarkEnd w:id="120"/>
      <w:bookmarkEnd w:id="121"/>
      <w:bookmarkEnd w:id="122"/>
      <w:bookmarkEnd w:id="123"/>
    </w:p>
    <w:p w14:paraId="1A104DDA" w14:textId="5012F784" w:rsidR="004F1E68" w:rsidRPr="00FE417F" w:rsidRDefault="00233D41" w:rsidP="00FE417F">
      <w:pPr>
        <w:pStyle w:val="affffb"/>
        <w:spacing w:line="400" w:lineRule="exact"/>
        <w:ind w:firstLine="420"/>
        <w:rPr>
          <w:rFonts w:ascii="Times New Roman"/>
        </w:rPr>
      </w:pPr>
      <w:r w:rsidRPr="00FE417F">
        <w:rPr>
          <w:rFonts w:ascii="Times New Roman"/>
        </w:rPr>
        <w:t>将</w:t>
      </w:r>
      <w:r w:rsidR="00307A7C" w:rsidRPr="00FE417F">
        <w:rPr>
          <w:rFonts w:ascii="Times New Roman"/>
        </w:rPr>
        <w:t>切碎</w:t>
      </w:r>
      <w:r w:rsidRPr="00FE417F">
        <w:rPr>
          <w:rFonts w:ascii="Times New Roman"/>
        </w:rPr>
        <w:t>后的</w:t>
      </w:r>
      <w:r w:rsidR="0068211E" w:rsidRPr="00FE417F">
        <w:rPr>
          <w:rFonts w:ascii="Times New Roman"/>
        </w:rPr>
        <w:t>木薯</w:t>
      </w:r>
      <w:r w:rsidRPr="00FE417F">
        <w:rPr>
          <w:rFonts w:ascii="Times New Roman"/>
        </w:rPr>
        <w:t>嫩茎叶与饲料添加剂一起混合均匀</w:t>
      </w:r>
      <w:r w:rsidR="00307A7C" w:rsidRPr="00FE417F">
        <w:rPr>
          <w:rFonts w:ascii="Times New Roman"/>
        </w:rPr>
        <w:t>，</w:t>
      </w:r>
      <w:r w:rsidR="004F1E68" w:rsidRPr="00FE417F">
        <w:rPr>
          <w:rFonts w:ascii="Times New Roman"/>
        </w:rPr>
        <w:t>原料含水量判定和处理方法可参考附录</w:t>
      </w:r>
      <w:r w:rsidR="00FE417F">
        <w:rPr>
          <w:rFonts w:ascii="Times New Roman"/>
        </w:rPr>
        <w:t> </w:t>
      </w:r>
      <w:r w:rsidR="004F1E68" w:rsidRPr="00FE417F">
        <w:rPr>
          <w:rFonts w:ascii="Times New Roman"/>
        </w:rPr>
        <w:t>A</w:t>
      </w:r>
      <w:r w:rsidR="00FE417F">
        <w:rPr>
          <w:rFonts w:ascii="Times New Roman"/>
        </w:rPr>
        <w:t> </w:t>
      </w:r>
      <w:r w:rsidR="004F1E68" w:rsidRPr="00FE417F">
        <w:rPr>
          <w:rFonts w:ascii="Times New Roman"/>
        </w:rPr>
        <w:t>方法处理。</w:t>
      </w:r>
    </w:p>
    <w:p w14:paraId="4AAFFF90" w14:textId="77777777" w:rsidR="00233D41" w:rsidRDefault="00233D41" w:rsidP="004F1E68">
      <w:pPr>
        <w:pStyle w:val="affc"/>
        <w:spacing w:before="240" w:after="240"/>
      </w:pPr>
      <w:bookmarkStart w:id="124" w:name="_Toc90885237"/>
      <w:bookmarkStart w:id="125" w:name="_Toc177050082"/>
      <w:bookmarkStart w:id="126" w:name="_Toc177050108"/>
      <w:bookmarkStart w:id="127" w:name="_Toc177050129"/>
      <w:bookmarkStart w:id="128" w:name="_Toc177050152"/>
      <w:r w:rsidRPr="00A37B52">
        <w:rPr>
          <w:rFonts w:hint="eastAsia"/>
        </w:rPr>
        <w:t>装填与压实</w:t>
      </w:r>
      <w:bookmarkEnd w:id="124"/>
      <w:bookmarkEnd w:id="125"/>
      <w:bookmarkEnd w:id="126"/>
      <w:bookmarkEnd w:id="127"/>
      <w:bookmarkEnd w:id="128"/>
    </w:p>
    <w:p w14:paraId="5CEC0B3B" w14:textId="77777777" w:rsidR="00233D41" w:rsidRPr="00A37B52" w:rsidRDefault="00233D41" w:rsidP="00FE417F">
      <w:pPr>
        <w:pStyle w:val="affffffffe"/>
        <w:spacing w:line="400" w:lineRule="exact"/>
      </w:pPr>
      <w:r w:rsidRPr="00A37B52">
        <w:rPr>
          <w:rFonts w:hint="eastAsia"/>
        </w:rPr>
        <w:t>原料装填时、要迅速、均一，与压实作业交替进行。填料每装一层压实一层。</w:t>
      </w:r>
    </w:p>
    <w:p w14:paraId="6677C10E" w14:textId="77777777" w:rsidR="00233D41" w:rsidRDefault="00233D41" w:rsidP="00FE417F">
      <w:pPr>
        <w:pStyle w:val="affffffffe"/>
        <w:spacing w:line="400" w:lineRule="exact"/>
      </w:pPr>
      <w:r>
        <w:rPr>
          <w:rFonts w:hint="eastAsia"/>
        </w:rPr>
        <w:t>装填压实作业不得带入外源性异物。</w:t>
      </w:r>
    </w:p>
    <w:p w14:paraId="72E07A65" w14:textId="77777777" w:rsidR="004F1E68" w:rsidRDefault="00233D41" w:rsidP="00FE417F">
      <w:pPr>
        <w:pStyle w:val="affffffffe"/>
        <w:spacing w:line="400" w:lineRule="exact"/>
      </w:pPr>
      <w:r w:rsidRPr="00A37B52">
        <w:rPr>
          <w:rFonts w:hint="eastAsia"/>
        </w:rPr>
        <w:t>原料装填时、要迅速、均一，与压实作业交替进行。</w:t>
      </w:r>
    </w:p>
    <w:p w14:paraId="70D0041B" w14:textId="77777777" w:rsidR="004F1E68" w:rsidRDefault="00233D41" w:rsidP="00FE417F">
      <w:pPr>
        <w:pStyle w:val="affffffffe"/>
        <w:spacing w:line="400" w:lineRule="exact"/>
      </w:pPr>
      <w:r w:rsidRPr="00A37B52">
        <w:rPr>
          <w:rFonts w:hint="eastAsia"/>
        </w:rPr>
        <w:t>填料每装一层压实一层。</w:t>
      </w:r>
    </w:p>
    <w:p w14:paraId="4CB28A63" w14:textId="773A7957" w:rsidR="00233D41" w:rsidRPr="00A37B52" w:rsidRDefault="00233D41" w:rsidP="00FE417F">
      <w:pPr>
        <w:pStyle w:val="affffffffe"/>
        <w:spacing w:line="400" w:lineRule="exact"/>
      </w:pPr>
      <w:r w:rsidRPr="00A37B52">
        <w:rPr>
          <w:rFonts w:hint="eastAsia"/>
        </w:rPr>
        <w:t>装填压实作业不得带入外源性异物。</w:t>
      </w:r>
    </w:p>
    <w:p w14:paraId="7873D480" w14:textId="77777777" w:rsidR="00233D41" w:rsidRPr="00A37B52" w:rsidRDefault="00233D41" w:rsidP="00233D41">
      <w:pPr>
        <w:pStyle w:val="affc"/>
        <w:spacing w:before="240" w:after="240"/>
      </w:pPr>
      <w:bookmarkStart w:id="129" w:name="_Toc90885238"/>
      <w:bookmarkStart w:id="130" w:name="_Toc90966835"/>
      <w:bookmarkStart w:id="131" w:name="_Toc177050083"/>
      <w:bookmarkStart w:id="132" w:name="_Toc177050109"/>
      <w:bookmarkStart w:id="133" w:name="_Toc177050130"/>
      <w:bookmarkStart w:id="134" w:name="_Toc177050153"/>
      <w:r w:rsidRPr="00A37B52">
        <w:rPr>
          <w:rFonts w:hint="eastAsia"/>
        </w:rPr>
        <w:t>密封</w:t>
      </w:r>
      <w:bookmarkEnd w:id="129"/>
      <w:bookmarkEnd w:id="130"/>
      <w:bookmarkEnd w:id="131"/>
      <w:bookmarkEnd w:id="132"/>
      <w:bookmarkEnd w:id="133"/>
      <w:bookmarkEnd w:id="134"/>
    </w:p>
    <w:p w14:paraId="37E44BAA" w14:textId="77777777" w:rsidR="00233D41" w:rsidRDefault="00233D41" w:rsidP="00233D41">
      <w:pPr>
        <w:pStyle w:val="affd"/>
        <w:spacing w:before="120" w:after="120"/>
      </w:pPr>
      <w:bookmarkStart w:id="135" w:name="_Toc90885240"/>
      <w:bookmarkStart w:id="136" w:name="_Toc177050084"/>
      <w:bookmarkStart w:id="137" w:name="_Toc177050110"/>
      <w:bookmarkStart w:id="138" w:name="_Toc177050154"/>
      <w:r w:rsidRPr="00A37B52">
        <w:rPr>
          <w:rFonts w:hint="eastAsia"/>
        </w:rPr>
        <w:t>水泥池青贮</w:t>
      </w:r>
      <w:bookmarkEnd w:id="135"/>
      <w:bookmarkEnd w:id="136"/>
      <w:bookmarkEnd w:id="137"/>
      <w:bookmarkEnd w:id="138"/>
    </w:p>
    <w:p w14:paraId="4C379718" w14:textId="65C70898" w:rsidR="00233D41" w:rsidRPr="00FE417F" w:rsidRDefault="00233D41" w:rsidP="00FE417F">
      <w:pPr>
        <w:pStyle w:val="affffb"/>
        <w:spacing w:line="400" w:lineRule="exact"/>
        <w:ind w:firstLine="420"/>
        <w:rPr>
          <w:rFonts w:ascii="Times New Roman"/>
        </w:rPr>
      </w:pPr>
      <w:r w:rsidRPr="00FE417F">
        <w:rPr>
          <w:rFonts w:ascii="Times New Roman"/>
        </w:rPr>
        <w:t>将混合均匀的木薯嫩茎叶及配料倒入水泥池中，每添加</w:t>
      </w:r>
      <w:r w:rsidR="00FE417F">
        <w:rPr>
          <w:rFonts w:ascii="Times New Roman"/>
        </w:rPr>
        <w:t> </w:t>
      </w:r>
      <w:r w:rsidRPr="00FE417F">
        <w:rPr>
          <w:rFonts w:ascii="Times New Roman"/>
        </w:rPr>
        <w:t>20 cm</w:t>
      </w:r>
      <w:r w:rsidR="00FE417F">
        <w:rPr>
          <w:rFonts w:ascii="Times New Roman"/>
        </w:rPr>
        <w:t> </w:t>
      </w:r>
      <w:r w:rsidRPr="00FE417F">
        <w:rPr>
          <w:rFonts w:ascii="Times New Roman"/>
        </w:rPr>
        <w:t>厚就用木板压实，直到原料堆积略高于池面，再盖上一层塑料膜密封，用泥土压实塑料膜，用沙袋盖在泥土上压实，防止漏气。</w:t>
      </w:r>
    </w:p>
    <w:p w14:paraId="0BAC417F" w14:textId="77777777" w:rsidR="00233D41" w:rsidRDefault="00233D41" w:rsidP="00233D41">
      <w:pPr>
        <w:pStyle w:val="affd"/>
        <w:spacing w:before="120" w:after="120"/>
      </w:pPr>
      <w:bookmarkStart w:id="139" w:name="_Toc90885241"/>
      <w:bookmarkStart w:id="140" w:name="_Toc177050085"/>
      <w:bookmarkStart w:id="141" w:name="_Toc177050111"/>
      <w:bookmarkStart w:id="142" w:name="_Toc177050155"/>
      <w:r w:rsidRPr="00A37B52">
        <w:rPr>
          <w:rFonts w:hint="eastAsia"/>
        </w:rPr>
        <w:t>塑料罐青贮</w:t>
      </w:r>
      <w:bookmarkEnd w:id="139"/>
      <w:bookmarkEnd w:id="140"/>
      <w:bookmarkEnd w:id="141"/>
      <w:bookmarkEnd w:id="142"/>
    </w:p>
    <w:p w14:paraId="6A596D71" w14:textId="3465903B" w:rsidR="00233D41" w:rsidRPr="00FE417F" w:rsidRDefault="00233D41" w:rsidP="00FE417F">
      <w:pPr>
        <w:pStyle w:val="affffb"/>
        <w:spacing w:line="400" w:lineRule="exact"/>
        <w:ind w:firstLine="420"/>
        <w:rPr>
          <w:rFonts w:ascii="Times New Roman"/>
        </w:rPr>
      </w:pPr>
      <w:r w:rsidRPr="00FE417F">
        <w:rPr>
          <w:rFonts w:ascii="Times New Roman"/>
        </w:rPr>
        <w:t>将混合均匀的木薯嫩茎叶及配料倒入塑料罐中，每添加</w:t>
      </w:r>
      <w:r w:rsidR="00FE417F">
        <w:rPr>
          <w:rFonts w:ascii="Times New Roman"/>
        </w:rPr>
        <w:t> </w:t>
      </w:r>
      <w:r w:rsidRPr="00FE417F">
        <w:rPr>
          <w:rFonts w:ascii="Times New Roman"/>
        </w:rPr>
        <w:t>10 cm</w:t>
      </w:r>
      <w:r w:rsidR="00FE417F">
        <w:rPr>
          <w:rFonts w:ascii="Times New Roman"/>
        </w:rPr>
        <w:t> </w:t>
      </w:r>
      <w:r w:rsidRPr="00FE417F">
        <w:rPr>
          <w:rFonts w:ascii="Times New Roman"/>
        </w:rPr>
        <w:t>厚就用压实，直到原料堆积略低于瓶口</w:t>
      </w:r>
      <w:r w:rsidR="00FE417F">
        <w:rPr>
          <w:rFonts w:ascii="Times New Roman"/>
        </w:rPr>
        <w:t> </w:t>
      </w:r>
      <w:r w:rsidRPr="00FE417F">
        <w:rPr>
          <w:rFonts w:ascii="Times New Roman"/>
        </w:rPr>
        <w:t>1 cm</w:t>
      </w:r>
      <w:r w:rsidRPr="00FE417F">
        <w:rPr>
          <w:rFonts w:ascii="Times New Roman"/>
        </w:rPr>
        <w:t>，压实，盖上一层塑料膜密封，旋紧青贮罐盖子，防止漏气。</w:t>
      </w:r>
    </w:p>
    <w:p w14:paraId="03C86CC2" w14:textId="77777777" w:rsidR="00233D41" w:rsidRDefault="00233D41" w:rsidP="00233D41">
      <w:pPr>
        <w:pStyle w:val="affd"/>
        <w:spacing w:before="120" w:after="120"/>
      </w:pPr>
      <w:bookmarkStart w:id="143" w:name="_Toc90885242"/>
      <w:bookmarkStart w:id="144" w:name="_Toc177050086"/>
      <w:bookmarkStart w:id="145" w:name="_Toc177050112"/>
      <w:bookmarkStart w:id="146" w:name="_Toc177050156"/>
      <w:r>
        <w:rPr>
          <w:rFonts w:hint="eastAsia"/>
        </w:rPr>
        <w:t>塑料</w:t>
      </w:r>
      <w:r w:rsidRPr="00A37B52">
        <w:rPr>
          <w:rFonts w:hint="eastAsia"/>
        </w:rPr>
        <w:t>袋青贮</w:t>
      </w:r>
      <w:bookmarkEnd w:id="143"/>
      <w:bookmarkEnd w:id="144"/>
      <w:bookmarkEnd w:id="145"/>
      <w:bookmarkEnd w:id="146"/>
    </w:p>
    <w:p w14:paraId="3B0106C0" w14:textId="77777777" w:rsidR="00233D41" w:rsidRDefault="00233D41" w:rsidP="00FE417F">
      <w:pPr>
        <w:pStyle w:val="affffb"/>
        <w:spacing w:line="400" w:lineRule="exact"/>
        <w:ind w:firstLine="420"/>
      </w:pPr>
      <w:r w:rsidRPr="00A37B52">
        <w:rPr>
          <w:rFonts w:hint="eastAsia"/>
        </w:rPr>
        <w:t>将混合均匀的木薯嫩茎叶及配料倒入塑料袋中，压实，扎紧接口，防止漏气。</w:t>
      </w:r>
    </w:p>
    <w:p w14:paraId="316CB709" w14:textId="77777777" w:rsidR="00233D41" w:rsidRDefault="00233D41" w:rsidP="00233D41">
      <w:pPr>
        <w:pStyle w:val="affc"/>
        <w:spacing w:before="240" w:after="240"/>
      </w:pPr>
      <w:bookmarkStart w:id="147" w:name="_Toc90885243"/>
      <w:bookmarkStart w:id="148" w:name="_Toc90966836"/>
      <w:bookmarkStart w:id="149" w:name="_Toc177050087"/>
      <w:bookmarkStart w:id="150" w:name="_Toc177050113"/>
      <w:bookmarkStart w:id="151" w:name="_Toc177050131"/>
      <w:bookmarkStart w:id="152" w:name="_Toc177050157"/>
      <w:r w:rsidRPr="00A37B52">
        <w:rPr>
          <w:rFonts w:hint="eastAsia"/>
        </w:rPr>
        <w:t>青贮管理</w:t>
      </w:r>
      <w:bookmarkEnd w:id="147"/>
      <w:bookmarkEnd w:id="148"/>
      <w:bookmarkEnd w:id="149"/>
      <w:bookmarkEnd w:id="150"/>
      <w:bookmarkEnd w:id="151"/>
      <w:bookmarkEnd w:id="152"/>
    </w:p>
    <w:p w14:paraId="32B6B275" w14:textId="3F2E3AE0" w:rsidR="00233D41" w:rsidRDefault="008B4B55" w:rsidP="00FE417F">
      <w:pPr>
        <w:pStyle w:val="affffb"/>
        <w:spacing w:line="400" w:lineRule="atLeast"/>
        <w:ind w:firstLine="420"/>
      </w:pPr>
      <w:r>
        <w:rPr>
          <w:rFonts w:hint="eastAsia"/>
        </w:rPr>
        <w:t>应</w:t>
      </w:r>
      <w:r w:rsidR="00233D41" w:rsidRPr="00A37B52">
        <w:rPr>
          <w:rFonts w:hint="eastAsia"/>
        </w:rPr>
        <w:t>经常性检查青贮池、青贮罐或青贮袋是否有裂缝、漏气和积水等，防止渗水、漏气。</w:t>
      </w:r>
    </w:p>
    <w:p w14:paraId="75D8267E" w14:textId="77777777" w:rsidR="00FE417F" w:rsidRDefault="00FE417F" w:rsidP="00FE417F">
      <w:pPr>
        <w:pStyle w:val="affffb"/>
        <w:spacing w:line="400" w:lineRule="atLeast"/>
        <w:ind w:firstLine="420"/>
      </w:pPr>
    </w:p>
    <w:p w14:paraId="121C8EA8" w14:textId="77777777" w:rsidR="00FE417F" w:rsidRDefault="00FE417F" w:rsidP="00FE417F">
      <w:pPr>
        <w:pStyle w:val="affffb"/>
        <w:spacing w:line="400" w:lineRule="atLeast"/>
        <w:ind w:firstLine="420"/>
        <w:rPr>
          <w:rFonts w:hint="eastAsia"/>
        </w:rPr>
      </w:pPr>
    </w:p>
    <w:p w14:paraId="25E8F258" w14:textId="77777777" w:rsidR="00233D41" w:rsidRPr="00A37B52" w:rsidRDefault="00233D41" w:rsidP="00233D41">
      <w:pPr>
        <w:pStyle w:val="affc"/>
        <w:spacing w:before="240" w:after="240"/>
      </w:pPr>
      <w:bookmarkStart w:id="153" w:name="_Toc90885244"/>
      <w:bookmarkStart w:id="154" w:name="_Toc90966837"/>
      <w:bookmarkStart w:id="155" w:name="_Toc177050088"/>
      <w:bookmarkStart w:id="156" w:name="_Toc177050114"/>
      <w:bookmarkStart w:id="157" w:name="_Toc177050132"/>
      <w:bookmarkStart w:id="158" w:name="_Toc177050158"/>
      <w:r w:rsidRPr="00A37B52">
        <w:rPr>
          <w:rFonts w:hint="eastAsia"/>
        </w:rPr>
        <w:lastRenderedPageBreak/>
        <w:t>取饲</w:t>
      </w:r>
      <w:bookmarkEnd w:id="153"/>
      <w:bookmarkEnd w:id="154"/>
      <w:bookmarkEnd w:id="155"/>
      <w:bookmarkEnd w:id="156"/>
      <w:bookmarkEnd w:id="157"/>
      <w:bookmarkEnd w:id="158"/>
    </w:p>
    <w:p w14:paraId="74A5EA84" w14:textId="77777777" w:rsidR="00233D41" w:rsidRPr="00FE417F" w:rsidRDefault="00233D41" w:rsidP="00FE417F">
      <w:pPr>
        <w:pStyle w:val="affffffffe"/>
        <w:spacing w:line="400" w:lineRule="exact"/>
        <w:rPr>
          <w:rFonts w:ascii="Times New Roman"/>
        </w:rPr>
      </w:pPr>
      <w:bookmarkStart w:id="159" w:name="_Toc90885245"/>
      <w:r w:rsidRPr="00FE417F">
        <w:rPr>
          <w:rFonts w:ascii="Times New Roman"/>
        </w:rPr>
        <w:t>木薯青贮时间在密封后</w:t>
      </w:r>
      <w:r w:rsidRPr="00FE417F">
        <w:rPr>
          <w:rFonts w:ascii="Times New Roman"/>
        </w:rPr>
        <w:t>30 d</w:t>
      </w:r>
      <w:r w:rsidRPr="00FE417F">
        <w:rPr>
          <w:rFonts w:ascii="Times New Roman"/>
        </w:rPr>
        <w:t>～</w:t>
      </w:r>
      <w:r w:rsidRPr="00FE417F">
        <w:rPr>
          <w:rFonts w:ascii="Times New Roman"/>
        </w:rPr>
        <w:t>60 d</w:t>
      </w:r>
      <w:r w:rsidRPr="00FE417F">
        <w:rPr>
          <w:rFonts w:ascii="Times New Roman"/>
        </w:rPr>
        <w:t>为宜。</w:t>
      </w:r>
      <w:bookmarkEnd w:id="159"/>
    </w:p>
    <w:p w14:paraId="6B95677C" w14:textId="5D96F957" w:rsidR="008B4B55" w:rsidRPr="00FE417F" w:rsidRDefault="00233D41" w:rsidP="00FE417F">
      <w:pPr>
        <w:pStyle w:val="affffffffe"/>
        <w:spacing w:line="400" w:lineRule="exact"/>
        <w:rPr>
          <w:rFonts w:ascii="Times New Roman"/>
        </w:rPr>
      </w:pPr>
      <w:bookmarkStart w:id="160" w:name="_Toc90885246"/>
      <w:r w:rsidRPr="00FE417F">
        <w:rPr>
          <w:rFonts w:ascii="Times New Roman"/>
        </w:rPr>
        <w:t>取料前，先清除青贮</w:t>
      </w:r>
      <w:r w:rsidR="00107C7A" w:rsidRPr="00FE417F">
        <w:rPr>
          <w:rFonts w:ascii="Times New Roman"/>
        </w:rPr>
        <w:t>设备的覆盖物，从一端打开，每次取用厚度不能少于</w:t>
      </w:r>
      <w:r w:rsidR="009C66E8" w:rsidRPr="00FE417F">
        <w:rPr>
          <w:rFonts w:ascii="Times New Roman"/>
        </w:rPr>
        <w:t>2</w:t>
      </w:r>
      <w:r w:rsidR="00107C7A" w:rsidRPr="00FE417F">
        <w:rPr>
          <w:rFonts w:ascii="Times New Roman"/>
        </w:rPr>
        <w:t>0</w:t>
      </w:r>
      <w:r w:rsidR="00AC1074" w:rsidRPr="00FE417F">
        <w:rPr>
          <w:rFonts w:ascii="Times New Roman"/>
        </w:rPr>
        <w:t> </w:t>
      </w:r>
      <w:r w:rsidR="00107C7A" w:rsidRPr="00FE417F">
        <w:rPr>
          <w:rFonts w:ascii="Times New Roman"/>
        </w:rPr>
        <w:t>cm</w:t>
      </w:r>
      <w:r w:rsidR="008B4B55" w:rsidRPr="00FE417F">
        <w:rPr>
          <w:rFonts w:ascii="Times New Roman"/>
        </w:rPr>
        <w:t>。</w:t>
      </w:r>
    </w:p>
    <w:p w14:paraId="1DB8F9F5" w14:textId="23F20EDF" w:rsidR="00107C7A" w:rsidRPr="00FE417F" w:rsidRDefault="008B4B55" w:rsidP="00FE417F">
      <w:pPr>
        <w:pStyle w:val="affffffffe"/>
        <w:spacing w:line="400" w:lineRule="exact"/>
        <w:rPr>
          <w:rFonts w:ascii="Times New Roman"/>
        </w:rPr>
      </w:pPr>
      <w:r w:rsidRPr="00FE417F">
        <w:rPr>
          <w:rFonts w:ascii="Times New Roman"/>
        </w:rPr>
        <w:t>根据饲喂量取用，</w:t>
      </w:r>
      <w:r w:rsidR="00107C7A" w:rsidRPr="00FE417F">
        <w:rPr>
          <w:rFonts w:ascii="Times New Roman"/>
        </w:rPr>
        <w:t>取料量以当天用完为准，每次取料后需要重新覆盖、扎紧</w:t>
      </w:r>
      <w:r w:rsidRPr="00FE417F">
        <w:rPr>
          <w:rFonts w:ascii="Times New Roman"/>
        </w:rPr>
        <w:t>，保持取用面平整</w:t>
      </w:r>
      <w:r w:rsidR="00107C7A" w:rsidRPr="00FE417F">
        <w:rPr>
          <w:rFonts w:ascii="Times New Roman"/>
        </w:rPr>
        <w:t>。</w:t>
      </w:r>
    </w:p>
    <w:p w14:paraId="52909D3E" w14:textId="77777777" w:rsidR="00233D41" w:rsidRPr="00FE417F" w:rsidRDefault="00233D41" w:rsidP="00FE417F">
      <w:pPr>
        <w:pStyle w:val="affffffffe"/>
        <w:spacing w:line="400" w:lineRule="exact"/>
        <w:rPr>
          <w:rFonts w:ascii="Times New Roman"/>
        </w:rPr>
      </w:pPr>
      <w:bookmarkStart w:id="161" w:name="_Toc90885248"/>
      <w:bookmarkEnd w:id="160"/>
      <w:r w:rsidRPr="00FE417F">
        <w:rPr>
          <w:rFonts w:ascii="Times New Roman"/>
        </w:rPr>
        <w:t>取料时防止暴晒和雨淋。</w:t>
      </w:r>
      <w:bookmarkEnd w:id="161"/>
    </w:p>
    <w:p w14:paraId="10ED25DF" w14:textId="4840F283" w:rsidR="00233D41" w:rsidRDefault="00107C7A" w:rsidP="00233D41">
      <w:pPr>
        <w:pStyle w:val="affc"/>
        <w:spacing w:before="240" w:after="240"/>
      </w:pPr>
      <w:bookmarkStart w:id="162" w:name="_Toc90885249"/>
      <w:bookmarkStart w:id="163" w:name="_Toc90966838"/>
      <w:bookmarkStart w:id="164" w:name="_Toc177050089"/>
      <w:bookmarkStart w:id="165" w:name="_Toc177050115"/>
      <w:bookmarkStart w:id="166" w:name="_Toc177050133"/>
      <w:bookmarkStart w:id="167" w:name="_Toc177050159"/>
      <w:r>
        <w:rPr>
          <w:rFonts w:hint="eastAsia"/>
        </w:rPr>
        <w:t>品质</w:t>
      </w:r>
      <w:bookmarkEnd w:id="162"/>
      <w:bookmarkEnd w:id="163"/>
      <w:r>
        <w:rPr>
          <w:rFonts w:hint="eastAsia"/>
        </w:rPr>
        <w:t>要求</w:t>
      </w:r>
      <w:bookmarkEnd w:id="164"/>
      <w:bookmarkEnd w:id="165"/>
      <w:bookmarkEnd w:id="166"/>
      <w:bookmarkEnd w:id="167"/>
    </w:p>
    <w:p w14:paraId="510B8FA0" w14:textId="63368EBD" w:rsidR="00944524" w:rsidRPr="00FE417F" w:rsidRDefault="00107C7A" w:rsidP="00FE417F">
      <w:pPr>
        <w:pStyle w:val="affffb"/>
        <w:spacing w:line="400" w:lineRule="exact"/>
        <w:ind w:firstLine="420"/>
        <w:rPr>
          <w:rFonts w:ascii="Times New Roman"/>
        </w:rPr>
      </w:pPr>
      <w:r w:rsidRPr="00FE417F">
        <w:rPr>
          <w:rFonts w:ascii="Times New Roman"/>
        </w:rPr>
        <w:t>木薯嫩茎叶青贮饲料的品质</w:t>
      </w:r>
      <w:r w:rsidR="00944524" w:rsidRPr="00FE417F">
        <w:rPr>
          <w:rFonts w:ascii="Times New Roman"/>
        </w:rPr>
        <w:t>应达到附录</w:t>
      </w:r>
      <w:r w:rsidR="00FE417F" w:rsidRPr="00FE417F">
        <w:rPr>
          <w:rFonts w:ascii="Times New Roman"/>
        </w:rPr>
        <w:t> </w:t>
      </w:r>
      <w:r w:rsidR="00944524" w:rsidRPr="00FE417F">
        <w:rPr>
          <w:rFonts w:ascii="Times New Roman"/>
        </w:rPr>
        <w:t>B</w:t>
      </w:r>
      <w:r w:rsidR="00FE417F" w:rsidRPr="00FE417F">
        <w:rPr>
          <w:rFonts w:ascii="Times New Roman"/>
        </w:rPr>
        <w:t> </w:t>
      </w:r>
      <w:r w:rsidR="00944524" w:rsidRPr="00FE417F">
        <w:rPr>
          <w:rFonts w:ascii="Times New Roman"/>
        </w:rPr>
        <w:t>的</w:t>
      </w:r>
      <w:r w:rsidRPr="00FE417F">
        <w:rPr>
          <w:rFonts w:ascii="Times New Roman"/>
        </w:rPr>
        <w:t>要求</w:t>
      </w:r>
      <w:bookmarkStart w:id="168" w:name="_Toc24711993"/>
      <w:bookmarkStart w:id="169" w:name="_Toc24712050"/>
      <w:bookmarkStart w:id="170" w:name="_Toc24712092"/>
      <w:bookmarkStart w:id="171" w:name="_Toc90966839"/>
      <w:r w:rsidR="00944524" w:rsidRPr="00FE417F">
        <w:rPr>
          <w:rFonts w:ascii="Times New Roman"/>
        </w:rPr>
        <w:t>。</w:t>
      </w:r>
    </w:p>
    <w:p w14:paraId="6DB91C09" w14:textId="4391DDAB" w:rsidR="00233D41" w:rsidRDefault="00233D41" w:rsidP="00944524">
      <w:pPr>
        <w:pStyle w:val="affc"/>
        <w:spacing w:before="240" w:after="240"/>
      </w:pPr>
      <w:bookmarkStart w:id="172" w:name="_Toc177050090"/>
      <w:bookmarkStart w:id="173" w:name="_Toc177050116"/>
      <w:bookmarkStart w:id="174" w:name="_Toc177050134"/>
      <w:bookmarkStart w:id="175" w:name="_Toc177050160"/>
      <w:r>
        <w:rPr>
          <w:rFonts w:hint="eastAsia"/>
        </w:rPr>
        <w:t>卫生</w:t>
      </w:r>
      <w:bookmarkEnd w:id="168"/>
      <w:bookmarkEnd w:id="169"/>
      <w:bookmarkEnd w:id="170"/>
      <w:bookmarkEnd w:id="171"/>
      <w:r w:rsidR="00107C7A">
        <w:rPr>
          <w:rFonts w:hint="eastAsia"/>
        </w:rPr>
        <w:t>要求</w:t>
      </w:r>
      <w:bookmarkEnd w:id="172"/>
      <w:bookmarkEnd w:id="173"/>
      <w:bookmarkEnd w:id="174"/>
      <w:bookmarkEnd w:id="175"/>
    </w:p>
    <w:p w14:paraId="7092C819" w14:textId="23A7C6CC" w:rsidR="001E34F3" w:rsidRPr="00FE417F" w:rsidRDefault="00233D41" w:rsidP="00FE417F">
      <w:pPr>
        <w:pStyle w:val="affffb"/>
        <w:spacing w:line="400" w:lineRule="exact"/>
        <w:ind w:firstLine="420"/>
        <w:rPr>
          <w:rFonts w:ascii="Times New Roman"/>
        </w:rPr>
      </w:pPr>
      <w:r w:rsidRPr="00FE417F">
        <w:rPr>
          <w:rFonts w:ascii="Times New Roman"/>
        </w:rPr>
        <w:t>木薯</w:t>
      </w:r>
      <w:r w:rsidR="00107C7A" w:rsidRPr="00FE417F">
        <w:rPr>
          <w:rFonts w:ascii="Times New Roman"/>
        </w:rPr>
        <w:t>嫩茎叶</w:t>
      </w:r>
      <w:r w:rsidRPr="00FE417F">
        <w:rPr>
          <w:rFonts w:ascii="Times New Roman"/>
        </w:rPr>
        <w:t>青贮饲料的卫生</w:t>
      </w:r>
      <w:r w:rsidR="00944524" w:rsidRPr="00FE417F">
        <w:rPr>
          <w:rFonts w:ascii="Times New Roman"/>
        </w:rPr>
        <w:t>指标</w:t>
      </w:r>
      <w:r w:rsidRPr="00FE417F">
        <w:rPr>
          <w:rFonts w:ascii="Times New Roman"/>
        </w:rPr>
        <w:t>应符合</w:t>
      </w:r>
      <w:r w:rsidR="00FE417F">
        <w:rPr>
          <w:rFonts w:ascii="Times New Roman"/>
        </w:rPr>
        <w:t> </w:t>
      </w:r>
      <w:r w:rsidRPr="00FE417F">
        <w:rPr>
          <w:rFonts w:ascii="Times New Roman"/>
        </w:rPr>
        <w:t>GB</w:t>
      </w:r>
      <w:r w:rsidR="007766F0" w:rsidRPr="00FE417F">
        <w:rPr>
          <w:rFonts w:ascii="Times New Roman"/>
        </w:rPr>
        <w:t> </w:t>
      </w:r>
      <w:r w:rsidRPr="00FE417F">
        <w:rPr>
          <w:rFonts w:ascii="Times New Roman"/>
        </w:rPr>
        <w:t>10378</w:t>
      </w:r>
      <w:r w:rsidR="00FE417F">
        <w:rPr>
          <w:rFonts w:ascii="Times New Roman"/>
        </w:rPr>
        <w:t> </w:t>
      </w:r>
      <w:r w:rsidRPr="00FE417F">
        <w:rPr>
          <w:rFonts w:ascii="Times New Roman"/>
        </w:rPr>
        <w:t>的</w:t>
      </w:r>
      <w:r w:rsidR="008B4B55" w:rsidRPr="00FE417F">
        <w:rPr>
          <w:rFonts w:ascii="Times New Roman"/>
        </w:rPr>
        <w:t>规定</w:t>
      </w:r>
      <w:r w:rsidRPr="00FE417F">
        <w:rPr>
          <w:rFonts w:ascii="Times New Roman"/>
        </w:rPr>
        <w:t>。</w:t>
      </w:r>
    </w:p>
    <w:p w14:paraId="36D59013" w14:textId="77777777" w:rsidR="007766F0" w:rsidRDefault="007766F0" w:rsidP="00A60492">
      <w:pPr>
        <w:pStyle w:val="affffb"/>
        <w:ind w:firstLine="420"/>
      </w:pPr>
    </w:p>
    <w:p w14:paraId="2D3EB6B8" w14:textId="77777777" w:rsidR="004F1E68" w:rsidRDefault="004F1E68" w:rsidP="007A5D3A">
      <w:pPr>
        <w:pStyle w:val="affffb"/>
        <w:ind w:firstLine="420"/>
        <w:sectPr w:rsidR="004F1E68" w:rsidSect="007A5D3A">
          <w:pgSz w:w="11906" w:h="16838" w:code="9"/>
          <w:pgMar w:top="1928" w:right="1134" w:bottom="1134" w:left="1134" w:header="1418" w:footer="1134" w:gutter="284"/>
          <w:pgNumType w:start="1"/>
          <w:cols w:space="425"/>
          <w:formProt w:val="0"/>
          <w:docGrid w:linePitch="312"/>
        </w:sectPr>
      </w:pPr>
    </w:p>
    <w:p w14:paraId="346C10F5" w14:textId="16E8EFAA" w:rsidR="004F1E68" w:rsidRDefault="004F1E68" w:rsidP="004F1E68">
      <w:pPr>
        <w:pStyle w:val="af8"/>
        <w:rPr>
          <w:rFonts w:hint="eastAsia"/>
          <w:vanish w:val="0"/>
        </w:rPr>
      </w:pPr>
      <w:bookmarkStart w:id="176" w:name="BookMark5"/>
      <w:bookmarkEnd w:id="26"/>
    </w:p>
    <w:p w14:paraId="013EF898" w14:textId="67D39CA8" w:rsidR="004F1E68" w:rsidRDefault="004F1E68" w:rsidP="004F1E68">
      <w:pPr>
        <w:pStyle w:val="afe"/>
        <w:rPr>
          <w:vanish w:val="0"/>
        </w:rPr>
      </w:pPr>
    </w:p>
    <w:p w14:paraId="3C2DD723" w14:textId="61BCEF65" w:rsidR="004F1E68" w:rsidRDefault="004F1E68" w:rsidP="004F1E68">
      <w:pPr>
        <w:pStyle w:val="aff3"/>
        <w:spacing w:after="120"/>
      </w:pPr>
      <w:r>
        <w:br/>
      </w:r>
      <w:bookmarkStart w:id="177" w:name="_Toc177050091"/>
      <w:bookmarkStart w:id="178" w:name="_Toc177050117"/>
      <w:bookmarkStart w:id="179" w:name="_Toc177050135"/>
      <w:bookmarkStart w:id="180" w:name="_Toc177050161"/>
      <w:r>
        <w:rPr>
          <w:rFonts w:hint="eastAsia"/>
        </w:rPr>
        <w:t>（资料性）</w:t>
      </w:r>
      <w:r>
        <w:br/>
      </w:r>
      <w:r w:rsidR="00DD5F82">
        <w:rPr>
          <w:rFonts w:hint="eastAsia"/>
        </w:rPr>
        <w:t>木薯嫩茎叶青贮饲料原料含水量</w:t>
      </w:r>
      <w:r>
        <w:rPr>
          <w:rFonts w:hint="eastAsia"/>
        </w:rPr>
        <w:t>判定和处理方法</w:t>
      </w:r>
      <w:bookmarkEnd w:id="177"/>
      <w:bookmarkEnd w:id="178"/>
      <w:bookmarkEnd w:id="179"/>
      <w:bookmarkEnd w:id="180"/>
    </w:p>
    <w:p w14:paraId="47D2F777" w14:textId="28EB4A25" w:rsidR="004F1E68" w:rsidRDefault="00DD5F82" w:rsidP="00F51F24">
      <w:pPr>
        <w:pStyle w:val="affffb"/>
        <w:ind w:firstLine="420"/>
      </w:pPr>
      <w:r>
        <w:rPr>
          <w:rFonts w:hint="eastAsia"/>
        </w:rPr>
        <w:t>木薯嫩茎叶青贮饲料原料含水量</w:t>
      </w:r>
      <w:r w:rsidR="004F1E68" w:rsidRPr="004F1E68">
        <w:rPr>
          <w:rFonts w:hint="eastAsia"/>
        </w:rPr>
        <w:t>判定和处理方法</w:t>
      </w:r>
      <w:r w:rsidR="004F1E68">
        <w:rPr>
          <w:rFonts w:hint="eastAsia"/>
        </w:rPr>
        <w:t>见表A.1.</w:t>
      </w:r>
    </w:p>
    <w:p w14:paraId="723C3A0D" w14:textId="77260B79" w:rsidR="004F1E68" w:rsidRDefault="004F1E68" w:rsidP="004F1E68">
      <w:pPr>
        <w:pStyle w:val="aff"/>
        <w:spacing w:before="120" w:after="120"/>
      </w:pPr>
      <w:r w:rsidRPr="004F1E68">
        <w:rPr>
          <w:rFonts w:hint="eastAsia"/>
        </w:rPr>
        <w:t>木薯嫩茎叶青贮饲料原料含水量的判定和处理方法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4F1E68" w:rsidRPr="00FE417F" w14:paraId="736BE3E3" w14:textId="77777777" w:rsidTr="00FE417F">
        <w:trPr>
          <w:trHeight w:val="368"/>
          <w:tblHeader/>
          <w:jc w:val="center"/>
        </w:trPr>
        <w:tc>
          <w:tcPr>
            <w:tcW w:w="3124" w:type="dxa"/>
            <w:tcBorders>
              <w:top w:val="single" w:sz="8" w:space="0" w:color="auto"/>
              <w:bottom w:val="single" w:sz="8" w:space="0" w:color="auto"/>
            </w:tcBorders>
            <w:shd w:val="clear" w:color="auto" w:fill="auto"/>
            <w:vAlign w:val="center"/>
          </w:tcPr>
          <w:p w14:paraId="12A37ECA" w14:textId="66605BF1" w:rsidR="004F1E68" w:rsidRPr="00FE417F" w:rsidRDefault="004F1E68" w:rsidP="004F1E68">
            <w:pPr>
              <w:pStyle w:val="afffffffff9"/>
              <w:rPr>
                <w:rFonts w:ascii="Times New Roman"/>
              </w:rPr>
            </w:pPr>
            <w:r w:rsidRPr="00FE417F">
              <w:rPr>
                <w:rFonts w:ascii="Times New Roman"/>
              </w:rPr>
              <w:t>水分含量</w:t>
            </w:r>
            <w:r w:rsidR="00AC1074" w:rsidRPr="00FE417F">
              <w:rPr>
                <w:rFonts w:ascii="Times New Roman"/>
              </w:rPr>
              <w:t>，</w:t>
            </w:r>
            <w:r w:rsidRPr="00FE417F">
              <w:rPr>
                <w:rFonts w:ascii="Times New Roman"/>
              </w:rPr>
              <w:t>%</w:t>
            </w:r>
          </w:p>
        </w:tc>
        <w:tc>
          <w:tcPr>
            <w:tcW w:w="3125" w:type="dxa"/>
            <w:tcBorders>
              <w:top w:val="single" w:sz="8" w:space="0" w:color="auto"/>
              <w:bottom w:val="single" w:sz="8" w:space="0" w:color="auto"/>
            </w:tcBorders>
            <w:shd w:val="clear" w:color="auto" w:fill="auto"/>
            <w:vAlign w:val="center"/>
          </w:tcPr>
          <w:p w14:paraId="2543C168" w14:textId="3EBE7ADD" w:rsidR="004F1E68" w:rsidRPr="00FE417F" w:rsidRDefault="004F1E68" w:rsidP="004F1E68">
            <w:pPr>
              <w:pStyle w:val="afffffffff9"/>
              <w:rPr>
                <w:rFonts w:ascii="Times New Roman"/>
              </w:rPr>
            </w:pPr>
            <w:r w:rsidRPr="00FE417F">
              <w:rPr>
                <w:rFonts w:ascii="Times New Roman"/>
              </w:rPr>
              <w:t>手感及样品呈现状态</w:t>
            </w:r>
          </w:p>
        </w:tc>
        <w:tc>
          <w:tcPr>
            <w:tcW w:w="3125" w:type="dxa"/>
            <w:tcBorders>
              <w:top w:val="single" w:sz="8" w:space="0" w:color="auto"/>
              <w:bottom w:val="single" w:sz="8" w:space="0" w:color="auto"/>
            </w:tcBorders>
            <w:shd w:val="clear" w:color="auto" w:fill="auto"/>
            <w:vAlign w:val="center"/>
          </w:tcPr>
          <w:p w14:paraId="335F8B33" w14:textId="2C7C4362" w:rsidR="004F1E68" w:rsidRPr="00FE417F" w:rsidRDefault="004F1E68" w:rsidP="004F1E68">
            <w:pPr>
              <w:pStyle w:val="afffffffff9"/>
              <w:rPr>
                <w:rFonts w:ascii="Times New Roman"/>
              </w:rPr>
            </w:pPr>
            <w:r w:rsidRPr="00FE417F">
              <w:rPr>
                <w:rFonts w:ascii="Times New Roman"/>
              </w:rPr>
              <w:t>处理方法</w:t>
            </w:r>
          </w:p>
        </w:tc>
      </w:tr>
      <w:tr w:rsidR="004F1E68" w:rsidRPr="00FE417F" w14:paraId="2B90F0FC" w14:textId="77777777" w:rsidTr="00FE417F">
        <w:trPr>
          <w:trHeight w:val="400"/>
          <w:jc w:val="center"/>
        </w:trPr>
        <w:tc>
          <w:tcPr>
            <w:tcW w:w="3124" w:type="dxa"/>
            <w:tcBorders>
              <w:top w:val="single" w:sz="8" w:space="0" w:color="auto"/>
            </w:tcBorders>
            <w:shd w:val="clear" w:color="auto" w:fill="auto"/>
            <w:vAlign w:val="center"/>
          </w:tcPr>
          <w:p w14:paraId="0D127CCB" w14:textId="720BBF61" w:rsidR="004F1E68" w:rsidRPr="00FE417F" w:rsidRDefault="004F1E68" w:rsidP="004F1E68">
            <w:pPr>
              <w:pStyle w:val="afffffffff9"/>
              <w:rPr>
                <w:rFonts w:ascii="Times New Roman"/>
              </w:rPr>
            </w:pPr>
            <w:r w:rsidRPr="00FE417F">
              <w:rPr>
                <w:rFonts w:ascii="Times New Roman"/>
              </w:rPr>
              <w:t>＜</w:t>
            </w:r>
            <w:r w:rsidRPr="00FE417F">
              <w:rPr>
                <w:rFonts w:ascii="Times New Roman"/>
              </w:rPr>
              <w:t>60</w:t>
            </w:r>
          </w:p>
        </w:tc>
        <w:tc>
          <w:tcPr>
            <w:tcW w:w="3125" w:type="dxa"/>
            <w:tcBorders>
              <w:top w:val="single" w:sz="8" w:space="0" w:color="auto"/>
            </w:tcBorders>
            <w:shd w:val="clear" w:color="auto" w:fill="auto"/>
            <w:vAlign w:val="center"/>
          </w:tcPr>
          <w:p w14:paraId="194A3EDB" w14:textId="47B9E0C0" w:rsidR="004F1E68" w:rsidRPr="00FE417F" w:rsidRDefault="004F1E68" w:rsidP="004F1E68">
            <w:pPr>
              <w:pStyle w:val="afffffffff9"/>
              <w:rPr>
                <w:rFonts w:ascii="Times New Roman"/>
              </w:rPr>
            </w:pPr>
            <w:r w:rsidRPr="00FE417F">
              <w:rPr>
                <w:rFonts w:ascii="Times New Roman"/>
              </w:rPr>
              <w:t>紧握混合后原料，立即散开。</w:t>
            </w:r>
          </w:p>
        </w:tc>
        <w:tc>
          <w:tcPr>
            <w:tcW w:w="3125" w:type="dxa"/>
            <w:tcBorders>
              <w:top w:val="single" w:sz="8" w:space="0" w:color="auto"/>
            </w:tcBorders>
            <w:shd w:val="clear" w:color="auto" w:fill="auto"/>
            <w:vAlign w:val="center"/>
          </w:tcPr>
          <w:p w14:paraId="505A197F" w14:textId="40F010F9" w:rsidR="004F1E68" w:rsidRPr="00FE417F" w:rsidRDefault="004F1E68" w:rsidP="004F1E68">
            <w:pPr>
              <w:pStyle w:val="afffffffff9"/>
              <w:rPr>
                <w:rFonts w:ascii="Times New Roman"/>
              </w:rPr>
            </w:pPr>
            <w:r w:rsidRPr="00FE417F">
              <w:rPr>
                <w:rFonts w:ascii="Times New Roman"/>
              </w:rPr>
              <w:t>不适合青贮，需加适量的水调节。</w:t>
            </w:r>
          </w:p>
        </w:tc>
      </w:tr>
      <w:tr w:rsidR="004F1E68" w:rsidRPr="00FE417F" w14:paraId="3F0C1927" w14:textId="77777777" w:rsidTr="00FE417F">
        <w:trPr>
          <w:trHeight w:val="414"/>
          <w:jc w:val="center"/>
        </w:trPr>
        <w:tc>
          <w:tcPr>
            <w:tcW w:w="3124" w:type="dxa"/>
            <w:shd w:val="clear" w:color="auto" w:fill="auto"/>
            <w:vAlign w:val="center"/>
          </w:tcPr>
          <w:p w14:paraId="7279B0D6" w14:textId="54C7F786" w:rsidR="004F1E68" w:rsidRPr="00FE417F" w:rsidRDefault="004F1E68" w:rsidP="004F1E68">
            <w:pPr>
              <w:pStyle w:val="afffffffff9"/>
              <w:rPr>
                <w:rFonts w:ascii="Times New Roman"/>
              </w:rPr>
            </w:pPr>
            <w:r w:rsidRPr="00FE417F">
              <w:rPr>
                <w:rFonts w:ascii="Times New Roman"/>
              </w:rPr>
              <w:t>60</w:t>
            </w:r>
            <w:r w:rsidRPr="00FE417F">
              <w:rPr>
                <w:rFonts w:ascii="Times New Roman"/>
              </w:rPr>
              <w:t>～</w:t>
            </w:r>
            <w:r w:rsidRPr="00FE417F">
              <w:rPr>
                <w:rFonts w:ascii="Times New Roman"/>
              </w:rPr>
              <w:t>70</w:t>
            </w:r>
          </w:p>
        </w:tc>
        <w:tc>
          <w:tcPr>
            <w:tcW w:w="3125" w:type="dxa"/>
            <w:shd w:val="clear" w:color="auto" w:fill="auto"/>
            <w:vAlign w:val="center"/>
          </w:tcPr>
          <w:p w14:paraId="4181F1E9" w14:textId="166FAC12" w:rsidR="004F1E68" w:rsidRPr="00FE417F" w:rsidRDefault="004F1E68" w:rsidP="004F1E68">
            <w:pPr>
              <w:pStyle w:val="afffffffff9"/>
              <w:rPr>
                <w:rFonts w:ascii="Times New Roman"/>
              </w:rPr>
            </w:pPr>
            <w:r w:rsidRPr="00FE417F">
              <w:rPr>
                <w:rFonts w:ascii="Times New Roman"/>
              </w:rPr>
              <w:t>原料散开慢，手无湿印。</w:t>
            </w:r>
          </w:p>
        </w:tc>
        <w:tc>
          <w:tcPr>
            <w:tcW w:w="3125" w:type="dxa"/>
            <w:shd w:val="clear" w:color="auto" w:fill="auto"/>
            <w:vAlign w:val="center"/>
          </w:tcPr>
          <w:p w14:paraId="312A4E56" w14:textId="5528E097" w:rsidR="004F1E68" w:rsidRPr="00FE417F" w:rsidRDefault="004F1E68" w:rsidP="004F1E68">
            <w:pPr>
              <w:pStyle w:val="afffffffff9"/>
              <w:rPr>
                <w:rFonts w:ascii="Times New Roman"/>
              </w:rPr>
            </w:pPr>
            <w:r w:rsidRPr="00FE417F">
              <w:rPr>
                <w:rFonts w:ascii="Times New Roman"/>
              </w:rPr>
              <w:t>适合青贮。</w:t>
            </w:r>
          </w:p>
        </w:tc>
      </w:tr>
      <w:tr w:rsidR="004F1E68" w:rsidRPr="00FE417F" w14:paraId="72E17ABA" w14:textId="77777777" w:rsidTr="004F1E68">
        <w:trPr>
          <w:jc w:val="center"/>
        </w:trPr>
        <w:tc>
          <w:tcPr>
            <w:tcW w:w="3124" w:type="dxa"/>
            <w:shd w:val="clear" w:color="auto" w:fill="auto"/>
            <w:vAlign w:val="center"/>
          </w:tcPr>
          <w:p w14:paraId="4E2DB3D3" w14:textId="1C3CE796" w:rsidR="004F1E68" w:rsidRPr="00FE417F" w:rsidRDefault="004F1E68" w:rsidP="004F1E68">
            <w:pPr>
              <w:pStyle w:val="afffffffff9"/>
              <w:rPr>
                <w:rFonts w:ascii="Times New Roman"/>
              </w:rPr>
            </w:pPr>
            <w:r w:rsidRPr="00FE417F">
              <w:rPr>
                <w:rFonts w:ascii="Times New Roman"/>
              </w:rPr>
              <w:t>70</w:t>
            </w:r>
            <w:r w:rsidRPr="00FE417F">
              <w:rPr>
                <w:rFonts w:ascii="Times New Roman"/>
              </w:rPr>
              <w:t>～</w:t>
            </w:r>
            <w:r w:rsidRPr="00FE417F">
              <w:rPr>
                <w:rFonts w:ascii="Times New Roman"/>
              </w:rPr>
              <w:t>75</w:t>
            </w:r>
          </w:p>
        </w:tc>
        <w:tc>
          <w:tcPr>
            <w:tcW w:w="3125" w:type="dxa"/>
            <w:shd w:val="clear" w:color="auto" w:fill="auto"/>
            <w:vAlign w:val="center"/>
          </w:tcPr>
          <w:p w14:paraId="4A588A81" w14:textId="3E822F5C" w:rsidR="004F1E68" w:rsidRPr="00FE417F" w:rsidRDefault="004F1E68" w:rsidP="004F1E68">
            <w:pPr>
              <w:pStyle w:val="afffffffff9"/>
              <w:rPr>
                <w:rFonts w:ascii="Times New Roman"/>
              </w:rPr>
            </w:pPr>
            <w:r w:rsidRPr="00FE417F">
              <w:rPr>
                <w:rFonts w:ascii="Times New Roman"/>
              </w:rPr>
              <w:t>原料保持原状，手有湿印。</w:t>
            </w:r>
          </w:p>
        </w:tc>
        <w:tc>
          <w:tcPr>
            <w:tcW w:w="3125" w:type="dxa"/>
            <w:shd w:val="clear" w:color="auto" w:fill="auto"/>
            <w:vAlign w:val="center"/>
          </w:tcPr>
          <w:p w14:paraId="41C6636F" w14:textId="2B2ED1D4" w:rsidR="004F1E68" w:rsidRPr="00FE417F" w:rsidRDefault="004F1E68" w:rsidP="004F1E68">
            <w:pPr>
              <w:pStyle w:val="afffffffff9"/>
              <w:rPr>
                <w:rFonts w:ascii="Times New Roman"/>
              </w:rPr>
            </w:pPr>
            <w:r w:rsidRPr="00FE417F">
              <w:rPr>
                <w:rFonts w:ascii="Times New Roman"/>
              </w:rPr>
              <w:t>适合青贮。</w:t>
            </w:r>
          </w:p>
        </w:tc>
      </w:tr>
      <w:tr w:rsidR="004F1E68" w:rsidRPr="00FE417F" w14:paraId="15B49C26" w14:textId="77777777" w:rsidTr="004F1E68">
        <w:trPr>
          <w:jc w:val="center"/>
        </w:trPr>
        <w:tc>
          <w:tcPr>
            <w:tcW w:w="3124" w:type="dxa"/>
            <w:shd w:val="clear" w:color="auto" w:fill="auto"/>
            <w:vAlign w:val="center"/>
          </w:tcPr>
          <w:p w14:paraId="4F2E36DE" w14:textId="3E3473F4" w:rsidR="004F1E68" w:rsidRPr="00FE417F" w:rsidRDefault="004F1E68" w:rsidP="004F1E68">
            <w:pPr>
              <w:pStyle w:val="afffffffff9"/>
              <w:rPr>
                <w:rFonts w:ascii="Times New Roman"/>
              </w:rPr>
            </w:pPr>
            <w:r w:rsidRPr="00FE417F">
              <w:rPr>
                <w:rFonts w:ascii="Times New Roman"/>
              </w:rPr>
              <w:t>＞</w:t>
            </w:r>
            <w:r w:rsidRPr="00FE417F">
              <w:rPr>
                <w:rFonts w:ascii="Times New Roman"/>
              </w:rPr>
              <w:t>75</w:t>
            </w:r>
          </w:p>
        </w:tc>
        <w:tc>
          <w:tcPr>
            <w:tcW w:w="3125" w:type="dxa"/>
            <w:shd w:val="clear" w:color="auto" w:fill="auto"/>
            <w:vAlign w:val="center"/>
          </w:tcPr>
          <w:p w14:paraId="3AFBC1E2" w14:textId="7D512B7B" w:rsidR="004F1E68" w:rsidRPr="00FE417F" w:rsidRDefault="004F1E68" w:rsidP="004F1E68">
            <w:pPr>
              <w:pStyle w:val="afffffffff9"/>
              <w:rPr>
                <w:rFonts w:ascii="Times New Roman"/>
              </w:rPr>
            </w:pPr>
            <w:r w:rsidRPr="00FE417F">
              <w:rPr>
                <w:rFonts w:ascii="Times New Roman"/>
              </w:rPr>
              <w:t>原料仍然成团不散开，且手指缝有水滴渗出。</w:t>
            </w:r>
          </w:p>
        </w:tc>
        <w:tc>
          <w:tcPr>
            <w:tcW w:w="3125" w:type="dxa"/>
            <w:shd w:val="clear" w:color="auto" w:fill="auto"/>
            <w:vAlign w:val="center"/>
          </w:tcPr>
          <w:p w14:paraId="6749CFC5" w14:textId="2DFE17B4" w:rsidR="004F1E68" w:rsidRPr="00FE417F" w:rsidRDefault="004F1E68" w:rsidP="004F1E68">
            <w:pPr>
              <w:pStyle w:val="afffffffff9"/>
              <w:rPr>
                <w:rFonts w:ascii="Times New Roman"/>
              </w:rPr>
            </w:pPr>
            <w:r w:rsidRPr="00FE417F">
              <w:rPr>
                <w:rFonts w:ascii="Times New Roman"/>
              </w:rPr>
              <w:t>不适宜青贮，需要晾干或添加少量的生灰调节原料含水量。</w:t>
            </w:r>
          </w:p>
        </w:tc>
      </w:tr>
    </w:tbl>
    <w:p w14:paraId="14231CA4" w14:textId="16E0011E" w:rsidR="004F1E68" w:rsidRDefault="004F1E68" w:rsidP="00AE437D">
      <w:pPr>
        <w:pStyle w:val="affffb"/>
        <w:ind w:firstLineChars="0" w:firstLine="0"/>
      </w:pPr>
    </w:p>
    <w:p w14:paraId="05A7B61E" w14:textId="77777777" w:rsidR="00107C7A" w:rsidRDefault="00107C7A" w:rsidP="004F1E68">
      <w:pPr>
        <w:pStyle w:val="affffb"/>
        <w:ind w:firstLine="420"/>
        <w:sectPr w:rsidR="00107C7A" w:rsidSect="004F1E68">
          <w:pgSz w:w="11906" w:h="16838" w:code="9"/>
          <w:pgMar w:top="1928" w:right="1134" w:bottom="1134" w:left="1134" w:header="1418" w:footer="1134" w:gutter="284"/>
          <w:cols w:space="425"/>
          <w:formProt w:val="0"/>
          <w:docGrid w:linePitch="312"/>
        </w:sectPr>
      </w:pPr>
    </w:p>
    <w:p w14:paraId="2A979512" w14:textId="0E023E65" w:rsidR="004F1E68" w:rsidRDefault="004F1E68" w:rsidP="00107C7A">
      <w:pPr>
        <w:pStyle w:val="af8"/>
        <w:rPr>
          <w:rFonts w:hint="eastAsia"/>
          <w:vanish w:val="0"/>
        </w:rPr>
      </w:pPr>
    </w:p>
    <w:p w14:paraId="07206397" w14:textId="0099427E" w:rsidR="00107C7A" w:rsidRDefault="00107C7A" w:rsidP="00107C7A">
      <w:pPr>
        <w:pStyle w:val="afe"/>
        <w:rPr>
          <w:vanish w:val="0"/>
        </w:rPr>
      </w:pPr>
    </w:p>
    <w:p w14:paraId="5CA15B15" w14:textId="361E604C" w:rsidR="00944524" w:rsidRDefault="00107C7A" w:rsidP="00944524">
      <w:pPr>
        <w:pStyle w:val="aff3"/>
        <w:spacing w:after="120"/>
      </w:pPr>
      <w:r>
        <w:br/>
      </w:r>
      <w:bookmarkStart w:id="181" w:name="_Toc177050092"/>
      <w:bookmarkStart w:id="182" w:name="_Toc177050118"/>
      <w:bookmarkStart w:id="183" w:name="_Toc177050136"/>
      <w:bookmarkStart w:id="184" w:name="_Toc177050162"/>
      <w:r>
        <w:rPr>
          <w:rFonts w:hint="eastAsia"/>
        </w:rPr>
        <w:t>（资料性）</w:t>
      </w:r>
      <w:r>
        <w:br/>
      </w:r>
      <w:r>
        <w:rPr>
          <w:rFonts w:hint="eastAsia"/>
        </w:rPr>
        <w:t>木薯</w:t>
      </w:r>
      <w:r w:rsidR="00944524">
        <w:rPr>
          <w:rFonts w:hint="eastAsia"/>
        </w:rPr>
        <w:t>嫩茎叶青贮饲料</w:t>
      </w:r>
      <w:r w:rsidR="00F51F24">
        <w:rPr>
          <w:rFonts w:hint="eastAsia"/>
        </w:rPr>
        <w:t>品质</w:t>
      </w:r>
      <w:r>
        <w:rPr>
          <w:rFonts w:hint="eastAsia"/>
        </w:rPr>
        <w:t>要求</w:t>
      </w:r>
      <w:bookmarkStart w:id="185" w:name="_Toc90885251"/>
      <w:bookmarkEnd w:id="181"/>
      <w:bookmarkEnd w:id="182"/>
      <w:bookmarkEnd w:id="183"/>
      <w:bookmarkEnd w:id="184"/>
    </w:p>
    <w:p w14:paraId="60CF0BBE" w14:textId="35302E8A" w:rsidR="00107C7A" w:rsidRDefault="00107C7A" w:rsidP="00944524">
      <w:pPr>
        <w:pStyle w:val="affffffffff9"/>
      </w:pPr>
      <w:r w:rsidRPr="00574B06">
        <w:rPr>
          <w:rFonts w:hint="eastAsia"/>
        </w:rPr>
        <w:t>感官</w:t>
      </w:r>
      <w:r>
        <w:rPr>
          <w:rFonts w:hint="eastAsia"/>
        </w:rPr>
        <w:t>品质</w:t>
      </w:r>
      <w:bookmarkEnd w:id="185"/>
    </w:p>
    <w:p w14:paraId="02026293" w14:textId="101ED246" w:rsidR="00107C7A" w:rsidRDefault="00107C7A" w:rsidP="00107C7A">
      <w:pPr>
        <w:pStyle w:val="affffb"/>
        <w:ind w:firstLine="420"/>
      </w:pPr>
      <w:r w:rsidRPr="00574B06">
        <w:rPr>
          <w:rFonts w:hint="eastAsia"/>
        </w:rPr>
        <w:t>通过感官对木薯青贮饲料的颜色、香气、质地等指标进行检定。青贮饲料的感官评价按表</w:t>
      </w:r>
      <w:r w:rsidR="00944524">
        <w:rPr>
          <w:rFonts w:hint="eastAsia"/>
        </w:rPr>
        <w:t>B.</w:t>
      </w:r>
      <w:r w:rsidRPr="00574B06">
        <w:rPr>
          <w:rFonts w:hint="eastAsia"/>
        </w:rPr>
        <w:t>1进行。</w:t>
      </w:r>
    </w:p>
    <w:p w14:paraId="308C601E" w14:textId="77777777" w:rsidR="00107C7A" w:rsidRPr="00574B06" w:rsidRDefault="00107C7A" w:rsidP="00944524">
      <w:pPr>
        <w:pStyle w:val="aff"/>
        <w:spacing w:before="120" w:after="120"/>
      </w:pPr>
      <w:r w:rsidRPr="00574B06">
        <w:rPr>
          <w:rFonts w:hint="eastAsia"/>
        </w:rPr>
        <w:t>木薯青贮饲料感官评价标准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gridCol w:w="2343"/>
        <w:gridCol w:w="2344"/>
      </w:tblGrid>
      <w:tr w:rsidR="00107C7A" w14:paraId="0FF92786" w14:textId="77777777" w:rsidTr="00083018">
        <w:trPr>
          <w:trHeight w:val="284"/>
          <w:tblHeader/>
          <w:jc w:val="center"/>
        </w:trPr>
        <w:tc>
          <w:tcPr>
            <w:tcW w:w="2343" w:type="dxa"/>
            <w:tcBorders>
              <w:top w:val="single" w:sz="8" w:space="0" w:color="auto"/>
              <w:bottom w:val="single" w:sz="8" w:space="0" w:color="auto"/>
            </w:tcBorders>
            <w:shd w:val="clear" w:color="auto" w:fill="auto"/>
            <w:vAlign w:val="center"/>
          </w:tcPr>
          <w:p w14:paraId="14503A04" w14:textId="77777777" w:rsidR="00107C7A" w:rsidRPr="00B5056A" w:rsidRDefault="00107C7A" w:rsidP="00AE437D">
            <w:pPr>
              <w:pStyle w:val="afffffffff9"/>
            </w:pPr>
            <w:r w:rsidRPr="00B5056A">
              <w:rPr>
                <w:rFonts w:hint="eastAsia"/>
              </w:rPr>
              <w:t>项目</w:t>
            </w:r>
          </w:p>
        </w:tc>
        <w:tc>
          <w:tcPr>
            <w:tcW w:w="2344" w:type="dxa"/>
            <w:tcBorders>
              <w:top w:val="single" w:sz="8" w:space="0" w:color="auto"/>
              <w:bottom w:val="single" w:sz="8" w:space="0" w:color="auto"/>
            </w:tcBorders>
            <w:shd w:val="clear" w:color="auto" w:fill="auto"/>
            <w:vAlign w:val="center"/>
          </w:tcPr>
          <w:p w14:paraId="64CE7122" w14:textId="77777777" w:rsidR="00107C7A" w:rsidRPr="00B5056A" w:rsidRDefault="00107C7A" w:rsidP="00AE437D">
            <w:pPr>
              <w:pStyle w:val="afffffffff9"/>
            </w:pPr>
            <w:r w:rsidRPr="00B5056A">
              <w:rPr>
                <w:rFonts w:hint="eastAsia"/>
              </w:rPr>
              <w:t>优等</w:t>
            </w:r>
          </w:p>
        </w:tc>
        <w:tc>
          <w:tcPr>
            <w:tcW w:w="2343" w:type="dxa"/>
            <w:tcBorders>
              <w:top w:val="single" w:sz="8" w:space="0" w:color="auto"/>
              <w:bottom w:val="single" w:sz="8" w:space="0" w:color="auto"/>
            </w:tcBorders>
            <w:shd w:val="clear" w:color="auto" w:fill="auto"/>
            <w:vAlign w:val="center"/>
          </w:tcPr>
          <w:p w14:paraId="5ED722B4" w14:textId="77777777" w:rsidR="00107C7A" w:rsidRPr="00B5056A" w:rsidRDefault="00107C7A" w:rsidP="00AE437D">
            <w:pPr>
              <w:pStyle w:val="afffffffff9"/>
            </w:pPr>
            <w:r w:rsidRPr="00B5056A">
              <w:rPr>
                <w:rFonts w:hint="eastAsia"/>
              </w:rPr>
              <w:t>中等</w:t>
            </w:r>
          </w:p>
        </w:tc>
        <w:tc>
          <w:tcPr>
            <w:tcW w:w="2344" w:type="dxa"/>
            <w:tcBorders>
              <w:top w:val="single" w:sz="8" w:space="0" w:color="auto"/>
              <w:bottom w:val="single" w:sz="8" w:space="0" w:color="auto"/>
            </w:tcBorders>
            <w:shd w:val="clear" w:color="auto" w:fill="auto"/>
            <w:vAlign w:val="center"/>
          </w:tcPr>
          <w:p w14:paraId="7E5B4F2B" w14:textId="77777777" w:rsidR="00107C7A" w:rsidRPr="00B5056A" w:rsidRDefault="00107C7A" w:rsidP="00AE437D">
            <w:pPr>
              <w:pStyle w:val="afffffffff9"/>
            </w:pPr>
            <w:r w:rsidRPr="00B5056A">
              <w:rPr>
                <w:rFonts w:hint="eastAsia"/>
              </w:rPr>
              <w:t>劣等</w:t>
            </w:r>
          </w:p>
        </w:tc>
      </w:tr>
      <w:tr w:rsidR="00107C7A" w14:paraId="6D7D204A" w14:textId="77777777" w:rsidTr="00083018">
        <w:trPr>
          <w:trHeight w:val="284"/>
          <w:jc w:val="center"/>
        </w:trPr>
        <w:tc>
          <w:tcPr>
            <w:tcW w:w="2343" w:type="dxa"/>
            <w:tcBorders>
              <w:top w:val="single" w:sz="8" w:space="0" w:color="auto"/>
            </w:tcBorders>
            <w:shd w:val="clear" w:color="auto" w:fill="auto"/>
            <w:vAlign w:val="center"/>
          </w:tcPr>
          <w:p w14:paraId="646DFFBE" w14:textId="77777777" w:rsidR="00107C7A" w:rsidRPr="00B5056A" w:rsidRDefault="00107C7A" w:rsidP="00AE437D">
            <w:pPr>
              <w:pStyle w:val="afffffffff9"/>
            </w:pPr>
            <w:r w:rsidRPr="00B5056A">
              <w:rPr>
                <w:rFonts w:hint="eastAsia"/>
              </w:rPr>
              <w:t>颜色</w:t>
            </w:r>
          </w:p>
        </w:tc>
        <w:tc>
          <w:tcPr>
            <w:tcW w:w="2344" w:type="dxa"/>
            <w:tcBorders>
              <w:top w:val="single" w:sz="8" w:space="0" w:color="auto"/>
            </w:tcBorders>
            <w:shd w:val="clear" w:color="auto" w:fill="auto"/>
            <w:vAlign w:val="center"/>
          </w:tcPr>
          <w:p w14:paraId="6AF90179" w14:textId="77777777" w:rsidR="00107C7A" w:rsidRPr="00B5056A" w:rsidRDefault="00107C7A" w:rsidP="00AE437D">
            <w:pPr>
              <w:pStyle w:val="afffffffff9"/>
            </w:pPr>
            <w:r w:rsidRPr="00B5056A">
              <w:rPr>
                <w:rFonts w:hint="eastAsia"/>
              </w:rPr>
              <w:t>青绿或黄绿色</w:t>
            </w:r>
          </w:p>
        </w:tc>
        <w:tc>
          <w:tcPr>
            <w:tcW w:w="2343" w:type="dxa"/>
            <w:tcBorders>
              <w:top w:val="single" w:sz="8" w:space="0" w:color="auto"/>
            </w:tcBorders>
            <w:shd w:val="clear" w:color="auto" w:fill="auto"/>
            <w:vAlign w:val="center"/>
          </w:tcPr>
          <w:p w14:paraId="6DBA7CE9" w14:textId="77777777" w:rsidR="00107C7A" w:rsidRPr="00B5056A" w:rsidRDefault="00107C7A" w:rsidP="00AE437D">
            <w:pPr>
              <w:pStyle w:val="afffffffff9"/>
            </w:pPr>
            <w:r w:rsidRPr="00B5056A">
              <w:rPr>
                <w:rFonts w:hint="eastAsia"/>
              </w:rPr>
              <w:t>黄褐色或暗褐色</w:t>
            </w:r>
          </w:p>
        </w:tc>
        <w:tc>
          <w:tcPr>
            <w:tcW w:w="2344" w:type="dxa"/>
            <w:tcBorders>
              <w:top w:val="single" w:sz="8" w:space="0" w:color="auto"/>
            </w:tcBorders>
            <w:shd w:val="clear" w:color="auto" w:fill="auto"/>
            <w:vAlign w:val="center"/>
          </w:tcPr>
          <w:p w14:paraId="2656DD86" w14:textId="77777777" w:rsidR="00107C7A" w:rsidRPr="00B5056A" w:rsidRDefault="00107C7A" w:rsidP="00AE437D">
            <w:pPr>
              <w:pStyle w:val="afffffffff9"/>
            </w:pPr>
            <w:r w:rsidRPr="00B5056A">
              <w:rPr>
                <w:rFonts w:hint="eastAsia"/>
              </w:rPr>
              <w:t>褐色、黑色或墨绿色</w:t>
            </w:r>
          </w:p>
        </w:tc>
      </w:tr>
      <w:tr w:rsidR="00107C7A" w14:paraId="72E56C06" w14:textId="77777777" w:rsidTr="00083018">
        <w:trPr>
          <w:trHeight w:val="284"/>
          <w:jc w:val="center"/>
        </w:trPr>
        <w:tc>
          <w:tcPr>
            <w:tcW w:w="2343" w:type="dxa"/>
            <w:shd w:val="clear" w:color="auto" w:fill="auto"/>
            <w:vAlign w:val="center"/>
          </w:tcPr>
          <w:p w14:paraId="744CA314" w14:textId="77777777" w:rsidR="00107C7A" w:rsidRPr="00B5056A" w:rsidRDefault="00107C7A" w:rsidP="00AE437D">
            <w:pPr>
              <w:pStyle w:val="afffffffff9"/>
            </w:pPr>
            <w:r w:rsidRPr="00B5056A">
              <w:rPr>
                <w:rFonts w:hint="eastAsia"/>
              </w:rPr>
              <w:t>气味</w:t>
            </w:r>
          </w:p>
        </w:tc>
        <w:tc>
          <w:tcPr>
            <w:tcW w:w="2344" w:type="dxa"/>
            <w:shd w:val="clear" w:color="auto" w:fill="auto"/>
            <w:vAlign w:val="center"/>
          </w:tcPr>
          <w:p w14:paraId="3B191B32" w14:textId="77777777" w:rsidR="00107C7A" w:rsidRPr="00B5056A" w:rsidRDefault="00107C7A" w:rsidP="00AE437D">
            <w:pPr>
              <w:pStyle w:val="afffffffff9"/>
            </w:pPr>
            <w:r w:rsidRPr="00B5056A">
              <w:rPr>
                <w:rFonts w:hint="eastAsia"/>
              </w:rPr>
              <w:t>芳香酒酸</w:t>
            </w:r>
            <w:r>
              <w:rPr>
                <w:rFonts w:hint="eastAsia"/>
              </w:rPr>
              <w:t>味</w:t>
            </w:r>
            <w:r w:rsidRPr="00B5056A">
              <w:rPr>
                <w:rFonts w:hint="eastAsia"/>
              </w:rPr>
              <w:t>、面包香味</w:t>
            </w:r>
          </w:p>
        </w:tc>
        <w:tc>
          <w:tcPr>
            <w:tcW w:w="2343" w:type="dxa"/>
            <w:shd w:val="clear" w:color="auto" w:fill="auto"/>
            <w:vAlign w:val="center"/>
          </w:tcPr>
          <w:p w14:paraId="4D351A6A" w14:textId="77777777" w:rsidR="00107C7A" w:rsidRPr="00B5056A" w:rsidRDefault="00107C7A" w:rsidP="00AE437D">
            <w:pPr>
              <w:pStyle w:val="afffffffff9"/>
            </w:pPr>
            <w:r w:rsidRPr="00B5056A">
              <w:rPr>
                <w:rFonts w:hint="eastAsia"/>
              </w:rPr>
              <w:t>较强的酸味、芳香味</w:t>
            </w:r>
          </w:p>
        </w:tc>
        <w:tc>
          <w:tcPr>
            <w:tcW w:w="2344" w:type="dxa"/>
            <w:shd w:val="clear" w:color="auto" w:fill="auto"/>
            <w:vAlign w:val="center"/>
          </w:tcPr>
          <w:p w14:paraId="094338C4" w14:textId="77777777" w:rsidR="00107C7A" w:rsidRPr="00B5056A" w:rsidRDefault="00107C7A" w:rsidP="00AE437D">
            <w:pPr>
              <w:pStyle w:val="afffffffff9"/>
            </w:pPr>
            <w:r w:rsidRPr="00B5056A">
              <w:rPr>
                <w:rFonts w:hint="eastAsia"/>
              </w:rPr>
              <w:t>霉烂味</w:t>
            </w:r>
            <w:r>
              <w:rPr>
                <w:rFonts w:hint="eastAsia"/>
              </w:rPr>
              <w:t>或刺鼻</w:t>
            </w:r>
            <w:r w:rsidRPr="00B5056A">
              <w:rPr>
                <w:rFonts w:hint="eastAsia"/>
              </w:rPr>
              <w:t>腐败味</w:t>
            </w:r>
          </w:p>
        </w:tc>
      </w:tr>
      <w:tr w:rsidR="00107C7A" w14:paraId="7D8C3467" w14:textId="77777777" w:rsidTr="00083018">
        <w:trPr>
          <w:trHeight w:val="284"/>
          <w:jc w:val="center"/>
        </w:trPr>
        <w:tc>
          <w:tcPr>
            <w:tcW w:w="2343" w:type="dxa"/>
            <w:shd w:val="clear" w:color="auto" w:fill="auto"/>
            <w:vAlign w:val="center"/>
          </w:tcPr>
          <w:p w14:paraId="666E248E" w14:textId="77777777" w:rsidR="00107C7A" w:rsidRPr="00B5056A" w:rsidRDefault="00107C7A" w:rsidP="00AE437D">
            <w:pPr>
              <w:pStyle w:val="afffffffff9"/>
            </w:pPr>
            <w:r w:rsidRPr="00B5056A">
              <w:rPr>
                <w:rFonts w:hint="eastAsia"/>
              </w:rPr>
              <w:t>质地</w:t>
            </w:r>
          </w:p>
        </w:tc>
        <w:tc>
          <w:tcPr>
            <w:tcW w:w="2344" w:type="dxa"/>
            <w:shd w:val="clear" w:color="auto" w:fill="auto"/>
            <w:vAlign w:val="center"/>
          </w:tcPr>
          <w:p w14:paraId="2A7D3786" w14:textId="77777777" w:rsidR="00107C7A" w:rsidRPr="00B5056A" w:rsidRDefault="00107C7A" w:rsidP="00AE437D">
            <w:pPr>
              <w:pStyle w:val="afffffffff9"/>
            </w:pPr>
            <w:r w:rsidRPr="00B5056A">
              <w:rPr>
                <w:rFonts w:hint="eastAsia"/>
              </w:rPr>
              <w:t>湿润、松散柔软，茎叶结构保持良好。</w:t>
            </w:r>
          </w:p>
        </w:tc>
        <w:tc>
          <w:tcPr>
            <w:tcW w:w="2343" w:type="dxa"/>
            <w:shd w:val="clear" w:color="auto" w:fill="auto"/>
            <w:vAlign w:val="center"/>
          </w:tcPr>
          <w:p w14:paraId="20C7E4A7" w14:textId="77777777" w:rsidR="00107C7A" w:rsidRPr="00B5056A" w:rsidRDefault="00107C7A" w:rsidP="00AE437D">
            <w:pPr>
              <w:pStyle w:val="afffffffff9"/>
            </w:pPr>
            <w:r w:rsidRPr="00B5056A">
              <w:rPr>
                <w:rFonts w:hint="eastAsia"/>
              </w:rPr>
              <w:t>柔软，茎叶结构保持较差。</w:t>
            </w:r>
          </w:p>
        </w:tc>
        <w:tc>
          <w:tcPr>
            <w:tcW w:w="2344" w:type="dxa"/>
            <w:shd w:val="clear" w:color="auto" w:fill="auto"/>
            <w:vAlign w:val="center"/>
          </w:tcPr>
          <w:p w14:paraId="2F9B8D65" w14:textId="77777777" w:rsidR="00107C7A" w:rsidRPr="00B5056A" w:rsidRDefault="00107C7A" w:rsidP="00AE437D">
            <w:pPr>
              <w:pStyle w:val="afffffffff9"/>
            </w:pPr>
            <w:r w:rsidRPr="00B5056A">
              <w:rPr>
                <w:rFonts w:hint="eastAsia"/>
              </w:rPr>
              <w:t>干燥松散或结块、发粘、腐烂，茎叶结构保持极差。</w:t>
            </w:r>
          </w:p>
        </w:tc>
      </w:tr>
    </w:tbl>
    <w:p w14:paraId="06C35606" w14:textId="226B3AD4" w:rsidR="00107C7A" w:rsidRDefault="00107C7A" w:rsidP="00944524">
      <w:pPr>
        <w:pStyle w:val="affffffffff9"/>
      </w:pPr>
      <w:bookmarkStart w:id="186" w:name="_Toc90885252"/>
      <w:r>
        <w:rPr>
          <w:rFonts w:hint="eastAsia"/>
        </w:rPr>
        <w:t>理化</w:t>
      </w:r>
      <w:r w:rsidR="00944524">
        <w:rPr>
          <w:rFonts w:hint="eastAsia"/>
        </w:rPr>
        <w:t>指标</w:t>
      </w:r>
      <w:bookmarkEnd w:id="186"/>
      <w:r w:rsidR="00F51F24">
        <w:rPr>
          <w:rFonts w:hint="eastAsia"/>
        </w:rPr>
        <w:t>要求</w:t>
      </w:r>
    </w:p>
    <w:p w14:paraId="67BE2EAF" w14:textId="44407263" w:rsidR="00F51F24" w:rsidRPr="00F51F24" w:rsidRDefault="00F51F24" w:rsidP="00F51F24">
      <w:pPr>
        <w:pStyle w:val="affffb"/>
        <w:ind w:firstLine="420"/>
      </w:pPr>
      <w:r>
        <w:rPr>
          <w:rFonts w:hint="eastAsia"/>
        </w:rPr>
        <w:t>木薯嫩茎叶青贮饲料理化指标见表B.2.</w:t>
      </w:r>
    </w:p>
    <w:p w14:paraId="524E7824" w14:textId="06BCA372" w:rsidR="00107C7A" w:rsidRPr="004C6167" w:rsidRDefault="00107C7A" w:rsidP="00944524">
      <w:pPr>
        <w:pStyle w:val="aff"/>
        <w:spacing w:before="120" w:after="120"/>
      </w:pPr>
      <w:r w:rsidRPr="004C6167">
        <w:rPr>
          <w:rFonts w:hint="eastAsia"/>
        </w:rPr>
        <w:t>木薯</w:t>
      </w:r>
      <w:r w:rsidR="00944524">
        <w:rPr>
          <w:rFonts w:hint="eastAsia"/>
        </w:rPr>
        <w:t>嫩茎叶</w:t>
      </w:r>
      <w:r w:rsidRPr="004C6167">
        <w:rPr>
          <w:rFonts w:hint="eastAsia"/>
        </w:rPr>
        <w:t>青贮饲料</w:t>
      </w:r>
      <w:r w:rsidR="00944524">
        <w:rPr>
          <w:rFonts w:hint="eastAsia"/>
        </w:rPr>
        <w:t>理化指标</w:t>
      </w:r>
      <w:r w:rsidR="00F51F24">
        <w:rPr>
          <w:rFonts w:hint="eastAsia"/>
        </w:rPr>
        <w:t>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68"/>
        <w:gridCol w:w="3068"/>
        <w:gridCol w:w="3068"/>
      </w:tblGrid>
      <w:tr w:rsidR="00944524" w14:paraId="5C2429E8" w14:textId="77777777" w:rsidTr="00083018">
        <w:trPr>
          <w:trHeight w:val="406"/>
          <w:tblHeader/>
          <w:jc w:val="center"/>
        </w:trPr>
        <w:tc>
          <w:tcPr>
            <w:tcW w:w="3068" w:type="dxa"/>
            <w:tcBorders>
              <w:top w:val="single" w:sz="8" w:space="0" w:color="auto"/>
              <w:bottom w:val="single" w:sz="8" w:space="0" w:color="auto"/>
            </w:tcBorders>
            <w:shd w:val="clear" w:color="auto" w:fill="auto"/>
            <w:vAlign w:val="center"/>
          </w:tcPr>
          <w:p w14:paraId="2763E9E0" w14:textId="73EEBA3B" w:rsidR="00944524" w:rsidRPr="00AE437D" w:rsidRDefault="00944524" w:rsidP="00AE437D">
            <w:pPr>
              <w:pStyle w:val="afffffffff9"/>
            </w:pPr>
            <w:bookmarkStart w:id="187" w:name="_Hlk177161873"/>
            <w:r w:rsidRPr="00AE437D">
              <w:rPr>
                <w:rFonts w:hint="eastAsia"/>
              </w:rPr>
              <w:t>项目</w:t>
            </w:r>
          </w:p>
        </w:tc>
        <w:tc>
          <w:tcPr>
            <w:tcW w:w="3068" w:type="dxa"/>
            <w:tcBorders>
              <w:top w:val="single" w:sz="8" w:space="0" w:color="auto"/>
              <w:bottom w:val="single" w:sz="8" w:space="0" w:color="auto"/>
            </w:tcBorders>
            <w:shd w:val="clear" w:color="auto" w:fill="auto"/>
            <w:vAlign w:val="center"/>
          </w:tcPr>
          <w:p w14:paraId="64CF70B9" w14:textId="76294FC0" w:rsidR="00944524" w:rsidRPr="00AE437D" w:rsidRDefault="00DD1489" w:rsidP="00AE437D">
            <w:pPr>
              <w:pStyle w:val="afffffffff9"/>
            </w:pPr>
            <w:r>
              <w:rPr>
                <w:rFonts w:hint="eastAsia"/>
              </w:rPr>
              <w:t>指标</w:t>
            </w:r>
          </w:p>
        </w:tc>
        <w:tc>
          <w:tcPr>
            <w:tcW w:w="3068" w:type="dxa"/>
            <w:tcBorders>
              <w:top w:val="single" w:sz="8" w:space="0" w:color="auto"/>
              <w:bottom w:val="single" w:sz="8" w:space="0" w:color="auto"/>
            </w:tcBorders>
            <w:shd w:val="clear" w:color="auto" w:fill="auto"/>
            <w:vAlign w:val="center"/>
          </w:tcPr>
          <w:p w14:paraId="0524497E" w14:textId="173C1BC1" w:rsidR="00944524" w:rsidRPr="00AE437D" w:rsidRDefault="00944524" w:rsidP="00AE437D">
            <w:pPr>
              <w:pStyle w:val="afffffffff9"/>
            </w:pPr>
            <w:r w:rsidRPr="00AE437D">
              <w:t>检验方法</w:t>
            </w:r>
          </w:p>
        </w:tc>
      </w:tr>
      <w:tr w:rsidR="00944524" w14:paraId="610BE1B3" w14:textId="77777777" w:rsidTr="00083018">
        <w:trPr>
          <w:trHeight w:val="284"/>
          <w:jc w:val="center"/>
        </w:trPr>
        <w:tc>
          <w:tcPr>
            <w:tcW w:w="3068" w:type="dxa"/>
            <w:tcBorders>
              <w:top w:val="single" w:sz="8" w:space="0" w:color="auto"/>
            </w:tcBorders>
            <w:shd w:val="clear" w:color="auto" w:fill="auto"/>
            <w:vAlign w:val="center"/>
          </w:tcPr>
          <w:p w14:paraId="72689FE4" w14:textId="77777777" w:rsidR="00944524" w:rsidRPr="00AE437D" w:rsidRDefault="00944524" w:rsidP="00AE437D">
            <w:pPr>
              <w:pStyle w:val="afffffffff9"/>
            </w:pPr>
            <w:r w:rsidRPr="00AE437D">
              <w:rPr>
                <w:rFonts w:hint="eastAsia"/>
              </w:rPr>
              <w:t>粗蛋白（CP）,%</w:t>
            </w:r>
          </w:p>
        </w:tc>
        <w:tc>
          <w:tcPr>
            <w:tcW w:w="3068" w:type="dxa"/>
            <w:tcBorders>
              <w:top w:val="single" w:sz="8" w:space="0" w:color="auto"/>
            </w:tcBorders>
            <w:shd w:val="clear" w:color="auto" w:fill="auto"/>
            <w:vAlign w:val="center"/>
          </w:tcPr>
          <w:p w14:paraId="2B71393B" w14:textId="61CF0BE8" w:rsidR="00944524" w:rsidRPr="00083018" w:rsidRDefault="00944524" w:rsidP="00AE437D">
            <w:pPr>
              <w:pStyle w:val="afffffffff9"/>
              <w:rPr>
                <w:rFonts w:ascii="Times New Roman"/>
              </w:rPr>
            </w:pPr>
            <w:r w:rsidRPr="00083018">
              <w:rPr>
                <w:rFonts w:hAnsi="宋体"/>
              </w:rPr>
              <w:t>≥</w:t>
            </w:r>
            <w:r w:rsidR="00083018">
              <w:rPr>
                <w:rFonts w:hAnsi="宋体"/>
              </w:rPr>
              <w:t> </w:t>
            </w:r>
            <w:r w:rsidRPr="00083018">
              <w:rPr>
                <w:rFonts w:ascii="Times New Roman"/>
              </w:rPr>
              <w:t>15</w:t>
            </w:r>
          </w:p>
        </w:tc>
        <w:tc>
          <w:tcPr>
            <w:tcW w:w="3068" w:type="dxa"/>
            <w:tcBorders>
              <w:top w:val="single" w:sz="8" w:space="0" w:color="auto"/>
            </w:tcBorders>
            <w:shd w:val="clear" w:color="auto" w:fill="auto"/>
            <w:vAlign w:val="center"/>
          </w:tcPr>
          <w:p w14:paraId="31AD5112" w14:textId="65355F8D" w:rsidR="00944524" w:rsidRPr="00083018" w:rsidRDefault="00944524" w:rsidP="00AE437D">
            <w:pPr>
              <w:pStyle w:val="afffffffff9"/>
              <w:rPr>
                <w:rFonts w:ascii="Times New Roman"/>
              </w:rPr>
            </w:pPr>
            <w:r w:rsidRPr="00083018">
              <w:rPr>
                <w:rFonts w:ascii="Times New Roman"/>
              </w:rPr>
              <w:t>GB/T 6432</w:t>
            </w:r>
          </w:p>
        </w:tc>
      </w:tr>
      <w:tr w:rsidR="00944524" w14:paraId="4348795F" w14:textId="77777777" w:rsidTr="00083018">
        <w:trPr>
          <w:trHeight w:val="284"/>
          <w:jc w:val="center"/>
        </w:trPr>
        <w:tc>
          <w:tcPr>
            <w:tcW w:w="3068" w:type="dxa"/>
            <w:shd w:val="clear" w:color="auto" w:fill="auto"/>
            <w:vAlign w:val="center"/>
          </w:tcPr>
          <w:p w14:paraId="1FDE78C8" w14:textId="77777777" w:rsidR="00944524" w:rsidRPr="00AE437D" w:rsidRDefault="00944524" w:rsidP="00AE437D">
            <w:pPr>
              <w:pStyle w:val="afffffffff9"/>
            </w:pPr>
            <w:r w:rsidRPr="00AE437D">
              <w:rPr>
                <w:rFonts w:hint="eastAsia"/>
              </w:rPr>
              <w:t>粗纤维（CF）,%</w:t>
            </w:r>
          </w:p>
        </w:tc>
        <w:tc>
          <w:tcPr>
            <w:tcW w:w="3068" w:type="dxa"/>
            <w:shd w:val="clear" w:color="auto" w:fill="auto"/>
            <w:vAlign w:val="center"/>
          </w:tcPr>
          <w:p w14:paraId="1AFCE26C" w14:textId="4C871D7C" w:rsidR="00944524" w:rsidRPr="00083018" w:rsidRDefault="00944524" w:rsidP="00AE437D">
            <w:pPr>
              <w:pStyle w:val="afffffffff9"/>
              <w:rPr>
                <w:rFonts w:ascii="Times New Roman"/>
              </w:rPr>
            </w:pPr>
            <w:r w:rsidRPr="00083018">
              <w:rPr>
                <w:rFonts w:hAnsi="宋体"/>
              </w:rPr>
              <w:t>≤</w:t>
            </w:r>
            <w:r w:rsidR="00083018">
              <w:rPr>
                <w:rFonts w:hAnsi="宋体"/>
              </w:rPr>
              <w:t> </w:t>
            </w:r>
            <w:r w:rsidRPr="00083018">
              <w:rPr>
                <w:rFonts w:hAnsi="宋体"/>
              </w:rPr>
              <w:t>4</w:t>
            </w:r>
            <w:r w:rsidRPr="00083018">
              <w:rPr>
                <w:rFonts w:ascii="Times New Roman"/>
              </w:rPr>
              <w:t>0</w:t>
            </w:r>
          </w:p>
        </w:tc>
        <w:tc>
          <w:tcPr>
            <w:tcW w:w="3068" w:type="dxa"/>
            <w:shd w:val="clear" w:color="auto" w:fill="auto"/>
            <w:vAlign w:val="center"/>
          </w:tcPr>
          <w:p w14:paraId="72871549" w14:textId="375E9BFB" w:rsidR="00944524" w:rsidRPr="00083018" w:rsidRDefault="00944524" w:rsidP="00AE437D">
            <w:pPr>
              <w:pStyle w:val="afffffffff9"/>
              <w:rPr>
                <w:rFonts w:ascii="Times New Roman"/>
              </w:rPr>
            </w:pPr>
            <w:r w:rsidRPr="00083018">
              <w:rPr>
                <w:rFonts w:ascii="Times New Roman"/>
              </w:rPr>
              <w:t>GB/T 6434</w:t>
            </w:r>
          </w:p>
        </w:tc>
      </w:tr>
      <w:tr w:rsidR="00944524" w14:paraId="0D79C8AF" w14:textId="77777777" w:rsidTr="00083018">
        <w:trPr>
          <w:trHeight w:val="284"/>
          <w:jc w:val="center"/>
        </w:trPr>
        <w:tc>
          <w:tcPr>
            <w:tcW w:w="3068" w:type="dxa"/>
            <w:shd w:val="clear" w:color="auto" w:fill="auto"/>
            <w:vAlign w:val="center"/>
          </w:tcPr>
          <w:p w14:paraId="4E6501E9" w14:textId="77777777" w:rsidR="00944524" w:rsidRPr="00AE437D" w:rsidRDefault="00944524" w:rsidP="00AE437D">
            <w:pPr>
              <w:pStyle w:val="afffffffff9"/>
            </w:pPr>
            <w:r w:rsidRPr="00AE437D">
              <w:rPr>
                <w:rFonts w:hint="eastAsia"/>
              </w:rPr>
              <w:t>灰分（CA），%</w:t>
            </w:r>
          </w:p>
        </w:tc>
        <w:tc>
          <w:tcPr>
            <w:tcW w:w="3068" w:type="dxa"/>
            <w:shd w:val="clear" w:color="auto" w:fill="auto"/>
            <w:vAlign w:val="center"/>
          </w:tcPr>
          <w:p w14:paraId="7009CA50" w14:textId="7CE9980C" w:rsidR="00944524" w:rsidRPr="00083018" w:rsidRDefault="00944524" w:rsidP="00AE437D">
            <w:pPr>
              <w:pStyle w:val="afffffffff9"/>
              <w:rPr>
                <w:rFonts w:ascii="Times New Roman"/>
              </w:rPr>
            </w:pPr>
            <w:r w:rsidRPr="00083018">
              <w:rPr>
                <w:rFonts w:hAnsi="宋体"/>
              </w:rPr>
              <w:t>＜</w:t>
            </w:r>
            <w:r w:rsidR="00083018">
              <w:rPr>
                <w:rFonts w:hAnsi="宋体"/>
              </w:rPr>
              <w:t> </w:t>
            </w:r>
            <w:r w:rsidRPr="00083018">
              <w:rPr>
                <w:rFonts w:ascii="Times New Roman"/>
              </w:rPr>
              <w:t>10</w:t>
            </w:r>
          </w:p>
        </w:tc>
        <w:tc>
          <w:tcPr>
            <w:tcW w:w="3068" w:type="dxa"/>
            <w:shd w:val="clear" w:color="auto" w:fill="auto"/>
            <w:vAlign w:val="center"/>
          </w:tcPr>
          <w:p w14:paraId="42A34ACF" w14:textId="2FDB8B21" w:rsidR="00944524" w:rsidRPr="00083018" w:rsidRDefault="00944524" w:rsidP="00AE437D">
            <w:pPr>
              <w:pStyle w:val="afffffffff9"/>
              <w:rPr>
                <w:rFonts w:ascii="Times New Roman"/>
              </w:rPr>
            </w:pPr>
            <w:r w:rsidRPr="00083018">
              <w:rPr>
                <w:rFonts w:ascii="Times New Roman"/>
              </w:rPr>
              <w:t>GB/T 6438</w:t>
            </w:r>
          </w:p>
        </w:tc>
      </w:tr>
      <w:tr w:rsidR="00944524" w14:paraId="5861ABB8" w14:textId="77777777" w:rsidTr="00083018">
        <w:trPr>
          <w:trHeight w:val="284"/>
          <w:jc w:val="center"/>
        </w:trPr>
        <w:tc>
          <w:tcPr>
            <w:tcW w:w="3068" w:type="dxa"/>
            <w:shd w:val="clear" w:color="auto" w:fill="auto"/>
            <w:vAlign w:val="center"/>
          </w:tcPr>
          <w:p w14:paraId="1414A11E" w14:textId="07D3FD76" w:rsidR="00944524" w:rsidRPr="00AE437D" w:rsidRDefault="00944524" w:rsidP="00AE437D">
            <w:pPr>
              <w:pStyle w:val="afffffffff9"/>
            </w:pPr>
            <w:r w:rsidRPr="00AE437D">
              <w:rPr>
                <w:rFonts w:hint="eastAsia"/>
              </w:rPr>
              <w:t>pH值</w:t>
            </w:r>
            <w:r w:rsidR="00AE437D" w:rsidRPr="00AE437D">
              <w:rPr>
                <w:vertAlign w:val="superscript"/>
              </w:rPr>
              <w:t>a</w:t>
            </w:r>
          </w:p>
        </w:tc>
        <w:tc>
          <w:tcPr>
            <w:tcW w:w="3068" w:type="dxa"/>
            <w:shd w:val="clear" w:color="auto" w:fill="auto"/>
            <w:vAlign w:val="center"/>
          </w:tcPr>
          <w:p w14:paraId="1C03C57B" w14:textId="11FF77D1" w:rsidR="00944524" w:rsidRPr="00083018" w:rsidRDefault="00944524" w:rsidP="00AE437D">
            <w:pPr>
              <w:pStyle w:val="afffffffff9"/>
              <w:rPr>
                <w:rFonts w:ascii="Times New Roman"/>
              </w:rPr>
            </w:pPr>
            <w:r w:rsidRPr="00083018">
              <w:rPr>
                <w:rFonts w:ascii="Times New Roman"/>
              </w:rPr>
              <w:t>3.8</w:t>
            </w:r>
            <w:r w:rsidR="00083018">
              <w:rPr>
                <w:rFonts w:ascii="Times New Roman"/>
              </w:rPr>
              <w:t> </w:t>
            </w:r>
            <w:r w:rsidRPr="00083018">
              <w:rPr>
                <w:rFonts w:hAnsi="宋体"/>
              </w:rPr>
              <w:t>≤</w:t>
            </w:r>
            <w:r w:rsidR="00083018">
              <w:rPr>
                <w:rFonts w:hAnsi="宋体"/>
              </w:rPr>
              <w:t> </w:t>
            </w:r>
            <w:r w:rsidRPr="00083018">
              <w:rPr>
                <w:rFonts w:ascii="Times New Roman"/>
              </w:rPr>
              <w:t>pH</w:t>
            </w:r>
            <w:r w:rsidR="00083018">
              <w:rPr>
                <w:rFonts w:ascii="Times New Roman"/>
              </w:rPr>
              <w:t> </w:t>
            </w:r>
            <w:r w:rsidRPr="00083018">
              <w:rPr>
                <w:rFonts w:hAnsi="宋体"/>
              </w:rPr>
              <w:t>≤</w:t>
            </w:r>
            <w:r w:rsidR="00083018">
              <w:rPr>
                <w:rFonts w:hAnsi="宋体"/>
              </w:rPr>
              <w:t> </w:t>
            </w:r>
            <w:r w:rsidRPr="00083018">
              <w:rPr>
                <w:rFonts w:ascii="Times New Roman"/>
              </w:rPr>
              <w:t>5.2</w:t>
            </w:r>
          </w:p>
        </w:tc>
        <w:tc>
          <w:tcPr>
            <w:tcW w:w="3068" w:type="dxa"/>
            <w:shd w:val="clear" w:color="auto" w:fill="auto"/>
            <w:vAlign w:val="center"/>
          </w:tcPr>
          <w:p w14:paraId="57BBBD80" w14:textId="7052AF7D" w:rsidR="00944524" w:rsidRPr="00083018" w:rsidRDefault="00944524" w:rsidP="00AE437D">
            <w:pPr>
              <w:pStyle w:val="afffffffff9"/>
              <w:rPr>
                <w:rFonts w:ascii="Times New Roman"/>
              </w:rPr>
            </w:pPr>
            <w:r w:rsidRPr="00083018">
              <w:rPr>
                <w:rFonts w:ascii="Times New Roman"/>
              </w:rPr>
              <w:t>GB/T 9724</w:t>
            </w:r>
          </w:p>
        </w:tc>
      </w:tr>
      <w:tr w:rsidR="00944524" w14:paraId="29FB2B18" w14:textId="77777777" w:rsidTr="00083018">
        <w:trPr>
          <w:trHeight w:val="284"/>
          <w:jc w:val="center"/>
        </w:trPr>
        <w:tc>
          <w:tcPr>
            <w:tcW w:w="3068" w:type="dxa"/>
            <w:shd w:val="clear" w:color="auto" w:fill="auto"/>
            <w:vAlign w:val="center"/>
          </w:tcPr>
          <w:p w14:paraId="726A0060" w14:textId="77777777" w:rsidR="00944524" w:rsidRPr="00AE437D" w:rsidRDefault="00944524" w:rsidP="00AE437D">
            <w:pPr>
              <w:pStyle w:val="afffffffff9"/>
            </w:pPr>
            <w:r w:rsidRPr="00AE437D">
              <w:rPr>
                <w:rFonts w:hint="eastAsia"/>
              </w:rPr>
              <w:t>氰化物含量（HCN），mg/kg</w:t>
            </w:r>
          </w:p>
        </w:tc>
        <w:tc>
          <w:tcPr>
            <w:tcW w:w="3068" w:type="dxa"/>
            <w:shd w:val="clear" w:color="auto" w:fill="auto"/>
            <w:vAlign w:val="center"/>
          </w:tcPr>
          <w:p w14:paraId="14AE1C85" w14:textId="72A17BC8" w:rsidR="00944524" w:rsidRPr="00083018" w:rsidRDefault="00944524" w:rsidP="00AE437D">
            <w:pPr>
              <w:pStyle w:val="afffffffff9"/>
              <w:rPr>
                <w:rFonts w:ascii="Times New Roman"/>
              </w:rPr>
            </w:pPr>
            <w:r w:rsidRPr="00083018">
              <w:rPr>
                <w:rFonts w:hAnsi="宋体"/>
              </w:rPr>
              <w:t>≤</w:t>
            </w:r>
            <w:r w:rsidR="00083018">
              <w:rPr>
                <w:rFonts w:hAnsi="宋体"/>
              </w:rPr>
              <w:t> </w:t>
            </w:r>
            <w:r w:rsidRPr="00083018">
              <w:rPr>
                <w:rFonts w:ascii="Times New Roman"/>
              </w:rPr>
              <w:t>50</w:t>
            </w:r>
          </w:p>
        </w:tc>
        <w:tc>
          <w:tcPr>
            <w:tcW w:w="3068" w:type="dxa"/>
            <w:shd w:val="clear" w:color="auto" w:fill="auto"/>
            <w:vAlign w:val="center"/>
          </w:tcPr>
          <w:p w14:paraId="0EBDFF63" w14:textId="7371F992" w:rsidR="00944524" w:rsidRPr="00083018" w:rsidRDefault="00944524" w:rsidP="00AE437D">
            <w:pPr>
              <w:pStyle w:val="afffffffff9"/>
              <w:rPr>
                <w:rFonts w:ascii="Times New Roman"/>
              </w:rPr>
            </w:pPr>
            <w:r w:rsidRPr="00083018">
              <w:rPr>
                <w:rFonts w:ascii="Times New Roman"/>
              </w:rPr>
              <w:t>GB/T 13084</w:t>
            </w:r>
          </w:p>
        </w:tc>
      </w:tr>
      <w:tr w:rsidR="00944524" w14:paraId="1492BE29" w14:textId="77777777" w:rsidTr="00083018">
        <w:trPr>
          <w:trHeight w:val="284"/>
          <w:jc w:val="center"/>
        </w:trPr>
        <w:tc>
          <w:tcPr>
            <w:tcW w:w="3068" w:type="dxa"/>
            <w:shd w:val="clear" w:color="auto" w:fill="auto"/>
            <w:vAlign w:val="center"/>
          </w:tcPr>
          <w:p w14:paraId="31D32FF6" w14:textId="77777777" w:rsidR="00944524" w:rsidRPr="00AE437D" w:rsidRDefault="00944524" w:rsidP="00AE437D">
            <w:pPr>
              <w:pStyle w:val="afffffffff9"/>
            </w:pPr>
            <w:r w:rsidRPr="00AE437D">
              <w:rPr>
                <w:rFonts w:hint="eastAsia"/>
              </w:rPr>
              <w:t>含水量,%</w:t>
            </w:r>
          </w:p>
        </w:tc>
        <w:tc>
          <w:tcPr>
            <w:tcW w:w="3068" w:type="dxa"/>
            <w:shd w:val="clear" w:color="auto" w:fill="auto"/>
            <w:vAlign w:val="center"/>
          </w:tcPr>
          <w:p w14:paraId="3B9278EB" w14:textId="25A07FF7" w:rsidR="00944524" w:rsidRPr="00083018" w:rsidRDefault="00944524" w:rsidP="00AE437D">
            <w:pPr>
              <w:pStyle w:val="afffffffff9"/>
              <w:rPr>
                <w:rFonts w:ascii="Times New Roman"/>
              </w:rPr>
            </w:pPr>
            <w:r w:rsidRPr="00083018">
              <w:rPr>
                <w:rFonts w:ascii="Times New Roman"/>
              </w:rPr>
              <w:t>60.0</w:t>
            </w:r>
            <w:r w:rsidR="00083018">
              <w:rPr>
                <w:rFonts w:ascii="Times New Roman"/>
              </w:rPr>
              <w:t> </w:t>
            </w:r>
            <w:r w:rsidRPr="00083018">
              <w:rPr>
                <w:rFonts w:ascii="Times New Roman"/>
              </w:rPr>
              <w:t>～</w:t>
            </w:r>
            <w:r w:rsidR="00083018">
              <w:rPr>
                <w:rFonts w:ascii="Times New Roman"/>
              </w:rPr>
              <w:t> </w:t>
            </w:r>
            <w:r w:rsidRPr="00083018">
              <w:rPr>
                <w:rFonts w:ascii="Times New Roman"/>
              </w:rPr>
              <w:t>75.0</w:t>
            </w:r>
          </w:p>
        </w:tc>
        <w:tc>
          <w:tcPr>
            <w:tcW w:w="3068" w:type="dxa"/>
            <w:shd w:val="clear" w:color="auto" w:fill="auto"/>
            <w:vAlign w:val="center"/>
          </w:tcPr>
          <w:p w14:paraId="58356C90" w14:textId="40A7D0E9" w:rsidR="00944524" w:rsidRPr="00083018" w:rsidRDefault="00944524" w:rsidP="00AE437D">
            <w:pPr>
              <w:pStyle w:val="afffffffff9"/>
              <w:rPr>
                <w:rFonts w:ascii="Times New Roman"/>
              </w:rPr>
            </w:pPr>
            <w:r w:rsidRPr="00083018">
              <w:rPr>
                <w:rFonts w:ascii="Times New Roman"/>
              </w:rPr>
              <w:t>GB/T 6435</w:t>
            </w:r>
          </w:p>
        </w:tc>
      </w:tr>
      <w:tr w:rsidR="00F51F24" w14:paraId="7DBB0FC0" w14:textId="77777777" w:rsidTr="00107C7A">
        <w:trPr>
          <w:jc w:val="center"/>
        </w:trPr>
        <w:tc>
          <w:tcPr>
            <w:tcW w:w="9204" w:type="dxa"/>
            <w:gridSpan w:val="3"/>
            <w:tcBorders>
              <w:top w:val="single" w:sz="8" w:space="0" w:color="auto"/>
              <w:bottom w:val="single" w:sz="8" w:space="0" w:color="auto"/>
            </w:tcBorders>
            <w:shd w:val="clear" w:color="auto" w:fill="auto"/>
            <w:vAlign w:val="center"/>
          </w:tcPr>
          <w:p w14:paraId="7F83C8CB" w14:textId="72C34970" w:rsidR="00F51F24" w:rsidRPr="00083018" w:rsidRDefault="00F51F24" w:rsidP="00AC1074">
            <w:pPr>
              <w:pStyle w:val="af4"/>
              <w:rPr>
                <w:rFonts w:ascii="Times New Roman" w:hAnsi="Times New Roman"/>
              </w:rPr>
            </w:pPr>
            <w:r w:rsidRPr="00083018">
              <w:rPr>
                <w:rFonts w:ascii="Times New Roman" w:hAnsi="Times New Roman"/>
              </w:rPr>
              <w:t>pH</w:t>
            </w:r>
            <w:r w:rsidRPr="00083018">
              <w:rPr>
                <w:rFonts w:ascii="Times New Roman" w:hAnsi="Times New Roman"/>
              </w:rPr>
              <w:t>值测定：称取木薯</w:t>
            </w:r>
            <w:r w:rsidR="00FD1B65" w:rsidRPr="00083018">
              <w:rPr>
                <w:rFonts w:ascii="Times New Roman" w:hAnsi="Times New Roman"/>
              </w:rPr>
              <w:t>嫩茎叶青贮</w:t>
            </w:r>
            <w:r w:rsidRPr="00083018">
              <w:rPr>
                <w:rFonts w:ascii="Times New Roman" w:hAnsi="Times New Roman"/>
              </w:rPr>
              <w:t>饲料混合样品</w:t>
            </w:r>
            <w:r w:rsidRPr="00083018">
              <w:rPr>
                <w:rFonts w:ascii="Times New Roman" w:hAnsi="Times New Roman"/>
              </w:rPr>
              <w:t>20.0</w:t>
            </w:r>
            <w:r w:rsidRPr="00083018">
              <w:rPr>
                <w:rFonts w:ascii="Times New Roman" w:eastAsia="MS Gothic" w:hAnsi="Times New Roman"/>
              </w:rPr>
              <w:t> </w:t>
            </w:r>
            <w:r w:rsidRPr="00083018">
              <w:rPr>
                <w:rFonts w:ascii="Times New Roman" w:hAnsi="Times New Roman"/>
              </w:rPr>
              <w:t>g</w:t>
            </w:r>
            <w:r w:rsidRPr="00083018">
              <w:rPr>
                <w:rFonts w:ascii="Times New Roman" w:hAnsi="Times New Roman"/>
              </w:rPr>
              <w:t>，加入</w:t>
            </w:r>
            <w:r w:rsidRPr="00083018">
              <w:rPr>
                <w:rFonts w:ascii="Times New Roman" w:hAnsi="Times New Roman"/>
              </w:rPr>
              <w:t>80.0</w:t>
            </w:r>
            <w:r w:rsidRPr="00083018">
              <w:rPr>
                <w:rFonts w:ascii="Times New Roman" w:eastAsia="MS Gothic" w:hAnsi="Times New Roman"/>
              </w:rPr>
              <w:t> </w:t>
            </w:r>
            <w:r w:rsidRPr="00083018">
              <w:rPr>
                <w:rFonts w:ascii="Times New Roman" w:hAnsi="Times New Roman"/>
              </w:rPr>
              <w:t>mL</w:t>
            </w:r>
            <w:r w:rsidRPr="00083018">
              <w:rPr>
                <w:rFonts w:ascii="Times New Roman" w:hAnsi="Times New Roman"/>
              </w:rPr>
              <w:t>蒸馏水，在</w:t>
            </w:r>
            <w:r w:rsidR="00AC1074" w:rsidRPr="00083018">
              <w:rPr>
                <w:rFonts w:ascii="Times New Roman" w:hAnsi="Times New Roman"/>
              </w:rPr>
              <w:t>4</w:t>
            </w:r>
            <w:r w:rsidR="00AC1074" w:rsidRPr="00083018">
              <w:rPr>
                <w:rFonts w:ascii="Times New Roman" w:eastAsia="MS Gothic" w:hAnsi="Times New Roman"/>
              </w:rPr>
              <w:t> </w:t>
            </w:r>
            <w:r w:rsidRPr="00083018">
              <w:rPr>
                <w:rFonts w:ascii="Times New Roman" w:hAnsi="Times New Roman"/>
              </w:rPr>
              <w:t>℃</w:t>
            </w:r>
            <w:r w:rsidRPr="00083018">
              <w:rPr>
                <w:rFonts w:ascii="Times New Roman" w:hAnsi="Times New Roman"/>
              </w:rPr>
              <w:t>下浸泡</w:t>
            </w:r>
            <w:r w:rsidRPr="00083018">
              <w:rPr>
                <w:rFonts w:ascii="Times New Roman" w:hAnsi="Times New Roman"/>
              </w:rPr>
              <w:t>24</w:t>
            </w:r>
            <w:r w:rsidR="00AC1074" w:rsidRPr="00083018">
              <w:rPr>
                <w:rFonts w:ascii="Times New Roman" w:eastAsia="MS Gothic" w:hAnsi="Times New Roman"/>
              </w:rPr>
              <w:t> </w:t>
            </w:r>
            <w:r w:rsidRPr="00083018">
              <w:rPr>
                <w:rFonts w:ascii="Times New Roman" w:eastAsia="MS Gothic" w:hAnsi="Times New Roman"/>
              </w:rPr>
              <w:t> </w:t>
            </w:r>
            <w:r w:rsidRPr="00083018">
              <w:rPr>
                <w:rFonts w:ascii="Times New Roman" w:hAnsi="Times New Roman"/>
              </w:rPr>
              <w:t>h</w:t>
            </w:r>
            <w:r w:rsidRPr="00083018">
              <w:rPr>
                <w:rFonts w:ascii="Times New Roman" w:hAnsi="Times New Roman"/>
              </w:rPr>
              <w:t>，经双层滤纸过滤后静置</w:t>
            </w:r>
            <w:r w:rsidRPr="00083018">
              <w:rPr>
                <w:rFonts w:ascii="Times New Roman" w:hAnsi="Times New Roman"/>
              </w:rPr>
              <w:t>30</w:t>
            </w:r>
            <w:r w:rsidR="00AC1074" w:rsidRPr="00083018">
              <w:rPr>
                <w:rFonts w:ascii="Times New Roman" w:eastAsia="MS Gothic" w:hAnsi="Times New Roman"/>
              </w:rPr>
              <w:t> </w:t>
            </w:r>
            <w:r w:rsidRPr="00083018">
              <w:rPr>
                <w:rFonts w:ascii="Times New Roman" w:hAnsi="Times New Roman"/>
              </w:rPr>
              <w:t>min</w:t>
            </w:r>
            <w:r w:rsidRPr="00083018">
              <w:rPr>
                <w:rFonts w:ascii="Times New Roman" w:hAnsi="Times New Roman"/>
              </w:rPr>
              <w:t>小时，按</w:t>
            </w:r>
            <w:r w:rsidR="00FD1B65" w:rsidRPr="00083018">
              <w:rPr>
                <w:rFonts w:ascii="Times New Roman" w:hAnsi="Times New Roman"/>
              </w:rPr>
              <w:t>GB/T 9724</w:t>
            </w:r>
            <w:r w:rsidRPr="00083018">
              <w:rPr>
                <w:rFonts w:ascii="Times New Roman" w:hAnsi="Times New Roman"/>
              </w:rPr>
              <w:t>的方法测定青贮饲料中</w:t>
            </w:r>
            <w:r w:rsidR="00AC1074" w:rsidRPr="00083018">
              <w:rPr>
                <w:rFonts w:ascii="Times New Roman" w:hAnsi="Times New Roman"/>
              </w:rPr>
              <w:t>pH</w:t>
            </w:r>
            <w:r w:rsidRPr="00083018">
              <w:rPr>
                <w:rFonts w:ascii="Times New Roman" w:hAnsi="Times New Roman"/>
              </w:rPr>
              <w:t>值。</w:t>
            </w:r>
          </w:p>
        </w:tc>
      </w:tr>
      <w:bookmarkEnd w:id="187"/>
    </w:tbl>
    <w:p w14:paraId="19517A12" w14:textId="77777777" w:rsidR="00107C7A" w:rsidRDefault="00107C7A" w:rsidP="004F1E68">
      <w:pPr>
        <w:pStyle w:val="affffb"/>
        <w:ind w:firstLine="420"/>
      </w:pPr>
    </w:p>
    <w:p w14:paraId="450F6237" w14:textId="77777777" w:rsidR="00AE437D" w:rsidRDefault="00AE437D" w:rsidP="004F1E68">
      <w:pPr>
        <w:pStyle w:val="affffb"/>
        <w:ind w:firstLine="420"/>
      </w:pPr>
    </w:p>
    <w:p w14:paraId="65C6E0B9" w14:textId="40A15F83" w:rsidR="003E019F" w:rsidRDefault="000C1A58" w:rsidP="000C1A58">
      <w:pPr>
        <w:pStyle w:val="affffb"/>
        <w:ind w:firstLineChars="0" w:firstLine="0"/>
        <w:jc w:val="center"/>
      </w:pPr>
      <w:bookmarkStart w:id="188" w:name="BookMark8"/>
      <w:bookmarkEnd w:id="176"/>
      <w:r>
        <w:drawing>
          <wp:inline distT="0" distB="0" distL="0" distR="0" wp14:anchorId="09D9EA0D" wp14:editId="4FC96746">
            <wp:extent cx="1485900" cy="317500"/>
            <wp:effectExtent l="0" t="0" r="0" b="6350"/>
            <wp:docPr id="1271087641" name="图片 1"/>
            <wp:cNvGraphicFramePr/>
            <a:graphic xmlns:a="http://schemas.openxmlformats.org/drawingml/2006/main">
              <a:graphicData uri="http://schemas.openxmlformats.org/drawingml/2006/picture">
                <pic:pic xmlns:pic="http://schemas.openxmlformats.org/drawingml/2006/picture">
                  <pic:nvPicPr>
                    <pic:cNvPr id="127108764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8"/>
    </w:p>
    <w:sectPr w:rsidR="003E019F" w:rsidSect="004F1E6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5EC3A" w14:textId="77777777" w:rsidR="00B82B45" w:rsidRDefault="00B82B45" w:rsidP="00D86DB7">
      <w:r>
        <w:separator/>
      </w:r>
    </w:p>
    <w:p w14:paraId="3674348E" w14:textId="77777777" w:rsidR="00B82B45" w:rsidRDefault="00B82B45"/>
    <w:p w14:paraId="2310EA01" w14:textId="77777777" w:rsidR="00B82B45" w:rsidRDefault="00B82B45"/>
  </w:endnote>
  <w:endnote w:type="continuationSeparator" w:id="0">
    <w:p w14:paraId="73DAE478" w14:textId="77777777" w:rsidR="00B82B45" w:rsidRDefault="00B82B45" w:rsidP="00D86DB7">
      <w:r>
        <w:continuationSeparator/>
      </w:r>
    </w:p>
    <w:p w14:paraId="2F7BD485" w14:textId="77777777" w:rsidR="00B82B45" w:rsidRDefault="00B82B45"/>
    <w:p w14:paraId="3C94AEC9" w14:textId="77777777" w:rsidR="00B82B45" w:rsidRDefault="00B8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A0C9" w14:textId="77777777" w:rsidR="00107C7A" w:rsidRDefault="00107C7A">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A371" w14:textId="77777777" w:rsidR="00107C7A" w:rsidRPr="00324EDD" w:rsidRDefault="00107C7A"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FE0" w14:textId="77777777" w:rsidR="00107C7A" w:rsidRDefault="00107C7A" w:rsidP="00C94DF2">
    <w:pPr>
      <w:pStyle w:val="affff8"/>
    </w:pPr>
    <w:r>
      <w:fldChar w:fldCharType="begin"/>
    </w:r>
    <w:r>
      <w:instrText>PAGE   \* MERGEFORMAT</w:instrText>
    </w:r>
    <w:r>
      <w:fldChar w:fldCharType="separate"/>
    </w:r>
    <w:r w:rsidR="008B4B55" w:rsidRPr="008B4B55">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9B91" w14:textId="77777777" w:rsidR="00B82B45" w:rsidRDefault="00B82B45" w:rsidP="00D86DB7">
      <w:r>
        <w:separator/>
      </w:r>
    </w:p>
  </w:footnote>
  <w:footnote w:type="continuationSeparator" w:id="0">
    <w:p w14:paraId="383D7A53" w14:textId="77777777" w:rsidR="00B82B45" w:rsidRDefault="00B82B45" w:rsidP="00D86DB7">
      <w:r>
        <w:continuationSeparator/>
      </w:r>
    </w:p>
    <w:p w14:paraId="298A9DB7" w14:textId="77777777" w:rsidR="00B82B45" w:rsidRDefault="00B82B45"/>
    <w:p w14:paraId="45D14DF9" w14:textId="77777777" w:rsidR="00B82B45" w:rsidRDefault="00B82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0454" w14:textId="77777777" w:rsidR="00107C7A" w:rsidRPr="00E70388" w:rsidRDefault="00107C7A"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01E" w14:textId="77777777" w:rsidR="00107C7A" w:rsidRPr="00324EDD" w:rsidRDefault="00107C7A"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044A" w14:textId="26123624" w:rsidR="00107C7A" w:rsidRDefault="00107C7A"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FBE8" w14:textId="362CDEA0" w:rsidR="00107C7A" w:rsidRPr="00D84FA1" w:rsidRDefault="00107C7A" w:rsidP="00A2271D">
    <w:pPr>
      <w:pStyle w:val="afffff0"/>
      <w:rPr>
        <w:rFonts w:hint="eastAsia"/>
      </w:rPr>
    </w:pPr>
    <w:r>
      <w:fldChar w:fldCharType="begin"/>
    </w:r>
    <w:r>
      <w:instrText xml:space="preserve"> STYLEREF  标准文件_文件编号  \* MERGEFORMAT </w:instrText>
    </w:r>
    <w:r>
      <w:fldChar w:fldCharType="separate"/>
    </w:r>
    <w:r w:rsidR="00083018">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28EC28FE"/>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686"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57BE76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776606944">
    <w:abstractNumId w:val="0"/>
  </w:num>
  <w:num w:numId="2" w16cid:durableId="1086461899">
    <w:abstractNumId w:val="20"/>
  </w:num>
  <w:num w:numId="3" w16cid:durableId="1414473498">
    <w:abstractNumId w:val="5"/>
  </w:num>
  <w:num w:numId="4" w16cid:durableId="305085960">
    <w:abstractNumId w:val="18"/>
  </w:num>
  <w:num w:numId="5" w16cid:durableId="633174454">
    <w:abstractNumId w:val="13"/>
  </w:num>
  <w:num w:numId="6" w16cid:durableId="117189479">
    <w:abstractNumId w:val="23"/>
  </w:num>
  <w:num w:numId="7" w16cid:durableId="782310796">
    <w:abstractNumId w:val="8"/>
  </w:num>
  <w:num w:numId="8" w16cid:durableId="754210905">
    <w:abstractNumId w:val="9"/>
  </w:num>
  <w:num w:numId="9" w16cid:durableId="1486777294">
    <w:abstractNumId w:val="16"/>
  </w:num>
  <w:num w:numId="10" w16cid:durableId="2037196112">
    <w:abstractNumId w:val="24"/>
  </w:num>
  <w:num w:numId="11" w16cid:durableId="1568804468">
    <w:abstractNumId w:val="4"/>
  </w:num>
  <w:num w:numId="12" w16cid:durableId="1297251496">
    <w:abstractNumId w:val="14"/>
  </w:num>
  <w:num w:numId="13" w16cid:durableId="1730884837">
    <w:abstractNumId w:val="25"/>
  </w:num>
  <w:num w:numId="14" w16cid:durableId="972100764">
    <w:abstractNumId w:val="11"/>
  </w:num>
  <w:num w:numId="15" w16cid:durableId="155002082">
    <w:abstractNumId w:val="6"/>
  </w:num>
  <w:num w:numId="16" w16cid:durableId="1006785489">
    <w:abstractNumId w:val="10"/>
  </w:num>
  <w:num w:numId="17" w16cid:durableId="1404067115">
    <w:abstractNumId w:val="22"/>
  </w:num>
  <w:num w:numId="18" w16cid:durableId="1186211998">
    <w:abstractNumId w:val="3"/>
  </w:num>
  <w:num w:numId="19" w16cid:durableId="601425732">
    <w:abstractNumId w:val="7"/>
  </w:num>
  <w:num w:numId="20" w16cid:durableId="1759132580">
    <w:abstractNumId w:val="19"/>
  </w:num>
  <w:num w:numId="21" w16cid:durableId="980772023">
    <w:abstractNumId w:val="21"/>
  </w:num>
  <w:num w:numId="22" w16cid:durableId="144514071">
    <w:abstractNumId w:val="17"/>
  </w:num>
  <w:num w:numId="23" w16cid:durableId="1063674130">
    <w:abstractNumId w:val="29"/>
  </w:num>
  <w:num w:numId="24" w16cid:durableId="361129483">
    <w:abstractNumId w:val="15"/>
  </w:num>
  <w:num w:numId="25" w16cid:durableId="1933583145">
    <w:abstractNumId w:val="28"/>
  </w:num>
  <w:num w:numId="26" w16cid:durableId="1298487175">
    <w:abstractNumId w:val="2"/>
  </w:num>
  <w:num w:numId="27" w16cid:durableId="533812518">
    <w:abstractNumId w:val="12"/>
  </w:num>
  <w:num w:numId="28" w16cid:durableId="1013068317">
    <w:abstractNumId w:val="30"/>
  </w:num>
  <w:num w:numId="29" w16cid:durableId="1784883347">
    <w:abstractNumId w:val="27"/>
  </w:num>
  <w:num w:numId="30" w16cid:durableId="394089659">
    <w:abstractNumId w:val="26"/>
  </w:num>
  <w:num w:numId="31" w16cid:durableId="128700585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xXTXNhnoJ4fqwhVVqpy74yMcG4A=" w:salt="+BSaJkDaAbMyrDxoHDDSf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21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15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018"/>
    <w:rsid w:val="00083D2C"/>
    <w:rsid w:val="00086AA1"/>
    <w:rsid w:val="00087A77"/>
    <w:rsid w:val="00087EE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A58"/>
    <w:rsid w:val="000C2FBD"/>
    <w:rsid w:val="000C4B41"/>
    <w:rsid w:val="000C57D6"/>
    <w:rsid w:val="000C6362"/>
    <w:rsid w:val="000C7666"/>
    <w:rsid w:val="000D0A9C"/>
    <w:rsid w:val="000D1795"/>
    <w:rsid w:val="000D329A"/>
    <w:rsid w:val="000D4B9C"/>
    <w:rsid w:val="000D4EB6"/>
    <w:rsid w:val="000D753B"/>
    <w:rsid w:val="000E3D75"/>
    <w:rsid w:val="000E4C9E"/>
    <w:rsid w:val="000E6FD7"/>
    <w:rsid w:val="000E7144"/>
    <w:rsid w:val="000F06E1"/>
    <w:rsid w:val="000F0E3C"/>
    <w:rsid w:val="000F19D5"/>
    <w:rsid w:val="000F4050"/>
    <w:rsid w:val="000F4AEA"/>
    <w:rsid w:val="000F67E9"/>
    <w:rsid w:val="00104926"/>
    <w:rsid w:val="00107C7A"/>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86A"/>
    <w:rsid w:val="001C49E5"/>
    <w:rsid w:val="001C680C"/>
    <w:rsid w:val="001C7FEA"/>
    <w:rsid w:val="001D0499"/>
    <w:rsid w:val="001D0BBE"/>
    <w:rsid w:val="001D0ED4"/>
    <w:rsid w:val="001D212F"/>
    <w:rsid w:val="001D29D7"/>
    <w:rsid w:val="001D2DE7"/>
    <w:rsid w:val="001D411C"/>
    <w:rsid w:val="001E1B6A"/>
    <w:rsid w:val="001E2484"/>
    <w:rsid w:val="001E34F3"/>
    <w:rsid w:val="001E3CC4"/>
    <w:rsid w:val="001E4882"/>
    <w:rsid w:val="001E73AB"/>
    <w:rsid w:val="001F092D"/>
    <w:rsid w:val="001F143A"/>
    <w:rsid w:val="001F1605"/>
    <w:rsid w:val="001F2508"/>
    <w:rsid w:val="001F4816"/>
    <w:rsid w:val="001F4B50"/>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41"/>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12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9D9"/>
    <w:rsid w:val="002E4D5A"/>
    <w:rsid w:val="002E6326"/>
    <w:rsid w:val="002F30E0"/>
    <w:rsid w:val="002F35E4"/>
    <w:rsid w:val="002F3730"/>
    <w:rsid w:val="002F38E1"/>
    <w:rsid w:val="002F7AF6"/>
    <w:rsid w:val="00300E63"/>
    <w:rsid w:val="00302F5F"/>
    <w:rsid w:val="0030441D"/>
    <w:rsid w:val="00306063"/>
    <w:rsid w:val="00307A7C"/>
    <w:rsid w:val="00313B65"/>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EE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93B"/>
    <w:rsid w:val="003E49F6"/>
    <w:rsid w:val="003E660F"/>
    <w:rsid w:val="003F0841"/>
    <w:rsid w:val="003F23D3"/>
    <w:rsid w:val="003F3F08"/>
    <w:rsid w:val="003F49F1"/>
    <w:rsid w:val="003F6272"/>
    <w:rsid w:val="00400E72"/>
    <w:rsid w:val="00401400"/>
    <w:rsid w:val="00404869"/>
    <w:rsid w:val="00405884"/>
    <w:rsid w:val="00407D39"/>
    <w:rsid w:val="0041477A"/>
    <w:rsid w:val="00415F7E"/>
    <w:rsid w:val="004167A3"/>
    <w:rsid w:val="00432DAA"/>
    <w:rsid w:val="00434305"/>
    <w:rsid w:val="00435DF7"/>
    <w:rsid w:val="0044083F"/>
    <w:rsid w:val="00441AE7"/>
    <w:rsid w:val="00445574"/>
    <w:rsid w:val="004467FB"/>
    <w:rsid w:val="0045147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5597"/>
    <w:rsid w:val="004A63FA"/>
    <w:rsid w:val="004A6A3D"/>
    <w:rsid w:val="004B0272"/>
    <w:rsid w:val="004B2701"/>
    <w:rsid w:val="004B2E1B"/>
    <w:rsid w:val="004B3AA8"/>
    <w:rsid w:val="004B3E93"/>
    <w:rsid w:val="004B6A39"/>
    <w:rsid w:val="004C1FBC"/>
    <w:rsid w:val="004C25A2"/>
    <w:rsid w:val="004C3F1D"/>
    <w:rsid w:val="004C458D"/>
    <w:rsid w:val="004C7556"/>
    <w:rsid w:val="004C7E8B"/>
    <w:rsid w:val="004C7E9D"/>
    <w:rsid w:val="004C7F67"/>
    <w:rsid w:val="004D076D"/>
    <w:rsid w:val="004D0EF1"/>
    <w:rsid w:val="004D1094"/>
    <w:rsid w:val="004D2253"/>
    <w:rsid w:val="004D278A"/>
    <w:rsid w:val="004D4406"/>
    <w:rsid w:val="004D7C42"/>
    <w:rsid w:val="004E0465"/>
    <w:rsid w:val="004E127B"/>
    <w:rsid w:val="004E1C0A"/>
    <w:rsid w:val="004E30C5"/>
    <w:rsid w:val="004E4AA5"/>
    <w:rsid w:val="004E4AEE"/>
    <w:rsid w:val="004E59E3"/>
    <w:rsid w:val="004E67C0"/>
    <w:rsid w:val="004F1E6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FD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7EE"/>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4E2"/>
    <w:rsid w:val="005A260B"/>
    <w:rsid w:val="005A4A1B"/>
    <w:rsid w:val="005A7830"/>
    <w:rsid w:val="005A7FCE"/>
    <w:rsid w:val="005B0F3F"/>
    <w:rsid w:val="005B191C"/>
    <w:rsid w:val="005B4903"/>
    <w:rsid w:val="005B4F3F"/>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880"/>
    <w:rsid w:val="006640E5"/>
    <w:rsid w:val="006646F1"/>
    <w:rsid w:val="00664929"/>
    <w:rsid w:val="00664F62"/>
    <w:rsid w:val="006655E1"/>
    <w:rsid w:val="00666216"/>
    <w:rsid w:val="00672060"/>
    <w:rsid w:val="00672BFD"/>
    <w:rsid w:val="006770F4"/>
    <w:rsid w:val="00677A84"/>
    <w:rsid w:val="0068026D"/>
    <w:rsid w:val="00680A27"/>
    <w:rsid w:val="006816A4"/>
    <w:rsid w:val="006819B8"/>
    <w:rsid w:val="0068211E"/>
    <w:rsid w:val="006823C1"/>
    <w:rsid w:val="006840A6"/>
    <w:rsid w:val="006850CD"/>
    <w:rsid w:val="00685AAB"/>
    <w:rsid w:val="00696938"/>
    <w:rsid w:val="006A07AA"/>
    <w:rsid w:val="006A25E5"/>
    <w:rsid w:val="006A2B46"/>
    <w:rsid w:val="006A336D"/>
    <w:rsid w:val="006A37B9"/>
    <w:rsid w:val="006B2672"/>
    <w:rsid w:val="006B54BF"/>
    <w:rsid w:val="006B5F44"/>
    <w:rsid w:val="006B5F90"/>
    <w:rsid w:val="006B62E4"/>
    <w:rsid w:val="006C1BBA"/>
    <w:rsid w:val="006C2079"/>
    <w:rsid w:val="006C2304"/>
    <w:rsid w:val="006C5A62"/>
    <w:rsid w:val="006C5D68"/>
    <w:rsid w:val="006C6976"/>
    <w:rsid w:val="006C6DD0"/>
    <w:rsid w:val="006D04EA"/>
    <w:rsid w:val="006D16C4"/>
    <w:rsid w:val="006D3E96"/>
    <w:rsid w:val="006D4515"/>
    <w:rsid w:val="006D4BB1"/>
    <w:rsid w:val="006D6593"/>
    <w:rsid w:val="006E572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E12"/>
    <w:rsid w:val="00736D3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F0"/>
    <w:rsid w:val="0078114B"/>
    <w:rsid w:val="00781DD2"/>
    <w:rsid w:val="00783ECF"/>
    <w:rsid w:val="0078413A"/>
    <w:rsid w:val="007959E8"/>
    <w:rsid w:val="00795E9C"/>
    <w:rsid w:val="00796670"/>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B43"/>
    <w:rsid w:val="007D6518"/>
    <w:rsid w:val="007D76BD"/>
    <w:rsid w:val="007E0BF1"/>
    <w:rsid w:val="007F0ED8"/>
    <w:rsid w:val="007F0F63"/>
    <w:rsid w:val="007F2336"/>
    <w:rsid w:val="007F50F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76F"/>
    <w:rsid w:val="008603CE"/>
    <w:rsid w:val="008617FA"/>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7BC"/>
    <w:rsid w:val="008A57E6"/>
    <w:rsid w:val="008A6F81"/>
    <w:rsid w:val="008A769A"/>
    <w:rsid w:val="008B0C9C"/>
    <w:rsid w:val="008B166D"/>
    <w:rsid w:val="008B17F4"/>
    <w:rsid w:val="008B3615"/>
    <w:rsid w:val="008B4AC4"/>
    <w:rsid w:val="008B4B55"/>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0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6E4"/>
    <w:rsid w:val="009378DD"/>
    <w:rsid w:val="009429D5"/>
    <w:rsid w:val="00942BF1"/>
    <w:rsid w:val="00944524"/>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C81"/>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445"/>
    <w:rsid w:val="009C4CFA"/>
    <w:rsid w:val="009C5070"/>
    <w:rsid w:val="009C66E8"/>
    <w:rsid w:val="009D112C"/>
    <w:rsid w:val="009D1385"/>
    <w:rsid w:val="009D47FA"/>
    <w:rsid w:val="009D4C5B"/>
    <w:rsid w:val="009D50D2"/>
    <w:rsid w:val="009D6BCA"/>
    <w:rsid w:val="009E0F62"/>
    <w:rsid w:val="009E4A58"/>
    <w:rsid w:val="009E5A2D"/>
    <w:rsid w:val="009E5AB2"/>
    <w:rsid w:val="009E6219"/>
    <w:rsid w:val="009F03B3"/>
    <w:rsid w:val="009F3C0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492"/>
    <w:rsid w:val="00A648CD"/>
    <w:rsid w:val="00A6537A"/>
    <w:rsid w:val="00A66AE4"/>
    <w:rsid w:val="00A67866"/>
    <w:rsid w:val="00A70B07"/>
    <w:rsid w:val="00A723F8"/>
    <w:rsid w:val="00A77CCB"/>
    <w:rsid w:val="00A81357"/>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07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37D"/>
    <w:rsid w:val="00AE5EB4"/>
    <w:rsid w:val="00AF0C18"/>
    <w:rsid w:val="00AF47C5"/>
    <w:rsid w:val="00AF5398"/>
    <w:rsid w:val="00B049AF"/>
    <w:rsid w:val="00B07242"/>
    <w:rsid w:val="00B10534"/>
    <w:rsid w:val="00B113DB"/>
    <w:rsid w:val="00B11D8A"/>
    <w:rsid w:val="00B12981"/>
    <w:rsid w:val="00B142D0"/>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8F8"/>
    <w:rsid w:val="00B60ACF"/>
    <w:rsid w:val="00B62B58"/>
    <w:rsid w:val="00B65149"/>
    <w:rsid w:val="00B65E8F"/>
    <w:rsid w:val="00B66567"/>
    <w:rsid w:val="00B66F52"/>
    <w:rsid w:val="00B66FE5"/>
    <w:rsid w:val="00B72880"/>
    <w:rsid w:val="00B758BF"/>
    <w:rsid w:val="00B77EC8"/>
    <w:rsid w:val="00B827A6"/>
    <w:rsid w:val="00B82B45"/>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7A0"/>
    <w:rsid w:val="00C521D6"/>
    <w:rsid w:val="00C55232"/>
    <w:rsid w:val="00C553A4"/>
    <w:rsid w:val="00C55A06"/>
    <w:rsid w:val="00C55D03"/>
    <w:rsid w:val="00C601BC"/>
    <w:rsid w:val="00C6329F"/>
    <w:rsid w:val="00C63340"/>
    <w:rsid w:val="00C643F9"/>
    <w:rsid w:val="00C64E95"/>
    <w:rsid w:val="00C71372"/>
    <w:rsid w:val="00C72410"/>
    <w:rsid w:val="00C7287F"/>
    <w:rsid w:val="00C73D6E"/>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B1"/>
    <w:rsid w:val="00CB0BA2"/>
    <w:rsid w:val="00CB1A42"/>
    <w:rsid w:val="00CB1B0C"/>
    <w:rsid w:val="00CB2C0B"/>
    <w:rsid w:val="00CB517D"/>
    <w:rsid w:val="00CC038D"/>
    <w:rsid w:val="00CC08DB"/>
    <w:rsid w:val="00CC0C2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C4A"/>
    <w:rsid w:val="00D06AB1"/>
    <w:rsid w:val="00D06FC1"/>
    <w:rsid w:val="00D072ED"/>
    <w:rsid w:val="00D07A16"/>
    <w:rsid w:val="00D1067E"/>
    <w:rsid w:val="00D10F50"/>
    <w:rsid w:val="00D11272"/>
    <w:rsid w:val="00D126F5"/>
    <w:rsid w:val="00D1489E"/>
    <w:rsid w:val="00D20737"/>
    <w:rsid w:val="00D21E81"/>
    <w:rsid w:val="00D223DE"/>
    <w:rsid w:val="00D22EB5"/>
    <w:rsid w:val="00D25E37"/>
    <w:rsid w:val="00D2661A"/>
    <w:rsid w:val="00D27582"/>
    <w:rsid w:val="00D27EC4"/>
    <w:rsid w:val="00D32636"/>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16F"/>
    <w:rsid w:val="00D77031"/>
    <w:rsid w:val="00D80856"/>
    <w:rsid w:val="00D84941"/>
    <w:rsid w:val="00D84FA1"/>
    <w:rsid w:val="00D851F0"/>
    <w:rsid w:val="00D86DB7"/>
    <w:rsid w:val="00D87BF5"/>
    <w:rsid w:val="00D90721"/>
    <w:rsid w:val="00D926D0"/>
    <w:rsid w:val="00D93030"/>
    <w:rsid w:val="00D950E1"/>
    <w:rsid w:val="00D952A6"/>
    <w:rsid w:val="00D97F99"/>
    <w:rsid w:val="00DA1E08"/>
    <w:rsid w:val="00DA1F7B"/>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489"/>
    <w:rsid w:val="00DD25C6"/>
    <w:rsid w:val="00DD4FE5"/>
    <w:rsid w:val="00DD54B0"/>
    <w:rsid w:val="00DD57EE"/>
    <w:rsid w:val="00DD5F82"/>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59A"/>
    <w:rsid w:val="00E15CCD"/>
    <w:rsid w:val="00E202EF"/>
    <w:rsid w:val="00E210B5"/>
    <w:rsid w:val="00E2552F"/>
    <w:rsid w:val="00E3137A"/>
    <w:rsid w:val="00E32CCF"/>
    <w:rsid w:val="00E3309B"/>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4FC"/>
    <w:rsid w:val="00E83B14"/>
    <w:rsid w:val="00E846C8"/>
    <w:rsid w:val="00E84957"/>
    <w:rsid w:val="00E84A55"/>
    <w:rsid w:val="00E85BFF"/>
    <w:rsid w:val="00E90391"/>
    <w:rsid w:val="00E906C2"/>
    <w:rsid w:val="00E9311F"/>
    <w:rsid w:val="00E934D1"/>
    <w:rsid w:val="00E94AF0"/>
    <w:rsid w:val="00E95D13"/>
    <w:rsid w:val="00E95DD3"/>
    <w:rsid w:val="00E969D5"/>
    <w:rsid w:val="00EA195B"/>
    <w:rsid w:val="00EA58D1"/>
    <w:rsid w:val="00EA61BC"/>
    <w:rsid w:val="00EA62ED"/>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AFD"/>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F24"/>
    <w:rsid w:val="00F56511"/>
    <w:rsid w:val="00F6194E"/>
    <w:rsid w:val="00F623AC"/>
    <w:rsid w:val="00F6412A"/>
    <w:rsid w:val="00F65893"/>
    <w:rsid w:val="00F66A4A"/>
    <w:rsid w:val="00F71E22"/>
    <w:rsid w:val="00F72142"/>
    <w:rsid w:val="00F72AE7"/>
    <w:rsid w:val="00F776A7"/>
    <w:rsid w:val="00F833BA"/>
    <w:rsid w:val="00F84FD0"/>
    <w:rsid w:val="00F859A8"/>
    <w:rsid w:val="00F86645"/>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387"/>
    <w:rsid w:val="00FB45F1"/>
    <w:rsid w:val="00FB4A72"/>
    <w:rsid w:val="00FB54E8"/>
    <w:rsid w:val="00FB7054"/>
    <w:rsid w:val="00FC17B7"/>
    <w:rsid w:val="00FC2CB7"/>
    <w:rsid w:val="00FC4090"/>
    <w:rsid w:val="00FC55B4"/>
    <w:rsid w:val="00FD00E6"/>
    <w:rsid w:val="00FD09A1"/>
    <w:rsid w:val="00FD1B65"/>
    <w:rsid w:val="00FD2A7C"/>
    <w:rsid w:val="00FD59EB"/>
    <w:rsid w:val="00FD7299"/>
    <w:rsid w:val="00FE1FBE"/>
    <w:rsid w:val="00FE3901"/>
    <w:rsid w:val="00FE39D3"/>
    <w:rsid w:val="00FE417F"/>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C478"/>
  <w15:docId w15:val="{E709D6C2-7A5C-4066-BC61-61DE8AFA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tabs>
        <w:tab w:val="num" w:pos="360"/>
      </w:tabs>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tabs>
        <w:tab w:val="num" w:pos="360"/>
      </w:tabs>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tabs>
        <w:tab w:val="num" w:pos="360"/>
      </w:tabs>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注："/>
    <w:next w:val="afff5"/>
    <w:rsid w:val="00233D41"/>
    <w:pPr>
      <w:widowControl w:val="0"/>
      <w:autoSpaceDE w:val="0"/>
      <w:autoSpaceDN w:val="0"/>
      <w:ind w:left="726" w:hanging="363"/>
      <w:jc w:val="both"/>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019E84BFB84766A840A8C6DD4D93D2"/>
        <w:category>
          <w:name w:val="常规"/>
          <w:gallery w:val="placeholder"/>
        </w:category>
        <w:types>
          <w:type w:val="bbPlcHdr"/>
        </w:types>
        <w:behaviors>
          <w:behavior w:val="content"/>
        </w:behaviors>
        <w:guid w:val="{F2570040-0EF5-402D-8183-7E89B388FD87}"/>
      </w:docPartPr>
      <w:docPartBody>
        <w:p w:rsidR="000E32AD" w:rsidRDefault="00A14844">
          <w:pPr>
            <w:pStyle w:val="D8019E84BFB84766A840A8C6DD4D93D2"/>
            <w:rPr>
              <w:rFonts w:hint="eastAsia"/>
            </w:rPr>
          </w:pPr>
          <w:r w:rsidRPr="00751A05">
            <w:rPr>
              <w:rStyle w:val="a3"/>
              <w:rFonts w:hint="eastAsia"/>
            </w:rPr>
            <w:t>单击或点击此处输入文字。</w:t>
          </w:r>
        </w:p>
      </w:docPartBody>
    </w:docPart>
    <w:docPart>
      <w:docPartPr>
        <w:name w:val="A4052F45CF34425DB8BD30E15AC89C10"/>
        <w:category>
          <w:name w:val="常规"/>
          <w:gallery w:val="placeholder"/>
        </w:category>
        <w:types>
          <w:type w:val="bbPlcHdr"/>
        </w:types>
        <w:behaviors>
          <w:behavior w:val="content"/>
        </w:behaviors>
        <w:guid w:val="{4AFB2E9B-BDA3-4BF7-9E58-B7A72321A970}"/>
      </w:docPartPr>
      <w:docPartBody>
        <w:p w:rsidR="000E32AD" w:rsidRDefault="00A14844">
          <w:pPr>
            <w:pStyle w:val="A4052F45CF34425DB8BD30E15AC89C10"/>
            <w:rPr>
              <w:rFonts w:hint="eastAsia"/>
            </w:rPr>
          </w:pPr>
          <w:r w:rsidRPr="00FB6243">
            <w:rPr>
              <w:rStyle w:val="a3"/>
              <w:rFonts w:hint="eastAsia"/>
            </w:rPr>
            <w:t>选择一项。</w:t>
          </w:r>
        </w:p>
      </w:docPartBody>
    </w:docPart>
    <w:docPart>
      <w:docPartPr>
        <w:name w:val="0E0362D69B374D92A66CEFBFA30F108E"/>
        <w:category>
          <w:name w:val="常规"/>
          <w:gallery w:val="placeholder"/>
        </w:category>
        <w:types>
          <w:type w:val="bbPlcHdr"/>
        </w:types>
        <w:behaviors>
          <w:behavior w:val="content"/>
        </w:behaviors>
        <w:guid w:val="{CE2AA4B5-40AE-472B-B503-6170E398B5C7}"/>
      </w:docPartPr>
      <w:docPartBody>
        <w:p w:rsidR="000E32AD" w:rsidRDefault="00A14844">
          <w:pPr>
            <w:pStyle w:val="0E0362D69B374D92A66CEFBFA30F108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D3A"/>
    <w:rsid w:val="0004515A"/>
    <w:rsid w:val="000E32AD"/>
    <w:rsid w:val="00240D3A"/>
    <w:rsid w:val="00330AA2"/>
    <w:rsid w:val="00397AF9"/>
    <w:rsid w:val="00437F01"/>
    <w:rsid w:val="00616D0A"/>
    <w:rsid w:val="00675CB0"/>
    <w:rsid w:val="006A7651"/>
    <w:rsid w:val="006E572D"/>
    <w:rsid w:val="007A0DB9"/>
    <w:rsid w:val="009366E4"/>
    <w:rsid w:val="00A110AD"/>
    <w:rsid w:val="00A14844"/>
    <w:rsid w:val="00AE08D4"/>
    <w:rsid w:val="00C53A4F"/>
    <w:rsid w:val="00F1458D"/>
    <w:rsid w:val="00F86645"/>
    <w:rsid w:val="00FA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8019E84BFB84766A840A8C6DD4D93D2">
    <w:name w:val="D8019E84BFB84766A840A8C6DD4D93D2"/>
  </w:style>
  <w:style w:type="paragraph" w:customStyle="1" w:styleId="A4052F45CF34425DB8BD30E15AC89C10">
    <w:name w:val="A4052F45CF34425DB8BD30E15AC89C10"/>
  </w:style>
  <w:style w:type="paragraph" w:customStyle="1" w:styleId="0E0362D69B374D92A66CEFBFA30F108E">
    <w:name w:val="0E0362D69B374D92A66CEFBFA30F1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D22A-8C70-496A-AA43-FA9580BC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333</TotalTime>
  <Pages>1</Pages>
  <Words>549</Words>
  <Characters>3132</Characters>
  <Application>Microsoft Office Word</Application>
  <DocSecurity>0</DocSecurity>
  <Lines>26</Lines>
  <Paragraphs>7</Paragraphs>
  <ScaleCrop>false</ScaleCrop>
  <Company>PCMI</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Qinfei</dc:creator>
  <dc:description>&lt;config cover="true" show_menu="true" version="1.0.0" doctype="SDKXY"&gt;_x000d_
&lt;/config&gt;</dc:description>
  <cp:lastModifiedBy>A11774</cp:lastModifiedBy>
  <cp:revision>49</cp:revision>
  <cp:lastPrinted>2021-02-02T08:22:00Z</cp:lastPrinted>
  <dcterms:created xsi:type="dcterms:W3CDTF">2024-09-12T03:48:00Z</dcterms:created>
  <dcterms:modified xsi:type="dcterms:W3CDTF">2024-10-10T07:03:00Z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