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A9D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4FD0020D">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2E396F2">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lang w:eastAsia="zh-CN"/>
              </w:rPr>
              <w:t>     </w:t>
            </w:r>
            <w:r>
              <w:rPr>
                <w:rFonts w:ascii="黑体" w:hAnsi="黑体" w:eastAsia="黑体"/>
                <w:sz w:val="21"/>
                <w:szCs w:val="21"/>
              </w:rPr>
              <w:fldChar w:fldCharType="end"/>
            </w:r>
            <w:bookmarkEnd w:id="0"/>
          </w:p>
        </w:tc>
      </w:tr>
      <w:tr w14:paraId="5A3C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87088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5B24EC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6EC18D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J</w:t>
                  </w:r>
                  <w:r>
                    <w:rPr>
                      <w:rFonts w:hint="eastAsia"/>
                      <w:lang w:val="en-US" w:eastAsia="zh-CN"/>
                    </w:rPr>
                    <w:t>ALNCP</w:t>
                  </w:r>
                  <w:r>
                    <w:fldChar w:fldCharType="end"/>
                  </w:r>
                  <w:bookmarkEnd w:id="1"/>
                </w:p>
              </w:tc>
            </w:tr>
          </w:tbl>
          <w:p w14:paraId="47391DE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lang w:val="en-US" w:eastAsia="zh-CN"/>
              </w:rPr>
              <w:t>     </w:t>
            </w:r>
            <w:r>
              <w:rPr>
                <w:rFonts w:ascii="黑体" w:hAnsi="黑体" w:eastAsia="黑体"/>
                <w:sz w:val="21"/>
                <w:szCs w:val="21"/>
              </w:rPr>
              <w:fldChar w:fldCharType="end"/>
            </w:r>
            <w:bookmarkEnd w:id="2"/>
          </w:p>
        </w:tc>
      </w:tr>
    </w:tbl>
    <w:p w14:paraId="79CB1EAD">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吉安市绿色农产品促进会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655543">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J</w:t>
      </w:r>
      <w:r>
        <w:rPr>
          <w:rFonts w:hint="eastAsia"/>
          <w:lang w:val="en-US" w:eastAsia="zh-CN"/>
        </w:rPr>
        <w:t>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024</w:t>
      </w:r>
      <w:r>
        <w:fldChar w:fldCharType="end"/>
      </w:r>
      <w:bookmarkEnd w:id="7"/>
    </w:p>
    <w:p w14:paraId="4277062C">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773583B">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DBC7154">
      <w:pPr>
        <w:pStyle w:val="50"/>
        <w:framePr w:w="9639" w:h="6976" w:hRule="exact" w:hSpace="0" w:vSpace="0" w:wrap="around" w:hAnchor="page" w:y="6408"/>
        <w:jc w:val="center"/>
        <w:rPr>
          <w:rFonts w:ascii="黑体" w:hAnsi="黑体" w:eastAsia="黑体"/>
          <w:b w:val="0"/>
          <w:bCs w:val="0"/>
          <w:w w:val="100"/>
        </w:rPr>
      </w:pPr>
    </w:p>
    <w:p w14:paraId="4E4DB911">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井冈山永丰‘扁萝卜’</w:t>
      </w:r>
      <w:r>
        <w:fldChar w:fldCharType="end"/>
      </w:r>
      <w:bookmarkEnd w:id="9"/>
    </w:p>
    <w:p w14:paraId="40F59B44">
      <w:pPr>
        <w:framePr w:w="9639" w:h="6974" w:hRule="exact" w:wrap="around" w:vAnchor="page" w:hAnchor="page" w:x="1419" w:y="6408" w:anchorLock="1"/>
        <w:ind w:left="-1418"/>
      </w:pPr>
    </w:p>
    <w:p w14:paraId="0A587B87">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Jinggan</w:t>
      </w:r>
      <w:r>
        <w:rPr>
          <w:rFonts w:hint="eastAsia" w:eastAsia="黑体"/>
          <w:szCs w:val="28"/>
          <w:lang w:val="en-US" w:eastAsia="zh-CN"/>
        </w:rPr>
        <w:t>gshan Yongfeng Brassica rapa L.</w:t>
      </w:r>
      <w:r>
        <w:rPr>
          <w:rFonts w:eastAsia="黑体"/>
          <w:szCs w:val="28"/>
        </w:rPr>
        <w:fldChar w:fldCharType="end"/>
      </w:r>
      <w:bookmarkEnd w:id="10"/>
    </w:p>
    <w:p w14:paraId="79F15BBE">
      <w:pPr>
        <w:framePr w:w="9639" w:h="6974" w:hRule="exact" w:wrap="around" w:vAnchor="page" w:hAnchor="page" w:x="1419" w:y="6408" w:anchorLock="1"/>
        <w:spacing w:line="760" w:lineRule="exact"/>
        <w:ind w:left="-1418"/>
      </w:pPr>
    </w:p>
    <w:p w14:paraId="1691C45A">
      <w:pPr>
        <w:pStyle w:val="125"/>
        <w:framePr w:w="9639" w:h="6974" w:hRule="exact" w:wrap="around" w:vAnchor="page" w:hAnchor="page" w:x="1419" w:y="6408" w:anchorLock="1"/>
        <w:textAlignment w:val="bottom"/>
        <w:rPr>
          <w:rFonts w:eastAsia="黑体"/>
          <w:szCs w:val="28"/>
        </w:rPr>
      </w:pPr>
    </w:p>
    <w:p w14:paraId="205819A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E6617C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1F7279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D0FEFED">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val="en-US" w:eastAsia="zh-CN"/>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C34D158">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val="en-US" w:eastAsia="zh-CN"/>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B52FBBD">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吉安市绿色农产品促进会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99EE2BF">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769FDC">
      <w:pPr>
        <w:pStyle w:val="89"/>
        <w:spacing w:before="900" w:after="360"/>
      </w:pPr>
      <w:bookmarkStart w:id="21" w:name="BookMark2"/>
      <w:r>
        <w:rPr>
          <w:spacing w:val="320"/>
        </w:rPr>
        <w:t>前</w:t>
      </w:r>
      <w:r>
        <w:t>言</w:t>
      </w:r>
    </w:p>
    <w:p w14:paraId="6485DCD0">
      <w:pPr>
        <w:pStyle w:val="56"/>
        <w:ind w:firstLine="420"/>
        <w:rPr>
          <w:rFonts w:hint="eastAsia"/>
        </w:rPr>
      </w:pPr>
      <w:r>
        <w:rPr>
          <w:rFonts w:hint="eastAsia"/>
        </w:rPr>
        <w:t>本文件按照GB/T 1.1—2020《标准化工作导则  第1部分：标准化文件的结构和起草规则》的规定起草。</w:t>
      </w:r>
    </w:p>
    <w:p w14:paraId="2E639333">
      <w:pPr>
        <w:pStyle w:val="56"/>
        <w:ind w:firstLine="420"/>
      </w:pPr>
      <w:r>
        <w:rPr>
          <w:rFonts w:hint="eastAsia"/>
          <w:lang w:eastAsia="zh-CN"/>
        </w:rPr>
        <w:t>请注意本文件的某些内容可能涉及专利。本文件的发布机构不承担识别专利的责任。</w:t>
      </w:r>
    </w:p>
    <w:p w14:paraId="4D883FCD">
      <w:pPr>
        <w:pStyle w:val="56"/>
        <w:ind w:firstLine="420"/>
        <w:rPr>
          <w:rFonts w:hint="eastAsia"/>
        </w:rPr>
      </w:pPr>
      <w:r>
        <w:rPr>
          <w:rFonts w:hint="eastAsia"/>
        </w:rPr>
        <w:t>本文件由</w:t>
      </w:r>
      <w:r>
        <w:rPr>
          <w:rFonts w:hint="eastAsia"/>
          <w:lang w:eastAsia="zh-CN"/>
        </w:rPr>
        <w:t>吉安市绿色农产品促进会</w:t>
      </w:r>
      <w:r>
        <w:rPr>
          <w:rFonts w:hint="eastAsia"/>
        </w:rPr>
        <w:t>提出</w:t>
      </w:r>
      <w:r>
        <w:rPr>
          <w:rFonts w:hint="eastAsia"/>
          <w:lang w:eastAsia="zh-CN"/>
        </w:rPr>
        <w:t>并归口</w:t>
      </w:r>
      <w:r>
        <w:rPr>
          <w:rFonts w:hint="eastAsia"/>
        </w:rPr>
        <w:t>。</w:t>
      </w:r>
    </w:p>
    <w:p w14:paraId="4767C799">
      <w:pPr>
        <w:pStyle w:val="56"/>
        <w:ind w:firstLine="420"/>
        <w:rPr>
          <w:rFonts w:hint="eastAsia"/>
        </w:rPr>
      </w:pPr>
      <w:r>
        <w:rPr>
          <w:rFonts w:hint="eastAsia"/>
        </w:rPr>
        <w:t>本文件起草单位：</w:t>
      </w:r>
    </w:p>
    <w:p w14:paraId="4D859946">
      <w:pPr>
        <w:pStyle w:val="56"/>
        <w:ind w:firstLine="420"/>
        <w:rPr>
          <w:rFonts w:hint="eastAsia"/>
        </w:rPr>
      </w:pPr>
      <w:r>
        <w:rPr>
          <w:rFonts w:hint="eastAsia"/>
        </w:rPr>
        <w:t>本文件主要起草人：</w:t>
      </w:r>
    </w:p>
    <w:p w14:paraId="6AF65AEC">
      <w:pPr>
        <w:pStyle w:val="56"/>
        <w:ind w:firstLine="420"/>
      </w:pPr>
    </w:p>
    <w:p w14:paraId="32C9D058">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14:paraId="69B390E3">
      <w:pPr>
        <w:spacing w:line="20" w:lineRule="exact"/>
        <w:jc w:val="center"/>
        <w:rPr>
          <w:rFonts w:ascii="黑体" w:hAnsi="黑体" w:eastAsia="黑体"/>
          <w:sz w:val="32"/>
          <w:szCs w:val="32"/>
        </w:rPr>
      </w:pPr>
      <w:bookmarkStart w:id="22" w:name="BookMark4"/>
    </w:p>
    <w:p w14:paraId="4EEDCE58">
      <w:pPr>
        <w:spacing w:line="20" w:lineRule="exact"/>
        <w:jc w:val="center"/>
        <w:rPr>
          <w:rFonts w:ascii="黑体" w:hAnsi="黑体" w:eastAsia="黑体"/>
          <w:sz w:val="32"/>
          <w:szCs w:val="32"/>
        </w:rPr>
      </w:pPr>
    </w:p>
    <w:sdt>
      <w:sdtPr>
        <w:tag w:val="NEW_STAND_NAME"/>
        <w:id w:val="595910757"/>
        <w:lock w:val="sdtLocked"/>
        <w:placeholder>
          <w:docPart w:val="DF37FAD6B03E451AA4F6A539FD9169FF"/>
        </w:placeholder>
      </w:sdtPr>
      <w:sdtContent>
        <w:p w14:paraId="7B5FA2C8">
          <w:pPr>
            <w:pStyle w:val="177"/>
          </w:pPr>
          <w:bookmarkStart w:id="23" w:name="NEW_STAND_NAME"/>
          <w:r>
            <w:rPr>
              <w:rFonts w:hint="eastAsia"/>
              <w:lang w:eastAsia="zh-CN"/>
            </w:rPr>
            <w:t>井冈山永丰‘扁萝卜’</w:t>
          </w:r>
        </w:p>
      </w:sdtContent>
    </w:sdt>
    <w:bookmarkEnd w:id="23"/>
    <w:p w14:paraId="25938A56">
      <w:pPr>
        <w:pStyle w:val="104"/>
        <w:spacing w:before="240" w:after="240"/>
      </w:pPr>
      <w:bookmarkStart w:id="24" w:name="_Toc97192964"/>
      <w:bookmarkStart w:id="25" w:name="_Toc17233333"/>
      <w:bookmarkStart w:id="26" w:name="_Toc26648465"/>
      <w:bookmarkStart w:id="27" w:name="_Toc17233325"/>
      <w:bookmarkStart w:id="28" w:name="_Toc24884211"/>
      <w:bookmarkStart w:id="29" w:name="_Toc26986771"/>
      <w:bookmarkStart w:id="30" w:name="_Toc24884218"/>
      <w:bookmarkStart w:id="31" w:name="_Toc26986530"/>
      <w:bookmarkStart w:id="32" w:name="_Toc26718930"/>
      <w:r>
        <w:rPr>
          <w:rFonts w:hint="eastAsia"/>
        </w:rPr>
        <w:t>范围</w:t>
      </w:r>
      <w:bookmarkEnd w:id="24"/>
      <w:bookmarkEnd w:id="25"/>
      <w:bookmarkEnd w:id="26"/>
      <w:bookmarkEnd w:id="27"/>
      <w:bookmarkEnd w:id="28"/>
      <w:bookmarkEnd w:id="29"/>
      <w:bookmarkEnd w:id="30"/>
      <w:bookmarkEnd w:id="31"/>
      <w:bookmarkEnd w:id="32"/>
    </w:p>
    <w:p w14:paraId="703C5B90">
      <w:pPr>
        <w:pStyle w:val="230"/>
        <w:rPr>
          <w:rFonts w:hint="eastAsia"/>
        </w:rPr>
      </w:pPr>
      <w:bookmarkStart w:id="33" w:name="_Toc17233326"/>
      <w:bookmarkStart w:id="34" w:name="_Toc24884212"/>
      <w:bookmarkStart w:id="35" w:name="_Toc24884219"/>
      <w:bookmarkStart w:id="36" w:name="_Toc26648466"/>
      <w:bookmarkStart w:id="37" w:name="_Toc17233334"/>
      <w:r>
        <w:rPr>
          <w:rFonts w:hint="eastAsia"/>
        </w:rPr>
        <w:t>本标准规定了井冈</w:t>
      </w:r>
      <w:r>
        <w:rPr>
          <w:rFonts w:hint="eastAsia"/>
          <w:lang w:eastAsia="zh-CN"/>
        </w:rPr>
        <w:t>山永丰扁萝卜</w:t>
      </w:r>
      <w:r>
        <w:rPr>
          <w:rFonts w:hint="eastAsia"/>
        </w:rPr>
        <w:t>的术语与定义、</w:t>
      </w:r>
      <w:r>
        <w:rPr>
          <w:rFonts w:hint="eastAsia"/>
          <w:lang w:eastAsia="zh-CN"/>
        </w:rPr>
        <w:t>基本要求</w:t>
      </w:r>
      <w:r>
        <w:rPr>
          <w:rFonts w:hint="eastAsia"/>
        </w:rPr>
        <w:t>、</w:t>
      </w:r>
      <w:r>
        <w:rPr>
          <w:rFonts w:hint="eastAsia"/>
          <w:lang w:eastAsia="zh-CN"/>
        </w:rPr>
        <w:t>检测</w:t>
      </w:r>
      <w:r>
        <w:rPr>
          <w:rFonts w:hint="eastAsia"/>
        </w:rPr>
        <w:t>方法、检验规则、</w:t>
      </w:r>
      <w:r>
        <w:rPr>
          <w:rFonts w:hint="eastAsia"/>
          <w:lang w:val="en-US" w:eastAsia="zh-CN"/>
        </w:rPr>
        <w:t>包装、标志与标签、运输与贮存</w:t>
      </w:r>
      <w:r>
        <w:rPr>
          <w:rFonts w:hint="eastAsia"/>
        </w:rPr>
        <w:t>。</w:t>
      </w:r>
    </w:p>
    <w:p w14:paraId="762BF94B">
      <w:pPr>
        <w:pStyle w:val="56"/>
        <w:ind w:firstLine="420"/>
      </w:pPr>
      <w:r>
        <w:rPr>
          <w:rFonts w:hint="eastAsia"/>
        </w:rPr>
        <w:t>本标准适用于</w:t>
      </w:r>
      <w:r>
        <w:rPr>
          <w:rFonts w:hint="eastAsia"/>
          <w:lang w:eastAsia="zh-CN"/>
        </w:rPr>
        <w:t>吉安地区种植的鲜食</w:t>
      </w:r>
      <w:r>
        <w:rPr>
          <w:rFonts w:hint="eastAsia"/>
        </w:rPr>
        <w:t>井冈</w:t>
      </w:r>
      <w:r>
        <w:rPr>
          <w:rFonts w:hint="eastAsia"/>
          <w:lang w:eastAsia="zh-CN"/>
        </w:rPr>
        <w:t>山永丰扁萝卜，即鲜食井冈山永丰芜菁。</w:t>
      </w:r>
    </w:p>
    <w:p w14:paraId="1C7E0A91">
      <w:pPr>
        <w:pStyle w:val="104"/>
        <w:spacing w:before="240" w:after="240"/>
      </w:pPr>
      <w:bookmarkStart w:id="38" w:name="_Toc26986531"/>
      <w:bookmarkStart w:id="39" w:name="_Toc26986772"/>
      <w:bookmarkStart w:id="40" w:name="_Toc26718931"/>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E20214479D9946F9ACCFB85993E949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20221BB">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09FFCB3">
      <w:pPr>
        <w:pStyle w:val="56"/>
        <w:ind w:firstLine="420"/>
        <w:rPr>
          <w:rFonts w:hint="eastAsia"/>
          <w:color w:val="auto"/>
        </w:rPr>
      </w:pPr>
      <w:bookmarkStart w:id="42" w:name="_Toc97192966"/>
      <w:r>
        <w:rPr>
          <w:rFonts w:hint="eastAsia"/>
          <w:color w:val="auto"/>
        </w:rPr>
        <w:t>GB 2762 食品安全国家标准 食品中污染物限量</w:t>
      </w:r>
    </w:p>
    <w:p w14:paraId="5F722120">
      <w:pPr>
        <w:pStyle w:val="56"/>
        <w:ind w:firstLine="420"/>
        <w:rPr>
          <w:rFonts w:hint="eastAsia"/>
          <w:color w:val="auto"/>
        </w:rPr>
      </w:pPr>
      <w:r>
        <w:rPr>
          <w:rFonts w:hint="eastAsia"/>
          <w:color w:val="auto"/>
        </w:rPr>
        <w:t>GB 2763 食品安全国家标准 食品中农药最大残留限量</w:t>
      </w:r>
    </w:p>
    <w:p w14:paraId="366D98A6">
      <w:pPr>
        <w:pStyle w:val="56"/>
        <w:ind w:firstLine="420"/>
        <w:rPr>
          <w:rFonts w:hint="eastAsia"/>
          <w:color w:val="auto"/>
        </w:rPr>
      </w:pPr>
      <w:r>
        <w:rPr>
          <w:rFonts w:hint="eastAsia"/>
          <w:color w:val="auto"/>
        </w:rPr>
        <w:t>GB 43284 限制商品过度包装要求 生鲜食用农产品</w:t>
      </w:r>
    </w:p>
    <w:p w14:paraId="561E0825">
      <w:pPr>
        <w:pStyle w:val="56"/>
        <w:ind w:firstLine="420"/>
        <w:rPr>
          <w:rFonts w:hint="eastAsia"/>
          <w:color w:val="auto"/>
        </w:rPr>
      </w:pPr>
      <w:r>
        <w:rPr>
          <w:rFonts w:hint="eastAsia"/>
          <w:color w:val="auto"/>
        </w:rPr>
        <w:t>GB 4806.1 食品安全国家标准 食品接触材料及制品通用安全要求</w:t>
      </w:r>
    </w:p>
    <w:p w14:paraId="63105174">
      <w:pPr>
        <w:pStyle w:val="56"/>
        <w:ind w:firstLine="420"/>
        <w:rPr>
          <w:rFonts w:hint="eastAsia"/>
          <w:color w:val="auto"/>
        </w:rPr>
      </w:pPr>
      <w:r>
        <w:rPr>
          <w:rFonts w:hint="eastAsia"/>
          <w:color w:val="auto"/>
        </w:rPr>
        <w:t>GB 4806.7 食品安全国家标准 食品接触用塑料材料及制品</w:t>
      </w:r>
    </w:p>
    <w:p w14:paraId="2B83E99F">
      <w:pPr>
        <w:pStyle w:val="56"/>
        <w:ind w:firstLine="420"/>
        <w:rPr>
          <w:rFonts w:hint="eastAsia"/>
          <w:color w:val="auto"/>
        </w:rPr>
      </w:pPr>
      <w:r>
        <w:rPr>
          <w:rFonts w:hint="eastAsia"/>
          <w:color w:val="auto"/>
        </w:rPr>
        <w:t>GB 4806.8 食品安全国家标准 食品接触用纸及纸制品</w:t>
      </w:r>
    </w:p>
    <w:p w14:paraId="72E088E6">
      <w:pPr>
        <w:pStyle w:val="56"/>
        <w:ind w:firstLine="420"/>
        <w:rPr>
          <w:rFonts w:hint="eastAsia"/>
          <w:color w:val="auto"/>
        </w:rPr>
      </w:pPr>
      <w:r>
        <w:rPr>
          <w:rFonts w:hint="eastAsia"/>
          <w:color w:val="auto"/>
        </w:rPr>
        <w:t>GB/T 5009.10 植物类食品中粗纤维的测定</w:t>
      </w:r>
    </w:p>
    <w:p w14:paraId="3510FB4A">
      <w:pPr>
        <w:pStyle w:val="56"/>
        <w:ind w:firstLine="420"/>
        <w:rPr>
          <w:rFonts w:hint="eastAsia"/>
          <w:color w:val="auto"/>
        </w:rPr>
      </w:pPr>
      <w:r>
        <w:rPr>
          <w:rFonts w:hint="eastAsia"/>
          <w:color w:val="auto"/>
        </w:rPr>
        <w:t>GB/T 19630 有机产品 生产、加工、标识与管理体系要求</w:t>
      </w:r>
    </w:p>
    <w:p w14:paraId="37EB364F">
      <w:pPr>
        <w:pStyle w:val="56"/>
        <w:ind w:firstLine="420"/>
        <w:rPr>
          <w:rFonts w:hint="eastAsia"/>
          <w:color w:val="auto"/>
        </w:rPr>
      </w:pPr>
      <w:r>
        <w:rPr>
          <w:rFonts w:hint="eastAsia"/>
          <w:color w:val="auto"/>
        </w:rPr>
        <w:t>GB/T 5737 食品塑料 周转箱</w:t>
      </w:r>
    </w:p>
    <w:p w14:paraId="3C05310B">
      <w:pPr>
        <w:pStyle w:val="56"/>
        <w:ind w:firstLine="420"/>
        <w:rPr>
          <w:rFonts w:hint="eastAsia"/>
          <w:color w:val="auto"/>
        </w:rPr>
      </w:pPr>
      <w:r>
        <w:rPr>
          <w:rFonts w:hint="eastAsia"/>
          <w:color w:val="auto"/>
        </w:rPr>
        <w:t>NY/T 1056 绿色食品 贮藏运输准则</w:t>
      </w:r>
    </w:p>
    <w:p w14:paraId="52A90524">
      <w:pPr>
        <w:pStyle w:val="56"/>
        <w:ind w:firstLine="420"/>
        <w:rPr>
          <w:rFonts w:hint="eastAsia"/>
          <w:color w:val="auto"/>
        </w:rPr>
      </w:pPr>
      <w:r>
        <w:rPr>
          <w:rFonts w:hint="eastAsia"/>
          <w:color w:val="auto"/>
        </w:rPr>
        <w:t>NY/T 391 绿色食品 产地环境质量</w:t>
      </w:r>
    </w:p>
    <w:p w14:paraId="64F3E473">
      <w:pPr>
        <w:pStyle w:val="56"/>
        <w:ind w:firstLine="420"/>
        <w:rPr>
          <w:rFonts w:hint="eastAsia"/>
          <w:color w:val="auto"/>
        </w:rPr>
      </w:pPr>
      <w:r>
        <w:rPr>
          <w:rFonts w:hint="eastAsia"/>
          <w:color w:val="auto"/>
        </w:rPr>
        <w:t>NY/T 393 绿色食品 农药使用准则</w:t>
      </w:r>
    </w:p>
    <w:p w14:paraId="0A71633B">
      <w:pPr>
        <w:pStyle w:val="56"/>
        <w:ind w:firstLine="420"/>
        <w:rPr>
          <w:rFonts w:hint="eastAsia"/>
          <w:color w:val="auto"/>
        </w:rPr>
      </w:pPr>
      <w:r>
        <w:rPr>
          <w:rFonts w:hint="eastAsia"/>
          <w:color w:val="auto"/>
        </w:rPr>
        <w:t>NY/T 394 绿色食品 肥料使用准则</w:t>
      </w:r>
    </w:p>
    <w:p w14:paraId="625D443B">
      <w:pPr>
        <w:pStyle w:val="56"/>
        <w:ind w:firstLine="420"/>
        <w:rPr>
          <w:rFonts w:hint="eastAsia"/>
          <w:color w:val="auto"/>
        </w:rPr>
      </w:pPr>
      <w:r>
        <w:rPr>
          <w:rFonts w:hint="eastAsia"/>
          <w:color w:val="auto"/>
        </w:rPr>
        <w:t>NY/T 658 绿色食品 包装通用准则</w:t>
      </w:r>
    </w:p>
    <w:p w14:paraId="3FCFBD56">
      <w:pPr>
        <w:pStyle w:val="56"/>
        <w:ind w:firstLine="420"/>
        <w:rPr>
          <w:rFonts w:hint="eastAsia"/>
          <w:color w:val="auto"/>
        </w:rPr>
      </w:pPr>
      <w:r>
        <w:rPr>
          <w:rFonts w:hint="eastAsia"/>
          <w:color w:val="auto"/>
        </w:rPr>
        <w:t>NY/T 745 绿色食品 根菜类蔬菜</w:t>
      </w:r>
    </w:p>
    <w:p w14:paraId="69B70403">
      <w:pPr>
        <w:pStyle w:val="56"/>
        <w:ind w:firstLine="420"/>
        <w:rPr>
          <w:rFonts w:hint="eastAsia"/>
          <w:color w:val="auto"/>
        </w:rPr>
      </w:pPr>
      <w:r>
        <w:rPr>
          <w:rFonts w:hint="eastAsia"/>
          <w:color w:val="auto"/>
        </w:rPr>
        <w:t>SN/T 4260 出口植物源食品中粗多糖的测定 苯酚-硫酸法</w:t>
      </w:r>
    </w:p>
    <w:p w14:paraId="4282C17D">
      <w:pPr>
        <w:pStyle w:val="56"/>
        <w:ind w:firstLine="420"/>
        <w:rPr>
          <w:rFonts w:hint="eastAsia"/>
          <w:color w:val="auto"/>
        </w:rPr>
      </w:pPr>
      <w:r>
        <w:rPr>
          <w:rFonts w:hint="eastAsia"/>
          <w:color w:val="auto"/>
        </w:rPr>
        <w:t>JJF 1070 定量包装商品净含量计量检验规则</w:t>
      </w:r>
    </w:p>
    <w:p w14:paraId="359CDC8C">
      <w:pPr>
        <w:pStyle w:val="56"/>
        <w:ind w:firstLine="420"/>
        <w:rPr>
          <w:rFonts w:hint="eastAsia"/>
          <w:color w:val="auto"/>
        </w:rPr>
      </w:pPr>
      <w:r>
        <w:rPr>
          <w:rFonts w:hint="eastAsia"/>
          <w:color w:val="auto"/>
          <w:lang w:val="en-US" w:eastAsia="zh-CN"/>
        </w:rPr>
        <w:t>国家市场监督管理总局令 2023 年第 70 号 定量包装商品计量监督管理办法</w:t>
      </w:r>
    </w:p>
    <w:p w14:paraId="7F6E88D6">
      <w:pPr>
        <w:pStyle w:val="104"/>
        <w:spacing w:before="240" w:after="240"/>
      </w:pPr>
      <w:r>
        <w:rPr>
          <w:rFonts w:hint="eastAsia"/>
          <w:szCs w:val="21"/>
        </w:rPr>
        <w:t>术语和定义</w:t>
      </w:r>
      <w:bookmarkEnd w:id="42"/>
    </w:p>
    <w:sdt>
      <w:sdtPr>
        <w:id w:val="-1909835108"/>
        <w:placeholder>
          <w:docPart w:val="254700745DDB40F9AB715A099C88D3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F72AAE3">
          <w:pPr>
            <w:pStyle w:val="56"/>
            <w:ind w:firstLine="420"/>
          </w:pPr>
          <w:bookmarkStart w:id="43" w:name="_Toc26986532"/>
          <w:bookmarkEnd w:id="43"/>
          <w:r>
            <w:t>下列术语和定义适用于本文件。</w:t>
          </w:r>
          <w:bookmarkEnd w:id="22"/>
          <w:bookmarkStart w:id="44" w:name="BookMark8"/>
        </w:p>
      </w:sdtContent>
    </w:sdt>
    <w:p w14:paraId="6A20E602">
      <w:pPr>
        <w:pStyle w:val="223"/>
        <w:ind w:left="420" w:hanging="420" w:hangingChars="200"/>
        <w:rPr>
          <w:rFonts w:hint="default" w:eastAsia="宋体"/>
          <w:lang w:val="en-US" w:eastAsia="zh-CN"/>
        </w:rPr>
      </w:pPr>
    </w:p>
    <w:p w14:paraId="260C394E">
      <w:pPr>
        <w:pStyle w:val="231"/>
        <w:numPr>
          <w:ilvl w:val="0"/>
          <w:numId w:val="0"/>
        </w:numPr>
        <w:ind w:firstLine="420" w:firstLineChars="200"/>
        <w:rPr>
          <w:rFonts w:hint="default" w:eastAsia="黑体"/>
          <w:lang w:val="en-US" w:eastAsia="zh-CN"/>
        </w:rPr>
      </w:pPr>
      <w:r>
        <w:rPr>
          <w:rFonts w:hint="eastAsia"/>
        </w:rPr>
        <w:t>井冈</w:t>
      </w:r>
      <w:r>
        <w:rPr>
          <w:rFonts w:hint="eastAsia"/>
          <w:lang w:eastAsia="zh-CN"/>
        </w:rPr>
        <w:t>山永丰扁萝卜</w:t>
      </w:r>
      <w:r>
        <w:rPr>
          <w:rFonts w:hint="eastAsia"/>
        </w:rPr>
        <w:t xml:space="preserve">  j</w:t>
      </w:r>
      <w:r>
        <w:t>inggan</w:t>
      </w:r>
      <w:r>
        <w:rPr>
          <w:rFonts w:hint="eastAsia"/>
        </w:rPr>
        <w:t>g</w:t>
      </w:r>
      <w:r>
        <w:rPr>
          <w:rFonts w:hint="eastAsia"/>
          <w:lang w:val="en-US" w:eastAsia="zh-CN"/>
        </w:rPr>
        <w:t xml:space="preserve">shan </w:t>
      </w:r>
      <w:r>
        <w:rPr>
          <w:rFonts w:hint="eastAsia"/>
          <w:szCs w:val="28"/>
          <w:lang w:val="en-US" w:eastAsia="zh-CN"/>
        </w:rPr>
        <w:t>y</w:t>
      </w:r>
      <w:r>
        <w:rPr>
          <w:rFonts w:hint="eastAsia" w:eastAsia="黑体"/>
          <w:szCs w:val="28"/>
          <w:lang w:val="en-US" w:eastAsia="zh-CN"/>
        </w:rPr>
        <w:t>ongfeng Brassica rapa L.</w:t>
      </w:r>
    </w:p>
    <w:p w14:paraId="2E64C882">
      <w:pPr>
        <w:pStyle w:val="56"/>
        <w:rPr>
          <w:rFonts w:hint="eastAsia"/>
          <w:lang w:val="en-US" w:eastAsia="zh-CN"/>
        </w:rPr>
      </w:pPr>
      <w:r>
        <w:rPr>
          <w:rFonts w:hint="eastAsia"/>
          <w:lang w:eastAsia="zh-CN"/>
        </w:rPr>
        <w:t>井冈山永丰扁萝卜是在吉安地区生产栽培的，符合本文件要求，</w:t>
      </w:r>
      <w:r>
        <w:rPr>
          <w:rFonts w:hint="eastAsia"/>
          <w:lang w:val="en-US" w:eastAsia="zh-CN"/>
        </w:rPr>
        <w:t>并经“井冈山®”商标持有人授权的十字花科芸薹属芸薹种芜菁亚种的两年生植物块茎。</w:t>
      </w:r>
    </w:p>
    <w:p w14:paraId="6E2A0DDF">
      <w:pPr>
        <w:pStyle w:val="56"/>
        <w:rPr>
          <w:rFonts w:hint="eastAsia"/>
        </w:rPr>
      </w:pPr>
      <w:r>
        <w:rPr>
          <w:rFonts w:hint="eastAsia"/>
          <w:lang w:val="en-US" w:eastAsia="zh-CN"/>
        </w:rPr>
        <w:t>井冈山永丰扁萝卜生产区域范围见附录A</w:t>
      </w:r>
      <w:r>
        <w:rPr>
          <w:rFonts w:hint="eastAsia"/>
        </w:rPr>
        <w:t>。</w:t>
      </w:r>
    </w:p>
    <w:p w14:paraId="0BF57125">
      <w:pPr>
        <w:pStyle w:val="104"/>
        <w:spacing w:before="240" w:after="240"/>
        <w:rPr>
          <w:rFonts w:hint="eastAsia"/>
        </w:rPr>
      </w:pPr>
      <w:bookmarkStart w:id="45" w:name="_Toc363477221"/>
      <w:r>
        <w:rPr>
          <w:rFonts w:hint="eastAsia"/>
          <w:lang w:eastAsia="zh-CN"/>
        </w:rPr>
        <w:t>基本要求</w:t>
      </w:r>
      <w:bookmarkEnd w:id="45"/>
    </w:p>
    <w:p w14:paraId="08631676">
      <w:pPr>
        <w:pStyle w:val="105"/>
        <w:spacing w:before="120" w:after="120"/>
      </w:pPr>
      <w:r>
        <w:rPr>
          <w:rFonts w:hint="eastAsia"/>
          <w:lang w:val="en-US" w:eastAsia="zh-CN"/>
        </w:rPr>
        <w:t>品种</w:t>
      </w:r>
    </w:p>
    <w:p w14:paraId="25CC4FF6">
      <w:pPr>
        <w:pStyle w:val="56"/>
        <w:rPr>
          <w:rFonts w:hint="default"/>
          <w:lang w:val="en-US" w:eastAsia="zh-CN"/>
        </w:rPr>
      </w:pPr>
      <w:r>
        <w:rPr>
          <w:rFonts w:hint="eastAsia"/>
          <w:lang w:val="en-US" w:eastAsia="zh-CN"/>
        </w:rPr>
        <w:t>选用永丰县当地芜菁亚种品种。</w:t>
      </w:r>
    </w:p>
    <w:p w14:paraId="509FAD6B">
      <w:pPr>
        <w:pStyle w:val="105"/>
        <w:spacing w:before="120" w:after="120"/>
      </w:pPr>
      <w:r>
        <w:rPr>
          <w:rFonts w:hint="eastAsia"/>
        </w:rPr>
        <w:t>产地环境</w:t>
      </w:r>
    </w:p>
    <w:p w14:paraId="53E89FB5">
      <w:pPr>
        <w:pStyle w:val="56"/>
        <w:ind w:firstLine="960"/>
        <w:rPr>
          <w:rFonts w:hint="eastAsia"/>
          <w:lang w:val="en-US" w:eastAsia="zh-CN"/>
        </w:rPr>
      </w:pPr>
      <w:r>
        <w:rPr>
          <w:rFonts w:hint="eastAsia"/>
        </w:rPr>
        <w:t>应符合</w:t>
      </w:r>
      <w:bookmarkStart w:id="46" w:name="_Hlk103953316"/>
      <w:r>
        <w:rPr>
          <w:rFonts w:hint="eastAsia"/>
        </w:rPr>
        <w:t>NY/T 391</w:t>
      </w:r>
      <w:bookmarkEnd w:id="46"/>
      <w:r>
        <w:rPr>
          <w:rFonts w:hint="eastAsia"/>
        </w:rPr>
        <w:t>的要求</w:t>
      </w:r>
      <w:r>
        <w:rPr>
          <w:rFonts w:hint="eastAsia"/>
          <w:lang w:val="en-US" w:eastAsia="zh-CN"/>
        </w:rPr>
        <w:t>。</w:t>
      </w:r>
      <w:r>
        <w:rPr>
          <w:rFonts w:hint="eastAsia"/>
        </w:rPr>
        <w:t>有机产品应符合</w:t>
      </w:r>
      <w:bookmarkStart w:id="47" w:name="_Hlk111149948"/>
      <w:bookmarkStart w:id="48" w:name="_Hlk111488025"/>
      <w:bookmarkStart w:id="49" w:name="_Hlk111150970"/>
      <w:r>
        <w:rPr>
          <w:rFonts w:hint="eastAsia"/>
        </w:rPr>
        <w:t>GB/T</w:t>
      </w:r>
      <w:bookmarkEnd w:id="47"/>
      <w:r>
        <w:rPr>
          <w:rFonts w:hint="eastAsia"/>
        </w:rPr>
        <w:t xml:space="preserve"> 19630</w:t>
      </w:r>
      <w:bookmarkEnd w:id="48"/>
      <w:r>
        <w:rPr>
          <w:rFonts w:hint="eastAsia"/>
        </w:rPr>
        <w:t>的要求</w:t>
      </w:r>
      <w:bookmarkEnd w:id="49"/>
      <w:r>
        <w:rPr>
          <w:rFonts w:hint="eastAsia"/>
        </w:rPr>
        <w:t>。</w:t>
      </w:r>
    </w:p>
    <w:p w14:paraId="7FBC9409">
      <w:pPr>
        <w:pStyle w:val="105"/>
        <w:spacing w:before="120" w:after="120"/>
      </w:pPr>
      <w:r>
        <w:rPr>
          <w:rFonts w:hint="eastAsia"/>
        </w:rPr>
        <w:t>投入品</w:t>
      </w:r>
    </w:p>
    <w:p w14:paraId="6CAECE10">
      <w:pPr>
        <w:pStyle w:val="56"/>
        <w:rPr>
          <w:rFonts w:hint="eastAsia"/>
        </w:rPr>
      </w:pPr>
      <w:r>
        <w:rPr>
          <w:rFonts w:hint="eastAsia"/>
        </w:rPr>
        <w:t>投入品使用应遵守</w:t>
      </w:r>
      <w:bookmarkStart w:id="50" w:name="_Hlk111472201"/>
      <w:r>
        <w:rPr>
          <w:rFonts w:hint="eastAsia"/>
        </w:rPr>
        <w:t>NY/T</w:t>
      </w:r>
      <w:bookmarkEnd w:id="50"/>
      <w:r>
        <w:rPr>
          <w:rFonts w:hint="eastAsia"/>
        </w:rPr>
        <w:t xml:space="preserve"> 393、NY/T</w:t>
      </w:r>
      <w:r>
        <w:rPr>
          <w:rFonts w:hint="eastAsia"/>
          <w:lang w:val="en-US" w:eastAsia="zh-CN"/>
        </w:rPr>
        <w:t xml:space="preserve"> </w:t>
      </w:r>
      <w:r>
        <w:rPr>
          <w:rFonts w:hint="eastAsia"/>
        </w:rPr>
        <w:t>394的要求</w:t>
      </w:r>
      <w:r>
        <w:rPr>
          <w:rFonts w:hint="eastAsia"/>
          <w:lang w:eastAsia="zh-CN"/>
        </w:rPr>
        <w:t>，</w:t>
      </w:r>
      <w:r>
        <w:rPr>
          <w:rFonts w:hint="eastAsia"/>
        </w:rPr>
        <w:t xml:space="preserve"> 有机产品投入品应符合GB/T 19630的要求。</w:t>
      </w:r>
    </w:p>
    <w:p w14:paraId="142A0F36">
      <w:pPr>
        <w:pStyle w:val="105"/>
        <w:bidi w:val="0"/>
        <w:rPr>
          <w:rFonts w:hint="default"/>
          <w:lang w:val="en-US" w:eastAsia="zh-CN"/>
        </w:rPr>
      </w:pPr>
      <w:r>
        <w:rPr>
          <w:rFonts w:hint="eastAsia"/>
          <w:lang w:val="en-US" w:eastAsia="zh-CN"/>
        </w:rPr>
        <w:t>采收</w:t>
      </w:r>
    </w:p>
    <w:p w14:paraId="79F3BEC7">
      <w:pPr>
        <w:pStyle w:val="56"/>
        <w:ind w:firstLine="960"/>
        <w:rPr>
          <w:rFonts w:hint="eastAsia"/>
        </w:rPr>
      </w:pPr>
      <w:r>
        <w:rPr>
          <w:rFonts w:hint="eastAsia"/>
          <w:lang w:val="en-US" w:eastAsia="zh-CN"/>
        </w:rPr>
        <w:t>9月至12月采收。</w:t>
      </w:r>
    </w:p>
    <w:p w14:paraId="330E8B7C">
      <w:pPr>
        <w:pStyle w:val="105"/>
        <w:spacing w:before="120" w:after="120"/>
        <w:rPr>
          <w:rFonts w:hint="eastAsia"/>
        </w:rPr>
      </w:pPr>
      <w:r>
        <w:rPr>
          <w:rFonts w:hint="eastAsia"/>
          <w:lang w:eastAsia="zh-CN"/>
        </w:rPr>
        <w:t>感官</w:t>
      </w:r>
      <w:r>
        <w:rPr>
          <w:rFonts w:hint="eastAsia"/>
        </w:rPr>
        <w:t>要求</w:t>
      </w:r>
    </w:p>
    <w:p w14:paraId="0E50F320">
      <w:pPr>
        <w:pStyle w:val="56"/>
        <w:rPr>
          <w:rFonts w:hint="default" w:eastAsia="宋体"/>
          <w:lang w:val="en-US" w:eastAsia="zh-CN"/>
        </w:rPr>
      </w:pPr>
      <w:r>
        <w:rPr>
          <w:rFonts w:hint="eastAsia"/>
          <w:lang w:val="en-US" w:eastAsia="zh-CN"/>
        </w:rPr>
        <w:t>依据感官指标分为特级、一级和二级，应</w:t>
      </w:r>
      <w:r>
        <w:rPr>
          <w:rFonts w:hint="eastAsia"/>
        </w:rPr>
        <w:t>符合表</w:t>
      </w:r>
      <w:r>
        <w:t>1</w:t>
      </w:r>
      <w:r>
        <w:rPr>
          <w:rFonts w:hint="eastAsia"/>
        </w:rPr>
        <w:t xml:space="preserve">的要求。绿色食品还应符合NY/T </w:t>
      </w:r>
      <w:r>
        <w:rPr>
          <w:rFonts w:hint="eastAsia"/>
          <w:lang w:val="en-US" w:eastAsia="zh-CN"/>
        </w:rPr>
        <w:t xml:space="preserve">745 </w:t>
      </w:r>
      <w:r>
        <w:rPr>
          <w:rFonts w:hint="eastAsia"/>
        </w:rPr>
        <w:t>的要求，有机产品还应符合GB/T 19630 的要求。</w:t>
      </w:r>
    </w:p>
    <w:p w14:paraId="52BF9BBA">
      <w:pPr>
        <w:pStyle w:val="233"/>
        <w:rPr>
          <w:rFonts w:hint="eastAsia"/>
        </w:rPr>
      </w:pPr>
      <w:r>
        <w:rPr>
          <w:rFonts w:hint="eastAsia"/>
          <w:lang w:eastAsia="zh-CN"/>
        </w:rPr>
        <w:t>感官</w:t>
      </w:r>
      <w:r>
        <w:rPr>
          <w:rFonts w:hint="eastAsia"/>
        </w:rPr>
        <w:t>指标</w:t>
      </w:r>
    </w:p>
    <w:tbl>
      <w:tblPr>
        <w:tblStyle w:val="26"/>
        <w:tblW w:w="9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8"/>
        <w:gridCol w:w="2538"/>
        <w:gridCol w:w="2170"/>
        <w:gridCol w:w="2172"/>
        <w:gridCol w:w="1059"/>
      </w:tblGrid>
      <w:tr w14:paraId="4BBC4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88" w:type="dxa"/>
            <w:vMerge w:val="restart"/>
            <w:noWrap w:val="0"/>
            <w:vAlign w:val="center"/>
          </w:tcPr>
          <w:p w14:paraId="50763311">
            <w:pPr>
              <w:pStyle w:val="230"/>
              <w:spacing w:line="240" w:lineRule="auto"/>
              <w:ind w:firstLine="0" w:firstLineChars="0"/>
              <w:jc w:val="center"/>
              <w:rPr>
                <w:rFonts w:hint="eastAsia" w:hAnsi="宋体" w:cs="宋体"/>
                <w:sz w:val="18"/>
                <w:szCs w:val="18"/>
              </w:rPr>
            </w:pPr>
            <w:r>
              <w:rPr>
                <w:rFonts w:hint="eastAsia" w:hAnsi="宋体" w:cs="宋体"/>
                <w:sz w:val="18"/>
                <w:szCs w:val="18"/>
              </w:rPr>
              <w:t>项　　目</w:t>
            </w:r>
          </w:p>
        </w:tc>
        <w:tc>
          <w:tcPr>
            <w:tcW w:w="6880" w:type="dxa"/>
            <w:gridSpan w:val="3"/>
            <w:noWrap w:val="0"/>
            <w:vAlign w:val="center"/>
          </w:tcPr>
          <w:p w14:paraId="085E2A76">
            <w:pPr>
              <w:pStyle w:val="230"/>
              <w:spacing w:line="240" w:lineRule="auto"/>
              <w:ind w:firstLine="0" w:firstLineChars="0"/>
              <w:jc w:val="center"/>
              <w:rPr>
                <w:rFonts w:hint="eastAsia" w:hAnsi="宋体" w:cs="宋体"/>
                <w:sz w:val="18"/>
                <w:szCs w:val="18"/>
              </w:rPr>
            </w:pPr>
            <w:r>
              <w:rPr>
                <w:rFonts w:hint="eastAsia" w:hAnsi="宋体" w:cs="宋体"/>
                <w:sz w:val="18"/>
                <w:szCs w:val="18"/>
                <w:lang w:eastAsia="zh-CN"/>
              </w:rPr>
              <w:t>等级</w:t>
            </w:r>
          </w:p>
        </w:tc>
        <w:tc>
          <w:tcPr>
            <w:tcW w:w="1059" w:type="dxa"/>
            <w:vMerge w:val="restart"/>
            <w:noWrap w:val="0"/>
            <w:vAlign w:val="center"/>
          </w:tcPr>
          <w:p w14:paraId="5CC91FA2">
            <w:pPr>
              <w:pStyle w:val="230"/>
              <w:spacing w:line="240" w:lineRule="auto"/>
              <w:ind w:firstLine="0" w:firstLineChars="0"/>
              <w:jc w:val="center"/>
              <w:rPr>
                <w:rFonts w:hint="eastAsia" w:hAnsi="宋体" w:eastAsia="宋体" w:cs="宋体"/>
                <w:sz w:val="18"/>
                <w:szCs w:val="18"/>
                <w:lang w:eastAsia="zh-CN"/>
              </w:rPr>
            </w:pPr>
            <w:r>
              <w:rPr>
                <w:rFonts w:hint="eastAsia" w:hAnsi="宋体" w:cs="宋体"/>
                <w:sz w:val="18"/>
                <w:szCs w:val="18"/>
                <w:lang w:eastAsia="zh-CN"/>
              </w:rPr>
              <w:t>检测方法</w:t>
            </w:r>
          </w:p>
        </w:tc>
      </w:tr>
      <w:tr w14:paraId="1F00E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88" w:type="dxa"/>
            <w:vMerge w:val="continue"/>
            <w:noWrap w:val="0"/>
            <w:vAlign w:val="center"/>
          </w:tcPr>
          <w:p w14:paraId="4319E266">
            <w:pPr>
              <w:pStyle w:val="230"/>
              <w:spacing w:line="240" w:lineRule="auto"/>
              <w:ind w:firstLine="0" w:firstLineChars="0"/>
              <w:jc w:val="center"/>
              <w:rPr>
                <w:rFonts w:hint="eastAsia" w:hAnsi="宋体" w:cs="宋体"/>
                <w:sz w:val="18"/>
                <w:szCs w:val="18"/>
              </w:rPr>
            </w:pPr>
          </w:p>
        </w:tc>
        <w:tc>
          <w:tcPr>
            <w:tcW w:w="2538" w:type="dxa"/>
            <w:noWrap w:val="0"/>
            <w:vAlign w:val="center"/>
          </w:tcPr>
          <w:p w14:paraId="32D1B04B">
            <w:pPr>
              <w:spacing w:line="240" w:lineRule="auto"/>
              <w:jc w:val="center"/>
              <w:rPr>
                <w:rFonts w:hint="eastAsia" w:ascii="宋体" w:hAnsi="宋体" w:cs="宋体"/>
                <w:sz w:val="18"/>
                <w:szCs w:val="18"/>
              </w:rPr>
            </w:pPr>
            <w:r>
              <w:rPr>
                <w:rFonts w:hint="eastAsia" w:ascii="宋体" w:hAnsi="宋体" w:cs="宋体"/>
                <w:sz w:val="18"/>
                <w:szCs w:val="18"/>
              </w:rPr>
              <w:t>特级</w:t>
            </w:r>
          </w:p>
        </w:tc>
        <w:tc>
          <w:tcPr>
            <w:tcW w:w="2170" w:type="dxa"/>
            <w:noWrap w:val="0"/>
            <w:vAlign w:val="center"/>
          </w:tcPr>
          <w:p w14:paraId="606760C7">
            <w:pPr>
              <w:spacing w:line="240" w:lineRule="auto"/>
              <w:jc w:val="center"/>
              <w:rPr>
                <w:rFonts w:hint="eastAsia" w:ascii="宋体" w:hAnsi="宋体" w:cs="宋体"/>
                <w:sz w:val="18"/>
                <w:szCs w:val="18"/>
              </w:rPr>
            </w:pPr>
            <w:r>
              <w:rPr>
                <w:rFonts w:hint="eastAsia" w:ascii="宋体" w:hAnsi="宋体" w:cs="宋体"/>
                <w:sz w:val="18"/>
                <w:szCs w:val="18"/>
              </w:rPr>
              <w:t>一级</w:t>
            </w:r>
          </w:p>
        </w:tc>
        <w:tc>
          <w:tcPr>
            <w:tcW w:w="2172" w:type="dxa"/>
            <w:noWrap w:val="0"/>
            <w:vAlign w:val="center"/>
          </w:tcPr>
          <w:p w14:paraId="6D5B0EC4">
            <w:pPr>
              <w:spacing w:line="240" w:lineRule="auto"/>
              <w:jc w:val="center"/>
              <w:rPr>
                <w:rFonts w:hint="eastAsia" w:ascii="宋体" w:hAnsi="宋体" w:cs="宋体"/>
                <w:sz w:val="18"/>
                <w:szCs w:val="18"/>
              </w:rPr>
            </w:pPr>
            <w:r>
              <w:rPr>
                <w:rFonts w:hint="eastAsia" w:ascii="宋体" w:hAnsi="宋体" w:cs="宋体"/>
                <w:sz w:val="18"/>
                <w:szCs w:val="18"/>
              </w:rPr>
              <w:t>二级</w:t>
            </w:r>
          </w:p>
        </w:tc>
        <w:tc>
          <w:tcPr>
            <w:tcW w:w="1059" w:type="dxa"/>
            <w:vMerge w:val="continue"/>
            <w:noWrap w:val="0"/>
            <w:vAlign w:val="center"/>
          </w:tcPr>
          <w:p w14:paraId="701F3E2B">
            <w:pPr>
              <w:spacing w:line="240" w:lineRule="auto"/>
              <w:jc w:val="center"/>
              <w:rPr>
                <w:rFonts w:hint="eastAsia" w:ascii="宋体" w:hAnsi="宋体" w:cs="宋体"/>
                <w:sz w:val="18"/>
                <w:szCs w:val="18"/>
              </w:rPr>
            </w:pPr>
          </w:p>
        </w:tc>
      </w:tr>
      <w:tr w14:paraId="21EF8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88" w:type="dxa"/>
            <w:noWrap w:val="0"/>
            <w:vAlign w:val="center"/>
          </w:tcPr>
          <w:p w14:paraId="01B6B846">
            <w:pPr>
              <w:pStyle w:val="230"/>
              <w:spacing w:line="240" w:lineRule="auto"/>
              <w:ind w:firstLine="0" w:firstLineChars="0"/>
              <w:jc w:val="center"/>
              <w:rPr>
                <w:rFonts w:hint="eastAsia" w:hAnsi="宋体" w:cs="宋体"/>
                <w:sz w:val="18"/>
                <w:szCs w:val="18"/>
              </w:rPr>
            </w:pPr>
            <w:r>
              <w:rPr>
                <w:rFonts w:hint="eastAsia" w:hAnsi="宋体" w:cs="宋体"/>
                <w:sz w:val="18"/>
                <w:szCs w:val="18"/>
                <w:lang w:eastAsia="zh-CN"/>
              </w:rPr>
              <w:t>重量</w:t>
            </w:r>
            <w:r>
              <w:rPr>
                <w:rFonts w:hint="eastAsia" w:hAnsi="宋体" w:cs="宋体"/>
                <w:sz w:val="18"/>
                <w:szCs w:val="18"/>
              </w:rPr>
              <w:t>（</w:t>
            </w:r>
            <w:r>
              <w:rPr>
                <w:rFonts w:hint="eastAsia" w:hAnsi="宋体" w:cs="宋体"/>
                <w:sz w:val="18"/>
                <w:szCs w:val="18"/>
                <w:lang w:val="en-US" w:eastAsia="zh-CN"/>
              </w:rPr>
              <w:t>k</w:t>
            </w:r>
            <w:r>
              <w:rPr>
                <w:rFonts w:hint="eastAsia" w:hAnsi="宋体" w:cs="宋体"/>
                <w:sz w:val="18"/>
                <w:szCs w:val="18"/>
              </w:rPr>
              <w:t>g）</w:t>
            </w:r>
          </w:p>
        </w:tc>
        <w:tc>
          <w:tcPr>
            <w:tcW w:w="2538" w:type="dxa"/>
            <w:noWrap w:val="0"/>
            <w:vAlign w:val="center"/>
          </w:tcPr>
          <w:p w14:paraId="51CF2DCE">
            <w:pPr>
              <w:spacing w:line="240" w:lineRule="auto"/>
              <w:jc w:val="center"/>
              <w:rPr>
                <w:rFonts w:hint="default" w:ascii="宋体" w:hAnsi="宋体" w:eastAsia="宋体" w:cs="宋体"/>
                <w:color w:val="FF0000"/>
                <w:sz w:val="18"/>
                <w:szCs w:val="18"/>
                <w:lang w:val="en-US" w:eastAsia="zh-CN"/>
              </w:rPr>
            </w:pPr>
            <w:r>
              <w:rPr>
                <w:rFonts w:hint="eastAsia" w:ascii="宋体" w:hAnsi="宋体" w:cs="宋体"/>
                <w:color w:val="FF0000"/>
                <w:sz w:val="18"/>
                <w:szCs w:val="18"/>
                <w:lang w:val="en-US" w:eastAsia="zh-CN"/>
              </w:rPr>
              <w:t>0.50</w:t>
            </w:r>
            <w:r>
              <w:rPr>
                <w:rFonts w:hint="eastAsia" w:ascii="宋体" w:hAnsi="宋体" w:eastAsia="宋体" w:cs="宋体"/>
                <w:color w:val="FF0000"/>
                <w:sz w:val="18"/>
                <w:szCs w:val="18"/>
                <w:lang w:val="en-US" w:eastAsia="zh-CN"/>
              </w:rPr>
              <w:t>～</w:t>
            </w:r>
            <w:r>
              <w:rPr>
                <w:rFonts w:hint="eastAsia" w:ascii="宋体" w:hAnsi="宋体" w:cs="宋体"/>
                <w:color w:val="FF0000"/>
                <w:sz w:val="18"/>
                <w:szCs w:val="18"/>
                <w:lang w:val="en-US" w:eastAsia="zh-CN"/>
              </w:rPr>
              <w:t>0.75</w:t>
            </w:r>
          </w:p>
        </w:tc>
        <w:tc>
          <w:tcPr>
            <w:tcW w:w="2170" w:type="dxa"/>
            <w:noWrap w:val="0"/>
            <w:vAlign w:val="center"/>
          </w:tcPr>
          <w:p w14:paraId="1016A469">
            <w:pPr>
              <w:spacing w:line="240" w:lineRule="auto"/>
              <w:jc w:val="center"/>
              <w:rPr>
                <w:rFonts w:hint="default" w:ascii="宋体" w:hAnsi="宋体" w:eastAsia="宋体" w:cs="宋体"/>
                <w:color w:val="FF0000"/>
                <w:sz w:val="18"/>
                <w:szCs w:val="18"/>
                <w:lang w:val="en-US" w:eastAsia="zh-CN"/>
              </w:rPr>
            </w:pPr>
            <w:r>
              <w:rPr>
                <w:rFonts w:hint="eastAsia" w:ascii="宋体" w:hAnsi="宋体" w:cs="宋体"/>
                <w:color w:val="FF0000"/>
                <w:sz w:val="18"/>
                <w:szCs w:val="18"/>
                <w:lang w:val="en-US" w:eastAsia="zh-CN"/>
              </w:rPr>
              <w:t>0.40</w:t>
            </w:r>
            <w:r>
              <w:rPr>
                <w:rFonts w:hint="eastAsia" w:ascii="宋体" w:hAnsi="宋体" w:eastAsia="宋体" w:cs="宋体"/>
                <w:color w:val="FF0000"/>
                <w:sz w:val="18"/>
                <w:szCs w:val="18"/>
                <w:lang w:val="en-US" w:eastAsia="zh-CN"/>
              </w:rPr>
              <w:t>～</w:t>
            </w:r>
            <w:r>
              <w:rPr>
                <w:rFonts w:hint="eastAsia" w:ascii="宋体" w:hAnsi="宋体" w:cs="宋体"/>
                <w:color w:val="FF0000"/>
                <w:sz w:val="18"/>
                <w:szCs w:val="18"/>
                <w:lang w:val="en-US" w:eastAsia="zh-CN"/>
              </w:rPr>
              <w:t>1.2</w:t>
            </w:r>
          </w:p>
        </w:tc>
        <w:tc>
          <w:tcPr>
            <w:tcW w:w="2172" w:type="dxa"/>
            <w:noWrap w:val="0"/>
            <w:vAlign w:val="center"/>
          </w:tcPr>
          <w:p w14:paraId="60F025E2">
            <w:pPr>
              <w:spacing w:line="240" w:lineRule="auto"/>
              <w:ind w:right="-73" w:rightChars="-35"/>
              <w:jc w:val="center"/>
              <w:rPr>
                <w:rFonts w:hint="default" w:ascii="宋体" w:hAnsi="宋体" w:eastAsia="宋体" w:cs="宋体"/>
                <w:color w:val="FF0000"/>
                <w:sz w:val="18"/>
                <w:szCs w:val="18"/>
                <w:lang w:val="en-US" w:eastAsia="zh-CN"/>
              </w:rPr>
            </w:pPr>
            <w:r>
              <w:rPr>
                <w:rFonts w:hint="eastAsia" w:ascii="宋体" w:hAnsi="宋体" w:cs="宋体"/>
                <w:color w:val="FF0000"/>
                <w:sz w:val="18"/>
                <w:szCs w:val="18"/>
                <w:lang w:val="en-US" w:eastAsia="zh-CN"/>
              </w:rPr>
              <w:t>0.30</w:t>
            </w:r>
            <w:r>
              <w:rPr>
                <w:rFonts w:hint="eastAsia" w:ascii="宋体" w:hAnsi="宋体" w:eastAsia="宋体" w:cs="宋体"/>
                <w:color w:val="FF0000"/>
                <w:sz w:val="18"/>
                <w:szCs w:val="18"/>
                <w:lang w:val="en-US" w:eastAsia="zh-CN"/>
              </w:rPr>
              <w:t>～</w:t>
            </w:r>
            <w:r>
              <w:rPr>
                <w:rFonts w:hint="eastAsia" w:ascii="宋体" w:hAnsi="宋体" w:cs="宋体"/>
                <w:color w:val="FF0000"/>
                <w:sz w:val="18"/>
                <w:szCs w:val="18"/>
                <w:lang w:val="en-US" w:eastAsia="zh-CN"/>
              </w:rPr>
              <w:t>2.0</w:t>
            </w:r>
          </w:p>
        </w:tc>
        <w:tc>
          <w:tcPr>
            <w:tcW w:w="1059" w:type="dxa"/>
            <w:noWrap w:val="0"/>
            <w:vAlign w:val="center"/>
          </w:tcPr>
          <w:p w14:paraId="7EED2C06">
            <w:pPr>
              <w:spacing w:line="240" w:lineRule="auto"/>
              <w:ind w:left="0" w:leftChars="0" w:right="-94" w:rightChars="-45" w:firstLine="0" w:firstLineChars="0"/>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称重</w:t>
            </w:r>
          </w:p>
        </w:tc>
      </w:tr>
      <w:tr w14:paraId="13B60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88" w:type="dxa"/>
            <w:noWrap w:val="0"/>
            <w:vAlign w:val="center"/>
          </w:tcPr>
          <w:p w14:paraId="7FB02455">
            <w:pPr>
              <w:pStyle w:val="230"/>
              <w:spacing w:line="240" w:lineRule="auto"/>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bidi="ar-SA"/>
              </w:rPr>
              <w:t>形状</w:t>
            </w:r>
          </w:p>
        </w:tc>
        <w:tc>
          <w:tcPr>
            <w:tcW w:w="2538" w:type="dxa"/>
            <w:noWrap w:val="0"/>
            <w:vAlign w:val="center"/>
          </w:tcPr>
          <w:p w14:paraId="4C9F7E10">
            <w:pPr>
              <w:spacing w:line="240" w:lineRule="auto"/>
              <w:jc w:val="center"/>
              <w:rPr>
                <w:rFonts w:hint="eastAsia" w:ascii="宋体" w:hAnsi="宋体" w:eastAsia="宋体" w:cs="宋体"/>
                <w:color w:val="auto"/>
                <w:kern w:val="2"/>
                <w:sz w:val="18"/>
                <w:szCs w:val="24"/>
                <w:lang w:val="en-US" w:eastAsia="zh-CN" w:bidi="ar-SA"/>
              </w:rPr>
            </w:pPr>
            <w:r>
              <w:rPr>
                <w:rFonts w:ascii="Arial" w:hAnsi="Arial" w:eastAsia="宋体" w:cs="Arial"/>
                <w:i w:val="0"/>
                <w:iCs w:val="0"/>
                <w:caps w:val="0"/>
                <w:color w:val="000000"/>
                <w:spacing w:val="0"/>
                <w:sz w:val="18"/>
                <w:szCs w:val="18"/>
              </w:rPr>
              <w:t>果实椭圆，</w:t>
            </w:r>
            <w:r>
              <w:rPr>
                <w:rFonts w:hint="eastAsia" w:ascii="Arial" w:hAnsi="Arial" w:cs="Arial"/>
                <w:i w:val="0"/>
                <w:iCs w:val="0"/>
                <w:caps w:val="0"/>
                <w:color w:val="000000"/>
                <w:spacing w:val="0"/>
                <w:sz w:val="18"/>
                <w:szCs w:val="18"/>
                <w:lang w:eastAsia="zh-CN"/>
              </w:rPr>
              <w:t>形状正常，表皮光滑，大小均匀，叶柄新鲜，无抽薹，无黑皮、黑心</w:t>
            </w:r>
          </w:p>
        </w:tc>
        <w:tc>
          <w:tcPr>
            <w:tcW w:w="2170" w:type="dxa"/>
            <w:noWrap w:val="0"/>
            <w:vAlign w:val="center"/>
          </w:tcPr>
          <w:p w14:paraId="08C60C74">
            <w:pPr>
              <w:spacing w:line="240" w:lineRule="auto"/>
              <w:jc w:val="center"/>
              <w:rPr>
                <w:rFonts w:hint="eastAsia" w:ascii="宋体" w:hAnsi="宋体" w:eastAsia="宋体" w:cs="宋体"/>
                <w:color w:val="auto"/>
                <w:kern w:val="2"/>
                <w:sz w:val="18"/>
                <w:szCs w:val="24"/>
                <w:lang w:val="en-US" w:eastAsia="zh-CN" w:bidi="ar-SA"/>
              </w:rPr>
            </w:pPr>
            <w:r>
              <w:rPr>
                <w:rFonts w:ascii="Arial" w:hAnsi="Arial" w:eastAsia="宋体" w:cs="Arial"/>
                <w:i w:val="0"/>
                <w:iCs w:val="0"/>
                <w:caps w:val="0"/>
                <w:color w:val="000000"/>
                <w:spacing w:val="0"/>
                <w:sz w:val="18"/>
                <w:szCs w:val="18"/>
              </w:rPr>
              <w:t>果实椭圆，</w:t>
            </w:r>
            <w:r>
              <w:rPr>
                <w:rFonts w:hint="eastAsia" w:ascii="Arial" w:hAnsi="Arial" w:cs="Arial"/>
                <w:i w:val="0"/>
                <w:iCs w:val="0"/>
                <w:caps w:val="0"/>
                <w:color w:val="000000"/>
                <w:spacing w:val="0"/>
                <w:sz w:val="18"/>
                <w:szCs w:val="18"/>
                <w:lang w:eastAsia="zh-CN"/>
              </w:rPr>
              <w:t>形状正常，表皮光滑，较均匀，叶柄新鲜，无抽薹，无黑皮、黑心</w:t>
            </w:r>
          </w:p>
        </w:tc>
        <w:tc>
          <w:tcPr>
            <w:tcW w:w="2172" w:type="dxa"/>
            <w:noWrap w:val="0"/>
            <w:vAlign w:val="center"/>
          </w:tcPr>
          <w:p w14:paraId="4642E1DB">
            <w:pPr>
              <w:spacing w:line="240" w:lineRule="auto"/>
              <w:jc w:val="center"/>
              <w:rPr>
                <w:rFonts w:hint="eastAsia" w:ascii="宋体" w:hAnsi="宋体" w:cs="宋体"/>
                <w:color w:val="auto"/>
                <w:kern w:val="2"/>
                <w:sz w:val="18"/>
                <w:szCs w:val="24"/>
                <w:lang w:val="en-US" w:eastAsia="zh-CN" w:bidi="ar-SA"/>
              </w:rPr>
            </w:pPr>
            <w:r>
              <w:rPr>
                <w:rFonts w:ascii="Arial" w:hAnsi="Arial" w:eastAsia="宋体" w:cs="Arial"/>
                <w:i w:val="0"/>
                <w:iCs w:val="0"/>
                <w:caps w:val="0"/>
                <w:color w:val="000000"/>
                <w:spacing w:val="0"/>
                <w:sz w:val="18"/>
                <w:szCs w:val="18"/>
              </w:rPr>
              <w:t>果实椭圆，</w:t>
            </w:r>
            <w:r>
              <w:rPr>
                <w:rFonts w:hint="eastAsia" w:ascii="Arial" w:hAnsi="Arial" w:cs="Arial"/>
                <w:i w:val="0"/>
                <w:iCs w:val="0"/>
                <w:caps w:val="0"/>
                <w:color w:val="000000"/>
                <w:spacing w:val="0"/>
                <w:sz w:val="18"/>
                <w:szCs w:val="18"/>
                <w:lang w:eastAsia="zh-CN"/>
              </w:rPr>
              <w:t>形状正常，表皮光滑，叶柄新鲜，无抽薹，无黑皮、黑心</w:t>
            </w:r>
          </w:p>
        </w:tc>
        <w:tc>
          <w:tcPr>
            <w:tcW w:w="1059" w:type="dxa"/>
            <w:noWrap w:val="0"/>
            <w:vAlign w:val="center"/>
          </w:tcPr>
          <w:p w14:paraId="23AA065F">
            <w:pPr>
              <w:spacing w:line="240" w:lineRule="auto"/>
              <w:jc w:val="center"/>
              <w:rPr>
                <w:rFonts w:hint="eastAsia" w:ascii="宋体" w:hAnsi="宋体" w:cs="宋体"/>
                <w:color w:val="auto"/>
                <w:kern w:val="2"/>
                <w:sz w:val="18"/>
                <w:szCs w:val="24"/>
                <w:lang w:val="en-US" w:eastAsia="zh-CN" w:bidi="ar-SA"/>
              </w:rPr>
            </w:pPr>
            <w:r>
              <w:rPr>
                <w:rFonts w:hint="eastAsia" w:ascii="宋体" w:hAnsi="宋体" w:cs="宋体"/>
                <w:color w:val="auto"/>
                <w:kern w:val="2"/>
                <w:sz w:val="18"/>
                <w:szCs w:val="24"/>
                <w:lang w:val="en-US" w:eastAsia="zh-CN" w:bidi="ar-SA"/>
              </w:rPr>
              <w:t>目测</w:t>
            </w:r>
          </w:p>
        </w:tc>
      </w:tr>
      <w:tr w14:paraId="701BE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88" w:type="dxa"/>
            <w:noWrap w:val="0"/>
            <w:vAlign w:val="center"/>
          </w:tcPr>
          <w:p w14:paraId="40AEB7A2">
            <w:pPr>
              <w:pStyle w:val="230"/>
              <w:spacing w:line="240" w:lineRule="auto"/>
              <w:ind w:firstLine="0" w:firstLineChars="0"/>
              <w:jc w:val="center"/>
              <w:rPr>
                <w:rFonts w:hint="eastAsia" w:hAnsi="宋体" w:cs="宋体"/>
                <w:sz w:val="18"/>
                <w:szCs w:val="18"/>
              </w:rPr>
            </w:pPr>
            <w:r>
              <w:rPr>
                <w:rFonts w:hint="eastAsia" w:hAnsi="宋体" w:cs="宋体"/>
                <w:sz w:val="18"/>
                <w:szCs w:val="18"/>
              </w:rPr>
              <w:t>色泽</w:t>
            </w:r>
          </w:p>
        </w:tc>
        <w:tc>
          <w:tcPr>
            <w:tcW w:w="6880" w:type="dxa"/>
            <w:gridSpan w:val="3"/>
            <w:noWrap w:val="0"/>
            <w:vAlign w:val="center"/>
          </w:tcPr>
          <w:p w14:paraId="00F2EDE1">
            <w:pPr>
              <w:spacing w:line="240" w:lineRule="auto"/>
              <w:jc w:val="center"/>
              <w:rPr>
                <w:rFonts w:hint="eastAsia" w:ascii="宋体" w:hAnsi="宋体" w:cs="宋体"/>
                <w:color w:val="auto"/>
                <w:sz w:val="18"/>
                <w:szCs w:val="18"/>
              </w:rPr>
            </w:pPr>
            <w:r>
              <w:rPr>
                <w:rFonts w:hint="eastAsia" w:ascii="Arial" w:hAnsi="Arial" w:cs="Arial"/>
                <w:i w:val="0"/>
                <w:iCs w:val="0"/>
                <w:caps w:val="0"/>
                <w:color w:val="000000"/>
                <w:spacing w:val="0"/>
                <w:sz w:val="18"/>
                <w:szCs w:val="18"/>
                <w:lang w:eastAsia="zh-CN"/>
              </w:rPr>
              <w:t>白色，无其他颜色</w:t>
            </w:r>
          </w:p>
        </w:tc>
        <w:tc>
          <w:tcPr>
            <w:tcW w:w="1059" w:type="dxa"/>
            <w:noWrap w:val="0"/>
            <w:vAlign w:val="center"/>
          </w:tcPr>
          <w:p w14:paraId="3FDA7A69">
            <w:pPr>
              <w:spacing w:line="240" w:lineRule="auto"/>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目测</w:t>
            </w:r>
          </w:p>
        </w:tc>
      </w:tr>
      <w:tr w14:paraId="0E59F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88" w:type="dxa"/>
            <w:noWrap w:val="0"/>
            <w:vAlign w:val="center"/>
          </w:tcPr>
          <w:p w14:paraId="5B5F01ED">
            <w:pPr>
              <w:pStyle w:val="230"/>
              <w:spacing w:line="240" w:lineRule="auto"/>
              <w:ind w:firstLine="0" w:firstLineChars="0"/>
              <w:jc w:val="center"/>
              <w:rPr>
                <w:rFonts w:hint="eastAsia" w:hAnsi="宋体" w:cs="宋体"/>
                <w:sz w:val="18"/>
                <w:szCs w:val="18"/>
              </w:rPr>
            </w:pPr>
            <w:r>
              <w:rPr>
                <w:rFonts w:hint="eastAsia" w:hAnsi="宋体" w:cs="宋体"/>
                <w:sz w:val="18"/>
                <w:szCs w:val="18"/>
                <w:lang w:eastAsia="zh-CN"/>
              </w:rPr>
              <w:t>滋气</w:t>
            </w:r>
            <w:r>
              <w:rPr>
                <w:rFonts w:hint="eastAsia" w:hAnsi="宋体" w:cs="宋体"/>
                <w:sz w:val="18"/>
                <w:szCs w:val="18"/>
              </w:rPr>
              <w:t>味</w:t>
            </w:r>
          </w:p>
        </w:tc>
        <w:tc>
          <w:tcPr>
            <w:tcW w:w="6880" w:type="dxa"/>
            <w:gridSpan w:val="3"/>
            <w:noWrap w:val="0"/>
            <w:vAlign w:val="center"/>
          </w:tcPr>
          <w:p w14:paraId="47E5C414">
            <w:pPr>
              <w:spacing w:line="240" w:lineRule="auto"/>
              <w:jc w:val="center"/>
              <w:rPr>
                <w:rFonts w:hint="eastAsia" w:ascii="宋体" w:hAnsi="宋体" w:cs="宋体"/>
                <w:color w:val="auto"/>
                <w:sz w:val="18"/>
                <w:szCs w:val="18"/>
              </w:rPr>
            </w:pPr>
            <w:r>
              <w:rPr>
                <w:rFonts w:hint="eastAsia" w:ascii="宋体" w:hAnsi="宋体" w:cs="宋体"/>
                <w:color w:val="auto"/>
                <w:sz w:val="18"/>
                <w:szCs w:val="18"/>
                <w:lang w:eastAsia="zh-CN"/>
              </w:rPr>
              <w:t>味甘甜，无霉味，无异味</w:t>
            </w:r>
          </w:p>
        </w:tc>
        <w:tc>
          <w:tcPr>
            <w:tcW w:w="1059" w:type="dxa"/>
            <w:noWrap w:val="0"/>
            <w:vAlign w:val="center"/>
          </w:tcPr>
          <w:p w14:paraId="4098011E">
            <w:pPr>
              <w:spacing w:line="240" w:lineRule="auto"/>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口尝、鼻嗅</w:t>
            </w:r>
          </w:p>
        </w:tc>
      </w:tr>
      <w:tr w14:paraId="696FF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988" w:type="dxa"/>
            <w:noWrap w:val="0"/>
            <w:vAlign w:val="center"/>
          </w:tcPr>
          <w:p w14:paraId="3A555DB3">
            <w:pPr>
              <w:pStyle w:val="230"/>
              <w:spacing w:line="240" w:lineRule="auto"/>
              <w:ind w:firstLine="0" w:firstLineChars="0"/>
              <w:jc w:val="center"/>
              <w:rPr>
                <w:rFonts w:hint="eastAsia" w:hAnsi="宋体" w:cs="宋体"/>
                <w:sz w:val="18"/>
                <w:szCs w:val="18"/>
                <w:lang w:eastAsia="zh-CN"/>
              </w:rPr>
            </w:pPr>
            <w:bookmarkStart w:id="51" w:name="_Toc363477223"/>
            <w:bookmarkStart w:id="52" w:name="_Toc398642691"/>
            <w:bookmarkStart w:id="53" w:name="_Toc366505189"/>
            <w:bookmarkStart w:id="54" w:name="_Toc515604108"/>
            <w:bookmarkStart w:id="55" w:name="_Toc363480658"/>
            <w:bookmarkStart w:id="56" w:name="_Toc387247246"/>
            <w:bookmarkStart w:id="57" w:name="_Toc403638421"/>
            <w:bookmarkStart w:id="58" w:name="_Toc387303393"/>
            <w:bookmarkStart w:id="59" w:name="_Toc14579"/>
            <w:bookmarkStart w:id="60" w:name="_Toc366505081"/>
            <w:bookmarkStart w:id="61" w:name="_Toc363563270"/>
            <w:bookmarkStart w:id="62" w:name="_Toc387739408"/>
            <w:bookmarkStart w:id="63" w:name="_Toc387301348"/>
            <w:bookmarkStart w:id="64" w:name="_Toc387303681"/>
            <w:bookmarkStart w:id="65" w:name="_Toc387302794"/>
            <w:bookmarkStart w:id="66" w:name="_Toc387737703"/>
            <w:bookmarkStart w:id="67" w:name="_Toc366505281"/>
            <w:bookmarkStart w:id="68" w:name="_Toc364070974"/>
            <w:r>
              <w:rPr>
                <w:rFonts w:hint="eastAsia" w:hAnsi="宋体" w:cs="宋体"/>
                <w:sz w:val="18"/>
                <w:szCs w:val="18"/>
                <w:lang w:eastAsia="zh-CN"/>
              </w:rPr>
              <w:t>缺陷</w:t>
            </w:r>
          </w:p>
        </w:tc>
        <w:tc>
          <w:tcPr>
            <w:tcW w:w="4708" w:type="dxa"/>
            <w:gridSpan w:val="2"/>
            <w:noWrap w:val="0"/>
            <w:vAlign w:val="center"/>
          </w:tcPr>
          <w:p w14:paraId="27B873BA">
            <w:pPr>
              <w:spacing w:line="240" w:lineRule="auto"/>
              <w:jc w:val="center"/>
              <w:rPr>
                <w:rFonts w:hint="eastAsia" w:ascii="宋体" w:hAnsi="宋体" w:cs="宋体"/>
                <w:color w:val="auto"/>
                <w:sz w:val="18"/>
                <w:szCs w:val="18"/>
              </w:rPr>
            </w:pPr>
            <w:r>
              <w:rPr>
                <w:rFonts w:hint="eastAsia" w:ascii="宋体" w:hAnsi="宋体" w:cs="宋体"/>
                <w:color w:val="auto"/>
                <w:sz w:val="18"/>
                <w:szCs w:val="18"/>
                <w:lang w:eastAsia="zh-CN"/>
              </w:rPr>
              <w:t>无畸形、皱缩、腐烂、冻害、病虫害及机械伤，无正常视力可见外来异物</w:t>
            </w:r>
          </w:p>
        </w:tc>
        <w:tc>
          <w:tcPr>
            <w:tcW w:w="2172" w:type="dxa"/>
            <w:noWrap w:val="0"/>
            <w:vAlign w:val="center"/>
          </w:tcPr>
          <w:p w14:paraId="7058AA4B">
            <w:pPr>
              <w:spacing w:line="240" w:lineRule="auto"/>
              <w:jc w:val="center"/>
              <w:rPr>
                <w:rFonts w:hint="eastAsia" w:ascii="宋体" w:hAnsi="宋体" w:cs="宋体"/>
                <w:color w:val="auto"/>
                <w:sz w:val="18"/>
                <w:szCs w:val="18"/>
              </w:rPr>
            </w:pPr>
            <w:r>
              <w:rPr>
                <w:rFonts w:hint="eastAsia" w:ascii="宋体" w:hAnsi="宋体" w:cs="宋体"/>
                <w:color w:val="auto"/>
                <w:sz w:val="18"/>
                <w:szCs w:val="18"/>
                <w:lang w:eastAsia="zh-CN"/>
              </w:rPr>
              <w:t>无明显皱缩、腐烂、冻害、病虫害及机械伤，无正常视力可见外来异物</w:t>
            </w:r>
          </w:p>
        </w:tc>
        <w:tc>
          <w:tcPr>
            <w:tcW w:w="1059" w:type="dxa"/>
            <w:noWrap w:val="0"/>
            <w:vAlign w:val="center"/>
          </w:tcPr>
          <w:p w14:paraId="1187BCBF">
            <w:pPr>
              <w:spacing w:line="240" w:lineRule="auto"/>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目测</w:t>
            </w:r>
          </w:p>
        </w:tc>
      </w:tr>
    </w:tbl>
    <w:p w14:paraId="7F312EAF">
      <w:pPr>
        <w:pStyle w:val="105"/>
        <w:spacing w:before="120" w:after="120"/>
        <w:rPr>
          <w:rFonts w:hint="eastAsia"/>
        </w:rPr>
      </w:pPr>
      <w:r>
        <w:rPr>
          <w:rFonts w:hint="eastAsia"/>
          <w:lang w:eastAsia="zh-CN"/>
        </w:rPr>
        <w:t>理化指标</w:t>
      </w:r>
    </w:p>
    <w:p w14:paraId="74110CA8">
      <w:pPr>
        <w:pStyle w:val="56"/>
        <w:rPr>
          <w:rFonts w:hint="eastAsia"/>
          <w:lang w:val="en-US" w:eastAsia="zh-CN"/>
        </w:rPr>
      </w:pPr>
      <w:r>
        <w:rPr>
          <w:rFonts w:hint="eastAsia"/>
          <w:lang w:eastAsia="zh-CN"/>
        </w:rPr>
        <w:t>应符合表</w:t>
      </w:r>
      <w:r>
        <w:rPr>
          <w:rFonts w:hint="eastAsia"/>
          <w:lang w:val="en-US" w:eastAsia="zh-CN"/>
        </w:rPr>
        <w:t>2的要求。</w:t>
      </w:r>
    </w:p>
    <w:p w14:paraId="6375BD49">
      <w:pPr>
        <w:pStyle w:val="233"/>
        <w:rPr>
          <w:rFonts w:hint="default"/>
          <w:lang w:val="en-US" w:eastAsia="zh-CN"/>
        </w:rPr>
      </w:pPr>
      <w:r>
        <w:rPr>
          <w:rFonts w:hint="eastAsia"/>
          <w:lang w:val="en-US" w:eastAsia="zh-CN"/>
        </w:rPr>
        <w:t>理化指标</w:t>
      </w:r>
    </w:p>
    <w:tbl>
      <w:tblPr>
        <w:tblStyle w:val="26"/>
        <w:tblW w:w="9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3"/>
        <w:gridCol w:w="4673"/>
        <w:gridCol w:w="3241"/>
      </w:tblGrid>
      <w:tr w14:paraId="230E8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3" w:type="dxa"/>
            <w:noWrap w:val="0"/>
            <w:vAlign w:val="center"/>
          </w:tcPr>
          <w:p w14:paraId="3F939550">
            <w:pPr>
              <w:pStyle w:val="230"/>
              <w:spacing w:line="240" w:lineRule="auto"/>
              <w:ind w:firstLine="0" w:firstLineChars="0"/>
              <w:jc w:val="center"/>
              <w:rPr>
                <w:rFonts w:hint="eastAsia" w:hAnsi="宋体" w:cs="宋体"/>
                <w:sz w:val="18"/>
                <w:szCs w:val="18"/>
              </w:rPr>
            </w:pPr>
            <w:r>
              <w:rPr>
                <w:rFonts w:hint="eastAsia" w:hAnsi="宋体" w:cs="宋体"/>
                <w:sz w:val="18"/>
                <w:szCs w:val="18"/>
              </w:rPr>
              <w:t>项　　目</w:t>
            </w:r>
          </w:p>
        </w:tc>
        <w:tc>
          <w:tcPr>
            <w:tcW w:w="4673" w:type="dxa"/>
            <w:noWrap w:val="0"/>
            <w:vAlign w:val="center"/>
          </w:tcPr>
          <w:p w14:paraId="7FE7BA63">
            <w:pPr>
              <w:pStyle w:val="230"/>
              <w:spacing w:line="240" w:lineRule="auto"/>
              <w:ind w:firstLine="0" w:firstLineChars="0"/>
              <w:jc w:val="center"/>
              <w:rPr>
                <w:rFonts w:hint="eastAsia" w:hAnsi="宋体" w:cs="宋体"/>
                <w:sz w:val="18"/>
                <w:szCs w:val="18"/>
              </w:rPr>
            </w:pPr>
            <w:r>
              <w:rPr>
                <w:rFonts w:hint="eastAsia" w:hAnsi="宋体" w:cs="宋体"/>
                <w:sz w:val="18"/>
                <w:szCs w:val="18"/>
              </w:rPr>
              <w:t>指　　　　标</w:t>
            </w:r>
          </w:p>
        </w:tc>
        <w:tc>
          <w:tcPr>
            <w:tcW w:w="3241" w:type="dxa"/>
            <w:noWrap w:val="0"/>
            <w:vAlign w:val="center"/>
          </w:tcPr>
          <w:p w14:paraId="3824C4A0">
            <w:pPr>
              <w:pStyle w:val="230"/>
              <w:spacing w:line="240" w:lineRule="auto"/>
              <w:ind w:firstLine="0" w:firstLineChars="0"/>
              <w:jc w:val="center"/>
              <w:rPr>
                <w:rFonts w:hint="eastAsia" w:hAnsi="宋体" w:eastAsia="宋体" w:cs="宋体"/>
                <w:sz w:val="18"/>
                <w:szCs w:val="18"/>
                <w:lang w:eastAsia="zh-CN"/>
              </w:rPr>
            </w:pPr>
            <w:r>
              <w:rPr>
                <w:rFonts w:hint="eastAsia" w:hAnsi="宋体" w:cs="宋体"/>
                <w:sz w:val="18"/>
                <w:szCs w:val="18"/>
                <w:lang w:eastAsia="zh-CN"/>
              </w:rPr>
              <w:t>检测方法</w:t>
            </w:r>
          </w:p>
        </w:tc>
      </w:tr>
      <w:tr w14:paraId="5B35A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13" w:type="dxa"/>
            <w:noWrap w:val="0"/>
            <w:vAlign w:val="center"/>
          </w:tcPr>
          <w:p w14:paraId="6954823D">
            <w:pPr>
              <w:pStyle w:val="230"/>
              <w:spacing w:line="240" w:lineRule="auto"/>
              <w:ind w:firstLine="0" w:firstLineChars="0"/>
              <w:jc w:val="center"/>
              <w:rPr>
                <w:rFonts w:hint="default" w:hAnsi="宋体" w:eastAsia="宋体" w:cs="宋体"/>
                <w:color w:val="auto"/>
                <w:sz w:val="18"/>
                <w:szCs w:val="18"/>
                <w:lang w:val="en-US" w:eastAsia="zh-CN"/>
              </w:rPr>
            </w:pPr>
            <w:r>
              <w:rPr>
                <w:rFonts w:hint="eastAsia" w:hAnsi="宋体" w:cs="宋体"/>
                <w:color w:val="auto"/>
                <w:sz w:val="18"/>
                <w:szCs w:val="18"/>
                <w:lang w:eastAsia="zh-CN"/>
              </w:rPr>
              <w:t>粗纤维，</w:t>
            </w:r>
            <w:r>
              <w:rPr>
                <w:rFonts w:hint="eastAsia" w:hAnsi="宋体" w:cs="宋体"/>
                <w:color w:val="auto"/>
                <w:sz w:val="18"/>
                <w:szCs w:val="18"/>
                <w:lang w:val="en-US" w:eastAsia="zh-CN"/>
              </w:rPr>
              <w:t>g/100g</w:t>
            </w:r>
          </w:p>
        </w:tc>
        <w:tc>
          <w:tcPr>
            <w:tcW w:w="4673" w:type="dxa"/>
            <w:noWrap w:val="0"/>
            <w:vAlign w:val="center"/>
          </w:tcPr>
          <w:p w14:paraId="7E4C2A27">
            <w:pPr>
              <w:pStyle w:val="230"/>
              <w:spacing w:line="240" w:lineRule="auto"/>
              <w:ind w:firstLine="0" w:firstLineChars="0"/>
              <w:jc w:val="center"/>
              <w:rPr>
                <w:rFonts w:hint="default" w:hAnsi="宋体" w:cs="宋体"/>
                <w:color w:val="auto"/>
                <w:sz w:val="18"/>
                <w:szCs w:val="18"/>
                <w:lang w:val="en-US" w:eastAsia="zh-CN"/>
              </w:rPr>
            </w:pPr>
            <w:r>
              <w:rPr>
                <w:rFonts w:hint="eastAsia" w:hAnsi="宋体" w:cs="宋体"/>
                <w:color w:val="auto"/>
                <w:sz w:val="18"/>
                <w:szCs w:val="18"/>
                <w:lang w:val="en-US" w:eastAsia="zh-CN"/>
              </w:rPr>
              <w:t>≤1.5</w:t>
            </w:r>
          </w:p>
        </w:tc>
        <w:tc>
          <w:tcPr>
            <w:tcW w:w="3241" w:type="dxa"/>
            <w:noWrap w:val="0"/>
            <w:vAlign w:val="center"/>
          </w:tcPr>
          <w:p w14:paraId="20D39BB3">
            <w:pPr>
              <w:pStyle w:val="230"/>
              <w:spacing w:line="240" w:lineRule="auto"/>
              <w:ind w:firstLine="0" w:firstLineChars="0"/>
              <w:jc w:val="center"/>
              <w:rPr>
                <w:rFonts w:hint="default" w:hAnsi="宋体" w:cs="宋体"/>
                <w:sz w:val="18"/>
                <w:szCs w:val="18"/>
                <w:lang w:val="en-US" w:eastAsia="zh-CN"/>
              </w:rPr>
            </w:pPr>
            <w:r>
              <w:rPr>
                <w:rFonts w:hint="default" w:hAnsi="宋体" w:cs="宋体"/>
                <w:sz w:val="18"/>
                <w:szCs w:val="18"/>
                <w:lang w:val="en-US" w:eastAsia="zh-CN"/>
              </w:rPr>
              <w:t>GB/T 5009.10</w:t>
            </w:r>
          </w:p>
        </w:tc>
      </w:tr>
      <w:tr w14:paraId="033C4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13" w:type="dxa"/>
            <w:noWrap w:val="0"/>
            <w:vAlign w:val="center"/>
          </w:tcPr>
          <w:p w14:paraId="7DF4A415">
            <w:pPr>
              <w:pStyle w:val="230"/>
              <w:spacing w:line="240" w:lineRule="auto"/>
              <w:ind w:firstLine="0" w:firstLineChars="0"/>
              <w:jc w:val="center"/>
              <w:rPr>
                <w:rFonts w:hint="eastAsia" w:hAnsi="宋体" w:eastAsia="宋体" w:cs="宋体"/>
                <w:sz w:val="18"/>
                <w:szCs w:val="18"/>
                <w:lang w:eastAsia="zh-CN"/>
              </w:rPr>
            </w:pPr>
            <w:r>
              <w:rPr>
                <w:rFonts w:hint="eastAsia" w:hAnsi="宋体" w:cs="宋体"/>
                <w:sz w:val="18"/>
                <w:szCs w:val="18"/>
                <w:lang w:eastAsia="zh-CN"/>
              </w:rPr>
              <w:t>多糖，</w:t>
            </w:r>
            <w:r>
              <w:rPr>
                <w:rFonts w:hint="eastAsia" w:hAnsi="宋体" w:cs="宋体"/>
                <w:sz w:val="18"/>
                <w:szCs w:val="18"/>
                <w:lang w:val="en-US" w:eastAsia="zh-CN"/>
              </w:rPr>
              <w:t>g/100g</w:t>
            </w:r>
          </w:p>
        </w:tc>
        <w:tc>
          <w:tcPr>
            <w:tcW w:w="4673" w:type="dxa"/>
            <w:noWrap w:val="0"/>
            <w:vAlign w:val="center"/>
          </w:tcPr>
          <w:p w14:paraId="5090BBB3">
            <w:pPr>
              <w:pStyle w:val="230"/>
              <w:spacing w:line="240" w:lineRule="auto"/>
              <w:ind w:firstLine="0" w:firstLineChars="0"/>
              <w:jc w:val="center"/>
              <w:rPr>
                <w:rFonts w:hint="default" w:hAnsi="宋体" w:eastAsia="宋体" w:cs="宋体"/>
                <w:sz w:val="18"/>
                <w:szCs w:val="18"/>
                <w:lang w:val="en-US" w:eastAsia="zh-CN"/>
              </w:rPr>
            </w:pPr>
            <w:r>
              <w:rPr>
                <w:rFonts w:hint="eastAsia"/>
                <w:lang w:val="en-US" w:eastAsia="zh-CN"/>
              </w:rPr>
              <w:t>≥</w:t>
            </w:r>
            <w:r>
              <w:rPr>
                <w:rFonts w:hint="eastAsia" w:hAnsi="宋体" w:cs="宋体"/>
                <w:sz w:val="18"/>
                <w:szCs w:val="18"/>
                <w:lang w:val="en-US" w:eastAsia="zh-CN"/>
              </w:rPr>
              <w:t>2.00</w:t>
            </w:r>
          </w:p>
        </w:tc>
        <w:tc>
          <w:tcPr>
            <w:tcW w:w="3241" w:type="dxa"/>
            <w:noWrap w:val="0"/>
            <w:vAlign w:val="center"/>
          </w:tcPr>
          <w:p w14:paraId="3B1508F1">
            <w:pPr>
              <w:pStyle w:val="230"/>
              <w:spacing w:line="240" w:lineRule="auto"/>
              <w:ind w:firstLine="0" w:firstLineChars="0"/>
              <w:jc w:val="center"/>
              <w:rPr>
                <w:rFonts w:hint="default" w:hAnsi="宋体" w:cs="宋体"/>
                <w:sz w:val="18"/>
                <w:szCs w:val="18"/>
                <w:lang w:val="en-US" w:eastAsia="zh-CN"/>
              </w:rPr>
            </w:pPr>
            <w:r>
              <w:rPr>
                <w:rFonts w:hint="eastAsia" w:hAnsi="宋体" w:cs="宋体"/>
                <w:sz w:val="18"/>
                <w:szCs w:val="18"/>
                <w:lang w:val="en-US" w:eastAsia="zh-CN"/>
              </w:rPr>
              <w:t>SN/T 4260</w:t>
            </w:r>
          </w:p>
        </w:tc>
      </w:tr>
    </w:tbl>
    <w:p w14:paraId="3329D268">
      <w:pPr>
        <w:pStyle w:val="105"/>
        <w:bidi w:val="0"/>
        <w:rPr>
          <w:color w:val="auto"/>
        </w:rPr>
      </w:pPr>
      <w:r>
        <w:rPr>
          <w:color w:val="auto"/>
        </w:rPr>
        <w:t>安全指标</w:t>
      </w:r>
    </w:p>
    <w:p w14:paraId="529CF0EE">
      <w:pPr>
        <w:pStyle w:val="56"/>
        <w:ind w:firstLine="420"/>
        <w:rPr>
          <w:rFonts w:hint="eastAsia"/>
          <w:color w:val="auto"/>
        </w:rPr>
      </w:pPr>
      <w:r>
        <w:rPr>
          <w:rFonts w:hint="eastAsia"/>
          <w:color w:val="auto"/>
        </w:rPr>
        <w:t>应符合GB 2762</w:t>
      </w:r>
      <w:r>
        <w:rPr>
          <w:rFonts w:hint="eastAsia"/>
          <w:color w:val="auto"/>
          <w:lang w:val="en-US" w:eastAsia="zh-CN"/>
        </w:rPr>
        <w:t xml:space="preserve"> </w:t>
      </w:r>
      <w:r>
        <w:rPr>
          <w:rFonts w:hint="eastAsia"/>
          <w:color w:val="auto"/>
        </w:rPr>
        <w:t>、GB 2763</w:t>
      </w:r>
      <w:r>
        <w:rPr>
          <w:rFonts w:hint="eastAsia"/>
          <w:color w:val="auto"/>
          <w:lang w:val="en-US" w:eastAsia="zh-CN"/>
        </w:rPr>
        <w:t xml:space="preserve"> </w:t>
      </w:r>
      <w:r>
        <w:rPr>
          <w:rFonts w:hint="eastAsia"/>
          <w:color w:val="auto"/>
        </w:rPr>
        <w:t>的要求</w:t>
      </w:r>
      <w:r>
        <w:rPr>
          <w:rFonts w:hint="eastAsia"/>
          <w:color w:val="auto"/>
          <w:lang w:eastAsia="zh-CN"/>
        </w:rPr>
        <w:t>，</w:t>
      </w:r>
      <w:r>
        <w:rPr>
          <w:rFonts w:hint="eastAsia"/>
          <w:color w:val="auto"/>
        </w:rPr>
        <w:t>绿色食品还应符合NY/T</w:t>
      </w:r>
      <w:r>
        <w:rPr>
          <w:rFonts w:hint="eastAsia"/>
          <w:color w:val="auto"/>
          <w:lang w:val="en-US" w:eastAsia="zh-CN"/>
        </w:rPr>
        <w:t xml:space="preserve"> 745</w:t>
      </w:r>
      <w:r>
        <w:rPr>
          <w:rFonts w:hint="eastAsia"/>
          <w:color w:val="auto"/>
        </w:rPr>
        <w:t xml:space="preserve"> 的要求，有机产品还应符合GB/T 19630 的要求。</w:t>
      </w:r>
    </w:p>
    <w:p w14:paraId="02A23ADA">
      <w:pPr>
        <w:pStyle w:val="105"/>
        <w:bidi w:val="0"/>
      </w:pPr>
      <w:r>
        <w:rPr>
          <w:rFonts w:hint="eastAsia"/>
        </w:rPr>
        <w:t>净含量</w:t>
      </w:r>
    </w:p>
    <w:p w14:paraId="6699FE02">
      <w:pPr>
        <w:pStyle w:val="56"/>
        <w:ind w:firstLine="420"/>
        <w:rPr>
          <w:rFonts w:hint="eastAsia"/>
        </w:rPr>
      </w:pPr>
      <w:r>
        <w:rPr>
          <w:rFonts w:hint="eastAsia"/>
        </w:rPr>
        <w:t>应符合《定量包装商品计量监督管理办法》的要求，检验方法按照J</w:t>
      </w:r>
      <w:r>
        <w:t>JF 1070</w:t>
      </w:r>
      <w:r>
        <w:rPr>
          <w:rFonts w:hint="eastAsia"/>
          <w:lang w:val="en-US" w:eastAsia="zh-CN"/>
        </w:rPr>
        <w:t xml:space="preserve"> </w:t>
      </w:r>
      <w:r>
        <w:rPr>
          <w:rFonts w:hint="eastAsia"/>
        </w:rPr>
        <w:t>规定执行。</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14:paraId="1B111502">
      <w:pPr>
        <w:pStyle w:val="104"/>
        <w:spacing w:before="240" w:after="240"/>
        <w:rPr>
          <w:rFonts w:hint="eastAsia"/>
        </w:rPr>
      </w:pPr>
      <w:bookmarkStart w:id="69" w:name="_Toc387739409"/>
      <w:bookmarkStart w:id="70" w:name="_Toc366505282"/>
      <w:bookmarkStart w:id="71" w:name="_Toc515604109"/>
      <w:bookmarkStart w:id="72" w:name="_Toc363477224"/>
      <w:bookmarkStart w:id="73" w:name="_Toc366505082"/>
      <w:bookmarkStart w:id="74" w:name="_Toc387302795"/>
      <w:bookmarkStart w:id="75" w:name="_Toc387247247"/>
      <w:bookmarkStart w:id="76" w:name="_Toc364070975"/>
      <w:bookmarkStart w:id="77" w:name="_Toc403638422"/>
      <w:bookmarkStart w:id="78" w:name="_Toc398642692"/>
      <w:bookmarkStart w:id="79" w:name="_Toc387301349"/>
      <w:bookmarkStart w:id="80" w:name="_Toc22937"/>
      <w:bookmarkStart w:id="81" w:name="_Toc387303394"/>
      <w:bookmarkStart w:id="82" w:name="_Toc387303682"/>
      <w:bookmarkStart w:id="83" w:name="_Toc366505190"/>
      <w:bookmarkStart w:id="84" w:name="_Toc387737704"/>
      <w:bookmarkStart w:id="85" w:name="_Toc363480659"/>
      <w:bookmarkStart w:id="86" w:name="_Toc363563271"/>
      <w:r>
        <w:rPr>
          <w:rFonts w:hint="eastAsia"/>
          <w:szCs w:val="21"/>
        </w:rPr>
        <w:t>检验</w:t>
      </w:r>
      <w:r>
        <w:rPr>
          <w:rFonts w:hint="eastAsia"/>
        </w:rPr>
        <w:t>规则</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CDCC188">
      <w:pPr>
        <w:pStyle w:val="105"/>
        <w:bidi w:val="0"/>
        <w:rPr>
          <w:rFonts w:hint="eastAsia"/>
        </w:rPr>
      </w:pPr>
      <w:r>
        <w:rPr>
          <w:rFonts w:hint="eastAsia"/>
        </w:rPr>
        <w:t>组批</w:t>
      </w:r>
    </w:p>
    <w:p w14:paraId="5DFFF524">
      <w:pPr>
        <w:pStyle w:val="56"/>
        <w:ind w:firstLine="420"/>
      </w:pPr>
      <w:r>
        <w:rPr>
          <w:rFonts w:hint="eastAsia"/>
        </w:rPr>
        <w:t>同一</w:t>
      </w:r>
      <w:r>
        <w:rPr>
          <w:rFonts w:hint="eastAsia"/>
          <w:lang w:val="en-US" w:eastAsia="zh-CN"/>
        </w:rPr>
        <w:t>品种、</w:t>
      </w:r>
      <w:r>
        <w:rPr>
          <w:rFonts w:hint="eastAsia"/>
        </w:rPr>
        <w:t>同一生产基地</w:t>
      </w:r>
      <w:r>
        <w:rPr>
          <w:rFonts w:hint="eastAsia"/>
          <w:lang w:eastAsia="zh-CN"/>
        </w:rPr>
        <w:t>、</w:t>
      </w:r>
      <w:r>
        <w:rPr>
          <w:rFonts w:hint="eastAsia"/>
          <w:lang w:val="en-US" w:eastAsia="zh-CN"/>
        </w:rPr>
        <w:t>同一生产周期、同一采收期</w:t>
      </w:r>
      <w:r>
        <w:rPr>
          <w:rFonts w:hint="eastAsia"/>
        </w:rPr>
        <w:t>的产品为一个检验批次。</w:t>
      </w:r>
    </w:p>
    <w:p w14:paraId="1DAA3F3F">
      <w:pPr>
        <w:pStyle w:val="105"/>
        <w:bidi w:val="0"/>
        <w:rPr>
          <w:rFonts w:hint="eastAsia"/>
        </w:rPr>
      </w:pPr>
      <w:r>
        <w:rPr>
          <w:rFonts w:hint="eastAsia"/>
        </w:rPr>
        <w:t>取样</w:t>
      </w:r>
    </w:p>
    <w:p w14:paraId="21FEA4E0">
      <w:pPr>
        <w:pStyle w:val="230"/>
        <w:rPr>
          <w:rFonts w:hint="eastAsia"/>
        </w:rPr>
      </w:pPr>
      <w:r>
        <w:rPr>
          <w:rFonts w:hint="eastAsia"/>
          <w:lang w:val="en-US" w:eastAsia="zh-CN"/>
        </w:rPr>
        <w:t>同一批次抽样3kg</w:t>
      </w:r>
      <w:r>
        <w:rPr>
          <w:rFonts w:hint="eastAsia"/>
          <w:lang w:eastAsia="zh-CN"/>
        </w:rPr>
        <w:t>。</w:t>
      </w:r>
    </w:p>
    <w:p w14:paraId="06A0A61D">
      <w:pPr>
        <w:pStyle w:val="105"/>
        <w:bidi w:val="0"/>
        <w:rPr>
          <w:rFonts w:hint="eastAsia"/>
        </w:rPr>
      </w:pPr>
      <w:r>
        <w:rPr>
          <w:rFonts w:hint="eastAsia"/>
        </w:rPr>
        <w:t>交</w:t>
      </w:r>
      <w:r>
        <w:rPr>
          <w:rFonts w:hint="eastAsia"/>
          <w:lang w:eastAsia="zh-CN"/>
        </w:rPr>
        <w:t>付</w:t>
      </w:r>
      <w:r>
        <w:rPr>
          <w:rFonts w:hint="eastAsia"/>
        </w:rPr>
        <w:t>检验</w:t>
      </w:r>
    </w:p>
    <w:p w14:paraId="7837A815">
      <w:pPr>
        <w:pStyle w:val="56"/>
        <w:ind w:firstLine="420"/>
        <w:rPr>
          <w:rFonts w:hint="eastAsia"/>
        </w:rPr>
      </w:pPr>
      <w:r>
        <w:rPr>
          <w:rFonts w:hint="eastAsia"/>
        </w:rPr>
        <w:t>每批次产品应进行</w:t>
      </w:r>
      <w:r>
        <w:rPr>
          <w:rFonts w:hint="eastAsia"/>
          <w:lang w:val="en-US" w:eastAsia="zh-CN"/>
        </w:rPr>
        <w:t>交付</w:t>
      </w:r>
      <w:r>
        <w:rPr>
          <w:rFonts w:hint="eastAsia"/>
        </w:rPr>
        <w:t>检验</w:t>
      </w:r>
      <w:r>
        <w:rPr>
          <w:rFonts w:hint="eastAsia"/>
          <w:lang w:eastAsia="zh-CN"/>
        </w:rPr>
        <w:t>，</w:t>
      </w:r>
      <w:r>
        <w:rPr>
          <w:rFonts w:hint="eastAsia"/>
        </w:rPr>
        <w:t>交</w:t>
      </w:r>
      <w:r>
        <w:rPr>
          <w:rFonts w:hint="eastAsia"/>
          <w:lang w:eastAsia="zh-CN"/>
        </w:rPr>
        <w:t>付</w:t>
      </w:r>
      <w:r>
        <w:rPr>
          <w:rFonts w:hint="eastAsia"/>
        </w:rPr>
        <w:t>检验项目包括感官指标。</w:t>
      </w:r>
    </w:p>
    <w:p w14:paraId="1F8874A3">
      <w:pPr>
        <w:pStyle w:val="105"/>
        <w:bidi w:val="0"/>
      </w:pPr>
      <w:r>
        <w:rPr>
          <w:rFonts w:hint="eastAsia"/>
        </w:rPr>
        <w:t>型式检验</w:t>
      </w:r>
    </w:p>
    <w:p w14:paraId="6F26742A">
      <w:pPr>
        <w:pStyle w:val="65"/>
        <w:widowControl/>
        <w:suppressAutoHyphens w:val="0"/>
        <w:spacing w:before="120" w:after="120"/>
        <w:rPr>
          <w:rFonts w:hint="eastAsia" w:ascii="宋体" w:hAnsi="宋体" w:eastAsia="宋体" w:cs="宋体"/>
        </w:rPr>
      </w:pPr>
      <w:r>
        <w:rPr>
          <w:rFonts w:hint="eastAsia" w:ascii="宋体" w:hAnsi="宋体" w:eastAsia="宋体" w:cs="宋体"/>
        </w:rPr>
        <w:t>型式检验应每年进行一次，下列情况之一也应进行型式检验：</w:t>
      </w:r>
    </w:p>
    <w:p w14:paraId="4A5288E5">
      <w:pPr>
        <w:pStyle w:val="132"/>
      </w:pPr>
      <w:r>
        <w:rPr>
          <w:rFonts w:hint="eastAsia"/>
        </w:rPr>
        <w:t>两次检验结果相差较大时；</w:t>
      </w:r>
    </w:p>
    <w:p w14:paraId="7EEE0037">
      <w:pPr>
        <w:pStyle w:val="132"/>
        <w:ind w:left="851" w:hanging="426"/>
      </w:pPr>
      <w:r>
        <w:rPr>
          <w:rFonts w:hint="eastAsia"/>
          <w:color w:val="auto"/>
          <w:highlight w:val="none"/>
        </w:rPr>
        <w:t>种植</w:t>
      </w:r>
      <w:r>
        <w:rPr>
          <w:rFonts w:hint="eastAsia"/>
          <w:color w:val="auto"/>
          <w:highlight w:val="none"/>
          <w:lang w:val="en-US" w:eastAsia="zh-CN"/>
        </w:rPr>
        <w:t>生产</w:t>
      </w:r>
      <w:r>
        <w:rPr>
          <w:rFonts w:hint="eastAsia"/>
        </w:rPr>
        <w:t>条件发生重大变化，可能影响产品质量时；</w:t>
      </w:r>
    </w:p>
    <w:p w14:paraId="0BC48D7B">
      <w:pPr>
        <w:pStyle w:val="132"/>
      </w:pPr>
      <w:r>
        <w:rPr>
          <w:rFonts w:hint="eastAsia"/>
        </w:rPr>
        <w:t>有关行政主管部门、行业协会要求型式检验时。</w:t>
      </w:r>
    </w:p>
    <w:p w14:paraId="5B798638">
      <w:pPr>
        <w:pStyle w:val="65"/>
        <w:widowControl/>
        <w:suppressAutoHyphens w:val="0"/>
        <w:spacing w:before="120" w:after="120"/>
        <w:rPr>
          <w:rFonts w:hint="eastAsia" w:ascii="宋体" w:hAnsi="宋体" w:eastAsia="宋体" w:cs="宋体"/>
        </w:rPr>
      </w:pPr>
      <w:r>
        <w:rPr>
          <w:rFonts w:hint="eastAsia" w:ascii="宋体" w:hAnsi="宋体" w:eastAsia="宋体" w:cs="宋体"/>
        </w:rPr>
        <w:t>型式检验项目包括本文</w:t>
      </w:r>
      <w:r>
        <w:rPr>
          <w:rFonts w:hint="eastAsia" w:ascii="宋体" w:hAnsi="宋体" w:eastAsia="宋体" w:cs="宋体"/>
          <w:highlight w:val="none"/>
        </w:rPr>
        <w:t>件</w:t>
      </w:r>
      <w:r>
        <w:rPr>
          <w:rFonts w:hint="eastAsia" w:ascii="宋体" w:hAnsi="宋体" w:eastAsia="宋体" w:cs="宋体"/>
          <w:highlight w:val="none"/>
          <w:lang w:val="en-US" w:eastAsia="zh-CN"/>
        </w:rPr>
        <w:t>4.5</w:t>
      </w:r>
      <w:r>
        <w:rPr>
          <w:rFonts w:hint="eastAsia" w:ascii="宋体" w:hAnsi="宋体" w:eastAsia="宋体" w:cs="宋体"/>
          <w:highlight w:val="none"/>
        </w:rPr>
        <w:t>～</w:t>
      </w:r>
      <w:r>
        <w:rPr>
          <w:rFonts w:hint="eastAsia" w:ascii="宋体" w:hAnsi="宋体" w:eastAsia="宋体" w:cs="宋体"/>
          <w:highlight w:val="none"/>
          <w:lang w:val="en-US" w:eastAsia="zh-CN"/>
        </w:rPr>
        <w:t>4.8</w:t>
      </w:r>
      <w:r>
        <w:rPr>
          <w:rFonts w:hint="eastAsia" w:ascii="宋体" w:hAnsi="宋体" w:eastAsia="宋体" w:cs="宋体"/>
          <w:highlight w:val="none"/>
        </w:rPr>
        <w:t>规</w:t>
      </w:r>
      <w:r>
        <w:rPr>
          <w:rFonts w:hint="eastAsia" w:ascii="宋体" w:hAnsi="宋体" w:eastAsia="宋体" w:cs="宋体"/>
        </w:rPr>
        <w:t>定的所有项目。</w:t>
      </w:r>
    </w:p>
    <w:p w14:paraId="7B2D1B44">
      <w:pPr>
        <w:pStyle w:val="105"/>
        <w:bidi w:val="0"/>
        <w:rPr>
          <w:rFonts w:hint="eastAsia"/>
        </w:rPr>
      </w:pPr>
      <w:r>
        <w:rPr>
          <w:rFonts w:hint="eastAsia"/>
        </w:rPr>
        <w:t>判定规则</w:t>
      </w:r>
    </w:p>
    <w:p w14:paraId="75163C0F">
      <w:pPr>
        <w:pStyle w:val="132"/>
      </w:pPr>
      <w:bookmarkStart w:id="87" w:name="_Toc366505191"/>
      <w:bookmarkStart w:id="88" w:name="_Toc364070976"/>
      <w:bookmarkStart w:id="89" w:name="_Toc363563272"/>
      <w:bookmarkStart w:id="90" w:name="_Toc387739410"/>
      <w:bookmarkStart w:id="91" w:name="_Toc398642693"/>
      <w:bookmarkStart w:id="92" w:name="_Toc515604110"/>
      <w:bookmarkStart w:id="93" w:name="_Toc387301350"/>
      <w:bookmarkStart w:id="94" w:name="_Toc387302796"/>
      <w:bookmarkStart w:id="95" w:name="_Toc363477225"/>
      <w:bookmarkStart w:id="96" w:name="_Toc387303395"/>
      <w:bookmarkStart w:id="97" w:name="_Toc387303683"/>
      <w:bookmarkStart w:id="98" w:name="_Toc366505283"/>
      <w:bookmarkStart w:id="99" w:name="_Toc387737705"/>
      <w:bookmarkStart w:id="100" w:name="_Toc403638423"/>
      <w:bookmarkStart w:id="101" w:name="_Toc366505083"/>
      <w:bookmarkStart w:id="102" w:name="_Toc363480660"/>
      <w:bookmarkStart w:id="103" w:name="_Toc24290"/>
      <w:bookmarkStart w:id="104" w:name="_Toc387247248"/>
      <w:r>
        <w:rPr>
          <w:rFonts w:hint="eastAsia"/>
        </w:rPr>
        <w:t>所有指标全部符合本文件要求时判该批产品合格。</w:t>
      </w:r>
    </w:p>
    <w:p w14:paraId="5F8C72C0">
      <w:pPr>
        <w:pStyle w:val="132"/>
      </w:pPr>
      <w:r>
        <w:rPr>
          <w:rFonts w:hint="eastAsia"/>
        </w:rPr>
        <w:t>有一项不合格时，可在同批产品中抽取两倍量样品进行复验，以复验结果为准。</w:t>
      </w:r>
    </w:p>
    <w:p w14:paraId="2A945D76">
      <w:pPr>
        <w:pStyle w:val="104"/>
        <w:spacing w:before="240" w:after="240"/>
        <w:rPr>
          <w:rFonts w:hint="eastAsia"/>
        </w:rPr>
      </w:pPr>
      <w:r>
        <w:rPr>
          <w:rFonts w:hint="eastAsia"/>
          <w:szCs w:val="21"/>
        </w:rPr>
        <w:t>包装</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szCs w:val="21"/>
          <w:lang w:eastAsia="zh-CN"/>
        </w:rPr>
        <w:t>、标志与标签</w:t>
      </w:r>
    </w:p>
    <w:p w14:paraId="1CBADC0F">
      <w:pPr>
        <w:pStyle w:val="165"/>
        <w:bidi w:val="0"/>
        <w:spacing w:before="0" w:beforeLines="0" w:after="0" w:afterLines="0"/>
        <w:rPr>
          <w:rFonts w:hint="eastAsia"/>
        </w:rPr>
      </w:pPr>
      <w:bookmarkStart w:id="105" w:name="_Hlk111489077"/>
      <w:r>
        <w:rPr>
          <w:rFonts w:hint="eastAsia"/>
        </w:rPr>
        <w:t>包装应符合</w:t>
      </w:r>
      <w:bookmarkStart w:id="106" w:name="_Hlk117846728"/>
      <w:r>
        <w:t>GB 43284</w:t>
      </w:r>
      <w:bookmarkEnd w:id="106"/>
      <w:r>
        <w:rPr>
          <w:rFonts w:hint="eastAsia"/>
        </w:rPr>
        <w:t>要求。绿色食品应符合NY/T 65</w:t>
      </w:r>
      <w:r>
        <w:rPr>
          <w:rFonts w:hint="eastAsia"/>
          <w:lang w:val="en-US" w:eastAsia="zh-CN"/>
        </w:rPr>
        <w:t>8</w:t>
      </w:r>
      <w:r>
        <w:rPr>
          <w:rFonts w:hint="eastAsia"/>
        </w:rPr>
        <w:t>的要求</w:t>
      </w:r>
      <w:r>
        <w:rPr>
          <w:rFonts w:hint="eastAsia"/>
          <w:lang w:eastAsia="zh-CN"/>
        </w:rPr>
        <w:t>，</w:t>
      </w:r>
      <w:r>
        <w:rPr>
          <w:rFonts w:hint="eastAsia"/>
        </w:rPr>
        <w:t>有机产</w:t>
      </w:r>
      <w:bookmarkStart w:id="112" w:name="_GoBack"/>
      <w:bookmarkEnd w:id="112"/>
      <w:r>
        <w:rPr>
          <w:rFonts w:hint="eastAsia"/>
        </w:rPr>
        <w:t>品应符合GB/T 19630的要求</w:t>
      </w:r>
      <w:bookmarkEnd w:id="105"/>
      <w:r>
        <w:rPr>
          <w:rFonts w:hint="eastAsia"/>
        </w:rPr>
        <w:t>。</w:t>
      </w:r>
    </w:p>
    <w:p w14:paraId="2AC7C82C">
      <w:pPr>
        <w:pStyle w:val="165"/>
        <w:bidi w:val="0"/>
        <w:spacing w:before="0" w:beforeLines="0" w:after="0" w:afterLines="0"/>
        <w:rPr>
          <w:rFonts w:hint="eastAsia"/>
        </w:rPr>
      </w:pPr>
      <w:r>
        <w:rPr>
          <w:rFonts w:hint="eastAsia"/>
        </w:rPr>
        <w:t>包装材料应分别符合</w:t>
      </w:r>
      <w:bookmarkStart w:id="107" w:name="_Hlk111486485"/>
      <w:bookmarkStart w:id="108" w:name="_Hlk111488105"/>
      <w:r>
        <w:t>GB 4806.1</w:t>
      </w:r>
      <w:r>
        <w:rPr>
          <w:rFonts w:hint="eastAsia"/>
        </w:rPr>
        <w:t>、GB 4806.7</w:t>
      </w:r>
      <w:bookmarkEnd w:id="107"/>
      <w:r>
        <w:rPr>
          <w:rFonts w:hint="eastAsia"/>
        </w:rPr>
        <w:t>、</w:t>
      </w:r>
      <w:r>
        <w:t>GB 4806.8</w:t>
      </w:r>
      <w:bookmarkEnd w:id="108"/>
      <w:r>
        <w:rPr>
          <w:rFonts w:hint="eastAsia"/>
          <w:lang w:eastAsia="zh-CN"/>
        </w:rPr>
        <w:t>、</w:t>
      </w:r>
      <w:r>
        <w:rPr>
          <w:rFonts w:hint="eastAsia"/>
        </w:rPr>
        <w:t>GB/T 5737的规定。</w:t>
      </w:r>
    </w:p>
    <w:p w14:paraId="70CEB3C3">
      <w:pPr>
        <w:pStyle w:val="104"/>
        <w:spacing w:before="240" w:after="240"/>
        <w:rPr>
          <w:rFonts w:hint="eastAsia"/>
        </w:rPr>
      </w:pPr>
      <w:r>
        <w:rPr>
          <w:rFonts w:hint="eastAsia"/>
          <w:szCs w:val="21"/>
          <w:lang w:eastAsia="zh-CN"/>
        </w:rPr>
        <w:t>运输与</w:t>
      </w:r>
      <w:r>
        <w:rPr>
          <w:rFonts w:hint="eastAsia"/>
        </w:rPr>
        <w:t>贮藏</w:t>
      </w:r>
    </w:p>
    <w:p w14:paraId="1EFBABF1">
      <w:pPr>
        <w:pStyle w:val="105"/>
        <w:spacing w:before="120" w:after="120"/>
      </w:pPr>
      <w:r>
        <w:rPr>
          <w:rFonts w:hint="eastAsia"/>
        </w:rPr>
        <w:t>运输</w:t>
      </w:r>
    </w:p>
    <w:p w14:paraId="3BE9DBF6">
      <w:pPr>
        <w:pStyle w:val="56"/>
        <w:ind w:firstLine="420"/>
      </w:pPr>
      <w:bookmarkStart w:id="109" w:name="_Hlk111489198"/>
      <w:r>
        <w:rPr>
          <w:rFonts w:hint="eastAsia"/>
        </w:rPr>
        <w:t>运输工具应具有清洁、卫生、干燥、无异味，不得与有毒有害物品混运。运输途中应防雨、防潮、防暴晒、防污染</w:t>
      </w:r>
      <w:r>
        <w:rPr>
          <w:rFonts w:hint="eastAsia"/>
          <w:lang w:val="en-US" w:eastAsia="zh-CN"/>
        </w:rPr>
        <w:t>。</w:t>
      </w:r>
      <w:r>
        <w:rPr>
          <w:rFonts w:hint="eastAsia"/>
        </w:rPr>
        <w:t>绿色食品应符合NY/T 1056</w:t>
      </w:r>
      <w:r>
        <w:rPr>
          <w:rFonts w:hint="eastAsia"/>
          <w:lang w:val="en-US" w:eastAsia="zh-CN"/>
        </w:rPr>
        <w:t xml:space="preserve"> </w:t>
      </w:r>
      <w:r>
        <w:rPr>
          <w:rFonts w:hint="eastAsia"/>
        </w:rPr>
        <w:t>的要求</w:t>
      </w:r>
      <w:r>
        <w:rPr>
          <w:rFonts w:hint="eastAsia"/>
          <w:lang w:eastAsia="zh-CN"/>
        </w:rPr>
        <w:t>，</w:t>
      </w:r>
      <w:r>
        <w:rPr>
          <w:rFonts w:hint="eastAsia"/>
        </w:rPr>
        <w:t>有机产品应符合GB/T 19630</w:t>
      </w:r>
      <w:r>
        <w:rPr>
          <w:rFonts w:hint="eastAsia"/>
          <w:lang w:val="en-US" w:eastAsia="zh-CN"/>
        </w:rPr>
        <w:t xml:space="preserve"> </w:t>
      </w:r>
      <w:r>
        <w:rPr>
          <w:rFonts w:hint="eastAsia"/>
        </w:rPr>
        <w:t>的要求。</w:t>
      </w:r>
    </w:p>
    <w:bookmarkEnd w:id="109"/>
    <w:p w14:paraId="5C64F7FF">
      <w:pPr>
        <w:pStyle w:val="105"/>
        <w:spacing w:before="120" w:after="120"/>
      </w:pPr>
      <w:r>
        <w:rPr>
          <w:rFonts w:hint="eastAsia"/>
        </w:rPr>
        <w:t>贮存</w:t>
      </w:r>
    </w:p>
    <w:p w14:paraId="477A865E">
      <w:pPr>
        <w:pStyle w:val="165"/>
        <w:numPr>
          <w:ilvl w:val="0"/>
          <w:numId w:val="0"/>
        </w:numPr>
        <w:spacing w:before="0" w:beforeLines="0" w:after="0" w:afterLines="0"/>
        <w:ind w:firstLine="420" w:firstLineChars="200"/>
      </w:pPr>
      <w:r>
        <w:rPr>
          <w:rFonts w:hint="eastAsia"/>
          <w:highlight w:val="none"/>
          <w:lang w:val="en-US" w:eastAsia="zh-CN"/>
        </w:rPr>
        <w:t>应在通风、清洁、卫生的条件下贮存，严防曝晒、雨淋、冻害及有害物质污染。</w:t>
      </w:r>
      <w:r>
        <w:rPr>
          <w:rFonts w:hint="eastAsia"/>
        </w:rPr>
        <w:t>绿色食品应符合</w:t>
      </w:r>
      <w:bookmarkStart w:id="110" w:name="_Hlk111489232"/>
      <w:r>
        <w:rPr>
          <w:rFonts w:hint="eastAsia"/>
        </w:rPr>
        <w:t>NY/T</w:t>
      </w:r>
      <w:bookmarkEnd w:id="110"/>
      <w:r>
        <w:rPr>
          <w:rFonts w:hint="eastAsia"/>
        </w:rPr>
        <w:t xml:space="preserve"> 1056</w:t>
      </w:r>
      <w:r>
        <w:rPr>
          <w:rFonts w:hint="eastAsia"/>
          <w:lang w:val="en-US" w:eastAsia="zh-CN"/>
        </w:rPr>
        <w:t xml:space="preserve"> </w:t>
      </w:r>
      <w:r>
        <w:rPr>
          <w:rFonts w:hint="eastAsia"/>
        </w:rPr>
        <w:t>的要求；有机产品应符合GB/T 19630</w:t>
      </w:r>
      <w:r>
        <w:rPr>
          <w:rFonts w:hint="eastAsia"/>
          <w:lang w:val="en-US" w:eastAsia="zh-CN"/>
        </w:rPr>
        <w:t xml:space="preserve"> </w:t>
      </w:r>
      <w:r>
        <w:rPr>
          <w:rFonts w:hint="eastAsia"/>
        </w:rPr>
        <w:t>的要求。</w:t>
      </w:r>
    </w:p>
    <w:p w14:paraId="5FD6BB5C">
      <w:pPr>
        <w:ind w:firstLine="420" w:firstLineChars="200"/>
        <w:rPr>
          <w:rFonts w:hint="eastAsia" w:ascii="宋体" w:hAnsi="宋体"/>
          <w:szCs w:val="21"/>
        </w:rPr>
      </w:pPr>
    </w:p>
    <w:p w14:paraId="4058CEF4">
      <w:pPr>
        <w:ind w:firstLine="420" w:firstLineChars="200"/>
        <w:rPr>
          <w:rFonts w:hint="eastAsia" w:ascii="宋体" w:hAnsi="宋体"/>
          <w:szCs w:val="21"/>
        </w:rPr>
      </w:pPr>
    </w:p>
    <w:p w14:paraId="22E3A339">
      <w:pPr>
        <w:ind w:firstLine="420" w:firstLineChars="200"/>
        <w:rPr>
          <w:rFonts w:hint="eastAsia" w:ascii="宋体" w:hAnsi="宋体"/>
          <w:szCs w:val="21"/>
        </w:rPr>
      </w:pPr>
    </w:p>
    <w:p w14:paraId="18732B2A">
      <w:pPr>
        <w:ind w:firstLine="420" w:firstLineChars="200"/>
        <w:rPr>
          <w:rFonts w:hint="eastAsia" w:ascii="宋体" w:hAnsi="宋体"/>
          <w:szCs w:val="21"/>
        </w:rPr>
      </w:pPr>
    </w:p>
    <w:p w14:paraId="25D4A4DD">
      <w:pPr>
        <w:ind w:firstLine="420" w:firstLineChars="200"/>
        <w:rPr>
          <w:rFonts w:hint="eastAsia" w:ascii="宋体" w:hAnsi="宋体"/>
          <w:szCs w:val="21"/>
        </w:rPr>
      </w:pPr>
    </w:p>
    <w:p w14:paraId="74BF30DE">
      <w:pPr>
        <w:ind w:firstLine="420" w:firstLineChars="200"/>
        <w:rPr>
          <w:rFonts w:hint="eastAsia" w:ascii="宋体" w:hAnsi="宋体"/>
          <w:szCs w:val="21"/>
        </w:rPr>
      </w:pPr>
    </w:p>
    <w:p w14:paraId="5396F484">
      <w:pPr>
        <w:ind w:firstLine="420" w:firstLineChars="200"/>
        <w:rPr>
          <w:rFonts w:hint="eastAsia" w:ascii="宋体" w:hAnsi="宋体"/>
          <w:szCs w:val="21"/>
        </w:rPr>
      </w:pPr>
    </w:p>
    <w:p w14:paraId="304E3B30">
      <w:pPr>
        <w:ind w:firstLine="420" w:firstLineChars="200"/>
        <w:rPr>
          <w:rFonts w:hint="eastAsia" w:ascii="宋体" w:hAnsi="宋体"/>
          <w:szCs w:val="21"/>
        </w:rPr>
      </w:pPr>
    </w:p>
    <w:p w14:paraId="0E930512">
      <w:pPr>
        <w:ind w:firstLine="420" w:firstLineChars="200"/>
        <w:rPr>
          <w:rFonts w:hint="eastAsia" w:ascii="宋体" w:hAnsi="宋体"/>
          <w:szCs w:val="21"/>
        </w:rPr>
      </w:pPr>
    </w:p>
    <w:p w14:paraId="6207F978">
      <w:pPr>
        <w:ind w:firstLine="420" w:firstLineChars="200"/>
        <w:rPr>
          <w:rFonts w:hint="eastAsia" w:ascii="宋体" w:hAnsi="宋体"/>
          <w:szCs w:val="21"/>
        </w:rPr>
      </w:pPr>
    </w:p>
    <w:p w14:paraId="20E725F4">
      <w:pPr>
        <w:ind w:firstLine="420" w:firstLineChars="200"/>
        <w:rPr>
          <w:rFonts w:hint="eastAsia" w:ascii="宋体" w:hAnsi="宋体"/>
          <w:szCs w:val="21"/>
        </w:rPr>
      </w:pPr>
    </w:p>
    <w:p w14:paraId="357C56B4">
      <w:pPr>
        <w:ind w:firstLine="420" w:firstLineChars="200"/>
        <w:rPr>
          <w:rFonts w:hint="eastAsia" w:ascii="宋体" w:hAnsi="宋体"/>
          <w:szCs w:val="21"/>
        </w:rPr>
      </w:pPr>
    </w:p>
    <w:p w14:paraId="2355883F">
      <w:pPr>
        <w:ind w:firstLine="420" w:firstLineChars="200"/>
        <w:rPr>
          <w:rFonts w:hint="eastAsia" w:ascii="宋体" w:hAnsi="宋体"/>
          <w:szCs w:val="21"/>
        </w:rPr>
      </w:pPr>
    </w:p>
    <w:p w14:paraId="4895F7EC">
      <w:pPr>
        <w:ind w:firstLine="420" w:firstLineChars="200"/>
        <w:rPr>
          <w:rFonts w:hint="eastAsia" w:ascii="宋体" w:hAnsi="宋体"/>
          <w:szCs w:val="21"/>
        </w:rPr>
      </w:pPr>
    </w:p>
    <w:p w14:paraId="028CAC06">
      <w:pPr>
        <w:pStyle w:val="230"/>
        <w:rPr>
          <w:rFonts w:hint="eastAsia"/>
        </w:rPr>
      </w:pPr>
    </w:p>
    <w:bookmarkEnd w:id="44"/>
    <w:p w14:paraId="3F9C0FFE">
      <w:pPr>
        <w:pStyle w:val="76"/>
        <w:keepNext w:val="0"/>
        <w:keepLines w:val="0"/>
        <w:pageBreakBefore w:val="0"/>
        <w:widowControl/>
        <w:kinsoku/>
        <w:wordWrap/>
        <w:overflowPunct/>
        <w:topLinePunct w:val="0"/>
        <w:autoSpaceDE/>
        <w:autoSpaceDN/>
        <w:bidi w:val="0"/>
        <w:adjustRightInd/>
        <w:snapToGrid/>
        <w:spacing w:before="0" w:after="0" w:afterLines="0" w:line="240" w:lineRule="auto"/>
        <w:textAlignment w:val="auto"/>
        <w:rPr>
          <w:rFonts w:hint="eastAsia"/>
        </w:rPr>
      </w:pPr>
      <w:bookmarkStart w:id="111" w:name="_Toc166662903"/>
    </w:p>
    <w:p w14:paraId="6B4B6575">
      <w:pPr>
        <w:pStyle w:val="76"/>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0" w:after="0" w:afterLines="0" w:line="240" w:lineRule="auto"/>
        <w:ind w:leftChars="0"/>
        <w:jc w:val="center"/>
        <w:textAlignment w:val="auto"/>
        <w:rPr>
          <w:rFonts w:hint="eastAsia"/>
        </w:rPr>
      </w:pPr>
      <w:r>
        <w:rPr>
          <w:rFonts w:hint="eastAsia"/>
          <w:lang w:eastAsia="zh-CN"/>
        </w:rPr>
        <w:t>（资料性）</w:t>
      </w:r>
    </w:p>
    <w:p w14:paraId="38A034CA">
      <w:pPr>
        <w:pStyle w:val="76"/>
        <w:keepNext w:val="0"/>
        <w:keepLines w:val="0"/>
        <w:pageBreakBefore w:val="0"/>
        <w:widowControl/>
        <w:numPr>
          <w:ilvl w:val="0"/>
          <w:numId w:val="0"/>
        </w:numPr>
        <w:kinsoku/>
        <w:wordWrap/>
        <w:overflowPunct/>
        <w:topLinePunct w:val="0"/>
        <w:autoSpaceDE/>
        <w:autoSpaceDN/>
        <w:bidi w:val="0"/>
        <w:adjustRightInd/>
        <w:snapToGrid/>
        <w:spacing w:before="0" w:after="0" w:afterLines="0" w:line="240" w:lineRule="auto"/>
        <w:ind w:leftChars="0"/>
        <w:jc w:val="center"/>
        <w:textAlignment w:val="auto"/>
        <w:rPr>
          <w:rFonts w:hint="eastAsia"/>
        </w:rPr>
      </w:pPr>
      <w:r>
        <w:rPr>
          <w:rFonts w:hint="eastAsia"/>
        </w:rPr>
        <w:t>井冈</w:t>
      </w:r>
      <w:r>
        <w:rPr>
          <w:rFonts w:hint="eastAsia"/>
          <w:lang w:eastAsia="zh-CN"/>
        </w:rPr>
        <w:t>山永丰扁萝卜</w:t>
      </w:r>
      <w:r>
        <w:rPr>
          <w:rFonts w:hint="eastAsia"/>
        </w:rPr>
        <w:t>生产加工区域范围图</w:t>
      </w:r>
      <w:bookmarkEnd w:id="111"/>
    </w:p>
    <w:p w14:paraId="4C2F88AF">
      <w:pPr>
        <w:pStyle w:val="56"/>
        <w:ind w:firstLine="420"/>
        <w:jc w:val="center"/>
        <w:rPr>
          <w:rFonts w:hint="eastAsia"/>
        </w:rPr>
      </w:pPr>
      <w:r>
        <w:drawing>
          <wp:inline distT="0" distB="0" distL="114300" distR="114300">
            <wp:extent cx="3599815" cy="5088890"/>
            <wp:effectExtent l="0" t="0" r="635" b="16510"/>
            <wp:docPr id="7" name="图片 7" descr="9088d411e10f7694c1f0f097cd5a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088d411e10f7694c1f0f097cd5a0a2"/>
                    <pic:cNvPicPr>
                      <a:picLocks noChangeAspect="1"/>
                    </pic:cNvPicPr>
                  </pic:nvPicPr>
                  <pic:blipFill>
                    <a:blip r:embed="rId17"/>
                    <a:stretch>
                      <a:fillRect/>
                    </a:stretch>
                  </pic:blipFill>
                  <pic:spPr>
                    <a:xfrm>
                      <a:off x="0" y="0"/>
                      <a:ext cx="3599815" cy="5088890"/>
                    </a:xfrm>
                    <a:prstGeom prst="rect">
                      <a:avLst/>
                    </a:prstGeom>
                  </pic:spPr>
                </pic:pic>
              </a:graphicData>
            </a:graphic>
          </wp:inline>
        </w:drawing>
      </w:r>
    </w:p>
    <w:p w14:paraId="2C432E9D">
      <w:pPr>
        <w:pStyle w:val="83"/>
        <w:spacing w:before="120" w:after="120"/>
      </w:pPr>
      <w:r>
        <w:rPr>
          <w:rFonts w:hint="eastAsia"/>
        </w:rPr>
        <w:t>井冈</w:t>
      </w:r>
      <w:r>
        <w:rPr>
          <w:rFonts w:hint="eastAsia"/>
          <w:lang w:eastAsia="zh-CN"/>
        </w:rPr>
        <w:t>山永丰扁萝卜</w:t>
      </w:r>
      <w:r>
        <w:rPr>
          <w:rFonts w:hint="eastAsia"/>
        </w:rPr>
        <w:t>生产加工区域范围图</w:t>
      </w:r>
    </w:p>
    <w:p w14:paraId="1E826046">
      <w:pPr>
        <w:pStyle w:val="56"/>
        <w:ind w:firstLine="0" w:firstLineChars="0"/>
        <w:jc w:val="center"/>
      </w:pPr>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p>
    <w:p w14:paraId="6F9FB0B4">
      <w:pPr>
        <w:pStyle w:val="56"/>
        <w:ind w:firstLine="0" w:firstLineChars="0"/>
        <w:jc w:val="center"/>
      </w:pP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F019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03DF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4AD8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752C">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EB7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5A2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5268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A1FC0">
    <w:pPr>
      <w:pStyle w:val="61"/>
    </w:pPr>
    <w:r>
      <w:fldChar w:fldCharType="begin"/>
    </w:r>
    <w:r>
      <w:instrText xml:space="preserve"> STYLEREF  标准文件_文件编号  \* MERGEFORMAT </w:instrText>
    </w:r>
    <w:r>
      <w:fldChar w:fldCharType="separate"/>
    </w:r>
    <w:r>
      <w:t>T/JALNCP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B97A8">
    <w:pPr>
      <w:pStyle w:val="18"/>
      <w:jc w:val="right"/>
    </w:pPr>
    <w:r>
      <w:fldChar w:fldCharType="begin"/>
    </w:r>
    <w:r>
      <w:instrText xml:space="preserve"> STYLEREF  标准文件_文件编号  \* MERGEFORMAT </w:instrText>
    </w:r>
    <w:r>
      <w:fldChar w:fldCharType="separate"/>
    </w:r>
    <w:r>
      <w:t>T/JALNCP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2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23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Full" w:cryptAlgorithmClass="hash" w:cryptAlgorithmType="typeAny" w:cryptAlgorithmSid="4" w:cryptSpinCount="100000" w:hash="Gz4tUtwYojbxYd0wHWDmS70sWpg=" w:salt="dvJOcb0FKhy1zGo+rdjFL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YjViN2E1M2IwZTJhNDVkMTBjZDQxODBhODhlNGEifQ=="/>
  </w:docVars>
  <w:rsids>
    <w:rsidRoot w:val="00BC1EA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1EA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D4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D010909"/>
    <w:rsid w:val="15F7286A"/>
    <w:rsid w:val="1E701098"/>
    <w:rsid w:val="22A540A5"/>
    <w:rsid w:val="23B165C3"/>
    <w:rsid w:val="25463416"/>
    <w:rsid w:val="2DED540B"/>
    <w:rsid w:val="2E582E1B"/>
    <w:rsid w:val="30F53C64"/>
    <w:rsid w:val="39AE2DF2"/>
    <w:rsid w:val="3A74629A"/>
    <w:rsid w:val="404218C6"/>
    <w:rsid w:val="458618F6"/>
    <w:rsid w:val="4C8F3A16"/>
    <w:rsid w:val="564B3D28"/>
    <w:rsid w:val="63BE3594"/>
    <w:rsid w:val="6D50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next w:val="56"/>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1">
    <w:name w:val="一级条标题"/>
    <w:next w:val="230"/>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2">
    <w:name w:val="章标题"/>
    <w:next w:val="230"/>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3">
    <w:name w:val="正文表标题"/>
    <w:next w:val="230"/>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4">
    <w:name w:val="二级无"/>
    <w:basedOn w:val="235"/>
    <w:qFormat/>
    <w:uiPriority w:val="0"/>
    <w:pPr>
      <w:spacing w:before="0" w:beforeLines="0" w:after="0" w:afterLines="0"/>
      <w:ind w:left="0" w:firstLine="0"/>
    </w:pPr>
    <w:rPr>
      <w:rFonts w:ascii="宋体" w:eastAsia="宋体"/>
    </w:rPr>
  </w:style>
  <w:style w:type="paragraph" w:customStyle="1" w:styleId="235">
    <w:name w:val="二级条标题"/>
    <w:basedOn w:val="231"/>
    <w:next w:val="230"/>
    <w:qFormat/>
    <w:uiPriority w:val="0"/>
    <w:pPr>
      <w:numPr>
        <w:ilvl w:val="2"/>
        <w:numId w:val="32"/>
      </w:numPr>
      <w:spacing w:before="50" w:after="50"/>
      <w:outlineLvl w:val="3"/>
    </w:pPr>
  </w:style>
  <w:style w:type="paragraph" w:customStyle="1" w:styleId="236">
    <w:name w:val="列项——（一级）"/>
    <w:qFormat/>
    <w:uiPriority w:val="0"/>
    <w:pPr>
      <w:widowControl w:val="0"/>
      <w:numPr>
        <w:ilvl w:val="0"/>
        <w:numId w:val="21"/>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7FAD6B03E451AA4F6A539FD9169FF"/>
        <w:style w:val=""/>
        <w:category>
          <w:name w:val="常规"/>
          <w:gallery w:val="placeholder"/>
        </w:category>
        <w:types>
          <w:type w:val="bbPlcHdr"/>
        </w:types>
        <w:behaviors>
          <w:behavior w:val="content"/>
        </w:behaviors>
        <w:description w:val=""/>
        <w:guid w:val="{18C3A24E-8C92-4FAF-A302-26DCFC99B846}"/>
      </w:docPartPr>
      <w:docPartBody>
        <w:p w14:paraId="1D45B46F">
          <w:pPr>
            <w:pStyle w:val="5"/>
          </w:pPr>
          <w:r>
            <w:rPr>
              <w:rStyle w:val="4"/>
              <w:rFonts w:hint="eastAsia"/>
            </w:rPr>
            <w:t>单击或点击此处输入文字。</w:t>
          </w:r>
        </w:p>
      </w:docPartBody>
    </w:docPart>
    <w:docPart>
      <w:docPartPr>
        <w:name w:val="E20214479D9946F9ACCFB85993E9493E"/>
        <w:style w:val=""/>
        <w:category>
          <w:name w:val="常规"/>
          <w:gallery w:val="placeholder"/>
        </w:category>
        <w:types>
          <w:type w:val="bbPlcHdr"/>
        </w:types>
        <w:behaviors>
          <w:behavior w:val="content"/>
        </w:behaviors>
        <w:description w:val=""/>
        <w:guid w:val="{4F7755A7-54F3-462D-9A77-A1AA1ADEE32E}"/>
      </w:docPartPr>
      <w:docPartBody>
        <w:p w14:paraId="2CA243EF">
          <w:pPr>
            <w:pStyle w:val="6"/>
          </w:pPr>
          <w:r>
            <w:rPr>
              <w:rStyle w:val="4"/>
              <w:rFonts w:hint="eastAsia"/>
            </w:rPr>
            <w:t>选择一项。</w:t>
          </w:r>
        </w:p>
      </w:docPartBody>
    </w:docPart>
    <w:docPart>
      <w:docPartPr>
        <w:name w:val="254700745DDB40F9AB715A099C88D3B3"/>
        <w:style w:val=""/>
        <w:category>
          <w:name w:val="常规"/>
          <w:gallery w:val="placeholder"/>
        </w:category>
        <w:types>
          <w:type w:val="bbPlcHdr"/>
        </w:types>
        <w:behaviors>
          <w:behavior w:val="content"/>
        </w:behaviors>
        <w:description w:val=""/>
        <w:guid w:val="{68A9F2B4-EF5D-414B-A229-953F42639382}"/>
      </w:docPartPr>
      <w:docPartBody>
        <w:p w14:paraId="4FF53BA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79"/>
    <w:rsid w:val="00924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F37FAD6B03E451AA4F6A539FD9169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0214479D9946F9ACCFB85993E949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4700745DDB40F9AB715A099C88D3B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2F7E9-C79D-4512-9837-F13BC2D781E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1839</Words>
  <Characters>2240</Characters>
  <Lines>69</Lines>
  <Paragraphs>62</Paragraphs>
  <TotalTime>0</TotalTime>
  <ScaleCrop>false</ScaleCrop>
  <LinksUpToDate>false</LinksUpToDate>
  <CharactersWithSpaces>2366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2024-05-07T05:38:00Z</dcterms:created>
  <dc:creator>xb21cn</dc:creator>
  <dc:description>&lt;config cover="true" show_menu="true" version="1.0.0" doctype="SDKXY"&gt;_x000d_
&lt;/config&gt;</dc:description>
  <cp:lastModifiedBy>青春</cp:lastModifiedBy>
  <cp:lastPrinted>2021-02-02T08:22:00Z</cp:lastPrinted>
  <dcterms:modified xsi:type="dcterms:W3CDTF">2024-09-20T07:31:09Z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7018653479A84CA1BC1F30A181CFCB15_12</vt:lpwstr>
  </property>
</Properties>
</file>