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38</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w:t>
      </w:r>
      <w:r>
        <w:rPr>
          <w:rFonts w:hint="eastAsia"/>
          <w:lang w:eastAsia="zh-CN"/>
        </w:rPr>
        <w:t>杜仲叶</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Jinggangshan </w:t>
      </w:r>
      <w:r>
        <w:rPr>
          <w:rFonts w:hint="eastAsia" w:eastAsia="黑体"/>
          <w:szCs w:val="28"/>
        </w:rPr>
        <w:t>E</w:t>
      </w:r>
      <w:r>
        <w:rPr>
          <w:rFonts w:hint="eastAsia" w:eastAsia="黑体"/>
          <w:szCs w:val="28"/>
          <w:lang w:val="en-US" w:eastAsia="zh-CN"/>
        </w:rPr>
        <w:t>ucommiae folium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7</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8</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吉安市绿色农产品促进会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6666252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"_Toc166662895" </w:instrText>
      </w:r>
      <w:r>
        <w:fldChar w:fldCharType="separate"/>
      </w:r>
      <w:r>
        <w:rPr>
          <w:rStyle w:val="33"/>
          <w:rFonts w:hint="eastAsia"/>
        </w:rPr>
        <w:t>前言</w:t>
      </w:r>
      <w:r>
        <w:tab/>
      </w:r>
      <w:r>
        <w:fldChar w:fldCharType="begin"/>
      </w:r>
      <w:r>
        <w:instrText xml:space="preserve"> PAGEREF _Toc166662895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"_Toc166662896" </w:instrText>
      </w:r>
      <w:r>
        <w:fldChar w:fldCharType="separate"/>
      </w:r>
      <w:r>
        <w:rPr>
          <w:rStyle w:val="33"/>
        </w:rPr>
        <w:t xml:space="preserve">1 </w:t>
      </w:r>
      <w:r>
        <w:rPr>
          <w:rStyle w:val="33"/>
          <w:rFonts w:hint="eastAsia"/>
        </w:rPr>
        <w:t xml:space="preserve"> 范围</w:t>
      </w:r>
      <w:r>
        <w:tab/>
      </w:r>
      <w:r>
        <w:fldChar w:fldCharType="begin"/>
      </w:r>
      <w:r>
        <w:instrText xml:space="preserve"> PAGEREF _Toc166662896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_Toc166662897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_Toc166662898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"_Toc166662899" </w:instrText>
      </w:r>
      <w:r>
        <w:fldChar w:fldCharType="separate"/>
      </w:r>
      <w:r>
        <w:rPr>
          <w:rStyle w:val="33"/>
        </w:rPr>
        <w:t xml:space="preserve">4 </w:t>
      </w:r>
      <w:r>
        <w:rPr>
          <w:rStyle w:val="33"/>
          <w:rFonts w:hint="eastAsia"/>
        </w:rPr>
        <w:t xml:space="preserve"> 基本要求</w:t>
      </w:r>
      <w:r>
        <w:tab/>
      </w:r>
      <w:r>
        <w:fldChar w:fldCharType="begin"/>
      </w:r>
      <w:r>
        <w:instrText xml:space="preserve"> PAGEREF _Toc166662899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"_Toc166662900" </w:instrText>
      </w:r>
      <w:r>
        <w:fldChar w:fldCharType="separate"/>
      </w:r>
      <w:r>
        <w:rPr>
          <w:rStyle w:val="33"/>
        </w:rPr>
        <w:t xml:space="preserve">5 </w:t>
      </w:r>
      <w:r>
        <w:rPr>
          <w:rStyle w:val="33"/>
          <w:rFonts w:hint="eastAsia"/>
        </w:rPr>
        <w:t xml:space="preserve"> 检验规则</w:t>
      </w:r>
      <w:r>
        <w:tab/>
      </w:r>
      <w:r>
        <w:fldChar w:fldCharType="begin"/>
      </w:r>
      <w:r>
        <w:instrText xml:space="preserve"> PAGEREF _Toc166662900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"_Toc166662901" </w:instrText>
      </w:r>
      <w:r>
        <w:fldChar w:fldCharType="separate"/>
      </w:r>
      <w:r>
        <w:rPr>
          <w:rStyle w:val="33"/>
        </w:rPr>
        <w:t xml:space="preserve">6 </w:t>
      </w:r>
      <w:r>
        <w:rPr>
          <w:rStyle w:val="33"/>
          <w:rFonts w:hint="eastAsia"/>
        </w:rPr>
        <w:t xml:space="preserve"> 标签与标志、包装、运输、贮存</w:t>
      </w:r>
      <w:r>
        <w:tab/>
      </w:r>
      <w:r>
        <w:fldChar w:fldCharType="begin"/>
      </w:r>
      <w:r>
        <w:instrText xml:space="preserve"> PAGEREF _Toc166662901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"_Toc166662902" </w:instrText>
      </w:r>
      <w:r>
        <w:fldChar w:fldCharType="separate"/>
      </w:r>
      <w:r>
        <w:rPr>
          <w:rStyle w:val="33"/>
        </w:rPr>
        <w:t xml:space="preserve">7 </w:t>
      </w:r>
      <w:r>
        <w:rPr>
          <w:rStyle w:val="33"/>
          <w:rFonts w:hint="eastAsia"/>
        </w:rPr>
        <w:t xml:space="preserve"> 其他要求</w:t>
      </w:r>
      <w:r>
        <w:tab/>
      </w:r>
      <w:r>
        <w:fldChar w:fldCharType="begin"/>
      </w:r>
      <w:r>
        <w:instrText xml:space="preserve"> PAGEREF _Toc166662902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"_Toc166662903" </w:instrText>
      </w:r>
      <w:r>
        <w:fldChar w:fldCharType="separate"/>
      </w:r>
      <w:r>
        <w:rPr>
          <w:rStyle w:val="33"/>
          <w:rFonts w:hint="eastAsia"/>
        </w:rPr>
        <w:t>附录A（规范性）</w:t>
      </w:r>
      <w:r>
        <w:rPr>
          <w:rStyle w:val="33"/>
        </w:rPr>
        <w:t xml:space="preserve">  </w:t>
      </w:r>
      <w:r>
        <w:rPr>
          <w:rStyle w:val="33"/>
          <w:rFonts w:hint="eastAsia"/>
        </w:rPr>
        <w:t>井冈山</w:t>
      </w:r>
      <w:r>
        <w:rPr>
          <w:rStyle w:val="33"/>
          <w:rFonts w:hint="eastAsia"/>
          <w:lang w:eastAsia="zh-CN"/>
        </w:rPr>
        <w:t>杜仲叶</w:t>
      </w:r>
      <w:r>
        <w:rPr>
          <w:rStyle w:val="33"/>
          <w:rFonts w:hint="eastAsia"/>
        </w:rPr>
        <w:t>生产加工区域范围图</w:t>
      </w:r>
      <w:r>
        <w:tab/>
      </w:r>
      <w:r>
        <w:fldChar w:fldCharType="begin"/>
      </w:r>
      <w:r>
        <w:instrText xml:space="preserve"> PAGEREF _Toc166662903 \h </w:instrText>
      </w:r>
      <w:r>
        <w:fldChar w:fldCharType="separate"/>
      </w:r>
      <w:r>
        <w:t>4</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3" w:name="_Toc166662895"/>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本文件由吉安市绿色农产品促进会提出并归口。</w:t>
      </w:r>
    </w:p>
    <w:p>
      <w:pPr>
        <w:pStyle w:val="57"/>
        <w:ind w:firstLine="420"/>
        <w:rPr>
          <w:color w:val="auto"/>
        </w:rPr>
      </w:pPr>
      <w:r>
        <w:rPr>
          <w:rFonts w:hint="eastAsia"/>
          <w:color w:val="auto"/>
        </w:rPr>
        <w:t>本文件起草单位：</w:t>
      </w:r>
    </w:p>
    <w:p>
      <w:pPr>
        <w:pStyle w:val="57"/>
        <w:ind w:firstLine="420"/>
        <w:rPr>
          <w:color w:val="auto"/>
        </w:rPr>
      </w:pPr>
      <w:r>
        <w:rPr>
          <w:rFonts w:hint="eastAsia"/>
          <w:color w:val="auto"/>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pPr>
            <w:pStyle w:val="178"/>
          </w:pPr>
          <w:bookmarkStart w:id="26" w:name="NEW_STAND_NAME"/>
          <w:r>
            <w:rPr>
              <w:rFonts w:hint="eastAsia"/>
            </w:rPr>
            <w:t>井冈山</w:t>
          </w:r>
          <w:r>
            <w:rPr>
              <w:rFonts w:hint="eastAsia"/>
              <w:lang w:eastAsia="zh-CN"/>
            </w:rPr>
            <w:t>杜仲叶</w:t>
          </w:r>
        </w:p>
      </w:sdtContent>
    </w:sdt>
    <w:bookmarkEnd w:id="26"/>
    <w:p>
      <w:pPr>
        <w:pStyle w:val="105"/>
        <w:spacing w:before="240" w:after="240"/>
      </w:pPr>
      <w:bookmarkStart w:id="27" w:name="_Toc26986771"/>
      <w:bookmarkStart w:id="28" w:name="_Toc166662528"/>
      <w:bookmarkStart w:id="29" w:name="_Toc97192964"/>
      <w:bookmarkStart w:id="30" w:name="_Toc26718930"/>
      <w:bookmarkStart w:id="31" w:name="_Toc26648465"/>
      <w:bookmarkStart w:id="32" w:name="_Toc26986530"/>
      <w:bookmarkStart w:id="33" w:name="_Toc166662896"/>
      <w:bookmarkStart w:id="34" w:name="_Toc24884211"/>
      <w:bookmarkStart w:id="35" w:name="_Toc17233333"/>
      <w:bookmarkStart w:id="36" w:name="_Toc24884218"/>
      <w:bookmarkStart w:id="37" w:name="_Toc17233325"/>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7"/>
        <w:ind w:firstLine="420"/>
      </w:pPr>
      <w:r>
        <w:rPr>
          <w:rFonts w:hint="eastAsia"/>
        </w:rPr>
        <w:t>本文件规定了井冈山</w:t>
      </w:r>
      <w:r>
        <w:rPr>
          <w:rFonts w:hint="eastAsia"/>
          <w:lang w:eastAsia="zh-CN"/>
        </w:rPr>
        <w:t>杜仲叶</w:t>
      </w:r>
      <w:r>
        <w:rPr>
          <w:rFonts w:hint="eastAsia"/>
        </w:rPr>
        <w:t>的要求、检验规则、标签与标志、包装、运输、贮存。</w:t>
      </w:r>
    </w:p>
    <w:p>
      <w:pPr>
        <w:pStyle w:val="57"/>
        <w:ind w:firstLine="420"/>
      </w:pPr>
      <w:r>
        <w:rPr>
          <w:rFonts w:hint="eastAsia"/>
        </w:rPr>
        <w:t>本文件适用于吉安市行政区域范围内生产加工的</w:t>
      </w:r>
      <w:r>
        <w:rPr>
          <w:rFonts w:hint="eastAsia"/>
          <w:lang w:eastAsia="zh-CN"/>
        </w:rPr>
        <w:t>杜仲叶</w:t>
      </w:r>
      <w:r>
        <w:rPr>
          <w:rFonts w:hint="eastAsia"/>
        </w:rPr>
        <w:t>干品。</w:t>
      </w:r>
    </w:p>
    <w:p>
      <w:pPr>
        <w:pStyle w:val="105"/>
        <w:spacing w:before="240" w:after="240"/>
      </w:pPr>
      <w:bookmarkStart w:id="38" w:name="_Toc166662897"/>
      <w:bookmarkStart w:id="39" w:name="_Toc97192965"/>
      <w:bookmarkStart w:id="40" w:name="_Toc26986531"/>
      <w:bookmarkStart w:id="41" w:name="_Toc166662529"/>
      <w:bookmarkStart w:id="42" w:name="_Toc17233334"/>
      <w:bookmarkStart w:id="43" w:name="_Toc24884212"/>
      <w:bookmarkStart w:id="44" w:name="_Toc17233326"/>
      <w:bookmarkStart w:id="45" w:name="_Toc26648466"/>
      <w:bookmarkStart w:id="46" w:name="_Toc26986772"/>
      <w:bookmarkStart w:id="47" w:name="_Toc24884219"/>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GB/T 19630 有机产品 生产、加工、标识与管理体系要求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391 绿色食品 产地环境质量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393 绿色食品 农药使用准则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394 绿色食品 化肥使用准则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SB/T 11182 中药材包装技术规范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JJF 1070 定量包装商品净含量计量检验规则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国家市场监督管理总局令2023年第70号 定量包装商品计量监督管理办法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《中华人民共和国药典》（2020版）一部、四部 </w:t>
      </w:r>
    </w:p>
    <w:p>
      <w:pPr>
        <w:pStyle w:val="105"/>
        <w:spacing w:before="240" w:after="240"/>
      </w:pPr>
      <w:bookmarkStart w:id="49" w:name="_Toc166662530"/>
      <w:bookmarkStart w:id="50" w:name="_Toc97192966"/>
      <w:bookmarkStart w:id="51" w:name="_Toc166662898"/>
      <w:r>
        <w:rPr>
          <w:rFonts w:hint="eastAsia"/>
          <w:szCs w:val="21"/>
        </w:rPr>
        <w:t>术语和定义</w:t>
      </w:r>
      <w:bookmarkEnd w:id="49"/>
      <w:bookmarkEnd w:id="50"/>
      <w:bookmarkEnd w:id="51"/>
    </w:p>
    <w:sdt>
      <w:sdtPr>
        <w:id w:val="-1"/>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2" w:name="_Toc26986532"/>
          <w:bookmarkEnd w:id="52"/>
          <w:r>
            <w:t>下列术语和定义适用于本文件。</w:t>
          </w:r>
        </w:p>
      </w:sdtContent>
    </w:sdt>
    <w:p>
      <w:pPr>
        <w:pStyle w:val="224"/>
        <w:ind w:left="420" w:hanging="420" w:hangingChars="200"/>
        <w:rPr>
          <w:rFonts w:ascii="黑体" w:hAnsi="黑体" w:eastAsia="黑体"/>
        </w:rPr>
      </w:pPr>
    </w:p>
    <w:p>
      <w:pPr>
        <w:pStyle w:val="57"/>
        <w:ind w:firstLine="420"/>
        <w:rPr>
          <w:rFonts w:ascii="黑体" w:hAnsi="黑体" w:eastAsia="黑体"/>
          <w:b/>
          <w:bCs/>
        </w:rPr>
      </w:pPr>
      <w:r>
        <w:rPr>
          <w:rFonts w:hint="eastAsia"/>
          <w:b/>
          <w:bCs/>
          <w:lang w:eastAsia="zh-CN"/>
        </w:rPr>
        <w:t>井冈山</w:t>
      </w:r>
      <w:r>
        <w:rPr>
          <w:rFonts w:hint="eastAsia" w:ascii="黑体" w:hAnsi="黑体" w:eastAsia="黑体"/>
          <w:b/>
          <w:bCs/>
          <w:lang w:eastAsia="zh-CN"/>
        </w:rPr>
        <w:t>杜仲叶</w:t>
      </w:r>
      <w:r>
        <w:rPr>
          <w:rFonts w:hint="eastAsia" w:ascii="黑体" w:hAnsi="黑体" w:eastAsia="黑体"/>
          <w:b/>
          <w:bCs/>
          <w:lang w:val="en-US" w:eastAsia="zh-CN"/>
        </w:rPr>
        <w:t xml:space="preserve"> jinggangshan eucommiae folium</w:t>
      </w:r>
    </w:p>
    <w:p>
      <w:pPr>
        <w:pStyle w:val="166"/>
        <w:numPr>
          <w:ilvl w:val="3"/>
          <w:numId w:val="0"/>
        </w:numPr>
        <w:ind w:left="0" w:leftChars="0" w:firstLine="420" w:firstLineChars="200"/>
        <w:rPr>
          <w:rFonts w:hint="default"/>
          <w:lang w:val="en-US" w:eastAsia="zh-CN"/>
        </w:rPr>
      </w:pPr>
      <w:r>
        <w:rPr>
          <w:rFonts w:hint="default"/>
        </w:rPr>
        <w:t>为杜仲科植物杜仲Eucommia ulmoides Oliv.的干燥叶</w:t>
      </w:r>
      <w:r>
        <w:rPr>
          <w:rFonts w:hint="eastAsia"/>
          <w:lang w:val="en-US" w:eastAsia="zh-CN"/>
        </w:rPr>
        <w:t>,符合本文件要求，并经“井冈山®”商标持有人授权的药用杜仲叶干品。</w:t>
      </w:r>
    </w:p>
    <w:p>
      <w:pPr>
        <w:widowControl/>
        <w:spacing w:line="240" w:lineRule="auto"/>
        <w:ind w:firstLine="419" w:firstLineChars="233"/>
        <w:jc w:val="left"/>
        <w:rPr>
          <w:sz w:val="18"/>
          <w:szCs w:val="18"/>
        </w:rPr>
      </w:pPr>
      <w:r>
        <w:rPr>
          <w:rFonts w:hint="eastAsia"/>
          <w:sz w:val="18"/>
          <w:szCs w:val="18"/>
        </w:rPr>
        <w:t>注：井冈山</w:t>
      </w:r>
      <w:r>
        <w:rPr>
          <w:rFonts w:hint="eastAsia"/>
          <w:sz w:val="18"/>
          <w:szCs w:val="18"/>
          <w:lang w:eastAsia="zh-CN"/>
        </w:rPr>
        <w:t>杜仲叶</w:t>
      </w:r>
      <w:r>
        <w:rPr>
          <w:rFonts w:hint="eastAsia"/>
          <w:sz w:val="18"/>
          <w:szCs w:val="18"/>
        </w:rPr>
        <w:t>的生产加工区域范围见附录A。</w:t>
      </w:r>
    </w:p>
    <w:p>
      <w:pPr>
        <w:pStyle w:val="105"/>
        <w:spacing w:before="240" w:after="240"/>
      </w:pPr>
      <w:bookmarkStart w:id="53" w:name="_Toc166662899"/>
      <w:bookmarkStart w:id="54" w:name="_Toc166662531"/>
      <w:r>
        <w:t>基本要求</w:t>
      </w:r>
      <w:bookmarkEnd w:id="53"/>
      <w:bookmarkEnd w:id="54"/>
    </w:p>
    <w:p>
      <w:pPr>
        <w:pStyle w:val="106"/>
        <w:spacing w:before="120" w:after="120"/>
        <w:rPr>
          <w:rFonts w:hint="eastAsia"/>
        </w:rPr>
      </w:pPr>
      <w:r>
        <w:rPr>
          <w:rFonts w:hint="eastAsia"/>
        </w:rPr>
        <w:t>品种</w:t>
      </w:r>
    </w:p>
    <w:p>
      <w:pPr>
        <w:pStyle w:val="166"/>
        <w:numPr>
          <w:ilvl w:val="3"/>
          <w:numId w:val="0"/>
        </w:numPr>
        <w:ind w:left="0" w:leftChars="0" w:firstLine="420" w:firstLineChars="200"/>
        <w:rPr>
          <w:rFonts w:hint="eastAsia"/>
        </w:rPr>
      </w:pPr>
      <w:r>
        <w:rPr>
          <w:rFonts w:hint="eastAsia"/>
        </w:rPr>
        <w:t>选用当地适宜栽培品种。</w:t>
      </w:r>
    </w:p>
    <w:p>
      <w:pPr>
        <w:pStyle w:val="106"/>
        <w:spacing w:before="120" w:after="120"/>
      </w:pPr>
      <w:r>
        <w:rPr>
          <w:rFonts w:hint="eastAsia"/>
        </w:rPr>
        <w:t>产地环境</w:t>
      </w:r>
    </w:p>
    <w:p>
      <w:pPr>
        <w:pStyle w:val="166"/>
        <w:numPr>
          <w:ilvl w:val="3"/>
          <w:numId w:val="0"/>
        </w:numPr>
        <w:ind w:left="0" w:leftChars="0" w:firstLine="420" w:firstLineChars="200"/>
      </w:pPr>
      <w:r>
        <w:rPr>
          <w:rFonts w:hint="eastAsia"/>
        </w:rPr>
        <w:t>应符合NY/T 391的规定；有机产品应符合GB/T 19630的规定。</w:t>
      </w:r>
    </w:p>
    <w:p>
      <w:pPr>
        <w:pStyle w:val="106"/>
        <w:spacing w:before="120" w:after="120"/>
      </w:pPr>
      <w:r>
        <w:rPr>
          <w:rFonts w:hint="eastAsia"/>
        </w:rPr>
        <w:t>投入品</w:t>
      </w:r>
    </w:p>
    <w:p>
      <w:pPr>
        <w:pStyle w:val="57"/>
        <w:ind w:firstLine="420"/>
      </w:pPr>
      <w:r>
        <w:rPr>
          <w:rFonts w:hint="eastAsia"/>
        </w:rPr>
        <w:t>应符合NY/T 393、NY/T 394的规定；有机产品应符合GB/T 19630的规定。</w:t>
      </w:r>
    </w:p>
    <w:p>
      <w:pPr>
        <w:pStyle w:val="66"/>
        <w:spacing w:before="120" w:after="120"/>
      </w:pPr>
      <w:r>
        <w:rPr>
          <w:rFonts w:hint="eastAsia"/>
          <w:lang w:eastAsia="zh-CN"/>
        </w:rPr>
        <w:t>采收</w:t>
      </w:r>
    </w:p>
    <w:p>
      <w:pPr>
        <w:pStyle w:val="57"/>
        <w:ind w:firstLine="420"/>
        <w:rPr>
          <w:rFonts w:hint="eastAsia"/>
        </w:rPr>
      </w:pPr>
      <w:r>
        <w:rPr>
          <w:rFonts w:hint="default" w:ascii="Times New Roman" w:hAnsi="Times New Roman" w:cs="Times New Roman"/>
          <w:i w:val="0"/>
          <w:iCs w:val="0"/>
          <w:caps w:val="0"/>
          <w:color w:val="000000"/>
          <w:spacing w:val="0"/>
          <w:sz w:val="21"/>
          <w:szCs w:val="21"/>
          <w:bdr w:val="none" w:color="auto" w:sz="0" w:space="0"/>
          <w:shd w:val="clear" w:fill="FFFFFF"/>
        </w:rPr>
        <w:t>夏、秋二季枝叶茂盛时采收</w:t>
      </w:r>
      <w:r>
        <w:rPr>
          <w:rFonts w:hint="eastAsia" w:ascii="Times New Roman" w:cs="Times New Roman"/>
          <w:i w:val="0"/>
          <w:iCs w:val="0"/>
          <w:caps w:val="0"/>
          <w:color w:val="000000"/>
          <w:spacing w:val="0"/>
          <w:sz w:val="21"/>
          <w:szCs w:val="21"/>
          <w:bdr w:val="none" w:color="auto" w:sz="0" w:space="0"/>
          <w:shd w:val="clear" w:fill="FFFFFF"/>
          <w:lang w:val="en-US" w:eastAsia="zh-CN"/>
        </w:rPr>
        <w:t>，</w:t>
      </w:r>
      <w:r>
        <w:rPr>
          <w:rFonts w:hint="default" w:ascii="Times New Roman" w:hAnsi="Times New Roman" w:cs="Times New Roman"/>
          <w:i w:val="0"/>
          <w:iCs w:val="0"/>
          <w:caps w:val="0"/>
          <w:color w:val="000000"/>
          <w:spacing w:val="0"/>
          <w:sz w:val="21"/>
          <w:szCs w:val="21"/>
          <w:bdr w:val="none" w:color="auto" w:sz="0" w:space="0"/>
          <w:shd w:val="clear" w:fill="FFFFFF"/>
        </w:rPr>
        <w:t>晒干或低温烘干</w:t>
      </w:r>
      <w:r>
        <w:rPr>
          <w:rFonts w:hint="eastAsia"/>
          <w:lang w:val="en-US" w:eastAsia="zh-CN"/>
        </w:rPr>
        <w:t>。</w:t>
      </w:r>
    </w:p>
    <w:p>
      <w:pPr>
        <w:pStyle w:val="106"/>
        <w:spacing w:before="120" w:after="120"/>
      </w:pPr>
      <w:r>
        <w:rPr>
          <w:rFonts w:hint="eastAsia"/>
        </w:rPr>
        <w:t>感官要求</w:t>
      </w:r>
    </w:p>
    <w:p>
      <w:pPr>
        <w:pStyle w:val="57"/>
        <w:rPr>
          <w:rFonts w:hint="eastAsia"/>
          <w:lang w:val="en-US" w:eastAsia="zh-CN"/>
        </w:rPr>
      </w:pPr>
      <w:r>
        <w:rPr>
          <w:rFonts w:hint="eastAsia"/>
          <w:lang w:eastAsia="zh-CN"/>
        </w:rPr>
        <w:t>应符合表</w:t>
      </w:r>
      <w:r>
        <w:rPr>
          <w:rFonts w:hint="eastAsia"/>
          <w:lang w:val="en-US" w:eastAsia="zh-CN"/>
        </w:rPr>
        <w:t>1的要求。</w:t>
      </w:r>
    </w:p>
    <w:p>
      <w:pPr>
        <w:pStyle w:val="57"/>
        <w:jc w:val="center"/>
        <w:rPr>
          <w:rFonts w:hint="default"/>
          <w:lang w:val="en-US" w:eastAsia="zh-CN"/>
        </w:rPr>
      </w:pPr>
      <w:r>
        <w:rPr>
          <w:rFonts w:hint="eastAsia"/>
          <w:lang w:val="en-US" w:eastAsia="zh-CN"/>
        </w:rPr>
        <w:t>表1 感官指标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560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项目</w:t>
            </w:r>
          </w:p>
        </w:tc>
        <w:tc>
          <w:tcPr>
            <w:tcW w:w="5607"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指标</w:t>
            </w:r>
          </w:p>
        </w:tc>
        <w:tc>
          <w:tcPr>
            <w:tcW w:w="2983"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性状</w:t>
            </w:r>
          </w:p>
        </w:tc>
        <w:tc>
          <w:tcPr>
            <w:tcW w:w="5607" w:type="dxa"/>
            <w:vAlign w:val="center"/>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vertAlign w:val="baseline"/>
              </w:rPr>
            </w:pPr>
            <w:r>
              <w:rPr>
                <w:rFonts w:hint="default" w:ascii="Times New Roman" w:hAnsi="Times New Roman" w:cs="Times New Roman"/>
                <w:i w:val="0"/>
                <w:iCs w:val="0"/>
                <w:caps w:val="0"/>
                <w:color w:val="000000"/>
                <w:spacing w:val="0"/>
                <w:sz w:val="21"/>
                <w:szCs w:val="21"/>
                <w:bdr w:val="none" w:color="auto" w:sz="0" w:space="0"/>
                <w:shd w:val="clear" w:fill="FFFFFF"/>
              </w:rPr>
              <w:t>本品多破碎，完整叶片展平后呈椭圆形或卵形，长7～15cm，宽3.5～7cm。表面黄绿色或黄褐色，微有光泽，先端渐尖，基部圆形或广楔形，边缘有锯齿，具短叶柄。质脆，搓之易碎，折断面有少量银白色橡胶丝相连。气微，味微苦。</w:t>
            </w:r>
          </w:p>
        </w:tc>
        <w:tc>
          <w:tcPr>
            <w:tcW w:w="2983" w:type="dxa"/>
            <w:vAlign w:val="center"/>
          </w:tcPr>
          <w:p>
            <w:pPr>
              <w:pStyle w:val="166"/>
              <w:numPr>
                <w:ilvl w:val="3"/>
                <w:numId w:val="0"/>
              </w:numPr>
              <w:jc w:val="center"/>
              <w:rPr>
                <w:vertAlign w:val="baseline"/>
              </w:rPr>
            </w:pPr>
            <w:r>
              <w:rPr>
                <w:rFonts w:hint="eastAsia" w:hAnsi="黑体" w:cs="黑体"/>
                <w:vertAlign w:val="baseline"/>
                <w:lang w:val="en-US" w:eastAsia="zh-CN"/>
              </w:rPr>
              <w:t>眼观，手感，尺量，鼻嗅，口尝</w:t>
            </w:r>
          </w:p>
        </w:tc>
      </w:tr>
    </w:tbl>
    <w:p>
      <w:pPr>
        <w:pStyle w:val="106"/>
        <w:spacing w:before="120" w:after="120"/>
      </w:pPr>
      <w:r>
        <w:rPr>
          <w:rFonts w:hint="eastAsia"/>
        </w:rPr>
        <w:t>理化指标</w:t>
      </w:r>
    </w:p>
    <w:p>
      <w:pPr>
        <w:pStyle w:val="57"/>
        <w:ind w:firstLine="420"/>
      </w:pPr>
      <w:r>
        <w:rPr>
          <w:rFonts w:hint="eastAsia"/>
        </w:rPr>
        <w:t>应符合表</w:t>
      </w:r>
      <w:r>
        <w:rPr>
          <w:rFonts w:hint="eastAsia"/>
          <w:lang w:val="en-US" w:eastAsia="zh-CN"/>
        </w:rPr>
        <w:t>2</w:t>
      </w:r>
      <w:r>
        <w:rPr>
          <w:rFonts w:hint="eastAsia"/>
        </w:rPr>
        <w:t>的要求。</w:t>
      </w:r>
    </w:p>
    <w:p>
      <w:pPr>
        <w:pStyle w:val="57"/>
        <w:ind w:firstLine="420"/>
        <w:jc w:val="center"/>
      </w:pPr>
      <w:r>
        <w:rPr>
          <w:rFonts w:hint="eastAsia"/>
        </w:rPr>
        <w:t>表</w:t>
      </w:r>
      <w:r>
        <w:rPr>
          <w:rFonts w:hint="eastAsia"/>
          <w:lang w:val="en-US" w:eastAsia="zh-CN"/>
        </w:rPr>
        <w:t>2</w:t>
      </w:r>
      <w:r>
        <w:rPr>
          <w:rFonts w:hint="eastAsia"/>
        </w:rPr>
        <w:t xml:space="preserve"> 理化指标</w:t>
      </w:r>
    </w:p>
    <w:tbl>
      <w:tblPr>
        <w:tblStyle w:val="28"/>
        <w:tblW w:w="9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99"/>
        <w:gridCol w:w="2299"/>
        <w:gridCol w:w="4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项目</w:t>
            </w:r>
          </w:p>
        </w:tc>
        <w:tc>
          <w:tcPr>
            <w:tcW w:w="2299"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指标</w:t>
            </w:r>
          </w:p>
        </w:tc>
        <w:tc>
          <w:tcPr>
            <w:tcW w:w="4766"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top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lang w:eastAsia="zh-CN"/>
              </w:rPr>
              <w:t>绿原酸</w:t>
            </w:r>
            <w:r>
              <w:rPr>
                <w:rFonts w:hint="eastAsia" w:hAnsi="宋体" w:cs="宋体"/>
                <w:sz w:val="18"/>
                <w:szCs w:val="21"/>
              </w:rPr>
              <w:t>（C</w:t>
            </w:r>
            <w:r>
              <w:rPr>
                <w:rFonts w:hint="eastAsia" w:hAnsi="宋体" w:cs="宋体"/>
                <w:sz w:val="18"/>
                <w:szCs w:val="21"/>
                <w:vertAlign w:val="subscript"/>
                <w:lang w:val="en-US" w:eastAsia="zh-CN"/>
              </w:rPr>
              <w:t>16</w:t>
            </w:r>
            <w:r>
              <w:rPr>
                <w:rFonts w:hint="eastAsia" w:hAnsi="宋体" w:cs="宋体"/>
                <w:sz w:val="18"/>
                <w:szCs w:val="21"/>
              </w:rPr>
              <w:t>H</w:t>
            </w:r>
            <w:r>
              <w:rPr>
                <w:rFonts w:hint="eastAsia" w:hAnsi="宋体" w:cs="宋体"/>
                <w:sz w:val="18"/>
                <w:szCs w:val="21"/>
                <w:vertAlign w:val="subscript"/>
                <w:lang w:val="en-US" w:eastAsia="zh-CN"/>
              </w:rPr>
              <w:t>18</w:t>
            </w:r>
            <w:r>
              <w:rPr>
                <w:rFonts w:hint="eastAsia" w:hAnsi="宋体" w:cs="宋体"/>
                <w:sz w:val="18"/>
                <w:szCs w:val="21"/>
              </w:rPr>
              <w:t>O</w:t>
            </w:r>
            <w:r>
              <w:rPr>
                <w:rFonts w:hint="eastAsia" w:hAnsi="宋体" w:cs="宋体"/>
                <w:sz w:val="18"/>
                <w:szCs w:val="21"/>
                <w:vertAlign w:val="subscript"/>
                <w:lang w:val="en-US" w:eastAsia="zh-CN"/>
              </w:rPr>
              <w:t>9</w:t>
            </w:r>
            <w:r>
              <w:rPr>
                <w:rFonts w:hint="eastAsia" w:hAnsi="宋体" w:cs="宋体"/>
                <w:sz w:val="18"/>
                <w:szCs w:val="21"/>
              </w:rPr>
              <w:t>）</w:t>
            </w:r>
            <w:r>
              <w:rPr>
                <w:rFonts w:hint="eastAsia" w:hAnsi="宋体" w:cs="宋体"/>
                <w:sz w:val="18"/>
                <w:szCs w:val="21"/>
                <w:lang w:eastAsia="zh-CN"/>
              </w:rPr>
              <w:t>，</w:t>
            </w:r>
            <w:r>
              <w:rPr>
                <w:rFonts w:hint="eastAsia" w:hAnsi="宋体" w:cs="宋体"/>
                <w:sz w:val="18"/>
                <w:szCs w:val="21"/>
              </w:rPr>
              <w:t>%</w:t>
            </w:r>
          </w:p>
        </w:tc>
        <w:tc>
          <w:tcPr>
            <w:tcW w:w="2299" w:type="dxa"/>
            <w:tcBorders>
              <w:top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≥0.</w:t>
            </w:r>
            <w:r>
              <w:rPr>
                <w:rFonts w:hint="eastAsia" w:hAnsi="宋体" w:cs="宋体"/>
                <w:sz w:val="18"/>
                <w:szCs w:val="21"/>
                <w:lang w:val="en-US" w:eastAsia="zh-CN"/>
              </w:rPr>
              <w:t>080</w:t>
            </w:r>
          </w:p>
        </w:tc>
        <w:tc>
          <w:tcPr>
            <w:tcW w:w="4766" w:type="dxa"/>
            <w:tcBorders>
              <w:top w:val="single" w:color="auto" w:sz="8" w:space="0"/>
            </w:tcBorders>
            <w:shd w:val="clear" w:color="auto" w:fill="auto"/>
            <w:vAlign w:val="center"/>
          </w:tcPr>
          <w:p>
            <w:pPr>
              <w:widowControl/>
              <w:adjustRightInd/>
              <w:spacing w:line="240" w:lineRule="auto"/>
              <w:jc w:val="center"/>
              <w:rPr>
                <w:rFonts w:hint="eastAsia" w:ascii="宋体" w:hAnsi="宋体" w:eastAsia="宋体" w:cs="宋体"/>
                <w:sz w:val="18"/>
                <w:lang w:eastAsia="zh-CN"/>
              </w:rPr>
            </w:pPr>
            <w:r>
              <w:rPr>
                <w:rFonts w:hint="eastAsia" w:ascii="宋体" w:hAnsi="宋体" w:cs="宋体"/>
                <w:color w:val="000000"/>
                <w:kern w:val="0"/>
                <w:sz w:val="18"/>
                <w:lang w:bidi="ar"/>
              </w:rPr>
              <w:t>《中华人民共和国药典》（2020版）一部</w:t>
            </w:r>
            <w:r>
              <w:rPr>
                <w:rFonts w:hint="eastAsia" w:ascii="宋体" w:hAnsi="宋体" w:cs="宋体"/>
                <w:color w:val="000000"/>
                <w:kern w:val="0"/>
                <w:sz w:val="18"/>
                <w:lang w:val="en-US" w:eastAsia="zh-CN" w:bidi="ar"/>
              </w:rPr>
              <w:t xml:space="preserve"> </w:t>
            </w:r>
            <w:r>
              <w:rPr>
                <w:rFonts w:hint="eastAsia" w:ascii="宋体" w:hAnsi="宋体" w:cs="宋体"/>
                <w:color w:val="000000"/>
                <w:kern w:val="0"/>
                <w:sz w:val="18"/>
                <w:lang w:eastAsia="zh-CN" w:bidi="ar"/>
              </w:rPr>
              <w:t>杜仲叶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水分</w:t>
            </w:r>
            <w:r>
              <w:rPr>
                <w:rFonts w:hint="eastAsia" w:hAnsi="宋体" w:cs="宋体"/>
                <w:sz w:val="18"/>
                <w:szCs w:val="21"/>
                <w:lang w:eastAsia="zh-CN"/>
              </w:rPr>
              <w:t>，</w:t>
            </w:r>
            <w:r>
              <w:rPr>
                <w:rFonts w:hint="eastAsia" w:hAnsi="宋体" w:cs="宋体"/>
                <w:sz w:val="18"/>
                <w:szCs w:val="21"/>
              </w:rPr>
              <w:t>%</w:t>
            </w:r>
          </w:p>
        </w:tc>
        <w:tc>
          <w:tcPr>
            <w:tcW w:w="2299" w:type="dxa"/>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≤1</w:t>
            </w:r>
            <w:r>
              <w:rPr>
                <w:rFonts w:hint="eastAsia" w:hAnsi="宋体" w:cs="宋体"/>
                <w:sz w:val="18"/>
                <w:szCs w:val="21"/>
                <w:lang w:val="en-US" w:eastAsia="zh-CN"/>
              </w:rPr>
              <w:t>5.0</w:t>
            </w:r>
          </w:p>
        </w:tc>
        <w:tc>
          <w:tcPr>
            <w:tcW w:w="4766" w:type="dxa"/>
            <w:shd w:val="clear" w:color="auto" w:fill="auto"/>
            <w:vAlign w:val="center"/>
          </w:tcPr>
          <w:p>
            <w:pPr>
              <w:widowControl/>
              <w:adjustRightInd/>
              <w:spacing w:line="240" w:lineRule="auto"/>
              <w:jc w:val="center"/>
              <w:rPr>
                <w:rFonts w:ascii="宋体" w:hAnsi="宋体" w:cs="宋体"/>
                <w:sz w:val="18"/>
              </w:rPr>
            </w:pPr>
            <w:r>
              <w:rPr>
                <w:rFonts w:hint="eastAsia" w:ascii="宋体" w:hAnsi="宋体" w:eastAsia="宋体" w:cs="宋体"/>
                <w:color w:val="000000"/>
                <w:kern w:val="0"/>
                <w:sz w:val="18"/>
                <w:szCs w:val="18"/>
                <w:lang w:val="en-US" w:eastAsia="zh-CN" w:bidi="ar"/>
              </w:rPr>
              <w:t>《中华人民共和国药典》（2020版）四部 通则0832</w:t>
            </w:r>
            <w:r>
              <w:rPr>
                <w:rFonts w:hint="eastAsia" w:ascii="宋体" w:hAnsi="宋体" w:cs="宋体"/>
                <w:color w:val="000000"/>
                <w:kern w:val="0"/>
                <w:sz w:val="18"/>
                <w:szCs w:val="18"/>
                <w:lang w:val="en-US" w:eastAsia="zh-CN" w:bidi="ar"/>
              </w:rPr>
              <w:t>第二法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浸出物</w:t>
            </w:r>
            <w:r>
              <w:rPr>
                <w:rFonts w:hint="eastAsia" w:hAnsi="宋体" w:cs="宋体"/>
                <w:sz w:val="18"/>
                <w:szCs w:val="21"/>
                <w:lang w:eastAsia="zh-CN"/>
              </w:rPr>
              <w:t>，</w:t>
            </w:r>
            <w:r>
              <w:rPr>
                <w:rFonts w:hint="eastAsia" w:hAnsi="宋体" w:cs="宋体"/>
                <w:sz w:val="18"/>
                <w:szCs w:val="21"/>
              </w:rPr>
              <w:t>%</w:t>
            </w:r>
          </w:p>
        </w:tc>
        <w:tc>
          <w:tcPr>
            <w:tcW w:w="2299" w:type="dxa"/>
            <w:tcBorders>
              <w:bottom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16.0</w:t>
            </w:r>
          </w:p>
        </w:tc>
        <w:tc>
          <w:tcPr>
            <w:tcW w:w="4766" w:type="dxa"/>
            <w:tcBorders>
              <w:bottom w:val="single" w:color="auto" w:sz="8" w:space="0"/>
            </w:tcBorders>
            <w:shd w:val="clear" w:color="auto" w:fill="auto"/>
            <w:vAlign w:val="center"/>
          </w:tcPr>
          <w:p>
            <w:pPr>
              <w:pStyle w:val="57"/>
              <w:ind w:firstLine="0" w:firstLineChars="0"/>
              <w:jc w:val="center"/>
              <w:rPr>
                <w:rFonts w:hint="eastAsia" w:hAnsi="宋体" w:eastAsia="宋体" w:cs="宋体"/>
                <w:sz w:val="18"/>
                <w:szCs w:val="21"/>
                <w:lang w:eastAsia="zh-CN"/>
              </w:rPr>
            </w:pPr>
            <w:r>
              <w:rPr>
                <w:rFonts w:hint="eastAsia" w:hAnsi="宋体" w:cs="宋体"/>
                <w:color w:val="000000"/>
                <w:sz w:val="18"/>
                <w:szCs w:val="21"/>
                <w:lang w:bidi="ar"/>
              </w:rPr>
              <w:t>《中华人民共和国药典》（2020版）一部</w:t>
            </w:r>
            <w:r>
              <w:rPr>
                <w:rFonts w:hint="eastAsia" w:hAnsi="宋体" w:cs="宋体"/>
                <w:color w:val="000000"/>
                <w:sz w:val="18"/>
                <w:szCs w:val="21"/>
                <w:lang w:val="en-US" w:eastAsia="zh-CN" w:bidi="ar"/>
              </w:rPr>
              <w:t xml:space="preserve"> </w:t>
            </w:r>
            <w:r>
              <w:rPr>
                <w:rFonts w:hint="eastAsia" w:hAnsi="宋体" w:cs="宋体"/>
                <w:color w:val="000000"/>
                <w:sz w:val="18"/>
                <w:szCs w:val="21"/>
                <w:lang w:eastAsia="zh-CN" w:bidi="ar"/>
              </w:rPr>
              <w:t>杜仲叶</w:t>
            </w:r>
          </w:p>
        </w:tc>
      </w:tr>
    </w:tbl>
    <w:p>
      <w:pPr>
        <w:pStyle w:val="106"/>
        <w:spacing w:before="120" w:after="120"/>
      </w:pPr>
      <w:r>
        <w:rPr>
          <w:rFonts w:hint="eastAsia"/>
        </w:rPr>
        <w:t>安全指标</w:t>
      </w:r>
    </w:p>
    <w:p>
      <w:pPr>
        <w:pStyle w:val="166"/>
        <w:spacing w:before="120" w:beforeLines="50" w:after="120" w:afterLines="50"/>
      </w:pPr>
      <w:r>
        <w:rPr>
          <w:rFonts w:hint="eastAsia" w:ascii="黑体" w:hAnsi="黑体" w:eastAsia="黑体" w:cs="黑体"/>
        </w:rPr>
        <w:t>重金属及有害元素</w:t>
      </w:r>
    </w:p>
    <w:p>
      <w:pPr>
        <w:pStyle w:val="57"/>
        <w:ind w:firstLine="420"/>
      </w:pPr>
      <w:r>
        <w:rPr>
          <w:rFonts w:hint="eastAsia"/>
        </w:rPr>
        <w:t>应符合《中华人民共和国药典》（2020 版）四部指导原则9302中“五、</w:t>
      </w:r>
      <w:r>
        <w:t>重金属及有害元素一致性限量指导值</w:t>
      </w:r>
      <w:r>
        <w:rPr>
          <w:rFonts w:hint="eastAsia"/>
        </w:rPr>
        <w:t>”的要求，检测方法按照《中华人民共和国药典》（2020 版）四部通则2321的规定执行。有机产品应符合 GB/T 19630 的规定。</w:t>
      </w:r>
    </w:p>
    <w:p>
      <w:pPr>
        <w:pStyle w:val="166"/>
        <w:spacing w:before="120" w:beforeLines="50" w:after="120" w:afterLines="50"/>
        <w:rPr>
          <w:rFonts w:ascii="黑体" w:hAnsi="黑体" w:eastAsia="黑体" w:cs="黑体"/>
        </w:rPr>
      </w:pPr>
      <w:r>
        <w:rPr>
          <w:rFonts w:hint="eastAsia" w:ascii="黑体" w:hAnsi="黑体" w:eastAsia="黑体" w:cs="黑体"/>
        </w:rPr>
        <w:t>农药残留</w:t>
      </w:r>
    </w:p>
    <w:p>
      <w:pPr>
        <w:pStyle w:val="57"/>
        <w:ind w:firstLine="420"/>
      </w:pPr>
      <w:r>
        <w:rPr>
          <w:rFonts w:hint="eastAsia"/>
        </w:rPr>
        <w:t>应符合《中华人民共和国药典》（2020版）四部通则0212的要求，检测方法按照《中华人民共和国药典》（2020 版）四部通则</w:t>
      </w:r>
      <w:r>
        <w:t>2341</w:t>
      </w:r>
      <w:r>
        <w:rPr>
          <w:rFonts w:hint="eastAsia"/>
        </w:rPr>
        <w:t xml:space="preserve">的规定执行。有机产品应符合GB/T 19630的规定。 </w:t>
      </w:r>
    </w:p>
    <w:p>
      <w:pPr>
        <w:pStyle w:val="106"/>
        <w:spacing w:before="120" w:after="120"/>
        <w:rPr>
          <w:rFonts w:hAnsi="黑体" w:cs="黑体"/>
        </w:rPr>
      </w:pPr>
      <w:r>
        <w:rPr>
          <w:rFonts w:hint="eastAsia" w:hAnsi="黑体" w:cs="黑体"/>
        </w:rPr>
        <w:t>净含量</w:t>
      </w:r>
    </w:p>
    <w:p>
      <w:pPr>
        <w:pStyle w:val="57"/>
        <w:ind w:firstLine="420"/>
      </w:pPr>
      <w:r>
        <w:rPr>
          <w:rFonts w:hint="eastAsia" w:hAnsi="宋体" w:cs="宋体"/>
          <w:color w:val="000000"/>
          <w:szCs w:val="21"/>
          <w:lang w:bidi="ar"/>
        </w:rPr>
        <w:t>应符合《定量包装商品计量监督管理办法》的要求，检验方法按照JJF 1070规定执行。</w:t>
      </w:r>
    </w:p>
    <w:p>
      <w:pPr>
        <w:pStyle w:val="105"/>
        <w:spacing w:before="240" w:after="240"/>
      </w:pPr>
      <w:bookmarkStart w:id="55" w:name="_Toc166662900"/>
      <w:bookmarkStart w:id="56" w:name="_Toc166662532"/>
      <w:r>
        <w:rPr>
          <w:rFonts w:hint="eastAsia"/>
        </w:rPr>
        <w:t>检验规则</w:t>
      </w:r>
      <w:bookmarkEnd w:id="55"/>
      <w:bookmarkEnd w:id="56"/>
    </w:p>
    <w:p>
      <w:pPr>
        <w:pStyle w:val="106"/>
        <w:spacing w:before="120" w:after="120"/>
      </w:pPr>
      <w:r>
        <w:rPr>
          <w:rFonts w:hint="eastAsia"/>
        </w:rPr>
        <w:t>组批</w:t>
      </w:r>
    </w:p>
    <w:p>
      <w:pPr>
        <w:pStyle w:val="57"/>
        <w:ind w:firstLine="420"/>
        <w:rPr>
          <w:rFonts w:hAnsi="黑体" w:cs="黑体"/>
          <w:color w:val="000000"/>
          <w:szCs w:val="21"/>
          <w:lang w:bidi="ar"/>
        </w:rPr>
      </w:pPr>
      <w:r>
        <w:rPr>
          <w:rFonts w:hint="eastAsia" w:hAnsi="宋体" w:cs="宋体"/>
          <w:color w:val="000000"/>
          <w:szCs w:val="21"/>
          <w:lang w:bidi="ar"/>
        </w:rPr>
        <w:t>同一</w:t>
      </w:r>
      <w:r>
        <w:rPr>
          <w:rFonts w:hint="eastAsia" w:hAnsi="宋体" w:cs="宋体"/>
          <w:color w:val="000000"/>
          <w:szCs w:val="21"/>
          <w:lang w:eastAsia="zh-CN" w:bidi="ar"/>
        </w:rPr>
        <w:t>品种</w:t>
      </w:r>
      <w:r>
        <w:rPr>
          <w:rFonts w:hint="eastAsia" w:hAnsi="宋体" w:cs="宋体"/>
          <w:color w:val="000000"/>
          <w:szCs w:val="21"/>
          <w:lang w:bidi="ar"/>
        </w:rPr>
        <w:t>、</w:t>
      </w:r>
      <w:r>
        <w:rPr>
          <w:rFonts w:hint="eastAsia" w:ascii="宋体" w:hAnsi="宋体" w:eastAsia="宋体" w:cs="宋体"/>
          <w:color w:val="000000"/>
          <w:kern w:val="0"/>
          <w:sz w:val="21"/>
          <w:szCs w:val="21"/>
          <w:lang w:val="en-US" w:eastAsia="zh-CN" w:bidi="ar"/>
        </w:rPr>
        <w:t>同一生产基地、同一种植周期</w:t>
      </w:r>
      <w:r>
        <w:rPr>
          <w:rFonts w:hint="eastAsia" w:hAnsi="宋体" w:cs="宋体"/>
          <w:color w:val="000000"/>
          <w:kern w:val="0"/>
          <w:sz w:val="21"/>
          <w:szCs w:val="21"/>
          <w:lang w:val="en-US" w:eastAsia="zh-CN" w:bidi="ar"/>
        </w:rPr>
        <w:t>、同一采收期</w:t>
      </w:r>
      <w:r>
        <w:rPr>
          <w:rFonts w:hint="eastAsia" w:ascii="宋体" w:hAnsi="宋体" w:eastAsia="宋体" w:cs="宋体"/>
          <w:color w:val="000000"/>
          <w:kern w:val="0"/>
          <w:sz w:val="21"/>
          <w:szCs w:val="21"/>
          <w:lang w:val="en-US" w:eastAsia="zh-CN" w:bidi="ar"/>
        </w:rPr>
        <w:t>的产品为</w:t>
      </w:r>
      <w:r>
        <w:rPr>
          <w:rFonts w:hint="eastAsia" w:hAnsi="宋体" w:cs="宋体"/>
          <w:color w:val="000000"/>
          <w:kern w:val="0"/>
          <w:sz w:val="21"/>
          <w:szCs w:val="21"/>
          <w:lang w:val="en-US" w:eastAsia="zh-CN" w:bidi="ar"/>
        </w:rPr>
        <w:t>一个检验批次</w:t>
      </w:r>
      <w:r>
        <w:rPr>
          <w:rFonts w:hint="eastAsia" w:ascii="宋体" w:hAnsi="宋体" w:eastAsia="宋体" w:cs="宋体"/>
          <w:color w:val="000000"/>
          <w:kern w:val="0"/>
          <w:sz w:val="21"/>
          <w:szCs w:val="21"/>
          <w:lang w:val="en-US" w:eastAsia="zh-CN" w:bidi="ar"/>
        </w:rPr>
        <w:t>。</w:t>
      </w:r>
    </w:p>
    <w:p>
      <w:pPr>
        <w:pStyle w:val="106"/>
        <w:spacing w:before="120" w:after="120"/>
        <w:rPr>
          <w:rFonts w:hAnsi="黑体" w:cs="黑体"/>
          <w:color w:val="000000"/>
          <w:szCs w:val="21"/>
          <w:lang w:bidi="ar"/>
        </w:rPr>
      </w:pPr>
      <w:r>
        <w:rPr>
          <w:rFonts w:hint="eastAsia" w:hAnsi="黑体" w:cs="黑体"/>
          <w:color w:val="000000"/>
          <w:szCs w:val="21"/>
          <w:lang w:bidi="ar"/>
        </w:rPr>
        <w:t>抽样</w:t>
      </w:r>
    </w:p>
    <w:p>
      <w:pPr>
        <w:pStyle w:val="57"/>
        <w:ind w:firstLine="420"/>
      </w:pPr>
      <w:r>
        <w:rPr>
          <w:rFonts w:hint="eastAsia" w:hAnsi="宋体" w:cs="宋体"/>
          <w:color w:val="000000"/>
          <w:szCs w:val="21"/>
          <w:lang w:bidi="ar"/>
        </w:rPr>
        <w:t xml:space="preserve">按《中华人民共和国药典》（2020年版）四部通则 0211的规定取样。 </w:t>
      </w:r>
    </w:p>
    <w:p>
      <w:pPr>
        <w:pStyle w:val="106"/>
        <w:spacing w:before="120" w:after="120"/>
        <w:rPr>
          <w:rFonts w:hAnsi="黑体" w:cs="黑体"/>
          <w:color w:val="000000"/>
          <w:szCs w:val="21"/>
          <w:lang w:bidi="ar"/>
        </w:rPr>
      </w:pPr>
      <w:r>
        <w:rPr>
          <w:rFonts w:hint="eastAsia" w:hAnsi="黑体" w:cs="黑体"/>
          <w:color w:val="000000"/>
          <w:szCs w:val="21"/>
          <w:lang w:bidi="ar"/>
        </w:rPr>
        <w:t>检验分类</w:t>
      </w:r>
    </w:p>
    <w:p>
      <w:pPr>
        <w:pStyle w:val="166"/>
        <w:spacing w:before="120" w:beforeLines="50" w:after="120" w:afterLines="50"/>
        <w:rPr>
          <w:rFonts w:ascii="黑体" w:hAnsi="黑体" w:eastAsia="黑体" w:cs="黑体"/>
        </w:rPr>
      </w:pPr>
      <w:r>
        <w:rPr>
          <w:rFonts w:hint="eastAsia" w:ascii="黑体" w:hAnsi="黑体" w:eastAsia="黑体" w:cs="黑体"/>
        </w:rPr>
        <w:t>出厂检验</w:t>
      </w:r>
    </w:p>
    <w:p>
      <w:pPr>
        <w:pStyle w:val="57"/>
        <w:ind w:firstLine="420"/>
        <w:rPr>
          <w:rFonts w:hAnsi="宋体" w:cs="宋体"/>
          <w:color w:val="000000"/>
          <w:szCs w:val="21"/>
          <w:lang w:bidi="ar"/>
        </w:rPr>
      </w:pPr>
      <w:r>
        <w:rPr>
          <w:rFonts w:hint="eastAsia" w:hAnsi="宋体" w:cs="宋体"/>
          <w:color w:val="000000"/>
          <w:szCs w:val="21"/>
          <w:lang w:bidi="ar"/>
        </w:rPr>
        <w:t>每批产品</w:t>
      </w:r>
      <w:r>
        <w:rPr>
          <w:rFonts w:hint="eastAsia" w:hAnsi="宋体" w:cs="宋体"/>
          <w:szCs w:val="21"/>
          <w:lang w:bidi="ar"/>
        </w:rPr>
        <w:t>须经检验合格方可出厂。出厂检验项目为感官要求、</w:t>
      </w:r>
      <w:r>
        <w:rPr>
          <w:rFonts w:hint="eastAsia" w:hAnsi="宋体" w:cs="宋体"/>
          <w:szCs w:val="21"/>
          <w:lang w:eastAsia="zh-CN" w:bidi="ar"/>
        </w:rPr>
        <w:t>杜仲叶</w:t>
      </w:r>
      <w:r>
        <w:rPr>
          <w:rFonts w:hint="eastAsia" w:hAnsi="宋体" w:cs="宋体"/>
          <w:szCs w:val="21"/>
          <w:lang w:bidi="ar"/>
        </w:rPr>
        <w:t>多糖、三萜及甾醇、浸出物、水分、净含量。</w:t>
      </w:r>
    </w:p>
    <w:p>
      <w:pPr>
        <w:pStyle w:val="166"/>
        <w:spacing w:before="120" w:beforeLines="50" w:after="120" w:afterLines="50"/>
        <w:rPr>
          <w:rFonts w:ascii="黑体" w:hAnsi="黑体" w:eastAsia="黑体" w:cs="黑体"/>
        </w:rPr>
      </w:pPr>
      <w:r>
        <w:rPr>
          <w:rFonts w:hint="eastAsia" w:ascii="黑体" w:hAnsi="黑体" w:eastAsia="黑体" w:cs="黑体"/>
        </w:rPr>
        <w:t>型式检验</w:t>
      </w:r>
    </w:p>
    <w:p>
      <w:pPr>
        <w:pStyle w:val="57"/>
        <w:ind w:firstLine="420"/>
      </w:pPr>
      <w:r>
        <w:rPr>
          <w:rFonts w:hint="eastAsia"/>
        </w:rPr>
        <w:t>型式检验项目为本文件4.4</w:t>
      </w:r>
      <w:r>
        <w:rPr>
          <w:rFonts w:hint="eastAsia" w:ascii="微软雅黑" w:hAnsi="微软雅黑" w:eastAsia="微软雅黑" w:cs="微软雅黑"/>
        </w:rPr>
        <w:t>～</w:t>
      </w:r>
      <w:r>
        <w:rPr>
          <w:rFonts w:hint="eastAsia"/>
        </w:rPr>
        <w:t>4.7的要求。型式检验每年至少一次，有下列情况之一应进行型式检验：</w:t>
      </w:r>
    </w:p>
    <w:p>
      <w:pPr>
        <w:pStyle w:val="133"/>
      </w:pPr>
      <w:r>
        <w:rPr>
          <w:rFonts w:hint="eastAsia"/>
        </w:rPr>
        <w:t>产地环境、原料发生重大变化时；</w:t>
      </w:r>
    </w:p>
    <w:p>
      <w:pPr>
        <w:pStyle w:val="133"/>
      </w:pPr>
      <w:r>
        <w:rPr>
          <w:rFonts w:hint="eastAsia"/>
        </w:rPr>
        <w:t>出厂检验结果与上次存在较大差异时；</w:t>
      </w:r>
    </w:p>
    <w:p>
      <w:pPr>
        <w:pStyle w:val="133"/>
      </w:pPr>
      <w:r>
        <w:rPr>
          <w:rFonts w:hint="eastAsia"/>
        </w:rPr>
        <w:t>国家市场监管检验部门或行业协会提出要求时。</w:t>
      </w:r>
    </w:p>
    <w:p>
      <w:pPr>
        <w:pStyle w:val="106"/>
        <w:spacing w:before="120" w:after="120"/>
      </w:pPr>
      <w:r>
        <w:rPr>
          <w:rFonts w:hint="eastAsia"/>
        </w:rPr>
        <w:t>判定规则</w:t>
      </w:r>
    </w:p>
    <w:p>
      <w:pPr>
        <w:pStyle w:val="57"/>
        <w:ind w:firstLine="420"/>
        <w:rPr>
          <w:rFonts w:hAnsi="宋体" w:cs="宋体"/>
          <w:color w:val="000000"/>
          <w:szCs w:val="21"/>
          <w:lang w:bidi="ar"/>
        </w:rPr>
      </w:pPr>
      <w:r>
        <w:rPr>
          <w:rFonts w:hint="eastAsia" w:hAnsi="宋体" w:cs="宋体"/>
          <w:color w:val="000000"/>
          <w:szCs w:val="21"/>
          <w:lang w:bidi="ar"/>
        </w:rPr>
        <w:t xml:space="preserve">所有指标全部符合本文件规定技术要求时判该批产品合格。有一项不合格时，可在同批产品中抽取两倍量样品进行复验，以复验结果为准。 </w:t>
      </w:r>
    </w:p>
    <w:p>
      <w:pPr>
        <w:pStyle w:val="105"/>
        <w:spacing w:before="240" w:after="240"/>
      </w:pPr>
      <w:bookmarkStart w:id="57" w:name="_Toc166662533"/>
      <w:bookmarkStart w:id="58" w:name="_Toc166662901"/>
      <w:r>
        <w:rPr>
          <w:rFonts w:hint="eastAsia"/>
        </w:rPr>
        <w:t>标签与标志</w:t>
      </w:r>
      <w:bookmarkEnd w:id="57"/>
      <w:bookmarkEnd w:id="58"/>
    </w:p>
    <w:p>
      <w:pPr>
        <w:pStyle w:val="57"/>
        <w:ind w:firstLine="420"/>
        <w:rPr>
          <w:rFonts w:hAnsi="宋体" w:cs="宋体"/>
          <w:color w:val="000000"/>
          <w:szCs w:val="21"/>
          <w:lang w:bidi="ar"/>
        </w:rPr>
      </w:pPr>
      <w:r>
        <w:rPr>
          <w:rFonts w:hint="eastAsia" w:hAnsi="宋体" w:cs="宋体"/>
          <w:color w:val="000000"/>
          <w:szCs w:val="21"/>
          <w:lang w:bidi="ar"/>
        </w:rPr>
        <w:t>包装上应标明品名、规格、产地、年份、批号、生产或包装日期、净含量、产品执行标准号、生产单位名称和地址等，并附有质量合格的标志。</w:t>
      </w:r>
    </w:p>
    <w:p>
      <w:pPr>
        <w:pStyle w:val="105"/>
        <w:spacing w:before="240" w:after="240"/>
      </w:pPr>
      <w:r>
        <w:rPr>
          <w:rFonts w:hint="eastAsia"/>
        </w:rPr>
        <w:t>包装</w:t>
      </w:r>
    </w:p>
    <w:p>
      <w:pPr>
        <w:pStyle w:val="57"/>
        <w:ind w:firstLine="420"/>
        <w:rPr>
          <w:rFonts w:hAnsi="宋体" w:cs="宋体"/>
          <w:color w:val="000000"/>
          <w:szCs w:val="21"/>
          <w:lang w:bidi="ar"/>
        </w:rPr>
      </w:pPr>
      <w:r>
        <w:rPr>
          <w:rFonts w:hint="eastAsia" w:hAnsi="宋体" w:cs="宋体"/>
          <w:color w:val="000000"/>
          <w:szCs w:val="21"/>
          <w:lang w:bidi="ar"/>
        </w:rPr>
        <w:t>包装应符合 SB/T 11182 的规定。有机产品应符合GB/T 19630的规定。</w:t>
      </w:r>
    </w:p>
    <w:p>
      <w:pPr>
        <w:pStyle w:val="105"/>
        <w:spacing w:before="240" w:after="240"/>
      </w:pPr>
      <w:r>
        <w:rPr>
          <w:rFonts w:hint="eastAsia"/>
        </w:rPr>
        <w:t>运输</w:t>
      </w:r>
    </w:p>
    <w:p>
      <w:pPr>
        <w:pStyle w:val="57"/>
        <w:ind w:firstLine="420"/>
        <w:rPr>
          <w:rFonts w:hAnsi="宋体" w:cs="宋体"/>
          <w:color w:val="000000"/>
          <w:szCs w:val="21"/>
          <w:lang w:bidi="ar"/>
        </w:rPr>
      </w:pPr>
      <w:r>
        <w:rPr>
          <w:rFonts w:hint="eastAsia" w:hAnsi="宋体" w:cs="宋体"/>
          <w:color w:val="000000"/>
          <w:szCs w:val="21"/>
          <w:lang w:bidi="ar"/>
        </w:rPr>
        <w:t>运输工具应清洁、卫生、干燥、无异味，不得与有毒有害物品混运。运输途中应防雨</w:t>
      </w:r>
      <w:bookmarkStart w:id="62" w:name="_GoBack"/>
      <w:bookmarkEnd w:id="62"/>
      <w:r>
        <w:rPr>
          <w:rFonts w:hint="eastAsia" w:hAnsi="宋体" w:cs="宋体"/>
          <w:color w:val="000000"/>
          <w:szCs w:val="21"/>
          <w:lang w:bidi="ar"/>
        </w:rPr>
        <w:t>、防潮、防暴晒、防污染。有机产品应符合 GB/T 19630 的规定。</w:t>
      </w:r>
    </w:p>
    <w:p>
      <w:pPr>
        <w:pStyle w:val="105"/>
        <w:spacing w:before="240" w:after="240"/>
      </w:pPr>
      <w:r>
        <w:rPr>
          <w:rFonts w:hint="eastAsia"/>
        </w:rPr>
        <w:t>贮存</w:t>
      </w:r>
    </w:p>
    <w:p>
      <w:pPr>
        <w:pStyle w:val="57"/>
        <w:ind w:firstLine="420"/>
        <w:rPr>
          <w:rFonts w:hAnsi="宋体" w:cs="宋体"/>
          <w:color w:val="000000"/>
          <w:szCs w:val="21"/>
          <w:lang w:bidi="ar"/>
        </w:rPr>
      </w:pPr>
      <w:r>
        <w:rPr>
          <w:rFonts w:hint="eastAsia" w:hAnsi="宋体" w:cs="宋体"/>
          <w:color w:val="000000"/>
          <w:szCs w:val="21"/>
          <w:lang w:bidi="ar"/>
        </w:rPr>
        <w:t>包装后的产品应置于室内阴凉干燥的仓库贮藏，并防霉、防潮、防蛀。也可采用现代气调贮藏方法，包装或库内充氮或二氧化碳。定期检查，防止虫蛀、鼠咬、霉变、腐烂等的发生。不同批次产品分区存放。</w:t>
      </w:r>
      <w:r>
        <w:rPr>
          <w:rFonts w:hint="eastAsia" w:hAnsi="宋体" w:cs="宋体"/>
          <w:szCs w:val="21"/>
          <w:lang w:bidi="ar"/>
        </w:rPr>
        <w:t>禁止使用磷化铝和二氧化硫熏蒸。</w:t>
      </w:r>
      <w:r>
        <w:rPr>
          <w:rFonts w:hint="eastAsia" w:hAnsi="宋体" w:cs="宋体"/>
          <w:color w:val="000000"/>
          <w:szCs w:val="21"/>
          <w:lang w:bidi="ar"/>
        </w:rPr>
        <w:t xml:space="preserve">有机产品应符合 GB/T 19630 的规定。 </w:t>
      </w:r>
    </w:p>
    <w:p>
      <w:pPr>
        <w:pStyle w:val="57"/>
        <w:ind w:firstLine="0" w:firstLineChars="0"/>
        <w:jc w:val="both"/>
        <w:rPr>
          <w:rFonts w:ascii="黑体" w:hAnsi="黑体" w:eastAsia="黑体" w:cs="黑体"/>
        </w:rPr>
      </w:pPr>
    </w:p>
    <w:p>
      <w:pPr>
        <w:pStyle w:val="57"/>
        <w:ind w:firstLine="0" w:firstLineChars="0"/>
        <w:jc w:val="both"/>
        <w:rPr>
          <w:rFonts w:ascii="黑体" w:hAnsi="黑体" w:eastAsia="黑体" w:cs="黑体"/>
        </w:rPr>
        <w:sectPr>
          <w:pgSz w:w="11906" w:h="16838"/>
          <w:pgMar w:top="1928" w:right="1134" w:bottom="1134" w:left="1134" w:header="1418" w:footer="1134" w:gutter="284"/>
          <w:pgNumType w:start="1"/>
          <w:cols w:space="425" w:num="1"/>
          <w:formProt w:val="0"/>
          <w:docGrid w:linePitch="312" w:charSpace="0"/>
        </w:sectPr>
      </w:pPr>
    </w:p>
    <w:bookmarkEnd w:id="25"/>
    <w:p>
      <w:pPr>
        <w:pStyle w:val="199"/>
        <w:numPr>
          <w:ilvl w:val="0"/>
          <w:numId w:val="0"/>
        </w:numPr>
        <w:jc w:val="both"/>
        <w:rPr>
          <w:vanish w:val="0"/>
        </w:rPr>
      </w:pPr>
      <w:bookmarkStart w:id="59" w:name="BookMark5"/>
    </w:p>
    <w:p>
      <w:pPr>
        <w:pStyle w:val="200"/>
        <w:rPr>
          <w:vanish w:val="0"/>
        </w:rPr>
      </w:pPr>
    </w:p>
    <w:p>
      <w:pPr>
        <w:pStyle w:val="77"/>
        <w:keepNext w:val="0"/>
        <w:keepLines w:val="0"/>
        <w:pageBreakBefore w:val="0"/>
        <w:widowControl/>
        <w:kinsoku/>
        <w:wordWrap/>
        <w:overflowPunct/>
        <w:topLinePunct w:val="0"/>
        <w:autoSpaceDE/>
        <w:autoSpaceDN/>
        <w:bidi w:val="0"/>
        <w:adjustRightInd/>
        <w:snapToGrid/>
        <w:spacing w:before="0" w:after="0" w:afterLines="0" w:line="240" w:lineRule="auto"/>
        <w:jc w:val="center"/>
        <w:textAlignment w:val="auto"/>
        <w:rPr>
          <w:rFonts w:hint="eastAsia"/>
        </w:rPr>
      </w:pPr>
      <w:bookmarkStart w:id="60" w:name="_Toc166662903"/>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（规范性）</w:t>
      </w:r>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井冈山</w:t>
      </w:r>
      <w:r>
        <w:rPr>
          <w:rFonts w:hint="eastAsia"/>
          <w:lang w:eastAsia="zh-CN"/>
        </w:rPr>
        <w:t>杜仲叶</w:t>
      </w:r>
      <w:r>
        <w:rPr>
          <w:rFonts w:hint="eastAsia"/>
        </w:rPr>
        <w:t>生产加工区域范围图</w:t>
      </w:r>
      <w:bookmarkEnd w:id="60"/>
    </w:p>
    <w:p>
      <w:pPr>
        <w:pStyle w:val="57"/>
        <w:ind w:firstLine="420"/>
        <w:jc w:val="center"/>
        <w:rPr>
          <w:rFonts w:hint="eastAsia"/>
        </w:rPr>
      </w:pPr>
      <w:r>
        <w:drawing>
          <wp:inline distT="0" distB="0" distL="114300" distR="114300">
            <wp:extent cx="3599815" cy="5088890"/>
            <wp:effectExtent l="0" t="0" r="635" b="16510"/>
            <wp:docPr id="7" name="图片 7"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088d411e10f7694c1f0f097cd5a0a2"/>
                    <pic:cNvPicPr>
                      <a:picLocks noChangeAspect="1"/>
                    </pic:cNvPicPr>
                  </pic:nvPicPr>
                  <pic:blipFill>
                    <a:blip r:embed="rId17"/>
                    <a:stretch>
                      <a:fillRect/>
                    </a:stretch>
                  </pic:blipFill>
                  <pic:spPr>
                    <a:xfrm>
                      <a:off x="0" y="0"/>
                      <a:ext cx="3599815" cy="5088890"/>
                    </a:xfrm>
                    <a:prstGeom prst="rect">
                      <a:avLst/>
                    </a:prstGeom>
                  </pic:spPr>
                </pic:pic>
              </a:graphicData>
            </a:graphic>
          </wp:inline>
        </w:drawing>
      </w:r>
    </w:p>
    <w:p>
      <w:pPr>
        <w:pStyle w:val="84"/>
        <w:spacing w:before="120" w:after="120"/>
      </w:pPr>
      <w:r>
        <w:rPr>
          <w:rFonts w:hint="eastAsia"/>
        </w:rPr>
        <w:t>井冈山</w:t>
      </w:r>
      <w:r>
        <w:rPr>
          <w:rFonts w:hint="eastAsia"/>
          <w:lang w:eastAsia="zh-CN"/>
        </w:rPr>
        <w:t>杜仲叶</w:t>
      </w:r>
      <w:r>
        <w:rPr>
          <w:rFonts w:hint="eastAsia"/>
        </w:rPr>
        <w:t>生产加工区域范围图</w:t>
      </w:r>
    </w:p>
    <w:bookmarkEnd w:id="59"/>
    <w:p>
      <w:pPr>
        <w:pStyle w:val="57"/>
        <w:ind w:firstLine="0" w:firstLineChars="0"/>
        <w:jc w:val="center"/>
      </w:pPr>
      <w:bookmarkStart w:id="6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6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100000" w:hash="zmZ5tZroLGJj80H3NkpdzuEkLZk=" w:salt="QxgfUpPH9nJrtP2b8Ym+R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5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5FC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3A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83CCE"/>
    <w:rsid w:val="059C6FE2"/>
    <w:rsid w:val="134075FD"/>
    <w:rsid w:val="17F61259"/>
    <w:rsid w:val="208C1ED3"/>
    <w:rsid w:val="213D64B0"/>
    <w:rsid w:val="2EE006CA"/>
    <w:rsid w:val="2F607227"/>
    <w:rsid w:val="32AD76C7"/>
    <w:rsid w:val="392D1BB3"/>
    <w:rsid w:val="3F97498D"/>
    <w:rsid w:val="71067E75"/>
    <w:rsid w:val="78835D41"/>
    <w:rsid w:val="793601BE"/>
    <w:rsid w:val="7C7C6ABD"/>
    <w:rsid w:val="7E8FF571"/>
    <w:rsid w:val="FFAA8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3A3C23"/>
    <w:rsid w:val="00924279"/>
    <w:rsid w:val="00FB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2090</Words>
  <Characters>2479</Characters>
  <Lines>27</Lines>
  <Paragraphs>7</Paragraphs>
  <TotalTime>41</TotalTime>
  <ScaleCrop>false</ScaleCrop>
  <LinksUpToDate>false</LinksUpToDate>
  <CharactersWithSpaces>2592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2024-05-07T21:38:00Z</dcterms:created>
  <dc:creator>xb21cn</dc:creator>
  <dc:description>&lt;config cover="true" show_menu="true" version="1.0.0" doctype="SDKXY"&gt;_x000d_
&lt;/config&gt;</dc:description>
  <cp:lastModifiedBy>青春</cp:lastModifiedBy>
  <cp:lastPrinted>2021-02-03T00:22:00Z</cp:lastPrinted>
  <dcterms:modified xsi:type="dcterms:W3CDTF">2024-07-08T07:15:17Z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DBF2D4FFE682EBF24BC53966684CABFD_42</vt:lpwstr>
  </property>
</Properties>
</file>