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B48" w:rsidRDefault="003C00AC">
      <w:pPr>
        <w:jc w:val="center"/>
        <w:rPr>
          <w:rFonts w:ascii="方正小标宋简体" w:eastAsia="方正小标宋简体"/>
          <w:sz w:val="36"/>
          <w:szCs w:val="36"/>
        </w:rPr>
      </w:pPr>
      <w:proofErr w:type="gramStart"/>
      <w:r>
        <w:rPr>
          <w:rFonts w:ascii="方正小标宋简体" w:eastAsia="方正小标宋简体" w:hint="eastAsia"/>
          <w:sz w:val="36"/>
          <w:szCs w:val="36"/>
        </w:rPr>
        <w:t>《</w:t>
      </w:r>
      <w:proofErr w:type="gramEnd"/>
      <w:r>
        <w:rPr>
          <w:rFonts w:ascii="方正小标宋简体" w:eastAsia="方正小标宋简体" w:hint="eastAsia"/>
          <w:sz w:val="36"/>
          <w:szCs w:val="36"/>
        </w:rPr>
        <w:t>季节性休耕农田冬油菜种植加工+旅游</w:t>
      </w:r>
    </w:p>
    <w:p w:rsidR="00433B48" w:rsidRDefault="003C00AC">
      <w:pPr>
        <w:jc w:val="center"/>
        <w:rPr>
          <w:rFonts w:ascii="方正小标宋简体" w:eastAsia="方正小标宋简体"/>
          <w:sz w:val="36"/>
          <w:szCs w:val="36"/>
        </w:rPr>
      </w:pPr>
      <w:r>
        <w:rPr>
          <w:rFonts w:ascii="方正小标宋简体" w:eastAsia="方正小标宋简体" w:hint="eastAsia"/>
          <w:sz w:val="36"/>
          <w:szCs w:val="36"/>
        </w:rPr>
        <w:t>项目建设运营指南</w:t>
      </w:r>
      <w:proofErr w:type="gramStart"/>
      <w:r>
        <w:rPr>
          <w:rFonts w:ascii="方正小标宋简体" w:eastAsia="方正小标宋简体" w:hint="eastAsia"/>
          <w:sz w:val="36"/>
          <w:szCs w:val="36"/>
        </w:rPr>
        <w:t>》</w:t>
      </w:r>
      <w:proofErr w:type="gramEnd"/>
      <w:r>
        <w:rPr>
          <w:rFonts w:ascii="方正小标宋简体" w:eastAsia="方正小标宋简体" w:hint="eastAsia"/>
          <w:sz w:val="36"/>
          <w:szCs w:val="36"/>
        </w:rPr>
        <w:t>团体标准编制说明（征求意见稿）</w:t>
      </w:r>
    </w:p>
    <w:p w:rsidR="00433B48" w:rsidRDefault="00433B48">
      <w:pPr>
        <w:spacing w:line="560" w:lineRule="exact"/>
        <w:ind w:firstLineChars="250" w:firstLine="800"/>
        <w:jc w:val="left"/>
        <w:rPr>
          <w:rFonts w:ascii="黑体" w:eastAsia="黑体" w:hAnsi="黑体"/>
          <w:sz w:val="32"/>
          <w:szCs w:val="32"/>
        </w:rPr>
      </w:pPr>
    </w:p>
    <w:p w:rsidR="00433B48" w:rsidRDefault="003C00AC">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一、工作简况</w:t>
      </w:r>
    </w:p>
    <w:p w:rsidR="00433B48" w:rsidRDefault="003C00AC">
      <w:pPr>
        <w:spacing w:line="56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（一）任务来源</w:t>
      </w:r>
    </w:p>
    <w:p w:rsidR="00433B48" w:rsidRDefault="003C00A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w:t>
      </w:r>
      <w:r w:rsidR="0083749E">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年</w:t>
      </w:r>
      <w:r w:rsidR="0083749E">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月，安平县天来农业种植有限公司等单位向安平丝网物流协会提出起草《季节性休耕农田冬油菜种植加工+旅游项目建设运营指南》团体标准的申请。</w:t>
      </w:r>
      <w:r w:rsidR="0083749E">
        <w:rPr>
          <w:rFonts w:ascii="仿宋_GB2312" w:eastAsia="仿宋_GB2312" w:hAnsi="仿宋_GB2312" w:cs="仿宋_GB2312" w:hint="eastAsia"/>
          <w:kern w:val="0"/>
          <w:sz w:val="32"/>
          <w:szCs w:val="32"/>
        </w:rPr>
        <w:t>2月，经协会专家组审议</w:t>
      </w:r>
      <w:r>
        <w:rPr>
          <w:rFonts w:ascii="仿宋_GB2312" w:eastAsia="仿宋_GB2312" w:hAnsi="仿宋_GB2312" w:cs="仿宋_GB2312" w:hint="eastAsia"/>
          <w:kern w:val="0"/>
          <w:sz w:val="32"/>
          <w:szCs w:val="32"/>
        </w:rPr>
        <w:t>，《季节性休耕农田冬油菜种植加工+旅游项目建设运营指南》列为团体标准制定计划项目（计划编号：T/APSW00</w:t>
      </w:r>
      <w:r w:rsidR="0083749E">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-2024），随后，协会向安平县天来农业种植有限公司等单位下达了任务书。根据任务书要求，安平县天来农业种植有限公司等起草单位成立了《季节性休耕农田冬油菜种植加工+旅游项目建设运营指南》团体标准起草小组（以下简称“标准起草小组”），承担</w:t>
      </w:r>
      <w:r w:rsidR="0083749E">
        <w:rPr>
          <w:rFonts w:ascii="仿宋_GB2312" w:eastAsia="仿宋_GB2312" w:hAnsi="仿宋_GB2312" w:cs="仿宋_GB2312" w:hint="eastAsia"/>
          <w:kern w:val="0"/>
          <w:sz w:val="32"/>
          <w:szCs w:val="32"/>
        </w:rPr>
        <w:t>并</w:t>
      </w:r>
      <w:r>
        <w:rPr>
          <w:rFonts w:ascii="仿宋_GB2312" w:eastAsia="仿宋_GB2312" w:hAnsi="仿宋_GB2312" w:cs="仿宋_GB2312" w:hint="eastAsia"/>
          <w:kern w:val="0"/>
          <w:sz w:val="32"/>
          <w:szCs w:val="32"/>
        </w:rPr>
        <w:t>开展了该标准的起草工作。</w:t>
      </w:r>
    </w:p>
    <w:p w:rsidR="00433B48" w:rsidRDefault="003C00AC">
      <w:pPr>
        <w:numPr>
          <w:ilvl w:val="0"/>
          <w:numId w:val="2"/>
        </w:numPr>
        <w:spacing w:line="560" w:lineRule="exact"/>
        <w:ind w:firstLineChars="200" w:firstLine="640"/>
        <w:jc w:val="left"/>
        <w:rPr>
          <w:rFonts w:ascii="楷体" w:eastAsia="楷体" w:hAnsi="楷体" w:cs="方正仿宋简体"/>
          <w:bCs/>
          <w:sz w:val="32"/>
          <w:szCs w:val="32"/>
        </w:rPr>
      </w:pPr>
      <w:r>
        <w:rPr>
          <w:rFonts w:ascii="楷体" w:eastAsia="楷体" w:hAnsi="楷体" w:cs="方正仿宋简体" w:hint="eastAsia"/>
          <w:bCs/>
          <w:sz w:val="32"/>
          <w:szCs w:val="32"/>
        </w:rPr>
        <w:t>起草单位</w:t>
      </w:r>
    </w:p>
    <w:p w:rsidR="00433B48" w:rsidRDefault="003C00AC">
      <w:pPr>
        <w:pStyle w:val="a1"/>
        <w:ind w:firstLineChars="200" w:firstLine="640"/>
        <w:rPr>
          <w:rFonts w:eastAsia="仿宋_GB2312"/>
        </w:rPr>
      </w:pPr>
      <w:r>
        <w:rPr>
          <w:rFonts w:ascii="仿宋_GB2312" w:eastAsia="仿宋_GB2312" w:hAnsi="仿宋_GB2312" w:cs="仿宋_GB2312" w:hint="eastAsia"/>
          <w:kern w:val="0"/>
          <w:sz w:val="32"/>
          <w:szCs w:val="32"/>
        </w:rPr>
        <w:t>主要起草单位：安平县天来农业种植有限公司</w:t>
      </w:r>
      <w:r w:rsidR="0083749E">
        <w:rPr>
          <w:rFonts w:ascii="仿宋_GB2312" w:eastAsia="仿宋_GB2312" w:hAnsi="仿宋_GB2312" w:cs="仿宋_GB2312" w:hint="eastAsia"/>
          <w:kern w:val="0"/>
          <w:sz w:val="32"/>
          <w:szCs w:val="32"/>
        </w:rPr>
        <w:t>、安平县萌</w:t>
      </w:r>
      <w:proofErr w:type="gramStart"/>
      <w:r w:rsidR="0083749E">
        <w:rPr>
          <w:rFonts w:ascii="仿宋_GB2312" w:eastAsia="仿宋_GB2312" w:hAnsi="仿宋_GB2312" w:cs="仿宋_GB2312" w:hint="eastAsia"/>
          <w:kern w:val="0"/>
          <w:sz w:val="32"/>
          <w:szCs w:val="32"/>
        </w:rPr>
        <w:t>睿</w:t>
      </w:r>
      <w:proofErr w:type="gramEnd"/>
      <w:r w:rsidR="0083749E">
        <w:rPr>
          <w:rFonts w:ascii="仿宋_GB2312" w:eastAsia="仿宋_GB2312" w:hAnsi="仿宋_GB2312" w:cs="仿宋_GB2312" w:hint="eastAsia"/>
          <w:kern w:val="0"/>
          <w:sz w:val="32"/>
          <w:szCs w:val="32"/>
        </w:rPr>
        <w:t>标准化服务有限公司</w:t>
      </w:r>
      <w:r>
        <w:rPr>
          <w:rFonts w:ascii="仿宋_GB2312" w:eastAsia="仿宋_GB2312" w:hAnsi="仿宋_GB2312" w:cs="仿宋_GB2312" w:hint="eastAsia"/>
          <w:kern w:val="0"/>
          <w:sz w:val="32"/>
          <w:szCs w:val="32"/>
        </w:rPr>
        <w:t>。</w:t>
      </w:r>
    </w:p>
    <w:p w:rsidR="00433B48" w:rsidRDefault="003C00AC">
      <w:pPr>
        <w:numPr>
          <w:ilvl w:val="0"/>
          <w:numId w:val="3"/>
        </w:numPr>
        <w:spacing w:line="560" w:lineRule="exact"/>
        <w:ind w:firstLineChars="200" w:firstLine="640"/>
        <w:jc w:val="left"/>
        <w:rPr>
          <w:rFonts w:ascii="楷体" w:eastAsia="楷体" w:hAnsi="楷体" w:cs="方正仿宋简体"/>
          <w:bCs/>
          <w:sz w:val="32"/>
          <w:szCs w:val="32"/>
        </w:rPr>
      </w:pPr>
      <w:r>
        <w:rPr>
          <w:rFonts w:ascii="楷体" w:eastAsia="楷体" w:hAnsi="楷体" w:cs="方正仿宋简体" w:hint="eastAsia"/>
          <w:bCs/>
          <w:sz w:val="32"/>
          <w:szCs w:val="32"/>
        </w:rPr>
        <w:t>主要起草人</w:t>
      </w:r>
    </w:p>
    <w:p w:rsidR="00433B48" w:rsidRDefault="003C00AC">
      <w:pPr>
        <w:pStyle w:val="a1"/>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主要起草人：刘影</w:t>
      </w:r>
      <w:r w:rsidR="0083749E">
        <w:rPr>
          <w:rFonts w:ascii="仿宋_GB2312" w:eastAsia="仿宋_GB2312" w:hAnsi="仿宋_GB2312" w:cs="仿宋_GB2312" w:hint="eastAsia"/>
          <w:kern w:val="0"/>
          <w:sz w:val="32"/>
          <w:szCs w:val="32"/>
        </w:rPr>
        <w:t>、曹萌</w:t>
      </w:r>
      <w:r>
        <w:rPr>
          <w:rFonts w:ascii="仿宋_GB2312" w:eastAsia="仿宋_GB2312" w:hAnsi="仿宋_GB2312" w:cs="仿宋_GB2312" w:hint="eastAsia"/>
          <w:kern w:val="0"/>
          <w:sz w:val="32"/>
          <w:szCs w:val="32"/>
        </w:rPr>
        <w:t>。</w:t>
      </w:r>
    </w:p>
    <w:p w:rsidR="00433B48" w:rsidRDefault="003C00AC">
      <w:pPr>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二、制定标准的必要性和意义</w:t>
      </w:r>
    </w:p>
    <w:p w:rsidR="00433B48" w:rsidRDefault="003C00AC">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近年来，随着经济的发展和人们消费观念的转变，冬油菜因</w:t>
      </w:r>
      <w:r>
        <w:rPr>
          <w:rFonts w:ascii="仿宋_GB2312" w:eastAsia="仿宋_GB2312" w:hAnsi="仿宋_GB2312" w:cs="仿宋_GB2312" w:hint="eastAsia"/>
          <w:kern w:val="0"/>
          <w:sz w:val="32"/>
          <w:szCs w:val="32"/>
        </w:rPr>
        <w:lastRenderedPageBreak/>
        <w:t>其具有较高的观赏价值、经济价值、节水价值，符合国家产业政策且投资少、见效快，为广大农民群众、县乡村基层组织和旅游消费者所接受，迅速成为</w:t>
      </w:r>
      <w:r w:rsidR="0083749E">
        <w:rPr>
          <w:rFonts w:ascii="仿宋_GB2312" w:eastAsia="仿宋_GB2312" w:hAnsi="仿宋_GB2312" w:cs="仿宋_GB2312" w:hint="eastAsia"/>
          <w:kern w:val="0"/>
          <w:sz w:val="32"/>
          <w:szCs w:val="32"/>
        </w:rPr>
        <w:t>季节性休耕、</w:t>
      </w:r>
      <w:r>
        <w:rPr>
          <w:rFonts w:ascii="仿宋_GB2312" w:eastAsia="仿宋_GB2312" w:hAnsi="仿宋_GB2312" w:cs="仿宋_GB2312" w:hint="eastAsia"/>
          <w:kern w:val="0"/>
          <w:sz w:val="32"/>
          <w:szCs w:val="32"/>
        </w:rPr>
        <w:t>乡村旅游</w:t>
      </w:r>
      <w:r w:rsidR="0083749E">
        <w:rPr>
          <w:rFonts w:ascii="仿宋_GB2312" w:eastAsia="仿宋_GB2312" w:hAnsi="仿宋_GB2312" w:cs="仿宋_GB2312" w:hint="eastAsia"/>
          <w:kern w:val="0"/>
          <w:sz w:val="32"/>
          <w:szCs w:val="32"/>
        </w:rPr>
        <w:t>和农民增收致富</w:t>
      </w:r>
      <w:r>
        <w:rPr>
          <w:rFonts w:ascii="仿宋_GB2312" w:eastAsia="仿宋_GB2312" w:hAnsi="仿宋_GB2312" w:cs="仿宋_GB2312" w:hint="eastAsia"/>
          <w:kern w:val="0"/>
          <w:sz w:val="32"/>
          <w:szCs w:val="32"/>
        </w:rPr>
        <w:t>的重要</w:t>
      </w:r>
      <w:r w:rsidR="0083749E">
        <w:rPr>
          <w:rFonts w:ascii="仿宋_GB2312" w:eastAsia="仿宋_GB2312" w:hAnsi="仿宋_GB2312" w:cs="仿宋_GB2312" w:hint="eastAsia"/>
          <w:kern w:val="0"/>
          <w:sz w:val="32"/>
          <w:szCs w:val="32"/>
        </w:rPr>
        <w:t>载体</w:t>
      </w:r>
      <w:r>
        <w:rPr>
          <w:rFonts w:ascii="仿宋_GB2312" w:eastAsia="仿宋_GB2312" w:hAnsi="仿宋_GB2312" w:cs="仿宋_GB2312" w:hint="eastAsia"/>
          <w:kern w:val="0"/>
          <w:sz w:val="32"/>
          <w:szCs w:val="32"/>
        </w:rPr>
        <w:t>。据不完全统计，仅</w:t>
      </w:r>
      <w:r w:rsidR="0083749E">
        <w:rPr>
          <w:rFonts w:ascii="仿宋_GB2312" w:eastAsia="仿宋_GB2312" w:hAnsi="仿宋_GB2312" w:cs="仿宋_GB2312" w:hint="eastAsia"/>
          <w:kern w:val="0"/>
          <w:sz w:val="32"/>
          <w:szCs w:val="32"/>
        </w:rPr>
        <w:t>安平县</w:t>
      </w:r>
      <w:r>
        <w:rPr>
          <w:rFonts w:ascii="仿宋_GB2312" w:eastAsia="仿宋_GB2312" w:hAnsi="仿宋_GB2312" w:cs="仿宋_GB2312" w:hint="eastAsia"/>
          <w:kern w:val="0"/>
          <w:sz w:val="32"/>
          <w:szCs w:val="32"/>
        </w:rPr>
        <w:t>冬油菜种植面积已</w:t>
      </w:r>
      <w:r w:rsidR="0083749E">
        <w:rPr>
          <w:rFonts w:ascii="仿宋_GB2312" w:eastAsia="仿宋_GB2312" w:hAnsi="仿宋_GB2312" w:cs="仿宋_GB2312" w:hint="eastAsia"/>
          <w:kern w:val="0"/>
          <w:sz w:val="32"/>
          <w:szCs w:val="32"/>
        </w:rPr>
        <w:t>近十</w:t>
      </w:r>
      <w:r>
        <w:rPr>
          <w:rFonts w:ascii="仿宋_GB2312" w:eastAsia="仿宋_GB2312" w:hAnsi="仿宋_GB2312" w:cs="仿宋_GB2312" w:hint="eastAsia"/>
          <w:kern w:val="0"/>
          <w:sz w:val="32"/>
          <w:szCs w:val="32"/>
        </w:rPr>
        <w:t>万亩，种植面积仍有扩大的趋势。作为冬油菜</w:t>
      </w:r>
      <w:r w:rsidR="0083749E">
        <w:rPr>
          <w:rFonts w:ascii="仿宋_GB2312" w:eastAsia="仿宋_GB2312" w:hAnsi="仿宋_GB2312" w:cs="仿宋_GB2312" w:hint="eastAsia"/>
          <w:kern w:val="0"/>
          <w:sz w:val="32"/>
          <w:szCs w:val="32"/>
        </w:rPr>
        <w:t>综合项目，全县</w:t>
      </w:r>
      <w:r>
        <w:rPr>
          <w:rFonts w:ascii="仿宋_GB2312" w:eastAsia="仿宋_GB2312" w:hAnsi="仿宋_GB2312" w:cs="仿宋_GB2312" w:hint="eastAsia"/>
          <w:kern w:val="0"/>
          <w:sz w:val="32"/>
          <w:szCs w:val="32"/>
        </w:rPr>
        <w:t>除安平杨</w:t>
      </w:r>
      <w:proofErr w:type="gramStart"/>
      <w:r>
        <w:rPr>
          <w:rFonts w:ascii="仿宋_GB2312" w:eastAsia="仿宋_GB2312" w:hAnsi="仿宋_GB2312" w:cs="仿宋_GB2312" w:hint="eastAsia"/>
          <w:kern w:val="0"/>
          <w:sz w:val="32"/>
          <w:szCs w:val="32"/>
        </w:rPr>
        <w:t>屯较为</w:t>
      </w:r>
      <w:proofErr w:type="gramEnd"/>
      <w:r>
        <w:rPr>
          <w:rFonts w:ascii="仿宋_GB2312" w:eastAsia="仿宋_GB2312" w:hAnsi="仿宋_GB2312" w:cs="仿宋_GB2312" w:hint="eastAsia"/>
          <w:kern w:val="0"/>
          <w:sz w:val="32"/>
          <w:szCs w:val="32"/>
        </w:rPr>
        <w:t>规范外，普遍存在缺乏整体规划、单体规模偏小、基础设施薄弱、产业链条不完善、衍生品开发不足、经营理念落后、标准意识淡薄、环保意识及可持续发展理念不强等问题。</w:t>
      </w:r>
    </w:p>
    <w:p w:rsidR="00433B48" w:rsidRDefault="003C00AC">
      <w:pPr>
        <w:spacing w:line="560" w:lineRule="exact"/>
        <w:ind w:firstLineChars="200" w:firstLine="640"/>
        <w:jc w:val="left"/>
        <w:rPr>
          <w:rFonts w:ascii="宋体" w:eastAsia="宋体" w:hAnsi="Courier New" w:cs="Courier New"/>
          <w:szCs w:val="21"/>
        </w:rPr>
      </w:pPr>
      <w:r>
        <w:rPr>
          <w:rFonts w:ascii="仿宋_GB2312" w:eastAsia="仿宋_GB2312" w:hAnsi="仿宋_GB2312" w:cs="仿宋_GB2312" w:hint="eastAsia"/>
          <w:kern w:val="0"/>
          <w:sz w:val="32"/>
          <w:szCs w:val="32"/>
        </w:rPr>
        <w:t>为解决上述问题，有必要在总结经验的基础上，结合</w:t>
      </w:r>
      <w:r w:rsidR="0083749E">
        <w:rPr>
          <w:rFonts w:ascii="仿宋_GB2312" w:eastAsia="仿宋_GB2312" w:hAnsi="仿宋_GB2312" w:cs="仿宋_GB2312" w:hint="eastAsia"/>
          <w:kern w:val="0"/>
          <w:sz w:val="32"/>
          <w:szCs w:val="32"/>
        </w:rPr>
        <w:t>冬油菜产品开发</w:t>
      </w:r>
      <w:r>
        <w:rPr>
          <w:rFonts w:ascii="仿宋_GB2312" w:eastAsia="仿宋_GB2312" w:hAnsi="仿宋_GB2312" w:cs="仿宋_GB2312" w:hint="eastAsia"/>
          <w:kern w:val="0"/>
          <w:sz w:val="32"/>
          <w:szCs w:val="32"/>
        </w:rPr>
        <w:t>乡村旅游研究成果，制定一部《季节性休耕农田冬油菜种植加工+旅游项目建设运营指南》团体标准，用以指导冬油菜种植</w:t>
      </w:r>
      <w:r w:rsidR="0083749E">
        <w:rPr>
          <w:rFonts w:ascii="仿宋_GB2312" w:eastAsia="仿宋_GB2312" w:hAnsi="仿宋_GB2312" w:cs="仿宋_GB2312" w:hint="eastAsia"/>
          <w:kern w:val="0"/>
          <w:sz w:val="32"/>
          <w:szCs w:val="32"/>
        </w:rPr>
        <w:t>加工</w:t>
      </w:r>
      <w:r>
        <w:rPr>
          <w:rFonts w:ascii="仿宋_GB2312" w:eastAsia="仿宋_GB2312" w:hAnsi="仿宋_GB2312" w:cs="仿宋_GB2312" w:hint="eastAsia"/>
          <w:kern w:val="0"/>
          <w:sz w:val="32"/>
          <w:szCs w:val="32"/>
        </w:rPr>
        <w:t>及乡村旅游工作，推动一二三产业融合发展，带动农民增收致富，助力乡村振兴。</w:t>
      </w:r>
    </w:p>
    <w:p w:rsidR="00433B48" w:rsidRDefault="003C00AC">
      <w:pPr>
        <w:spacing w:line="560" w:lineRule="exact"/>
        <w:ind w:firstLineChars="200" w:firstLine="640"/>
        <w:jc w:val="left"/>
        <w:rPr>
          <w:rFonts w:ascii="楷体" w:eastAsia="楷体" w:hAnsi="楷体"/>
          <w:sz w:val="32"/>
          <w:szCs w:val="32"/>
        </w:rPr>
      </w:pPr>
      <w:r>
        <w:rPr>
          <w:rFonts w:ascii="黑体" w:eastAsia="黑体" w:hAnsi="黑体" w:cs="黑体" w:hint="eastAsia"/>
          <w:sz w:val="32"/>
          <w:szCs w:val="32"/>
        </w:rPr>
        <w:t>三、主要起草过程</w:t>
      </w:r>
    </w:p>
    <w:p w:rsidR="00433B48" w:rsidRDefault="003C00AC">
      <w:pPr>
        <w:spacing w:line="560" w:lineRule="exact"/>
        <w:ind w:firstLineChars="200" w:firstLine="640"/>
        <w:jc w:val="left"/>
        <w:rPr>
          <w:rFonts w:ascii="楷体" w:eastAsia="楷体" w:hAnsi="楷体" w:cs="楷体"/>
          <w:kern w:val="0"/>
          <w:sz w:val="32"/>
          <w:szCs w:val="32"/>
        </w:rPr>
      </w:pPr>
      <w:r>
        <w:rPr>
          <w:rFonts w:ascii="楷体" w:eastAsia="楷体" w:hAnsi="楷体" w:cs="楷体" w:hint="eastAsia"/>
          <w:kern w:val="0"/>
          <w:sz w:val="32"/>
          <w:szCs w:val="32"/>
        </w:rPr>
        <w:t>（一）成立文件起草小组</w:t>
      </w:r>
    </w:p>
    <w:p w:rsidR="00433B48" w:rsidRDefault="003C00AC">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为确保该文件编制工作的顺利开展，项目立项后，由安平县天来农业种植有限公司等单位成立了标准起草小组，建立了良好的沟通、协调机制，确定了各单位间的组织分工。</w:t>
      </w:r>
    </w:p>
    <w:p w:rsidR="00433B48" w:rsidRDefault="003C00AC">
      <w:pPr>
        <w:spacing w:line="560" w:lineRule="exact"/>
        <w:ind w:firstLineChars="200" w:firstLine="640"/>
        <w:jc w:val="left"/>
        <w:rPr>
          <w:rFonts w:ascii="楷体" w:eastAsia="楷体" w:hAnsi="楷体" w:cs="楷体"/>
          <w:kern w:val="0"/>
          <w:sz w:val="32"/>
          <w:szCs w:val="32"/>
        </w:rPr>
      </w:pPr>
      <w:r>
        <w:rPr>
          <w:rFonts w:ascii="楷体" w:eastAsia="楷体" w:hAnsi="楷体" w:cs="楷体" w:hint="eastAsia"/>
          <w:kern w:val="0"/>
          <w:sz w:val="32"/>
          <w:szCs w:val="32"/>
        </w:rPr>
        <w:t>（二）资料收集及前期调研</w:t>
      </w:r>
    </w:p>
    <w:p w:rsidR="00433B48" w:rsidRDefault="003C00AC">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项目下达后，起草小组收集了关于冬油菜种植及乡村旅游的相关政策文件及文献资料，并对杨屯村冬油</w:t>
      </w:r>
      <w:r w:rsidR="0083749E">
        <w:rPr>
          <w:rFonts w:ascii="仿宋_GB2312" w:eastAsia="仿宋_GB2312" w:hAnsi="仿宋_GB2312" w:cs="仿宋_GB2312" w:hint="eastAsia"/>
          <w:kern w:val="0"/>
          <w:sz w:val="32"/>
          <w:szCs w:val="32"/>
        </w:rPr>
        <w:t>菜种植、油菜系列产品开发及发展乡村旅游的实践情况开展了深入调研后，形成了文</w:t>
      </w:r>
      <w:r w:rsidR="0083749E">
        <w:rPr>
          <w:rFonts w:ascii="仿宋_GB2312" w:eastAsia="仿宋_GB2312" w:hAnsi="仿宋_GB2312" w:cs="仿宋_GB2312" w:hint="eastAsia"/>
          <w:kern w:val="0"/>
          <w:sz w:val="32"/>
          <w:szCs w:val="32"/>
        </w:rPr>
        <w:lastRenderedPageBreak/>
        <w:t>件《草案》。</w:t>
      </w:r>
    </w:p>
    <w:p w:rsidR="00433B48" w:rsidRDefault="003C00AC">
      <w:pPr>
        <w:spacing w:line="560" w:lineRule="exact"/>
        <w:ind w:firstLineChars="200" w:firstLine="640"/>
        <w:jc w:val="left"/>
        <w:rPr>
          <w:rFonts w:ascii="楷体" w:eastAsia="楷体" w:hAnsi="楷体" w:cs="楷体"/>
          <w:kern w:val="0"/>
          <w:sz w:val="32"/>
          <w:szCs w:val="32"/>
        </w:rPr>
      </w:pPr>
      <w:r>
        <w:rPr>
          <w:rFonts w:ascii="楷体" w:eastAsia="楷体" w:hAnsi="楷体" w:cs="楷体" w:hint="eastAsia"/>
          <w:kern w:val="0"/>
          <w:sz w:val="32"/>
          <w:szCs w:val="32"/>
        </w:rPr>
        <w:t>（三）形成文件工作组讨论稿</w:t>
      </w:r>
    </w:p>
    <w:p w:rsidR="00433B48" w:rsidRDefault="003C00AC">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2024年</w:t>
      </w:r>
      <w:r w:rsidR="0083749E">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月，文件起草工作组召开了研讨会，对标准草案进行了深度研讨，确定了标准框架，形成了</w:t>
      </w:r>
      <w:r w:rsidR="0083749E">
        <w:rPr>
          <w:rFonts w:ascii="仿宋_GB2312" w:eastAsia="仿宋_GB2312" w:hAnsi="仿宋_GB2312" w:cs="仿宋_GB2312" w:hint="eastAsia"/>
          <w:kern w:val="0"/>
          <w:sz w:val="32"/>
          <w:szCs w:val="32"/>
        </w:rPr>
        <w:t>文件《</w:t>
      </w:r>
      <w:r>
        <w:rPr>
          <w:rFonts w:ascii="仿宋_GB2312" w:eastAsia="仿宋_GB2312" w:hAnsi="仿宋_GB2312" w:cs="仿宋_GB2312" w:hint="eastAsia"/>
          <w:kern w:val="0"/>
          <w:sz w:val="32"/>
          <w:szCs w:val="32"/>
        </w:rPr>
        <w:t>工作组讨论稿</w:t>
      </w:r>
      <w:r w:rsidR="0083749E">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w:t>
      </w:r>
    </w:p>
    <w:p w:rsidR="00433B48" w:rsidRDefault="003C00AC">
      <w:pPr>
        <w:spacing w:line="560" w:lineRule="exact"/>
        <w:ind w:firstLineChars="200" w:firstLine="640"/>
        <w:jc w:val="left"/>
        <w:rPr>
          <w:rFonts w:ascii="楷体" w:eastAsia="楷体" w:hAnsi="楷体" w:cs="楷体"/>
          <w:kern w:val="0"/>
          <w:sz w:val="32"/>
          <w:szCs w:val="32"/>
        </w:rPr>
      </w:pPr>
      <w:r>
        <w:rPr>
          <w:rFonts w:ascii="楷体" w:eastAsia="楷体" w:hAnsi="楷体" w:cs="楷体" w:hint="eastAsia"/>
          <w:kern w:val="0"/>
          <w:sz w:val="32"/>
          <w:szCs w:val="32"/>
        </w:rPr>
        <w:t>（四）形成文件征求意见稿</w:t>
      </w:r>
    </w:p>
    <w:p w:rsidR="00433B48" w:rsidRDefault="003C00AC">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2024 年 </w:t>
      </w:r>
      <w:r w:rsidR="0083749E">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月，文件起草组在广泛听取文旅、农业农村等业内专家意见的基础上，再次对文件的框架和技术内容进行梳理，形成了文件</w:t>
      </w:r>
      <w:r w:rsidR="0083749E">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征求意见稿</w:t>
      </w:r>
      <w:r w:rsidR="0083749E">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w:t>
      </w:r>
    </w:p>
    <w:p w:rsidR="00433B48" w:rsidRDefault="003C00AC">
      <w:pPr>
        <w:spacing w:line="560" w:lineRule="exact"/>
        <w:ind w:firstLineChars="200" w:firstLine="640"/>
        <w:jc w:val="left"/>
        <w:rPr>
          <w:rFonts w:ascii="楷体" w:eastAsia="楷体" w:hAnsi="楷体" w:cs="楷体"/>
          <w:kern w:val="0"/>
          <w:sz w:val="32"/>
          <w:szCs w:val="32"/>
        </w:rPr>
      </w:pPr>
      <w:r>
        <w:rPr>
          <w:rFonts w:ascii="楷体" w:eastAsia="楷体" w:hAnsi="楷体" w:cs="楷体" w:hint="eastAsia"/>
          <w:kern w:val="0"/>
          <w:sz w:val="32"/>
          <w:szCs w:val="32"/>
        </w:rPr>
        <w:t>（五）形成文件送审稿。</w:t>
      </w:r>
    </w:p>
    <w:p w:rsidR="00433B48" w:rsidRDefault="003C00AC">
      <w:pPr>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（六）形成文件报批稿。</w:t>
      </w:r>
    </w:p>
    <w:p w:rsidR="00433B48" w:rsidRDefault="003C00AC">
      <w:pPr>
        <w:spacing w:line="560" w:lineRule="exact"/>
        <w:ind w:firstLineChars="200" w:firstLine="640"/>
        <w:jc w:val="left"/>
        <w:rPr>
          <w:rFonts w:ascii="黑体" w:eastAsia="黑体" w:hAnsi="黑体" w:cs="Arial"/>
          <w:kern w:val="0"/>
          <w:sz w:val="32"/>
          <w:szCs w:val="32"/>
        </w:rPr>
      </w:pPr>
      <w:r>
        <w:rPr>
          <w:rFonts w:ascii="黑体" w:eastAsia="黑体" w:hAnsi="黑体" w:cs="Arial" w:hint="eastAsia"/>
          <w:kern w:val="0"/>
          <w:sz w:val="32"/>
          <w:szCs w:val="32"/>
        </w:rPr>
        <w:t>四、制定标准的原则和依据，与现行法律、法规、标准的关系</w:t>
      </w:r>
    </w:p>
    <w:p w:rsidR="00433B48" w:rsidRDefault="003C00AC">
      <w:pPr>
        <w:spacing w:line="560" w:lineRule="exact"/>
        <w:ind w:leftChars="100" w:left="210" w:firstLine="645"/>
        <w:jc w:val="left"/>
        <w:rPr>
          <w:rFonts w:ascii="楷体" w:eastAsia="楷体" w:hAnsi="楷体" w:cs="Arial"/>
          <w:kern w:val="0"/>
          <w:sz w:val="32"/>
          <w:szCs w:val="32"/>
        </w:rPr>
      </w:pPr>
      <w:r>
        <w:rPr>
          <w:rFonts w:ascii="楷体" w:eastAsia="楷体" w:hAnsi="楷体" w:cs="Arial" w:hint="eastAsia"/>
          <w:kern w:val="0"/>
          <w:sz w:val="32"/>
          <w:szCs w:val="32"/>
        </w:rPr>
        <w:t>（一）制定标准的原则</w:t>
      </w:r>
    </w:p>
    <w:p w:rsidR="00433B48" w:rsidRDefault="003C00AC">
      <w:pPr>
        <w:spacing w:line="560" w:lineRule="exact"/>
        <w:ind w:leftChars="100" w:left="210"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本文件的制定遵循“前瞻性、实用性、统一性、规范性”的原则，严格按照GB/T 1.1—2020《标准化工作导则  第1部分：标准化文件的结构和起草规则》的规定进行编写。</w:t>
      </w:r>
    </w:p>
    <w:p w:rsidR="00433B48" w:rsidRDefault="003C00AC">
      <w:pPr>
        <w:spacing w:line="560"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1.依据相关政策法规，注重文件规范性。</w:t>
      </w:r>
      <w:r>
        <w:rPr>
          <w:rFonts w:ascii="仿宋_GB2312" w:eastAsia="仿宋_GB2312" w:hAnsi="仿宋_GB2312" w:cs="仿宋_GB2312" w:hint="eastAsia"/>
          <w:kern w:val="0"/>
          <w:sz w:val="32"/>
          <w:szCs w:val="32"/>
        </w:rPr>
        <w:t>该文件的编制紧密结合《中共中央 国务院关于学习运用“千村示范、万村整治”工程经验有力有效推进乡村全面振兴的意见》（2024年中央一号文件）、《华北地区地下水超采综合治理行动方案》、《河北省旅游高质量发展规划（2018-2025年）》、《河北省加快建设旅游强省行动方案（2023-2027年）》《关于推动文化和旅游市</w:t>
      </w:r>
      <w:r>
        <w:rPr>
          <w:rFonts w:ascii="仿宋_GB2312" w:eastAsia="仿宋_GB2312" w:hAnsi="仿宋_GB2312" w:cs="仿宋_GB2312" w:hint="eastAsia"/>
          <w:kern w:val="0"/>
          <w:sz w:val="32"/>
          <w:szCs w:val="32"/>
        </w:rPr>
        <w:lastRenderedPageBreak/>
        <w:t>场恢复振兴的若干措施》等法律法规，条款内容做到与国家现行政策、法规相协调。</w:t>
      </w:r>
    </w:p>
    <w:p w:rsidR="00433B48" w:rsidRDefault="003C00AC">
      <w:pPr>
        <w:spacing w:line="560"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2.借鉴地方实践经验，注重文件实用性。</w:t>
      </w:r>
      <w:r>
        <w:rPr>
          <w:rFonts w:ascii="仿宋_GB2312" w:eastAsia="仿宋_GB2312" w:hAnsi="仿宋_GB2312" w:cs="仿宋_GB2312" w:hint="eastAsia"/>
          <w:kern w:val="0"/>
          <w:sz w:val="32"/>
          <w:szCs w:val="32"/>
        </w:rPr>
        <w:t>借鉴了安平县杨屯村多年的冬油菜种植</w:t>
      </w:r>
      <w:r w:rsidR="0083749E">
        <w:rPr>
          <w:rFonts w:ascii="仿宋_GB2312" w:eastAsia="仿宋_GB2312" w:hAnsi="仿宋_GB2312" w:cs="仿宋_GB2312" w:hint="eastAsia"/>
          <w:kern w:val="0"/>
          <w:sz w:val="32"/>
          <w:szCs w:val="32"/>
        </w:rPr>
        <w:t>加工和</w:t>
      </w:r>
      <w:r>
        <w:rPr>
          <w:rFonts w:ascii="仿宋_GB2312" w:eastAsia="仿宋_GB2312" w:hAnsi="仿宋_GB2312" w:cs="仿宋_GB2312" w:hint="eastAsia"/>
          <w:kern w:val="0"/>
          <w:sz w:val="32"/>
          <w:szCs w:val="32"/>
        </w:rPr>
        <w:t>发展乡村旅游的经验做法，保证了文件的实用性。</w:t>
      </w:r>
    </w:p>
    <w:p w:rsidR="00433B48" w:rsidRDefault="003C00AC">
      <w:pPr>
        <w:spacing w:line="560"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3.积极探索三产融合，注重文件前瞻性。</w:t>
      </w:r>
      <w:r>
        <w:rPr>
          <w:rFonts w:ascii="仿宋_GB2312" w:eastAsia="仿宋_GB2312" w:hAnsi="仿宋_GB2312" w:cs="仿宋_GB2312" w:hint="eastAsia"/>
          <w:kern w:val="0"/>
          <w:sz w:val="32"/>
          <w:szCs w:val="32"/>
        </w:rPr>
        <w:t>立足冬油菜产业现状，结合国家、省、市出台的相关政策及乡村旅游研究成果，提出了多条前瞻性的条款内容，可满足冬油菜种植+旅游提档升级的发展需求。</w:t>
      </w:r>
    </w:p>
    <w:p w:rsidR="00433B48" w:rsidRDefault="003C00AC">
      <w:pPr>
        <w:spacing w:line="560" w:lineRule="exact"/>
        <w:ind w:firstLine="645"/>
        <w:jc w:val="left"/>
        <w:rPr>
          <w:rFonts w:ascii="楷体" w:eastAsia="楷体" w:hAnsi="楷体" w:cs="Arial"/>
          <w:kern w:val="0"/>
          <w:sz w:val="32"/>
          <w:szCs w:val="32"/>
        </w:rPr>
      </w:pPr>
      <w:r>
        <w:rPr>
          <w:rFonts w:ascii="楷体" w:eastAsia="楷体" w:hAnsi="楷体" w:cs="Arial" w:hint="eastAsia"/>
          <w:kern w:val="0"/>
          <w:sz w:val="32"/>
          <w:szCs w:val="32"/>
        </w:rPr>
        <w:t>（二）确定主要技术内容的依据</w:t>
      </w:r>
    </w:p>
    <w:p w:rsidR="00433B48" w:rsidRDefault="003C00AC">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文件编制过程中认真研究了国家、省、市相关政策规定等，主要包括以下文件：</w:t>
      </w:r>
    </w:p>
    <w:p w:rsidR="00433B48" w:rsidRDefault="003C00AC">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详见表2。</w:t>
      </w:r>
    </w:p>
    <w:p w:rsidR="00433B48" w:rsidRDefault="003C00AC">
      <w:pPr>
        <w:ind w:firstLineChars="1000" w:firstLine="3200"/>
        <w:rPr>
          <w:rFonts w:ascii="仿宋" w:eastAsia="仿宋" w:hAnsi="仿宋" w:cs="Arial"/>
          <w:kern w:val="0"/>
          <w:sz w:val="32"/>
          <w:szCs w:val="32"/>
        </w:rPr>
      </w:pPr>
      <w:r>
        <w:rPr>
          <w:rFonts w:ascii="仿宋_GB2312" w:eastAsia="仿宋_GB2312" w:hAnsi="仿宋_GB2312" w:cs="仿宋_GB2312" w:hint="eastAsia"/>
          <w:kern w:val="0"/>
          <w:sz w:val="32"/>
          <w:szCs w:val="32"/>
        </w:rPr>
        <w:t>表2   文件</w:t>
      </w:r>
    </w:p>
    <w:tbl>
      <w:tblPr>
        <w:tblStyle w:val="a8"/>
        <w:tblW w:w="9465" w:type="dxa"/>
        <w:tblInd w:w="-49" w:type="dxa"/>
        <w:tblLook w:val="04A0" w:firstRow="1" w:lastRow="0" w:firstColumn="1" w:lastColumn="0" w:noHBand="0" w:noVBand="1"/>
      </w:tblPr>
      <w:tblGrid>
        <w:gridCol w:w="975"/>
        <w:gridCol w:w="8490"/>
      </w:tblGrid>
      <w:tr w:rsidR="00433B48">
        <w:tc>
          <w:tcPr>
            <w:tcW w:w="975" w:type="dxa"/>
            <w:vAlign w:val="center"/>
          </w:tcPr>
          <w:p w:rsidR="00433B48" w:rsidRDefault="003C00AC">
            <w:pPr>
              <w:spacing w:line="560" w:lineRule="exact"/>
              <w:jc w:val="center"/>
              <w:rPr>
                <w:rFonts w:ascii="仿宋" w:eastAsia="仿宋" w:hAnsi="仿宋" w:cs="Arial"/>
                <w:b/>
                <w:kern w:val="0"/>
                <w:sz w:val="32"/>
                <w:szCs w:val="32"/>
              </w:rPr>
            </w:pPr>
            <w:r>
              <w:rPr>
                <w:rFonts w:ascii="仿宋" w:eastAsia="仿宋" w:hAnsi="仿宋" w:cs="Arial" w:hint="eastAsia"/>
                <w:b/>
                <w:kern w:val="0"/>
                <w:sz w:val="32"/>
                <w:szCs w:val="32"/>
              </w:rPr>
              <w:t>序号</w:t>
            </w:r>
          </w:p>
        </w:tc>
        <w:tc>
          <w:tcPr>
            <w:tcW w:w="8490" w:type="dxa"/>
            <w:vAlign w:val="center"/>
          </w:tcPr>
          <w:p w:rsidR="00433B48" w:rsidRDefault="003C00AC">
            <w:pPr>
              <w:spacing w:line="560" w:lineRule="exact"/>
              <w:jc w:val="center"/>
              <w:rPr>
                <w:rFonts w:ascii="仿宋" w:eastAsia="仿宋" w:hAnsi="仿宋" w:cs="Arial"/>
                <w:b/>
                <w:kern w:val="0"/>
                <w:sz w:val="32"/>
                <w:szCs w:val="32"/>
              </w:rPr>
            </w:pPr>
            <w:r>
              <w:rPr>
                <w:rFonts w:ascii="仿宋" w:eastAsia="仿宋" w:hAnsi="仿宋" w:cs="Arial" w:hint="eastAsia"/>
                <w:b/>
                <w:kern w:val="0"/>
                <w:sz w:val="32"/>
                <w:szCs w:val="32"/>
              </w:rPr>
              <w:t>文件名称</w:t>
            </w:r>
          </w:p>
        </w:tc>
      </w:tr>
      <w:tr w:rsidR="00433B48">
        <w:tc>
          <w:tcPr>
            <w:tcW w:w="975" w:type="dxa"/>
            <w:vAlign w:val="center"/>
          </w:tcPr>
          <w:p w:rsidR="00433B48" w:rsidRDefault="003C00AC">
            <w:pPr>
              <w:spacing w:line="52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p>
        </w:tc>
        <w:tc>
          <w:tcPr>
            <w:tcW w:w="8490" w:type="dxa"/>
          </w:tcPr>
          <w:p w:rsidR="00433B48" w:rsidRDefault="003C00AC">
            <w:pPr>
              <w:spacing w:line="52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中共中央 国务院关于学习运用“千村示范、万村整治”工程经验有力有效推进乡村全面振兴的意见（2024年中央一号文件）</w:t>
            </w:r>
          </w:p>
        </w:tc>
      </w:tr>
      <w:tr w:rsidR="00433B48">
        <w:tc>
          <w:tcPr>
            <w:tcW w:w="975" w:type="dxa"/>
            <w:vAlign w:val="center"/>
          </w:tcPr>
          <w:p w:rsidR="00433B48" w:rsidRDefault="003C00AC">
            <w:pPr>
              <w:spacing w:line="52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p>
        </w:tc>
        <w:tc>
          <w:tcPr>
            <w:tcW w:w="8490" w:type="dxa"/>
          </w:tcPr>
          <w:p w:rsidR="00433B48" w:rsidRDefault="003C00AC">
            <w:pPr>
              <w:spacing w:line="52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关于大力实施乡村振兴战略加快推进农业转型升级的意见</w:t>
            </w:r>
          </w:p>
        </w:tc>
      </w:tr>
      <w:tr w:rsidR="00433B48">
        <w:tc>
          <w:tcPr>
            <w:tcW w:w="975" w:type="dxa"/>
            <w:vAlign w:val="center"/>
          </w:tcPr>
          <w:p w:rsidR="00433B48" w:rsidRDefault="003C00AC">
            <w:pPr>
              <w:spacing w:line="52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p>
        </w:tc>
        <w:tc>
          <w:tcPr>
            <w:tcW w:w="8490" w:type="dxa"/>
          </w:tcPr>
          <w:p w:rsidR="00433B48" w:rsidRDefault="003C00AC">
            <w:pPr>
              <w:spacing w:line="52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全国农业可持续发展规划（2015-2030年）</w:t>
            </w:r>
          </w:p>
        </w:tc>
      </w:tr>
      <w:tr w:rsidR="00433B48">
        <w:tc>
          <w:tcPr>
            <w:tcW w:w="975" w:type="dxa"/>
            <w:vAlign w:val="center"/>
          </w:tcPr>
          <w:p w:rsidR="00433B48" w:rsidRDefault="003C00AC">
            <w:pPr>
              <w:spacing w:line="52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p>
        </w:tc>
        <w:tc>
          <w:tcPr>
            <w:tcW w:w="8490" w:type="dxa"/>
          </w:tcPr>
          <w:p w:rsidR="00433B48" w:rsidRDefault="003C00AC">
            <w:pPr>
              <w:spacing w:line="52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河北省旅游高质量发展规划（2018-2025年）</w:t>
            </w:r>
          </w:p>
        </w:tc>
      </w:tr>
      <w:tr w:rsidR="00433B48">
        <w:tc>
          <w:tcPr>
            <w:tcW w:w="975" w:type="dxa"/>
            <w:vAlign w:val="center"/>
          </w:tcPr>
          <w:p w:rsidR="00433B48" w:rsidRDefault="003C00AC">
            <w:pPr>
              <w:spacing w:line="52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w:t>
            </w:r>
          </w:p>
        </w:tc>
        <w:tc>
          <w:tcPr>
            <w:tcW w:w="8490" w:type="dxa"/>
          </w:tcPr>
          <w:p w:rsidR="00433B48" w:rsidRDefault="003C00AC">
            <w:pPr>
              <w:spacing w:line="52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河北省加快建设旅游强省行动方案（2023-2027年）</w:t>
            </w:r>
          </w:p>
        </w:tc>
      </w:tr>
      <w:tr w:rsidR="00433B48">
        <w:tc>
          <w:tcPr>
            <w:tcW w:w="975" w:type="dxa"/>
            <w:vAlign w:val="center"/>
          </w:tcPr>
          <w:p w:rsidR="00433B48" w:rsidRDefault="003C00AC">
            <w:pPr>
              <w:spacing w:line="52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6</w:t>
            </w:r>
          </w:p>
        </w:tc>
        <w:tc>
          <w:tcPr>
            <w:tcW w:w="8490" w:type="dxa"/>
          </w:tcPr>
          <w:p w:rsidR="00433B48" w:rsidRDefault="003C00AC">
            <w:pPr>
              <w:spacing w:line="52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关于推动文化和旅游市场恢复振兴的若干措施</w:t>
            </w:r>
          </w:p>
        </w:tc>
      </w:tr>
      <w:tr w:rsidR="00433B48">
        <w:tc>
          <w:tcPr>
            <w:tcW w:w="975" w:type="dxa"/>
            <w:vAlign w:val="center"/>
          </w:tcPr>
          <w:p w:rsidR="00433B48" w:rsidRDefault="003C00AC">
            <w:pPr>
              <w:spacing w:line="52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w:t>
            </w:r>
          </w:p>
        </w:tc>
        <w:tc>
          <w:tcPr>
            <w:tcW w:w="8490" w:type="dxa"/>
          </w:tcPr>
          <w:p w:rsidR="00433B48" w:rsidRDefault="003C00AC">
            <w:pPr>
              <w:spacing w:line="52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关于促进旅游民宿高质量发展的实施意见</w:t>
            </w:r>
          </w:p>
        </w:tc>
      </w:tr>
    </w:tbl>
    <w:p w:rsidR="00433B48" w:rsidRDefault="00433B48">
      <w:pPr>
        <w:spacing w:line="560" w:lineRule="exact"/>
        <w:ind w:firstLineChars="200" w:firstLine="640"/>
        <w:jc w:val="left"/>
        <w:rPr>
          <w:rFonts w:ascii="仿宋_GB2312" w:eastAsia="仿宋_GB2312" w:hAnsi="仿宋_GB2312" w:cs="仿宋_GB2312"/>
          <w:kern w:val="0"/>
          <w:sz w:val="32"/>
          <w:szCs w:val="32"/>
        </w:rPr>
      </w:pPr>
    </w:p>
    <w:p w:rsidR="00433B48" w:rsidRDefault="003C00AC">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参考了冬油菜种植及发展乡村旅游的相关标准：</w:t>
      </w:r>
    </w:p>
    <w:p w:rsidR="00433B48" w:rsidRDefault="003C00AC">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详见表3。</w:t>
      </w:r>
    </w:p>
    <w:p w:rsidR="00433B48" w:rsidRDefault="003C00AC">
      <w:pPr>
        <w:ind w:firstLineChars="1000" w:firstLine="32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表3   标  准</w:t>
      </w:r>
    </w:p>
    <w:tbl>
      <w:tblPr>
        <w:tblStyle w:val="a8"/>
        <w:tblW w:w="0" w:type="auto"/>
        <w:tblLook w:val="04A0" w:firstRow="1" w:lastRow="0" w:firstColumn="1" w:lastColumn="0" w:noHBand="0" w:noVBand="1"/>
      </w:tblPr>
      <w:tblGrid>
        <w:gridCol w:w="1091"/>
        <w:gridCol w:w="7969"/>
      </w:tblGrid>
      <w:tr w:rsidR="00433B48">
        <w:tc>
          <w:tcPr>
            <w:tcW w:w="1091" w:type="dxa"/>
            <w:vAlign w:val="center"/>
          </w:tcPr>
          <w:p w:rsidR="00433B48" w:rsidRDefault="003C00AC">
            <w:pPr>
              <w:spacing w:line="560" w:lineRule="exact"/>
              <w:jc w:val="center"/>
              <w:rPr>
                <w:rFonts w:ascii="仿宋" w:eastAsia="仿宋" w:hAnsi="仿宋" w:cs="Arial"/>
                <w:b/>
                <w:kern w:val="0"/>
                <w:sz w:val="32"/>
                <w:szCs w:val="32"/>
              </w:rPr>
            </w:pPr>
            <w:r>
              <w:rPr>
                <w:rFonts w:ascii="仿宋" w:eastAsia="仿宋" w:hAnsi="仿宋" w:cs="Arial" w:hint="eastAsia"/>
                <w:b/>
                <w:kern w:val="0"/>
                <w:sz w:val="32"/>
                <w:szCs w:val="32"/>
              </w:rPr>
              <w:t>序号</w:t>
            </w:r>
          </w:p>
        </w:tc>
        <w:tc>
          <w:tcPr>
            <w:tcW w:w="7969" w:type="dxa"/>
            <w:vAlign w:val="center"/>
          </w:tcPr>
          <w:p w:rsidR="00433B48" w:rsidRDefault="003C00AC">
            <w:pPr>
              <w:spacing w:line="560" w:lineRule="exact"/>
              <w:jc w:val="center"/>
              <w:rPr>
                <w:rFonts w:ascii="仿宋" w:eastAsia="仿宋" w:hAnsi="仿宋" w:cs="Arial"/>
                <w:b/>
                <w:kern w:val="0"/>
                <w:sz w:val="32"/>
                <w:szCs w:val="32"/>
              </w:rPr>
            </w:pPr>
            <w:r>
              <w:rPr>
                <w:rFonts w:ascii="仿宋" w:eastAsia="仿宋" w:hAnsi="仿宋" w:cs="Arial" w:hint="eastAsia"/>
                <w:b/>
                <w:kern w:val="0"/>
                <w:sz w:val="32"/>
                <w:szCs w:val="32"/>
              </w:rPr>
              <w:t>文件名称</w:t>
            </w:r>
          </w:p>
        </w:tc>
      </w:tr>
      <w:tr w:rsidR="00433B48">
        <w:tc>
          <w:tcPr>
            <w:tcW w:w="1091" w:type="dxa"/>
          </w:tcPr>
          <w:p w:rsidR="00433B48" w:rsidRDefault="003C00AC">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p>
        </w:tc>
        <w:tc>
          <w:tcPr>
            <w:tcW w:w="7969" w:type="dxa"/>
          </w:tcPr>
          <w:p w:rsidR="00433B48" w:rsidRDefault="003C00AC">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GB/T 41011-2021 旅游景区可持续发展指南</w:t>
            </w:r>
          </w:p>
        </w:tc>
      </w:tr>
      <w:tr w:rsidR="00433B48">
        <w:tc>
          <w:tcPr>
            <w:tcW w:w="1091" w:type="dxa"/>
          </w:tcPr>
          <w:p w:rsidR="00433B48" w:rsidRDefault="003C00AC">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p>
        </w:tc>
        <w:tc>
          <w:tcPr>
            <w:tcW w:w="7969" w:type="dxa"/>
          </w:tcPr>
          <w:p w:rsidR="00433B48" w:rsidRDefault="003C00AC">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GB/T 31384-2024 旅游景区公共信息导向系统设置规范</w:t>
            </w:r>
          </w:p>
        </w:tc>
      </w:tr>
      <w:tr w:rsidR="00433B48">
        <w:tc>
          <w:tcPr>
            <w:tcW w:w="1091" w:type="dxa"/>
          </w:tcPr>
          <w:p w:rsidR="00433B48" w:rsidRDefault="003C00AC">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p>
        </w:tc>
        <w:tc>
          <w:tcPr>
            <w:tcW w:w="7969" w:type="dxa"/>
          </w:tcPr>
          <w:p w:rsidR="00433B48" w:rsidRDefault="003C00AC">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GB/T 31383-2015 旅游景区游客中心设置与服务规范</w:t>
            </w:r>
          </w:p>
        </w:tc>
      </w:tr>
      <w:tr w:rsidR="00433B48">
        <w:tc>
          <w:tcPr>
            <w:tcW w:w="1091" w:type="dxa"/>
          </w:tcPr>
          <w:p w:rsidR="00433B48" w:rsidRDefault="003C00AC">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p>
        </w:tc>
        <w:tc>
          <w:tcPr>
            <w:tcW w:w="7969" w:type="dxa"/>
          </w:tcPr>
          <w:p w:rsidR="00433B48" w:rsidRDefault="003C00AC">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GB/T 10001.2-2021 公共信息图形符号 第2部分：旅游休闲符号</w:t>
            </w:r>
          </w:p>
        </w:tc>
      </w:tr>
      <w:tr w:rsidR="00433B48">
        <w:tc>
          <w:tcPr>
            <w:tcW w:w="1091" w:type="dxa"/>
          </w:tcPr>
          <w:p w:rsidR="00433B48" w:rsidRDefault="003C00AC">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w:t>
            </w:r>
          </w:p>
        </w:tc>
        <w:tc>
          <w:tcPr>
            <w:tcW w:w="7969" w:type="dxa"/>
          </w:tcPr>
          <w:p w:rsidR="00433B48" w:rsidRDefault="003C00AC">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GB/T 30225-2013 旅游景区数字化应用规范</w:t>
            </w:r>
          </w:p>
        </w:tc>
      </w:tr>
      <w:tr w:rsidR="00433B48">
        <w:tc>
          <w:tcPr>
            <w:tcW w:w="1091" w:type="dxa"/>
          </w:tcPr>
          <w:p w:rsidR="00433B48" w:rsidRDefault="003C00AC">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w:t>
            </w:r>
          </w:p>
        </w:tc>
        <w:tc>
          <w:tcPr>
            <w:tcW w:w="7969" w:type="dxa"/>
          </w:tcPr>
          <w:p w:rsidR="00433B48" w:rsidRDefault="003C00AC">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GB/T 26360-2010 旅游电子商务网站建设技术规范</w:t>
            </w:r>
          </w:p>
        </w:tc>
      </w:tr>
      <w:tr w:rsidR="00433B48">
        <w:tc>
          <w:tcPr>
            <w:tcW w:w="1091" w:type="dxa"/>
          </w:tcPr>
          <w:p w:rsidR="00433B48" w:rsidRDefault="003C00AC">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w:t>
            </w:r>
          </w:p>
        </w:tc>
        <w:tc>
          <w:tcPr>
            <w:tcW w:w="7969" w:type="dxa"/>
          </w:tcPr>
          <w:p w:rsidR="00433B48" w:rsidRDefault="003C00AC">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GB/T 18973-2022 旅游厕所质量要求与评定</w:t>
            </w:r>
          </w:p>
        </w:tc>
      </w:tr>
      <w:tr w:rsidR="00433B48">
        <w:tc>
          <w:tcPr>
            <w:tcW w:w="1091" w:type="dxa"/>
          </w:tcPr>
          <w:p w:rsidR="00433B48" w:rsidRDefault="003C00AC">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w:t>
            </w:r>
          </w:p>
        </w:tc>
        <w:tc>
          <w:tcPr>
            <w:tcW w:w="7969" w:type="dxa"/>
          </w:tcPr>
          <w:p w:rsidR="00433B48" w:rsidRDefault="003C00AC">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GB/T 21268-2014 </w:t>
            </w:r>
            <w:proofErr w:type="gramStart"/>
            <w:r>
              <w:rPr>
                <w:rFonts w:ascii="仿宋_GB2312" w:eastAsia="仿宋_GB2312" w:hAnsi="仿宋_GB2312" w:cs="仿宋_GB2312" w:hint="eastAsia"/>
                <w:kern w:val="0"/>
                <w:sz w:val="32"/>
                <w:szCs w:val="32"/>
              </w:rPr>
              <w:t>非公路</w:t>
            </w:r>
            <w:proofErr w:type="gramEnd"/>
            <w:r>
              <w:rPr>
                <w:rFonts w:ascii="仿宋_GB2312" w:eastAsia="仿宋_GB2312" w:hAnsi="仿宋_GB2312" w:cs="仿宋_GB2312" w:hint="eastAsia"/>
                <w:kern w:val="0"/>
                <w:sz w:val="32"/>
                <w:szCs w:val="32"/>
              </w:rPr>
              <w:t>旅游观光车通用技术条件</w:t>
            </w:r>
          </w:p>
        </w:tc>
      </w:tr>
      <w:tr w:rsidR="00433B48">
        <w:tc>
          <w:tcPr>
            <w:tcW w:w="1091" w:type="dxa"/>
          </w:tcPr>
          <w:p w:rsidR="00433B48" w:rsidRDefault="003C00AC">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w:t>
            </w:r>
          </w:p>
        </w:tc>
        <w:tc>
          <w:tcPr>
            <w:tcW w:w="7969" w:type="dxa"/>
          </w:tcPr>
          <w:p w:rsidR="00433B48" w:rsidRDefault="003C00AC">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GB/T 26361-2010 旅游餐馆设施与服务等级划分</w:t>
            </w:r>
          </w:p>
        </w:tc>
      </w:tr>
      <w:tr w:rsidR="00433B48">
        <w:tc>
          <w:tcPr>
            <w:tcW w:w="1091" w:type="dxa"/>
          </w:tcPr>
          <w:p w:rsidR="00433B48" w:rsidRDefault="003C00AC">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w:t>
            </w:r>
          </w:p>
        </w:tc>
        <w:tc>
          <w:tcPr>
            <w:tcW w:w="7969" w:type="dxa"/>
          </w:tcPr>
          <w:p w:rsidR="00433B48" w:rsidRDefault="003C00AC">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GB/T 41648-2022 旅游民宿基本要求与等级划分</w:t>
            </w:r>
          </w:p>
        </w:tc>
      </w:tr>
      <w:tr w:rsidR="00433B48">
        <w:tc>
          <w:tcPr>
            <w:tcW w:w="1091" w:type="dxa"/>
          </w:tcPr>
          <w:p w:rsidR="00433B48" w:rsidRDefault="003C00AC">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11</w:t>
            </w:r>
          </w:p>
        </w:tc>
        <w:tc>
          <w:tcPr>
            <w:tcW w:w="7969" w:type="dxa"/>
          </w:tcPr>
          <w:p w:rsidR="00433B48" w:rsidRDefault="003C00AC">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DB1311T031-2023 </w:t>
            </w:r>
            <w:proofErr w:type="gramStart"/>
            <w:r>
              <w:rPr>
                <w:rFonts w:ascii="仿宋_GB2312" w:eastAsia="仿宋_GB2312" w:hAnsi="仿宋_GB2312" w:cs="仿宋_GB2312" w:hint="eastAsia"/>
                <w:kern w:val="0"/>
                <w:sz w:val="32"/>
                <w:szCs w:val="32"/>
              </w:rPr>
              <w:t>衡油8号</w:t>
            </w:r>
            <w:proofErr w:type="gramEnd"/>
            <w:r>
              <w:rPr>
                <w:rFonts w:ascii="仿宋_GB2312" w:eastAsia="仿宋_GB2312" w:hAnsi="仿宋_GB2312" w:cs="仿宋_GB2312" w:hint="eastAsia"/>
                <w:kern w:val="0"/>
                <w:sz w:val="32"/>
                <w:szCs w:val="32"/>
              </w:rPr>
              <w:t>冬油菜栽培技术规程</w:t>
            </w:r>
          </w:p>
        </w:tc>
      </w:tr>
    </w:tbl>
    <w:p w:rsidR="00433B48" w:rsidRDefault="00433B48">
      <w:pPr>
        <w:rPr>
          <w:rFonts w:ascii="仿宋_GB2312" w:eastAsia="仿宋_GB2312" w:hAnsi="仿宋_GB2312" w:cs="仿宋_GB2312"/>
          <w:kern w:val="0"/>
          <w:sz w:val="32"/>
          <w:szCs w:val="32"/>
        </w:rPr>
      </w:pPr>
    </w:p>
    <w:p w:rsidR="00433B48" w:rsidRDefault="003C00AC">
      <w:pPr>
        <w:spacing w:line="560" w:lineRule="exact"/>
        <w:ind w:firstLineChars="200" w:firstLine="640"/>
        <w:jc w:val="left"/>
        <w:rPr>
          <w:rFonts w:ascii="楷体" w:eastAsia="楷体" w:hAnsi="楷体" w:cs="Arial"/>
          <w:kern w:val="0"/>
          <w:sz w:val="32"/>
          <w:szCs w:val="32"/>
        </w:rPr>
      </w:pPr>
      <w:r>
        <w:rPr>
          <w:rFonts w:ascii="楷体" w:eastAsia="楷体" w:hAnsi="楷体" w:cs="Arial" w:hint="eastAsia"/>
          <w:kern w:val="0"/>
          <w:sz w:val="32"/>
          <w:szCs w:val="32"/>
        </w:rPr>
        <w:t>（三）与现行法律、法规、标准的关系</w:t>
      </w:r>
    </w:p>
    <w:p w:rsidR="00433B48" w:rsidRDefault="003C00AC">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本文件</w:t>
      </w:r>
      <w:r w:rsidR="00825041">
        <w:rPr>
          <w:rFonts w:ascii="仿宋_GB2312" w:eastAsia="仿宋_GB2312" w:hAnsi="仿宋_GB2312" w:cs="仿宋_GB2312" w:hint="eastAsia"/>
          <w:kern w:val="0"/>
          <w:sz w:val="32"/>
          <w:szCs w:val="32"/>
        </w:rPr>
        <w:t>为团体标准，归口安平丝网物流协会，</w:t>
      </w:r>
      <w:r>
        <w:rPr>
          <w:rFonts w:ascii="仿宋_GB2312" w:eastAsia="仿宋_GB2312" w:hAnsi="仿宋_GB2312" w:cs="仿宋_GB2312" w:hint="eastAsia"/>
          <w:kern w:val="0"/>
          <w:sz w:val="32"/>
          <w:szCs w:val="32"/>
        </w:rPr>
        <w:t>符合国家现行法规，与现行标准不冲突，可配套使用、相互支撑。国内没有相关强制性标准。</w:t>
      </w:r>
    </w:p>
    <w:p w:rsidR="00433B48" w:rsidRDefault="003C00AC">
      <w:pPr>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五、主要条款的说明</w:t>
      </w:r>
    </w:p>
    <w:p w:rsidR="00433B48" w:rsidRDefault="003C00AC">
      <w:pPr>
        <w:spacing w:line="560" w:lineRule="exact"/>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第3章：术语和定义</w:t>
      </w:r>
    </w:p>
    <w:p w:rsidR="00433B48" w:rsidRDefault="003C00AC">
      <w:pPr>
        <w:pStyle w:val="a1"/>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本章列出了冬油菜、季节性休耕、季节性休耕农田冬油菜种植加工+旅游等3个术语，并结合相关资料进行了定义。</w:t>
      </w:r>
    </w:p>
    <w:p w:rsidR="00433B48" w:rsidRDefault="003C00AC">
      <w:pPr>
        <w:spacing w:line="560" w:lineRule="exact"/>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第4章：总体原则</w:t>
      </w:r>
    </w:p>
    <w:p w:rsidR="00433B48" w:rsidRDefault="003C00AC">
      <w:pPr>
        <w:spacing w:line="560" w:lineRule="exact"/>
        <w:ind w:firstLineChars="200" w:firstLine="640"/>
        <w:jc w:val="left"/>
        <w:rPr>
          <w:rFonts w:ascii="宋体" w:eastAsia="宋体" w:hAnsi="Courier New" w:cs="Courier New"/>
          <w:szCs w:val="21"/>
        </w:rPr>
      </w:pPr>
      <w:r>
        <w:rPr>
          <w:rFonts w:ascii="仿宋_GB2312" w:eastAsia="仿宋_GB2312" w:hAnsi="仿宋_GB2312" w:cs="仿宋_GB2312" w:hint="eastAsia"/>
          <w:kern w:val="0"/>
          <w:sz w:val="32"/>
          <w:szCs w:val="32"/>
        </w:rPr>
        <w:t>本章提出了渐进性、协同性、安全性和先进性等四条需遵循的原则。</w:t>
      </w:r>
    </w:p>
    <w:p w:rsidR="00433B48" w:rsidRDefault="003C00AC">
      <w:pPr>
        <w:spacing w:line="560" w:lineRule="exact"/>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第5章：项目条件</w:t>
      </w:r>
    </w:p>
    <w:p w:rsidR="00433B48" w:rsidRDefault="003C00AC">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部分结合“季节性休耕条件农田冬油菜种植+旅游”项目建设实际需求，从自然条件、组织条件、财力条件和实施条件等四个方面提出了建议。自然条件从地域、土质、基础设施等方面提出了建议；组织条件从村“两委”班子、实施载体、组织保障等方面提出了建议；财力条件从人员、制度、资金等方面提出了建议；实施条件从规划、工作思路、土地、团队等方面提出了建议。</w:t>
      </w:r>
    </w:p>
    <w:p w:rsidR="00433B48" w:rsidRDefault="003C00AC">
      <w:pPr>
        <w:spacing w:line="520" w:lineRule="exact"/>
        <w:ind w:firstLine="645"/>
        <w:jc w:val="left"/>
        <w:rPr>
          <w:rFonts w:ascii="仿宋" w:eastAsia="仿宋" w:hAnsi="仿宋" w:cs="Arial"/>
          <w:b/>
          <w:bCs/>
          <w:kern w:val="0"/>
          <w:sz w:val="32"/>
          <w:szCs w:val="32"/>
        </w:rPr>
      </w:pPr>
      <w:r>
        <w:rPr>
          <w:rFonts w:ascii="仿宋" w:eastAsia="仿宋" w:hAnsi="仿宋" w:cs="Arial" w:hint="eastAsia"/>
          <w:b/>
          <w:bCs/>
          <w:kern w:val="0"/>
          <w:sz w:val="32"/>
          <w:szCs w:val="32"/>
        </w:rPr>
        <w:t>第6章：项目建设内容</w:t>
      </w:r>
    </w:p>
    <w:p w:rsidR="00433B48" w:rsidRDefault="003C00AC">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本部分主要结合实际需求，从基础设施、旅游资源、衍生品、品牌等四个方面提出了建议。完善基础设施从田间道路、栈道、停车场、乡村民宿、游乐设施等方面提出了建议；挖掘旅游资源</w:t>
      </w:r>
    </w:p>
    <w:p w:rsidR="00433B48" w:rsidRDefault="003C00AC">
      <w:pPr>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从动植物园建设、蜂蜜销售、红色资源发掘、旅游线路统筹等方面提出了建议；开发衍生品从衍生品开发的前提条件及油菜花茶、脱水油菜</w:t>
      </w:r>
      <w:proofErr w:type="gramStart"/>
      <w:r>
        <w:rPr>
          <w:rFonts w:ascii="仿宋_GB2312" w:eastAsia="仿宋_GB2312" w:hAnsi="仿宋_GB2312" w:cs="仿宋_GB2312" w:hint="eastAsia"/>
          <w:kern w:val="0"/>
          <w:sz w:val="32"/>
          <w:szCs w:val="32"/>
        </w:rPr>
        <w:t>芽</w:t>
      </w:r>
      <w:proofErr w:type="gramEnd"/>
      <w:r>
        <w:rPr>
          <w:rFonts w:ascii="仿宋_GB2312" w:eastAsia="仿宋_GB2312" w:hAnsi="仿宋_GB2312" w:cs="仿宋_GB2312" w:hint="eastAsia"/>
          <w:kern w:val="0"/>
          <w:sz w:val="32"/>
          <w:szCs w:val="32"/>
        </w:rPr>
        <w:t>苗菜、油菜花化妆品、油菜饼干、油菜花酒、油菜盆栽花卉等衍生品开发的内容方面提出了建议；打造品牌从举办活动、申报旅游景区等级、注册商标、研制标准等方面提出了建议。</w:t>
      </w:r>
    </w:p>
    <w:p w:rsidR="00433B48" w:rsidRDefault="003C00AC">
      <w:pPr>
        <w:spacing w:line="560" w:lineRule="exact"/>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第7章：职责分工</w:t>
      </w:r>
    </w:p>
    <w:p w:rsidR="00433B48" w:rsidRDefault="003C00AC">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本部分内容主要结合实际需求，从</w:t>
      </w:r>
      <w:r w:rsidR="0083749E">
        <w:rPr>
          <w:rFonts w:ascii="仿宋_GB2312" w:eastAsia="仿宋_GB2312" w:hAnsi="仿宋_GB2312" w:cs="仿宋_GB2312" w:hint="eastAsia"/>
          <w:kern w:val="0"/>
          <w:sz w:val="32"/>
          <w:szCs w:val="32"/>
        </w:rPr>
        <w:t>县乡基层组织</w:t>
      </w:r>
      <w:r>
        <w:rPr>
          <w:rFonts w:ascii="仿宋_GB2312" w:eastAsia="仿宋_GB2312" w:hAnsi="仿宋_GB2312" w:cs="仿宋_GB2312" w:hint="eastAsia"/>
          <w:kern w:val="0"/>
          <w:sz w:val="32"/>
          <w:szCs w:val="32"/>
        </w:rPr>
        <w:t>职责、村</w:t>
      </w:r>
      <w:r w:rsidR="0083749E">
        <w:rPr>
          <w:rFonts w:ascii="仿宋_GB2312" w:eastAsia="仿宋_GB2312" w:hAnsi="仿宋_GB2312" w:cs="仿宋_GB2312" w:hint="eastAsia"/>
          <w:kern w:val="0"/>
          <w:sz w:val="32"/>
          <w:szCs w:val="32"/>
        </w:rPr>
        <w:t>村组织</w:t>
      </w:r>
      <w:r>
        <w:rPr>
          <w:rFonts w:ascii="仿宋_GB2312" w:eastAsia="仿宋_GB2312" w:hAnsi="仿宋_GB2312" w:cs="仿宋_GB2312" w:hint="eastAsia"/>
          <w:kern w:val="0"/>
          <w:sz w:val="32"/>
          <w:szCs w:val="32"/>
        </w:rPr>
        <w:t>职责、农户职责三个方面对“季节性休耕条件农田冬油菜种植+旅游”项目运营管理过程中的职责分工提出了建议。</w:t>
      </w:r>
    </w:p>
    <w:p w:rsidR="00433B48" w:rsidRDefault="003C00AC">
      <w:pPr>
        <w:spacing w:line="560" w:lineRule="exact"/>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第8章：项目运行</w:t>
      </w:r>
    </w:p>
    <w:p w:rsidR="00433B48" w:rsidRDefault="003C00AC">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本部分内容主要从项目运行模式、项目运营、</w:t>
      </w:r>
      <w:r w:rsidR="00CA1CD0">
        <w:rPr>
          <w:rFonts w:ascii="仿宋_GB2312" w:eastAsia="仿宋_GB2312" w:hAnsi="仿宋_GB2312" w:cs="仿宋_GB2312" w:hint="eastAsia"/>
          <w:kern w:val="0"/>
          <w:sz w:val="32"/>
          <w:szCs w:val="32"/>
        </w:rPr>
        <w:t>项目管理、项目总结等四</w:t>
      </w:r>
      <w:r>
        <w:rPr>
          <w:rFonts w:ascii="仿宋_GB2312" w:eastAsia="仿宋_GB2312" w:hAnsi="仿宋_GB2312" w:cs="仿宋_GB2312" w:hint="eastAsia"/>
          <w:kern w:val="0"/>
          <w:sz w:val="32"/>
          <w:szCs w:val="32"/>
        </w:rPr>
        <w:t>方面提出了建议。项目运行模式提出了合作开发、设施租赁、保护价收购、就地用工、股份分红等五种运行模式的建议；项目运营要求在前期准备、合同签订</w:t>
      </w:r>
      <w:r w:rsidR="00CA1CD0">
        <w:rPr>
          <w:rFonts w:ascii="仿宋_GB2312" w:eastAsia="仿宋_GB2312" w:hAnsi="仿宋_GB2312" w:cs="仿宋_GB2312" w:hint="eastAsia"/>
          <w:kern w:val="0"/>
          <w:sz w:val="32"/>
          <w:szCs w:val="32"/>
        </w:rPr>
        <w:t>等</w:t>
      </w:r>
      <w:r>
        <w:rPr>
          <w:rFonts w:ascii="仿宋_GB2312" w:eastAsia="仿宋_GB2312" w:hAnsi="仿宋_GB2312" w:cs="仿宋_GB2312" w:hint="eastAsia"/>
          <w:kern w:val="0"/>
          <w:sz w:val="32"/>
          <w:szCs w:val="32"/>
        </w:rPr>
        <w:t>环节的主要技术要求提出了建议；</w:t>
      </w:r>
      <w:r w:rsidR="00CA1CD0">
        <w:rPr>
          <w:rFonts w:ascii="仿宋_GB2312" w:eastAsia="仿宋_GB2312" w:hAnsi="仿宋_GB2312" w:cs="仿宋_GB2312" w:hint="eastAsia"/>
          <w:kern w:val="0"/>
          <w:sz w:val="32"/>
          <w:szCs w:val="32"/>
        </w:rPr>
        <w:t>项目管理对村组织、县乡基层组织分别提出了四点建议；建议</w:t>
      </w:r>
      <w:r w:rsidR="00CA1CD0" w:rsidRPr="00CA1CD0">
        <w:rPr>
          <w:rFonts w:ascii="仿宋_GB2312" w:eastAsia="仿宋_GB2312" w:hAnsi="仿宋_GB2312" w:cs="仿宋_GB2312" w:hint="eastAsia"/>
          <w:kern w:val="0"/>
          <w:sz w:val="32"/>
          <w:szCs w:val="32"/>
        </w:rPr>
        <w:t>以自然年度为周期，对项目进行总结考核</w:t>
      </w:r>
      <w:r w:rsidR="00CA1CD0">
        <w:rPr>
          <w:rFonts w:ascii="仿宋_GB2312" w:eastAsia="仿宋_GB2312" w:hAnsi="仿宋_GB2312" w:cs="仿宋_GB2312" w:hint="eastAsia"/>
          <w:kern w:val="0"/>
          <w:sz w:val="32"/>
          <w:szCs w:val="32"/>
        </w:rPr>
        <w:t>。</w:t>
      </w:r>
      <w:bookmarkStart w:id="0" w:name="_GoBack"/>
      <w:bookmarkEnd w:id="0"/>
    </w:p>
    <w:p w:rsidR="00433B48" w:rsidRDefault="003C00AC">
      <w:pPr>
        <w:spacing w:line="560" w:lineRule="exact"/>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第9章：项目评价与监督</w:t>
      </w:r>
    </w:p>
    <w:p w:rsidR="00433B48" w:rsidRDefault="003C00AC">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为确保项目实施效果，本部分给出了项目评价和监督的建议。</w:t>
      </w:r>
    </w:p>
    <w:p w:rsidR="00433B48" w:rsidRDefault="003C00AC">
      <w:pPr>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评价内容主要对项目实施效果的休耕节水、下茬作物增产、化肥农药减量、耕地质量变化、经济效益等指标进行综合评价，以及对项目实施过程中各方责任履行情况进行评价；评价方式提出</w:t>
      </w:r>
    </w:p>
    <w:p w:rsidR="00433B48" w:rsidRDefault="003C00AC">
      <w:pPr>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在“季节性休耕条件农田冬油菜种植+旅游”项目实施期间，建</w:t>
      </w:r>
      <w:r>
        <w:rPr>
          <w:rFonts w:ascii="仿宋_GB2312" w:eastAsia="仿宋_GB2312" w:hAnsi="仿宋_GB2312" w:cs="仿宋_GB2312" w:hint="eastAsia"/>
          <w:kern w:val="0"/>
          <w:sz w:val="32"/>
          <w:szCs w:val="32"/>
        </w:rPr>
        <w:lastRenderedPageBreak/>
        <w:t>议对项目实施效果进行年度评价。村委会主体先进行自评，然后由</w:t>
      </w:r>
      <w:r w:rsidR="00825041">
        <w:rPr>
          <w:rFonts w:ascii="仿宋_GB2312" w:eastAsia="仿宋_GB2312" w:hAnsi="仿宋_GB2312" w:cs="仿宋_GB2312" w:hint="eastAsia"/>
          <w:kern w:val="0"/>
          <w:sz w:val="32"/>
          <w:szCs w:val="32"/>
        </w:rPr>
        <w:t>县乡</w:t>
      </w:r>
      <w:r>
        <w:rPr>
          <w:rFonts w:ascii="仿宋_GB2312" w:eastAsia="仿宋_GB2312" w:hAnsi="仿宋_GB2312" w:cs="仿宋_GB2312" w:hint="eastAsia"/>
          <w:kern w:val="0"/>
          <w:sz w:val="32"/>
          <w:szCs w:val="32"/>
        </w:rPr>
        <w:t>组织评价或委托第三方机构评价。评价可采用听取汇报、查阅资料、现场检查、调查走访等方式进行；建议</w:t>
      </w:r>
      <w:r w:rsidR="00825041">
        <w:rPr>
          <w:rFonts w:ascii="仿宋_GB2312" w:eastAsia="仿宋_GB2312" w:hAnsi="仿宋_GB2312" w:cs="仿宋_GB2312" w:hint="eastAsia"/>
          <w:kern w:val="0"/>
          <w:sz w:val="32"/>
          <w:szCs w:val="32"/>
        </w:rPr>
        <w:t>县乡基层组织对村组织</w:t>
      </w:r>
      <w:r>
        <w:rPr>
          <w:rFonts w:ascii="仿宋_GB2312" w:eastAsia="仿宋_GB2312" w:hAnsi="仿宋_GB2312" w:cs="仿宋_GB2312" w:hint="eastAsia"/>
          <w:kern w:val="0"/>
          <w:sz w:val="32"/>
          <w:szCs w:val="32"/>
        </w:rPr>
        <w:t>在技术服务、物资采购、产品购销、安全生产、资金使用和分配等环节进行监督，及时发现问题并予以纠正。</w:t>
      </w:r>
    </w:p>
    <w:p w:rsidR="00433B48" w:rsidRDefault="003C00AC">
      <w:pPr>
        <w:spacing w:line="560" w:lineRule="exact"/>
        <w:ind w:firstLineChars="200" w:firstLine="640"/>
        <w:jc w:val="left"/>
        <w:rPr>
          <w:rFonts w:ascii="黑体" w:eastAsia="黑体" w:hAnsi="黑体" w:cs="黑体"/>
          <w:kern w:val="0"/>
          <w:sz w:val="32"/>
          <w:szCs w:val="32"/>
        </w:rPr>
      </w:pPr>
      <w:r>
        <w:rPr>
          <w:rFonts w:ascii="黑体" w:eastAsia="黑体" w:hAnsi="黑体" w:cs="黑体" w:hint="eastAsia"/>
          <w:sz w:val="32"/>
          <w:szCs w:val="32"/>
        </w:rPr>
        <w:t>六、</w:t>
      </w:r>
      <w:r>
        <w:rPr>
          <w:rFonts w:ascii="黑体" w:eastAsia="黑体" w:hAnsi="黑体" w:cs="黑体" w:hint="eastAsia"/>
          <w:kern w:val="0"/>
          <w:sz w:val="32"/>
          <w:szCs w:val="32"/>
        </w:rPr>
        <w:t>重大分析意见的处理依据和结果</w:t>
      </w:r>
    </w:p>
    <w:p w:rsidR="00433B48" w:rsidRDefault="003C00AC">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本文件起草过程中未出现重大分歧意见。</w:t>
      </w:r>
    </w:p>
    <w:p w:rsidR="00433B48" w:rsidRDefault="003C00AC" w:rsidP="0083749E">
      <w:pPr>
        <w:spacing w:line="589" w:lineRule="exact"/>
        <w:ind w:firstLineChars="196" w:firstLine="612"/>
        <w:rPr>
          <w:rFonts w:ascii="黑体" w:eastAsia="黑体" w:hAnsi="黑体" w:cs="黑体"/>
          <w:bCs/>
          <w:spacing w:val="-4"/>
          <w:sz w:val="32"/>
          <w:szCs w:val="32"/>
        </w:rPr>
      </w:pPr>
      <w:r>
        <w:rPr>
          <w:rFonts w:ascii="黑体" w:eastAsia="黑体" w:hAnsi="黑体" w:cs="黑体" w:hint="eastAsia"/>
          <w:bCs/>
          <w:spacing w:val="-4"/>
          <w:sz w:val="32"/>
          <w:szCs w:val="32"/>
        </w:rPr>
        <w:t>七、采标情况</w:t>
      </w:r>
    </w:p>
    <w:p w:rsidR="00433B48" w:rsidRDefault="003C00AC">
      <w:pPr>
        <w:adjustRightInd w:val="0"/>
        <w:snapToGrid w:val="0"/>
        <w:spacing w:line="60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lang w:bidi="zh-CN"/>
        </w:rPr>
        <w:t>无。</w:t>
      </w:r>
    </w:p>
    <w:p w:rsidR="00433B48" w:rsidRDefault="003C00AC">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八、贯彻实施标准的要求、措施等</w:t>
      </w:r>
    </w:p>
    <w:p w:rsidR="00433B48" w:rsidRDefault="003C00AC">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本文件发布实施后，应建议协会会同文旅、农业农村、市场等部门采取多种进行宣传贯彻，做好标准培训，最大限度地发挥标准的引领作用。</w:t>
      </w:r>
    </w:p>
    <w:p w:rsidR="00433B48" w:rsidRDefault="003C00AC">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九、涉及专利的有关情况</w:t>
      </w:r>
    </w:p>
    <w:p w:rsidR="00433B48" w:rsidRDefault="003C00AC">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本文件不涉及专利。</w:t>
      </w:r>
    </w:p>
    <w:p w:rsidR="00433B48" w:rsidRDefault="003C00AC">
      <w:pPr>
        <w:spacing w:line="560" w:lineRule="exact"/>
        <w:ind w:firstLineChars="200" w:firstLine="640"/>
        <w:jc w:val="left"/>
        <w:rPr>
          <w:rFonts w:ascii="仿宋" w:eastAsia="仿宋" w:hAnsi="仿宋" w:cs="Arial"/>
          <w:kern w:val="0"/>
          <w:sz w:val="32"/>
          <w:szCs w:val="32"/>
        </w:rPr>
      </w:pPr>
      <w:r>
        <w:rPr>
          <w:rFonts w:ascii="黑体" w:eastAsia="黑体" w:hAnsi="黑体" w:cs="黑体" w:hint="eastAsia"/>
          <w:sz w:val="32"/>
          <w:szCs w:val="32"/>
        </w:rPr>
        <w:t>十、预期的经济、社会、生态效益</w:t>
      </w:r>
    </w:p>
    <w:p w:rsidR="00433B48" w:rsidRDefault="003C00AC" w:rsidP="00825041">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季节性休耕农田冬油菜种植加工+旅游项目建设运营指南”项目技术先进且符合国家产业政策，为旅游产业发展，带动农民增收致富，全面实施乡村振兴战略奠定了坚实基础。项目针对性、实用性较强，具有良好的经济效益、社会效益和生态效益。</w:t>
      </w:r>
    </w:p>
    <w:p w:rsidR="00825041" w:rsidRPr="00825041" w:rsidRDefault="00825041" w:rsidP="00825041">
      <w:pPr>
        <w:pStyle w:val="a1"/>
      </w:pPr>
    </w:p>
    <w:p w:rsidR="00433B48" w:rsidRDefault="003C00AC">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《季节性休耕农田冬油菜种植加工+旅游项目建设运营指南》</w:t>
      </w:r>
    </w:p>
    <w:p w:rsidR="00433B48" w:rsidRDefault="003C00AC">
      <w:pPr>
        <w:spacing w:line="560" w:lineRule="exact"/>
        <w:ind w:firstLineChars="1600" w:firstLine="51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团体标准起草</w:t>
      </w:r>
      <w:r w:rsidR="00825041">
        <w:rPr>
          <w:rFonts w:ascii="仿宋_GB2312" w:eastAsia="仿宋_GB2312" w:hAnsi="仿宋_GB2312" w:cs="仿宋_GB2312" w:hint="eastAsia"/>
          <w:kern w:val="0"/>
          <w:sz w:val="32"/>
          <w:szCs w:val="32"/>
        </w:rPr>
        <w:t>工作</w:t>
      </w:r>
      <w:r>
        <w:rPr>
          <w:rFonts w:ascii="仿宋_GB2312" w:eastAsia="仿宋_GB2312" w:hAnsi="仿宋_GB2312" w:cs="仿宋_GB2312" w:hint="eastAsia"/>
          <w:kern w:val="0"/>
          <w:sz w:val="32"/>
          <w:szCs w:val="32"/>
        </w:rPr>
        <w:t>组</w:t>
      </w:r>
    </w:p>
    <w:p w:rsidR="00433B48" w:rsidRPr="00825041" w:rsidRDefault="003C00AC" w:rsidP="00825041">
      <w:pPr>
        <w:spacing w:line="560" w:lineRule="exact"/>
        <w:ind w:firstLineChars="1850" w:firstLine="59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2024 年9月</w:t>
      </w:r>
    </w:p>
    <w:sectPr w:rsidR="00433B48" w:rsidRPr="00825041">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AB8" w:rsidRDefault="005B1AB8">
      <w:r>
        <w:separator/>
      </w:r>
    </w:p>
  </w:endnote>
  <w:endnote w:type="continuationSeparator" w:id="0">
    <w:p w:rsidR="005B1AB8" w:rsidRDefault="005B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仿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825561"/>
    </w:sdtPr>
    <w:sdtEndPr/>
    <w:sdtContent>
      <w:p w:rsidR="00433B48" w:rsidRDefault="003C00AC">
        <w:pPr>
          <w:pStyle w:val="a6"/>
          <w:jc w:val="center"/>
        </w:pPr>
        <w:r>
          <w:rPr>
            <w:rFonts w:ascii="宋体" w:eastAsia="宋体" w:hAnsi="宋体" w:cs="宋体" w:hint="eastAsia"/>
            <w:sz w:val="32"/>
            <w:szCs w:val="32"/>
          </w:rPr>
          <w:fldChar w:fldCharType="begin"/>
        </w:r>
        <w:r>
          <w:rPr>
            <w:rFonts w:ascii="宋体" w:eastAsia="宋体" w:hAnsi="宋体" w:cs="宋体" w:hint="eastAsia"/>
            <w:sz w:val="32"/>
            <w:szCs w:val="32"/>
          </w:rPr>
          <w:instrText>PAGE   \* MERGEFORMAT</w:instrText>
        </w:r>
        <w:r>
          <w:rPr>
            <w:rFonts w:ascii="宋体" w:eastAsia="宋体" w:hAnsi="宋体" w:cs="宋体" w:hint="eastAsia"/>
            <w:sz w:val="32"/>
            <w:szCs w:val="32"/>
          </w:rPr>
          <w:fldChar w:fldCharType="separate"/>
        </w:r>
        <w:r w:rsidR="00CA1CD0" w:rsidRPr="00CA1CD0">
          <w:rPr>
            <w:rFonts w:ascii="宋体" w:eastAsia="宋体" w:hAnsi="宋体" w:cs="宋体"/>
            <w:noProof/>
            <w:sz w:val="32"/>
            <w:szCs w:val="32"/>
            <w:lang w:val="zh-CN"/>
          </w:rPr>
          <w:t>-</w:t>
        </w:r>
        <w:r w:rsidR="00CA1CD0">
          <w:rPr>
            <w:rFonts w:ascii="宋体" w:eastAsia="宋体" w:hAnsi="宋体" w:cs="宋体"/>
            <w:noProof/>
            <w:sz w:val="32"/>
            <w:szCs w:val="32"/>
          </w:rPr>
          <w:t xml:space="preserve"> 7 -</w:t>
        </w:r>
        <w:r>
          <w:rPr>
            <w:rFonts w:ascii="宋体" w:eastAsia="宋体" w:hAnsi="宋体" w:cs="宋体" w:hint="eastAsia"/>
            <w:sz w:val="32"/>
            <w:szCs w:val="32"/>
          </w:rPr>
          <w:fldChar w:fldCharType="end"/>
        </w:r>
      </w:p>
    </w:sdtContent>
  </w:sdt>
  <w:p w:rsidR="00433B48" w:rsidRDefault="00433B4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AB8" w:rsidRDefault="005B1AB8">
      <w:r>
        <w:separator/>
      </w:r>
    </w:p>
  </w:footnote>
  <w:footnote w:type="continuationSeparator" w:id="0">
    <w:p w:rsidR="005B1AB8" w:rsidRDefault="005B1A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46DB7"/>
    <w:multiLevelType w:val="singleLevel"/>
    <w:tmpl w:val="37D46DB7"/>
    <w:lvl w:ilvl="0">
      <w:start w:val="3"/>
      <w:numFmt w:val="chineseCounting"/>
      <w:suff w:val="nothing"/>
      <w:lvlText w:val="（%1）"/>
      <w:lvlJc w:val="left"/>
      <w:rPr>
        <w:rFonts w:hint="eastAsia"/>
      </w:rPr>
    </w:lvl>
  </w:abstractNum>
  <w:abstractNum w:abstractNumId="1">
    <w:nsid w:val="3FDB4825"/>
    <w:multiLevelType w:val="singleLevel"/>
    <w:tmpl w:val="3FDB4825"/>
    <w:lvl w:ilvl="0">
      <w:start w:val="2"/>
      <w:numFmt w:val="chineseCounting"/>
      <w:suff w:val="nothing"/>
      <w:lvlText w:val="（%1）"/>
      <w:lvlJc w:val="left"/>
      <w:rPr>
        <w:rFonts w:hint="eastAsia"/>
      </w:rPr>
    </w:lvl>
  </w:abstractNum>
  <w:abstractNum w:abstractNumId="2">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
      <w:suff w:val="nothing"/>
      <w:lvlText w:val="%1%2.%3.%4　"/>
      <w:lvlJc w:val="left"/>
      <w:pPr>
        <w:ind w:left="142" w:firstLine="0"/>
      </w:pPr>
      <w:rPr>
        <w:rFonts w:ascii="黑体" w:eastAsia="黑体" w:hint="eastAsia"/>
        <w:b w:val="0"/>
        <w:i w:val="0"/>
        <w:sz w:val="21"/>
      </w:rPr>
    </w:lvl>
    <w:lvl w:ilvl="4">
      <w:start w:val="1"/>
      <w:numFmt w:val="decimal"/>
      <w:suff w:val="nothing"/>
      <w:lvlText w:val="%1%2.%3.%4.%5　"/>
      <w:lvlJc w:val="left"/>
      <w:pPr>
        <w:ind w:left="1135"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8D6"/>
    <w:rsid w:val="00002E02"/>
    <w:rsid w:val="003C00AC"/>
    <w:rsid w:val="00433B48"/>
    <w:rsid w:val="005B1AB8"/>
    <w:rsid w:val="007246FD"/>
    <w:rsid w:val="00825041"/>
    <w:rsid w:val="0083749E"/>
    <w:rsid w:val="00B426E2"/>
    <w:rsid w:val="00CA1CD0"/>
    <w:rsid w:val="00F618D6"/>
    <w:rsid w:val="11256D9A"/>
    <w:rsid w:val="4374236D"/>
    <w:rsid w:val="4D2651F2"/>
    <w:rsid w:val="515216DE"/>
    <w:rsid w:val="546A3345"/>
    <w:rsid w:val="574B3B50"/>
    <w:rsid w:val="6A866109"/>
    <w:rsid w:val="76AD776C"/>
    <w:rsid w:val="796D5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pPr>
      <w:widowControl w:val="0"/>
      <w:jc w:val="both"/>
    </w:pPr>
    <w:rPr>
      <w:kern w:val="2"/>
      <w:sz w:val="21"/>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Plain Text"/>
    <w:basedOn w:val="a0"/>
    <w:semiHidden/>
    <w:unhideWhenUsed/>
    <w:qFormat/>
    <w:rPr>
      <w:rFonts w:ascii="宋体" w:hAnsi="Courier New" w:cs="Courier New"/>
      <w:szCs w:val="21"/>
    </w:rPr>
  </w:style>
  <w:style w:type="paragraph" w:styleId="a5">
    <w:name w:val="Balloon Text"/>
    <w:basedOn w:val="a0"/>
    <w:link w:val="Char"/>
    <w:uiPriority w:val="99"/>
    <w:semiHidden/>
    <w:unhideWhenUsed/>
    <w:rPr>
      <w:sz w:val="18"/>
      <w:szCs w:val="18"/>
    </w:rPr>
  </w:style>
  <w:style w:type="paragraph" w:styleId="a6">
    <w:name w:val="footer"/>
    <w:basedOn w:val="a0"/>
    <w:link w:val="Char0"/>
    <w:uiPriority w:val="99"/>
    <w:unhideWhenUsed/>
    <w:pPr>
      <w:tabs>
        <w:tab w:val="center" w:pos="4153"/>
        <w:tab w:val="right" w:pos="8306"/>
      </w:tabs>
      <w:snapToGrid w:val="0"/>
      <w:jc w:val="left"/>
    </w:pPr>
    <w:rPr>
      <w:sz w:val="18"/>
      <w:szCs w:val="18"/>
    </w:rPr>
  </w:style>
  <w:style w:type="paragraph" w:styleId="a7">
    <w:name w:val="header"/>
    <w:basedOn w:val="a0"/>
    <w:link w:val="Char1"/>
    <w:uiPriority w:val="99"/>
    <w:unhideWhenUsed/>
    <w:pPr>
      <w:pBdr>
        <w:bottom w:val="single" w:sz="6" w:space="1" w:color="auto"/>
      </w:pBdr>
      <w:tabs>
        <w:tab w:val="center" w:pos="4153"/>
        <w:tab w:val="right" w:pos="8306"/>
      </w:tabs>
      <w:snapToGrid w:val="0"/>
      <w:jc w:val="center"/>
    </w:pPr>
    <w:rPr>
      <w:sz w:val="18"/>
      <w:szCs w:val="18"/>
    </w:rPr>
  </w:style>
  <w:style w:type="table" w:styleId="a8">
    <w:name w:val="Table Grid"/>
    <w:basedOn w:val="a3"/>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2"/>
    <w:link w:val="a7"/>
    <w:uiPriority w:val="99"/>
    <w:rPr>
      <w:sz w:val="18"/>
      <w:szCs w:val="18"/>
    </w:rPr>
  </w:style>
  <w:style w:type="character" w:customStyle="1" w:styleId="Char0">
    <w:name w:val="页脚 Char"/>
    <w:basedOn w:val="a2"/>
    <w:link w:val="a6"/>
    <w:uiPriority w:val="99"/>
    <w:rPr>
      <w:sz w:val="18"/>
      <w:szCs w:val="18"/>
    </w:rPr>
  </w:style>
  <w:style w:type="character" w:customStyle="1" w:styleId="Char">
    <w:name w:val="批注框文本 Char"/>
    <w:basedOn w:val="a2"/>
    <w:link w:val="a5"/>
    <w:uiPriority w:val="99"/>
    <w:semiHidden/>
    <w:rPr>
      <w:sz w:val="18"/>
      <w:szCs w:val="18"/>
    </w:rPr>
  </w:style>
  <w:style w:type="paragraph" w:customStyle="1" w:styleId="a9">
    <w:name w:val="标准文件_二级无标题"/>
    <w:basedOn w:val="a"/>
    <w:qFormat/>
    <w:pPr>
      <w:spacing w:beforeLines="0" w:before="0" w:afterLines="0" w:after="0"/>
      <w:outlineLvl w:val="9"/>
    </w:pPr>
    <w:rPr>
      <w:rFonts w:ascii="宋体" w:eastAsia="宋体"/>
    </w:rPr>
  </w:style>
  <w:style w:type="paragraph" w:customStyle="1" w:styleId="a">
    <w:name w:val="标准文件_二级条标题"/>
    <w:next w:val="aa"/>
    <w:qFormat/>
    <w:pPr>
      <w:widowControl w:val="0"/>
      <w:numPr>
        <w:ilvl w:val="3"/>
        <w:numId w:val="1"/>
      </w:numPr>
      <w:spacing w:beforeLines="50" w:before="50" w:afterLines="50" w:after="50"/>
      <w:ind w:left="0"/>
      <w:jc w:val="both"/>
      <w:outlineLvl w:val="2"/>
    </w:pPr>
    <w:rPr>
      <w:rFonts w:ascii="黑体" w:eastAsia="黑体" w:hAnsi="Times New Roman" w:cs="Times New Roman"/>
      <w:sz w:val="21"/>
    </w:rPr>
  </w:style>
  <w:style w:type="paragraph" w:customStyle="1" w:styleId="aa">
    <w:name w:val="标准文件_段"/>
    <w:qFormat/>
    <w:pPr>
      <w:autoSpaceDE w:val="0"/>
      <w:autoSpaceDN w:val="0"/>
      <w:ind w:firstLineChars="200" w:firstLine="200"/>
      <w:jc w:val="both"/>
    </w:pPr>
    <w:rPr>
      <w:rFonts w:ascii="宋体" w:eastAsia="宋体" w:hAnsi="Times New Roman"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pPr>
      <w:widowControl w:val="0"/>
      <w:jc w:val="both"/>
    </w:pPr>
    <w:rPr>
      <w:kern w:val="2"/>
      <w:sz w:val="21"/>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Plain Text"/>
    <w:basedOn w:val="a0"/>
    <w:semiHidden/>
    <w:unhideWhenUsed/>
    <w:qFormat/>
    <w:rPr>
      <w:rFonts w:ascii="宋体" w:hAnsi="Courier New" w:cs="Courier New"/>
      <w:szCs w:val="21"/>
    </w:rPr>
  </w:style>
  <w:style w:type="paragraph" w:styleId="a5">
    <w:name w:val="Balloon Text"/>
    <w:basedOn w:val="a0"/>
    <w:link w:val="Char"/>
    <w:uiPriority w:val="99"/>
    <w:semiHidden/>
    <w:unhideWhenUsed/>
    <w:rPr>
      <w:sz w:val="18"/>
      <w:szCs w:val="18"/>
    </w:rPr>
  </w:style>
  <w:style w:type="paragraph" w:styleId="a6">
    <w:name w:val="footer"/>
    <w:basedOn w:val="a0"/>
    <w:link w:val="Char0"/>
    <w:uiPriority w:val="99"/>
    <w:unhideWhenUsed/>
    <w:pPr>
      <w:tabs>
        <w:tab w:val="center" w:pos="4153"/>
        <w:tab w:val="right" w:pos="8306"/>
      </w:tabs>
      <w:snapToGrid w:val="0"/>
      <w:jc w:val="left"/>
    </w:pPr>
    <w:rPr>
      <w:sz w:val="18"/>
      <w:szCs w:val="18"/>
    </w:rPr>
  </w:style>
  <w:style w:type="paragraph" w:styleId="a7">
    <w:name w:val="header"/>
    <w:basedOn w:val="a0"/>
    <w:link w:val="Char1"/>
    <w:uiPriority w:val="99"/>
    <w:unhideWhenUsed/>
    <w:pPr>
      <w:pBdr>
        <w:bottom w:val="single" w:sz="6" w:space="1" w:color="auto"/>
      </w:pBdr>
      <w:tabs>
        <w:tab w:val="center" w:pos="4153"/>
        <w:tab w:val="right" w:pos="8306"/>
      </w:tabs>
      <w:snapToGrid w:val="0"/>
      <w:jc w:val="center"/>
    </w:pPr>
    <w:rPr>
      <w:sz w:val="18"/>
      <w:szCs w:val="18"/>
    </w:rPr>
  </w:style>
  <w:style w:type="table" w:styleId="a8">
    <w:name w:val="Table Grid"/>
    <w:basedOn w:val="a3"/>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2"/>
    <w:link w:val="a7"/>
    <w:uiPriority w:val="99"/>
    <w:rPr>
      <w:sz w:val="18"/>
      <w:szCs w:val="18"/>
    </w:rPr>
  </w:style>
  <w:style w:type="character" w:customStyle="1" w:styleId="Char0">
    <w:name w:val="页脚 Char"/>
    <w:basedOn w:val="a2"/>
    <w:link w:val="a6"/>
    <w:uiPriority w:val="99"/>
    <w:rPr>
      <w:sz w:val="18"/>
      <w:szCs w:val="18"/>
    </w:rPr>
  </w:style>
  <w:style w:type="character" w:customStyle="1" w:styleId="Char">
    <w:name w:val="批注框文本 Char"/>
    <w:basedOn w:val="a2"/>
    <w:link w:val="a5"/>
    <w:uiPriority w:val="99"/>
    <w:semiHidden/>
    <w:rPr>
      <w:sz w:val="18"/>
      <w:szCs w:val="18"/>
    </w:rPr>
  </w:style>
  <w:style w:type="paragraph" w:customStyle="1" w:styleId="a9">
    <w:name w:val="标准文件_二级无标题"/>
    <w:basedOn w:val="a"/>
    <w:qFormat/>
    <w:pPr>
      <w:spacing w:beforeLines="0" w:before="0" w:afterLines="0" w:after="0"/>
      <w:outlineLvl w:val="9"/>
    </w:pPr>
    <w:rPr>
      <w:rFonts w:ascii="宋体" w:eastAsia="宋体"/>
    </w:rPr>
  </w:style>
  <w:style w:type="paragraph" w:customStyle="1" w:styleId="a">
    <w:name w:val="标准文件_二级条标题"/>
    <w:next w:val="aa"/>
    <w:qFormat/>
    <w:pPr>
      <w:widowControl w:val="0"/>
      <w:numPr>
        <w:ilvl w:val="3"/>
        <w:numId w:val="1"/>
      </w:numPr>
      <w:spacing w:beforeLines="50" w:before="50" w:afterLines="50" w:after="50"/>
      <w:ind w:left="0"/>
      <w:jc w:val="both"/>
      <w:outlineLvl w:val="2"/>
    </w:pPr>
    <w:rPr>
      <w:rFonts w:ascii="黑体" w:eastAsia="黑体" w:hAnsi="Times New Roman" w:cs="Times New Roman"/>
      <w:sz w:val="21"/>
    </w:rPr>
  </w:style>
  <w:style w:type="paragraph" w:customStyle="1" w:styleId="aa">
    <w:name w:val="标准文件_段"/>
    <w:qFormat/>
    <w:pPr>
      <w:autoSpaceDE w:val="0"/>
      <w:autoSpaceDN w:val="0"/>
      <w:ind w:firstLineChars="200" w:firstLine="200"/>
      <w:jc w:val="both"/>
    </w:pPr>
    <w:rPr>
      <w:rFonts w:ascii="宋体" w:eastAsia="宋体"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573</Words>
  <Characters>3272</Characters>
  <Application>Microsoft Office Word</Application>
  <DocSecurity>0</DocSecurity>
  <Lines>27</Lines>
  <Paragraphs>7</Paragraphs>
  <ScaleCrop>false</ScaleCrop>
  <Company>微软中国</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2024-09-22T09:06:00Z</dcterms:created>
  <dcterms:modified xsi:type="dcterms:W3CDTF">2024-10-06T03:23:00Z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18C667132BCA4FC6B041551AFC796912</vt:lpwstr>
  </property>
</Properties>
</file>