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E72AD">
      <w:pPr>
        <w:pStyle w:val="29"/>
        <w:bidi w:val="0"/>
        <w:rPr>
          <w:rFonts w:hint="eastAsia"/>
          <w:lang w:val="en-US" w:eastAsia="zh-CN"/>
        </w:rPr>
      </w:pPr>
      <w:bookmarkStart w:id="0" w:name="TMark1"/>
      <w:r>
        <w:rPr>
          <w:rFonts w:hint="eastAsia" w:ascii="黑体" w:hAnsi="Times New Roman" w:eastAsia="黑体" w:cs="Times New Roman"/>
          <w:sz w:val="48"/>
          <w:lang w:val="en-US" w:eastAsia="zh-CN"/>
        </w:rPr>
        <w:fldChar w:fldCharType="begin">
          <w:ffData>
            <w:name w:val="TMark1"/>
            <w:enabled/>
            <w:calcOnExit w:val="0"/>
            <w:textInput>
              <w:default w:val="吉安市绿色农产品促进会"/>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吉安市绿色农产品促进会</w:t>
      </w:r>
      <w:r>
        <w:rPr>
          <w:rFonts w:hint="eastAsia" w:ascii="黑体" w:hAnsi="Times New Roman" w:eastAsia="黑体" w:cs="Times New Roman"/>
          <w:sz w:val="48"/>
          <w:lang w:val="en-US" w:eastAsia="zh-CN"/>
        </w:rPr>
        <w:fldChar w:fldCharType="end"/>
      </w:r>
      <w:bookmarkEnd w:id="0"/>
      <w:r>
        <w:rPr>
          <w:rFonts w:hint="eastAsia"/>
          <w:lang w:val="en-US" w:eastAsia="zh-CN"/>
        </w:rPr>
        <w:t>团体标准</w:t>
      </w:r>
    </w:p>
    <w:p w14:paraId="72EDC052">
      <w:pPr>
        <w:pStyle w:val="40"/>
        <w:bidi w:val="0"/>
        <w:rPr>
          <w:rFonts w:hint="eastAsia"/>
          <w:lang w:val="en-US" w:eastAsia="zh-CN"/>
        </w:rPr>
      </w:pPr>
      <w:r>
        <w:rPr>
          <w:rFonts w:hint="eastAsia"/>
          <w:lang w:val="en-US" w:eastAsia="zh-CN"/>
        </w:rPr>
        <w:fldChar w:fldCharType="begin">
          <w:ffData>
            <w:name w:val="StandNo"/>
            <w:enabled/>
            <w:calcOnExit w:val="0"/>
            <w:textInput>
              <w:default w:val="T/JALNCP XXX—XXXX"/>
            </w:textInput>
          </w:ffData>
        </w:fldChar>
      </w:r>
      <w:bookmarkStart w:id="1"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T/JALNCP XXX—XXXX</w:t>
      </w:r>
      <w:r>
        <w:rPr>
          <w:rFonts w:hint="eastAsia"/>
          <w:lang w:val="en-US" w:eastAsia="zh-CN"/>
        </w:rPr>
        <w:fldChar w:fldCharType="end"/>
      </w:r>
      <w:bookmarkEnd w:id="1"/>
    </w:p>
    <w:p w14:paraId="0B79EE8F">
      <w:pPr>
        <w:pStyle w:val="39"/>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38D8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214861AD">
            <w:pPr>
              <w:pStyle w:val="34"/>
              <w:widowControl w:val="0"/>
              <w:bidi w:val="0"/>
              <w:jc w:val="both"/>
              <w:rPr>
                <w:rFonts w:hint="eastAsia"/>
                <w:sz w:val="10"/>
                <w:vertAlign w:val="baseline"/>
                <w:lang w:val="en-US" w:eastAsia="zh-CN"/>
              </w:rPr>
            </w:pPr>
          </w:p>
        </w:tc>
      </w:tr>
    </w:tbl>
    <w:p w14:paraId="41033F21">
      <w:pPr>
        <w:pStyle w:val="41"/>
        <w:bidi w:val="0"/>
        <w:rPr>
          <w:rFonts w:hint="default"/>
          <w:lang w:val="en-US" w:eastAsia="zh-CN"/>
        </w:rPr>
      </w:pPr>
      <w:bookmarkStart w:id="3" w:name="StdName"/>
      <w:r>
        <w:rPr>
          <w:rFonts w:hint="default" w:ascii="黑体" w:hAnsi="Times New Roman" w:eastAsia="黑体" w:cs="Times New Roman"/>
          <w:sz w:val="52"/>
          <w:lang w:val="en-US" w:eastAsia="zh-CN"/>
        </w:rPr>
        <w:fldChar w:fldCharType="begin">
          <w:ffData>
            <w:name w:val="StdName"/>
            <w:enabled/>
            <w:calcOnExit w:val="0"/>
            <w:textInput>
              <w:default w:val="井冈山蜜柚酵素"/>
            </w:textInput>
          </w:ffData>
        </w:fldChar>
      </w:r>
      <w:r>
        <w:rPr>
          <w:rFonts w:hint="default" w:ascii="黑体" w:hAnsi="Times New Roman" w:eastAsia="黑体" w:cs="Times New Roman"/>
          <w:sz w:val="52"/>
          <w:lang w:val="en-US" w:eastAsia="zh-CN"/>
        </w:rPr>
        <w:instrText xml:space="preserve">FORMTEXT</w:instrText>
      </w:r>
      <w:r>
        <w:rPr>
          <w:rFonts w:hint="default" w:ascii="黑体" w:hAnsi="Times New Roman" w:eastAsia="黑体" w:cs="Times New Roman"/>
          <w:sz w:val="52"/>
          <w:lang w:val="en-US" w:eastAsia="zh-CN"/>
        </w:rPr>
        <w:fldChar w:fldCharType="separate"/>
      </w:r>
      <w:r>
        <w:rPr>
          <w:rFonts w:hint="default" w:ascii="黑体" w:hAnsi="Times New Roman" w:eastAsia="黑体" w:cs="Times New Roman"/>
          <w:sz w:val="52"/>
          <w:lang w:val="en-US" w:eastAsia="zh-CN"/>
        </w:rPr>
        <w:t>井冈蜜柚酵素</w:t>
      </w:r>
      <w:r>
        <w:rPr>
          <w:rFonts w:hint="default" w:ascii="黑体" w:hAnsi="Times New Roman" w:eastAsia="黑体" w:cs="Times New Roman"/>
          <w:sz w:val="52"/>
          <w:lang w:val="en-US" w:eastAsia="zh-CN"/>
        </w:rPr>
        <w:fldChar w:fldCharType="end"/>
      </w:r>
      <w:bookmarkEnd w:id="3"/>
    </w:p>
    <w:p w14:paraId="330BBC28">
      <w:pPr>
        <w:pStyle w:val="42"/>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Jinggangshan honey pomelo jiaosu"/>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Jinggang honey pomelo jiaosu</w:t>
      </w:r>
      <w:r>
        <w:rPr>
          <w:rFonts w:hint="eastAsia" w:ascii="Times New Roman" w:hAnsi="Times New Roman" w:eastAsia="黑体" w:cs="Times New Roman"/>
          <w:sz w:val="28"/>
          <w:lang w:val="en-US" w:eastAsia="zh-CN"/>
        </w:rPr>
        <w:fldChar w:fldCharType="end"/>
      </w:r>
      <w:bookmarkEnd w:id="4"/>
    </w:p>
    <w:p w14:paraId="6583DEBC">
      <w:pPr>
        <w:pStyle w:val="43"/>
        <w:bidi w:val="0"/>
        <w:rPr>
          <w:rFonts w:hint="eastAsia"/>
          <w:lang w:val="en-US" w:eastAsia="zh-CN"/>
        </w:rPr>
      </w:pPr>
      <w:r>
        <w:rPr>
          <w:rFonts w:hint="eastAsia" w:cs="Times New Roman"/>
          <w:sz w:val="28"/>
          <w:lang w:val="en-US" w:eastAsia="zh-CN"/>
        </w:rPr>
        <w:t xml:space="preserve"> </w:t>
      </w:r>
    </w:p>
    <w:p w14:paraId="401DF018">
      <w:pPr>
        <w:pStyle w:val="44"/>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55FF181A">
      <w:pPr>
        <w:pStyle w:val="45"/>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61562FCB">
      <w:pPr>
        <w:pStyle w:val="46"/>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1B78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6E6E09DF">
            <w:pPr>
              <w:pStyle w:val="38"/>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945" w:type="dxa"/>
            <w:tcBorders>
              <w:bottom w:val="single" w:color="auto" w:sz="8" w:space="0"/>
            </w:tcBorders>
            <w:tcMar>
              <w:right w:w="57" w:type="dxa"/>
            </w:tcMar>
          </w:tcPr>
          <w:p w14:paraId="1ED17100">
            <w:pPr>
              <w:pStyle w:val="38"/>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0657F292">
      <w:pPr>
        <w:pStyle w:val="48"/>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1364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3" w:type="dxa"/>
          </w:tcPr>
          <w:p w14:paraId="6223CCCA">
            <w:pPr>
              <w:pStyle w:val="52"/>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5A6C9EBC">
            <w:pPr>
              <w:pStyle w:val="52"/>
              <w:framePr w:w="9639" w:wrap="around"/>
              <w:bidi w:val="0"/>
              <w:jc w:val="both"/>
              <w:rPr>
                <w:rFonts w:hint="eastAsia"/>
                <w:vertAlign w:val="baseline"/>
                <w:lang w:val="en-US" w:eastAsia="zh-CN"/>
              </w:rPr>
            </w:pPr>
            <w:bookmarkStart w:id="15" w:name="ICS"/>
            <w:r>
              <w:rPr>
                <w:rFonts w:hint="eastAsia"/>
                <w:vertAlign w:val="baseline"/>
                <w:lang w:val="en-US" w:eastAsia="zh-CN"/>
              </w:rPr>
              <w:fldChar w:fldCharType="begin">
                <w:ffData>
                  <w:name w:val="ICS"/>
                  <w:enabled/>
                  <w:calcOnExit w:val="0"/>
                  <w:textInput>
                    <w:default w:val="点击此处添加I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点击此处添加ICS号</w:t>
            </w:r>
            <w:r>
              <w:rPr>
                <w:rFonts w:hint="eastAsia"/>
                <w:vertAlign w:val="baseline"/>
                <w:lang w:val="en-US" w:eastAsia="zh-CN"/>
              </w:rPr>
              <w:fldChar w:fldCharType="end"/>
            </w:r>
            <w:bookmarkEnd w:id="15"/>
          </w:p>
        </w:tc>
      </w:tr>
      <w:tr w14:paraId="064C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208F9F44">
            <w:pPr>
              <w:pStyle w:val="52"/>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50157159">
            <w:pPr>
              <w:pStyle w:val="52"/>
              <w:framePr w:w="9639" w:wrap="around"/>
              <w:bidi w:val="0"/>
              <w:jc w:val="both"/>
              <w:rPr>
                <w:rFonts w:hint="eastAsia"/>
                <w:vertAlign w:val="baseline"/>
                <w:lang w:val="en-US" w:eastAsia="zh-CN"/>
              </w:rPr>
            </w:pPr>
            <w:bookmarkStart w:id="16"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6"/>
          </w:p>
          <w:tbl>
            <w:tblPr>
              <w:tblStyle w:val="21"/>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4EF2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14:paraId="212C6D5A">
                  <w:pPr>
                    <w:pStyle w:val="52"/>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14:paraId="7706C83C">
            <w:pPr>
              <w:pStyle w:val="52"/>
              <w:framePr w:w="9639" w:wrap="around"/>
              <w:bidi w:val="0"/>
              <w:jc w:val="both"/>
              <w:rPr>
                <w:rFonts w:hint="eastAsia"/>
                <w:vertAlign w:val="baseline"/>
                <w:lang w:val="en-US" w:eastAsia="zh-CN"/>
              </w:rPr>
            </w:pPr>
          </w:p>
        </w:tc>
      </w:tr>
    </w:tbl>
    <w:p w14:paraId="667E2690">
      <w:pPr>
        <w:pStyle w:val="52"/>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14:paraId="1D7D7A26">
      <w:pPr>
        <w:pStyle w:val="53"/>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65B3E834">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_Toc10082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_Toc10082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26C9E5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_Toc8095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_Toc8095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1EB3A8C">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_Toc8385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_Toc8385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83A1E09">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_Toc17023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_Toc17023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3CC1D8C">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_Toc1476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_Toc1476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9BAFCA2">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_Toc15014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检验规则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_Toc15014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0A0573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_Toc30562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包装、标签与标志</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_Toc30562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4EE63E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_Toc26806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7</w:t>
      </w:r>
      <w:r>
        <w:rPr>
          <w:rFonts w:hint="eastAsia" w:cs="宋体"/>
          <w:spacing w:val="0"/>
          <w:lang w:eastAsia="zh-CN"/>
        </w:rPr>
        <w:t xml:space="preserve"> </w:t>
      </w:r>
      <w:r>
        <w:rPr>
          <w:rFonts w:hint="eastAsia" w:ascii="宋体" w:hAnsi="宋体" w:eastAsia="宋体" w:cs="宋体"/>
          <w:spacing w:val="0"/>
        </w:rPr>
        <w:t xml:space="preserve"> 运输与贮存</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_Toc26806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382C477F">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_Toc12561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附录A（规范性）</w:t>
      </w:r>
      <w:r>
        <w:rPr>
          <w:rFonts w:hint="eastAsia" w:cs="宋体"/>
          <w:spacing w:val="0"/>
          <w:lang w:val="en-US" w:eastAsia="zh-CN"/>
        </w:rPr>
        <w:t xml:space="preserve"> </w:t>
      </w:r>
      <w:r>
        <w:rPr>
          <w:rFonts w:hint="eastAsia" w:ascii="宋体" w:hAnsi="宋体" w:eastAsia="宋体" w:cs="宋体"/>
          <w:spacing w:val="0"/>
          <w:lang w:val="en-US" w:eastAsia="zh-CN"/>
        </w:rPr>
        <w:t xml:space="preserve"> 井冈</w:t>
      </w:r>
      <w:r>
        <w:rPr>
          <w:rFonts w:hint="eastAsia" w:cs="宋体"/>
          <w:spacing w:val="0"/>
          <w:lang w:val="en-US" w:eastAsia="zh-CN"/>
        </w:rPr>
        <w:t>蜜柚酵素</w:t>
      </w:r>
      <w:r>
        <w:rPr>
          <w:rFonts w:hint="eastAsia" w:ascii="宋体" w:hAnsi="宋体" w:eastAsia="宋体" w:cs="宋体"/>
          <w:spacing w:val="0"/>
          <w:lang w:val="en-US" w:eastAsia="zh-CN"/>
        </w:rPr>
        <w:t>生产区域范围图</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_Toc12561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A647395">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61FB6151">
      <w:pPr>
        <w:pStyle w:val="53"/>
        <w:bidi w:val="0"/>
        <w:rPr>
          <w:rFonts w:hint="eastAsia"/>
          <w:lang w:val="en-US" w:eastAsia="zh-CN"/>
        </w:rPr>
      </w:pPr>
      <w:r>
        <w:rPr>
          <w:rFonts w:hint="eastAsia"/>
          <w:lang w:val="en-US" w:eastAsia="zh-CN"/>
        </w:rPr>
        <w:br w:type="page"/>
      </w:r>
    </w:p>
    <w:p w14:paraId="1D46B299">
      <w:pPr>
        <w:pStyle w:val="54"/>
        <w:bidi w:val="0"/>
        <w:rPr>
          <w:rFonts w:hint="eastAsia"/>
          <w:lang w:val="en-US" w:eastAsia="zh-CN"/>
        </w:rPr>
      </w:pPr>
      <w:bookmarkStart w:id="19" w:name="_Toc10082"/>
      <w:r>
        <w:rPr>
          <w:rFonts w:hint="eastAsia"/>
          <w:spacing w:val="317"/>
          <w:lang w:val="en-US" w:eastAsia="zh-CN"/>
        </w:rPr>
        <w:t>前</w:t>
      </w:r>
      <w:bookmarkStart w:id="20" w:name="BKQY"/>
      <w:r>
        <w:rPr>
          <w:rFonts w:hint="eastAsia"/>
          <w:lang w:val="en-US" w:eastAsia="zh-CN"/>
        </w:rPr>
        <w:t>言</w:t>
      </w:r>
      <w:bookmarkEnd w:id="19"/>
    </w:p>
    <w:p w14:paraId="67476BE4">
      <w:pPr>
        <w:pStyle w:val="24"/>
        <w:bidi w:val="0"/>
        <w:rPr>
          <w:rFonts w:hint="eastAsia"/>
          <w:lang w:val="en-US" w:eastAsia="zh-CN"/>
        </w:rPr>
      </w:pPr>
      <w:r>
        <w:rPr>
          <w:rFonts w:hint="eastAsia"/>
          <w:lang w:val="en-US" w:eastAsia="zh-CN"/>
        </w:rPr>
        <w:t>本文件按照GB/T 1.1—2020《标准化工作导则  第1部分：标准化文件的结构和起草规则》的规定起草。</w:t>
      </w:r>
    </w:p>
    <w:p w14:paraId="0959708A">
      <w:pPr>
        <w:pStyle w:val="24"/>
        <w:bidi w:val="0"/>
        <w:rPr>
          <w:rFonts w:hint="eastAsia"/>
          <w:lang w:val="en-US" w:eastAsia="zh-CN"/>
        </w:rPr>
      </w:pPr>
      <w:r>
        <w:rPr>
          <w:rFonts w:hint="eastAsia"/>
          <w:lang w:val="en-US" w:eastAsia="zh-CN"/>
        </w:rPr>
        <w:t>请注意本文件的某些内容可能涉及专利。本文件的发布机构不承担识别专利的责任。</w:t>
      </w:r>
    </w:p>
    <w:p w14:paraId="6CFD8BEE">
      <w:pPr>
        <w:pStyle w:val="24"/>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02194F00">
      <w:pPr>
        <w:pStyle w:val="24"/>
        <w:bidi w:val="0"/>
        <w:rPr>
          <w:rFonts w:hint="eastAsia"/>
          <w:lang w:val="en-US" w:eastAsia="zh-CN"/>
        </w:rPr>
      </w:pPr>
      <w:r>
        <w:rPr>
          <w:rFonts w:hint="eastAsia"/>
          <w:lang w:val="en-US" w:eastAsia="zh-CN"/>
        </w:rPr>
        <w:t>本文件起草单位：</w:t>
      </w:r>
      <w:r>
        <w:rPr>
          <w:rFonts w:hint="eastAsia"/>
        </w:rPr>
        <w:t>吉安市绿色农产品促进会</w:t>
      </w:r>
    </w:p>
    <w:p w14:paraId="6F22F7E2">
      <w:pPr>
        <w:pStyle w:val="24"/>
        <w:bidi w:val="0"/>
        <w:rPr>
          <w:rFonts w:hint="eastAsia"/>
          <w:lang w:val="en-US" w:eastAsia="zh-CN"/>
        </w:rPr>
      </w:pPr>
      <w:r>
        <w:rPr>
          <w:rFonts w:hint="eastAsia"/>
          <w:lang w:val="en-US" w:eastAsia="zh-CN"/>
        </w:rPr>
        <w:t>本文件主要起草人：</w:t>
      </w:r>
    </w:p>
    <w:p w14:paraId="6F007FC2">
      <w:pPr>
        <w:pStyle w:val="24"/>
        <w:bidi w:val="0"/>
        <w:rPr>
          <w:rFonts w:hint="eastAsia"/>
          <w:lang w:val="en-US" w:eastAsia="zh-CN"/>
        </w:rPr>
      </w:pPr>
    </w:p>
    <w:bookmarkEnd w:id="20"/>
    <w:p w14:paraId="0B49538D">
      <w:pPr>
        <w:rPr>
          <w:rFonts w:hint="eastAsia"/>
          <w:lang w:val="en-US" w:eastAsia="zh-CN"/>
        </w:rPr>
      </w:pPr>
    </w:p>
    <w:p w14:paraId="34200437">
      <w:pPr>
        <w:rPr>
          <w:rFonts w:hint="eastAsia"/>
          <w:lang w:val="en-US" w:eastAsia="zh-CN"/>
        </w:rPr>
      </w:pPr>
    </w:p>
    <w:p w14:paraId="544B96C6">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9"/>
          <w:rFonts w:hint="eastAsia"/>
          <w:lang w:val="en-US" w:eastAsia="zh-CN"/>
        </w:rPr>
        <w:tag w:val="StandardName"/>
        <w:id w:val="147457484"/>
        <w:lock w:val="sdtLocked"/>
        <w:placeholder>
          <w:docPart w:val="{dc198fea-d184-4aa6-8509-aaf3d889285d}"/>
        </w:placeholder>
      </w:sdtPr>
      <w:sdtEndPr>
        <w:rPr>
          <w:rStyle w:val="119"/>
          <w:rFonts w:hint="eastAsia"/>
          <w:lang w:val="en-US" w:eastAsia="zh-CN"/>
        </w:rPr>
      </w:sdtEndPr>
      <w:sdtContent>
        <w:p w14:paraId="0D91E934">
          <w:pPr>
            <w:pStyle w:val="55"/>
            <w:bidi w:val="0"/>
            <w:rPr>
              <w:rStyle w:val="119"/>
              <w:rFonts w:hint="eastAsia"/>
              <w:lang w:val="en-US" w:eastAsia="zh-CN"/>
            </w:rPr>
          </w:pPr>
          <w:bookmarkStart w:id="21" w:name="StandardName"/>
          <w:r>
            <w:rPr>
              <w:rStyle w:val="119"/>
              <w:rFonts w:hint="eastAsia"/>
              <w:lang w:val="en-US" w:eastAsia="zh-CN"/>
            </w:rPr>
            <w:t>井冈蜜柚酵素</w:t>
          </w:r>
          <w:bookmarkEnd w:id="21"/>
        </w:p>
      </w:sdtContent>
    </w:sdt>
    <w:p w14:paraId="39825421">
      <w:pPr>
        <w:pStyle w:val="71"/>
        <w:bidi w:val="0"/>
        <w:rPr>
          <w:rStyle w:val="119"/>
          <w:rFonts w:hint="eastAsia"/>
          <w:lang w:val="en-US" w:eastAsia="zh-CN"/>
        </w:rPr>
      </w:pPr>
      <w:bookmarkStart w:id="22" w:name="_Toc8095"/>
      <w:r>
        <w:rPr>
          <w:rFonts w:hint="eastAsia"/>
          <w:lang w:val="en-US" w:eastAsia="zh-CN"/>
        </w:rPr>
        <w:t>范围</w:t>
      </w:r>
      <w:bookmarkEnd w:id="22"/>
    </w:p>
    <w:p w14:paraId="7630DB5C">
      <w:pPr>
        <w:pStyle w:val="24"/>
        <w:rPr>
          <w:rFonts w:hint="eastAsia"/>
          <w:lang w:val="en-US" w:eastAsia="zh-CN"/>
        </w:rPr>
      </w:pPr>
      <w:r>
        <w:rPr>
          <w:rFonts w:hint="eastAsia"/>
          <w:lang w:val="en-US" w:eastAsia="zh-CN"/>
        </w:rPr>
        <w:t>本文件规定了井冈蜜柚酵素的要求、检验规则、包装、标志与标签、运输与贮存。</w:t>
      </w:r>
    </w:p>
    <w:p w14:paraId="4CF41884">
      <w:pPr>
        <w:pStyle w:val="24"/>
        <w:rPr>
          <w:rFonts w:hint="eastAsia"/>
          <w:lang w:val="en-US" w:eastAsia="zh-CN"/>
        </w:rPr>
      </w:pPr>
      <w:r>
        <w:rPr>
          <w:rFonts w:hint="eastAsia"/>
          <w:lang w:val="en-US" w:eastAsia="zh-CN"/>
        </w:rPr>
        <w:t>本文件适用于吉安市行政区域范围内生产加工的蜜柚酵素。</w:t>
      </w:r>
    </w:p>
    <w:p w14:paraId="6474A4FD">
      <w:pPr>
        <w:pStyle w:val="71"/>
        <w:bidi w:val="0"/>
        <w:rPr>
          <w:rFonts w:hint="eastAsia"/>
          <w:lang w:val="en-US" w:eastAsia="zh-CN"/>
        </w:rPr>
      </w:pPr>
      <w:bookmarkStart w:id="23" w:name="_Toc8385"/>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5D0290D1">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FF1BEC">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191  包装储运图示标志</w:t>
      </w:r>
    </w:p>
    <w:p w14:paraId="7BCFABF5">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2760 </w:t>
      </w:r>
      <w:r>
        <w:rPr>
          <w:rFonts w:hint="eastAsia" w:cs="宋体"/>
          <w:sz w:val="21"/>
          <w:lang w:val="en-US" w:eastAsia="zh-CN"/>
        </w:rPr>
        <w:t xml:space="preserve"> </w:t>
      </w:r>
      <w:r>
        <w:rPr>
          <w:rFonts w:hint="eastAsia" w:ascii="宋体" w:hAnsi="Times New Roman" w:eastAsia="宋体" w:cs="宋体"/>
          <w:sz w:val="21"/>
          <w:lang w:val="en-US" w:eastAsia="zh-CN"/>
        </w:rPr>
        <w:t xml:space="preserve">食品安全国家标准 食品添加剂使用标准 </w:t>
      </w:r>
    </w:p>
    <w:p w14:paraId="1B588CA5">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2762  食品安全国家标准  食品中污染物限量</w:t>
      </w:r>
    </w:p>
    <w:p w14:paraId="71DADC5F">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2763  </w:t>
      </w:r>
      <w:bookmarkStart w:id="24" w:name="_Hlk103955994"/>
      <w:r>
        <w:rPr>
          <w:rFonts w:hint="eastAsia" w:ascii="宋体" w:hAnsi="Times New Roman" w:eastAsia="宋体" w:cs="宋体"/>
          <w:sz w:val="21"/>
          <w:lang w:val="en-US" w:eastAsia="zh-CN"/>
        </w:rPr>
        <w:t>食品安全国家标准</w:t>
      </w:r>
      <w:bookmarkEnd w:id="24"/>
      <w:r>
        <w:rPr>
          <w:rFonts w:hint="eastAsia" w:ascii="宋体" w:hAnsi="Times New Roman" w:eastAsia="宋体" w:cs="宋体"/>
          <w:sz w:val="21"/>
          <w:lang w:val="en-US" w:eastAsia="zh-CN"/>
        </w:rPr>
        <w:t xml:space="preserve">  食品中农药最大残留限量</w:t>
      </w:r>
    </w:p>
    <w:p w14:paraId="199BA8C2">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4789.35</w:t>
      </w:r>
      <w:r>
        <w:rPr>
          <w:rFonts w:hint="eastAsia" w:cs="宋体"/>
          <w:sz w:val="21"/>
          <w:lang w:val="en-US" w:eastAsia="zh-CN"/>
        </w:rPr>
        <w:t xml:space="preserve">  </w:t>
      </w:r>
      <w:r>
        <w:rPr>
          <w:rFonts w:hint="eastAsia" w:ascii="宋体" w:hAnsi="Times New Roman" w:eastAsia="宋体" w:cs="宋体"/>
          <w:sz w:val="21"/>
          <w:lang w:val="en-US" w:eastAsia="zh-CN"/>
        </w:rPr>
        <w:t>食品安全国家标准 食品微生物学检验 乳酸菌检验</w:t>
      </w:r>
    </w:p>
    <w:p w14:paraId="48D033A2">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4806.1 </w:t>
      </w:r>
      <w:r>
        <w:rPr>
          <w:rFonts w:hint="eastAsia" w:cs="宋体"/>
          <w:sz w:val="21"/>
          <w:lang w:val="en-US" w:eastAsia="zh-CN"/>
        </w:rPr>
        <w:t xml:space="preserve"> </w:t>
      </w:r>
      <w:r>
        <w:rPr>
          <w:rFonts w:hint="eastAsia" w:ascii="宋体" w:hAnsi="Times New Roman" w:eastAsia="宋体" w:cs="宋体"/>
          <w:sz w:val="21"/>
          <w:lang w:val="en-US" w:eastAsia="zh-CN"/>
        </w:rPr>
        <w:t xml:space="preserve">食品安全国家标准 </w:t>
      </w:r>
      <w:r>
        <w:rPr>
          <w:rFonts w:hint="eastAsia" w:cs="宋体"/>
          <w:sz w:val="21"/>
          <w:lang w:val="en-US" w:eastAsia="zh-CN"/>
        </w:rPr>
        <w:t xml:space="preserve"> </w:t>
      </w:r>
      <w:r>
        <w:rPr>
          <w:rFonts w:hint="eastAsia" w:ascii="宋体" w:hAnsi="Times New Roman" w:eastAsia="宋体" w:cs="宋体"/>
          <w:sz w:val="21"/>
          <w:lang w:val="en-US" w:eastAsia="zh-CN"/>
        </w:rPr>
        <w:t>食品接触材料及制品通用安全要求</w:t>
      </w:r>
    </w:p>
    <w:p w14:paraId="1774D2D6">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4806.7  食品安全国家标准  食品接触用塑料材料及制品</w:t>
      </w:r>
    </w:p>
    <w:p w14:paraId="087872E9">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4806.8  食品安全国家标准  食品接触用纸及纸制品</w:t>
      </w:r>
    </w:p>
    <w:p w14:paraId="195AC3AB">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5009.124</w:t>
      </w:r>
      <w:r>
        <w:rPr>
          <w:rFonts w:hint="eastAsia" w:cs="宋体"/>
          <w:sz w:val="21"/>
          <w:lang w:val="en-US" w:eastAsia="zh-CN"/>
        </w:rPr>
        <w:t xml:space="preserve"> </w:t>
      </w:r>
      <w:r>
        <w:rPr>
          <w:rFonts w:hint="eastAsia" w:ascii="宋体" w:hAnsi="Times New Roman" w:eastAsia="宋体" w:cs="宋体"/>
          <w:sz w:val="21"/>
          <w:lang w:val="en-US" w:eastAsia="zh-CN"/>
        </w:rPr>
        <w:t xml:space="preserve"> 食品安全国家标准 食品中氨基酸的测定</w:t>
      </w:r>
    </w:p>
    <w:p w14:paraId="11A05B29">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5009.157</w:t>
      </w:r>
      <w:r>
        <w:rPr>
          <w:rFonts w:hint="eastAsia" w:cs="宋体"/>
          <w:sz w:val="21"/>
          <w:lang w:val="en-US" w:eastAsia="zh-CN"/>
        </w:rPr>
        <w:t xml:space="preserve"> </w:t>
      </w:r>
      <w:r>
        <w:rPr>
          <w:rFonts w:hint="eastAsia" w:ascii="宋体" w:hAnsi="Times New Roman" w:eastAsia="宋体" w:cs="宋体"/>
          <w:sz w:val="21"/>
          <w:lang w:val="en-US" w:eastAsia="zh-CN"/>
        </w:rPr>
        <w:t xml:space="preserve"> 食品安全国家标准 食品中有机酸的测定</w:t>
      </w:r>
    </w:p>
    <w:p w14:paraId="485402FD">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5009.171</w:t>
      </w:r>
      <w:r>
        <w:rPr>
          <w:rFonts w:hint="eastAsia" w:cs="宋体"/>
          <w:sz w:val="21"/>
          <w:lang w:val="en-US" w:eastAsia="zh-CN"/>
        </w:rPr>
        <w:t xml:space="preserve"> </w:t>
      </w:r>
      <w:r>
        <w:rPr>
          <w:rFonts w:hint="eastAsia" w:ascii="宋体" w:hAnsi="Times New Roman" w:eastAsia="宋体" w:cs="宋体"/>
          <w:sz w:val="21"/>
          <w:lang w:val="en-US" w:eastAsia="zh-CN"/>
        </w:rPr>
        <w:t xml:space="preserve"> 保健食品中超氧化物歧化酶</w:t>
      </w:r>
      <w:r>
        <w:rPr>
          <w:rFonts w:hint="eastAsia" w:cs="宋体"/>
          <w:sz w:val="21"/>
          <w:lang w:val="en-US" w:eastAsia="zh-CN"/>
        </w:rPr>
        <w:t>（</w:t>
      </w:r>
      <w:r>
        <w:rPr>
          <w:rFonts w:hint="eastAsia" w:ascii="宋体" w:hAnsi="Times New Roman" w:eastAsia="宋体" w:cs="宋体"/>
          <w:sz w:val="21"/>
          <w:lang w:val="en-US" w:eastAsia="zh-CN"/>
        </w:rPr>
        <w:t>SOD</w:t>
      </w:r>
      <w:r>
        <w:rPr>
          <w:rFonts w:hint="eastAsia" w:cs="宋体"/>
          <w:sz w:val="21"/>
          <w:lang w:val="en-US" w:eastAsia="zh-CN"/>
        </w:rPr>
        <w:t>）</w:t>
      </w:r>
      <w:r>
        <w:rPr>
          <w:rFonts w:hint="eastAsia" w:ascii="宋体" w:hAnsi="Times New Roman" w:eastAsia="宋体" w:cs="宋体"/>
          <w:sz w:val="21"/>
          <w:lang w:val="en-US" w:eastAsia="zh-CN"/>
        </w:rPr>
        <w:t>活性的测定</w:t>
      </w:r>
    </w:p>
    <w:p w14:paraId="73999240">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5749  生活饮用水卫生标准 </w:t>
      </w:r>
    </w:p>
    <w:p w14:paraId="0475FB66">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5737  食品塑料周转箱</w:t>
      </w:r>
    </w:p>
    <w:p w14:paraId="0C10F9EC">
      <w:pPr>
        <w:pStyle w:val="24"/>
        <w:bidi w:val="0"/>
        <w:rPr>
          <w:rFonts w:hint="eastAsia" w:ascii="宋体" w:hAnsi="Times New Roman" w:eastAsia="宋体" w:cs="宋体"/>
          <w:sz w:val="21"/>
          <w:lang w:val="en-US" w:eastAsia="zh-CN"/>
        </w:rPr>
      </w:pPr>
      <w:bookmarkStart w:id="25" w:name="_Hlk103956065"/>
      <w:r>
        <w:rPr>
          <w:rFonts w:hint="eastAsia" w:ascii="宋体" w:hAnsi="Times New Roman" w:eastAsia="宋体" w:cs="宋体"/>
          <w:sz w:val="21"/>
          <w:lang w:val="en-US" w:eastAsia="zh-CN"/>
        </w:rPr>
        <w:t>GB/T 10468</w:t>
      </w:r>
      <w:r>
        <w:rPr>
          <w:rFonts w:hint="eastAsia" w:cs="宋体"/>
          <w:sz w:val="21"/>
          <w:lang w:val="en-US" w:eastAsia="zh-CN"/>
        </w:rPr>
        <w:t xml:space="preserve"> </w:t>
      </w:r>
      <w:r>
        <w:rPr>
          <w:rFonts w:hint="eastAsia" w:ascii="宋体" w:hAnsi="Times New Roman" w:eastAsia="宋体" w:cs="宋体"/>
          <w:sz w:val="21"/>
          <w:lang w:val="en-US" w:eastAsia="zh-CN"/>
        </w:rPr>
        <w:t xml:space="preserve"> 水果和蔬菜产品pH值的测定方法</w:t>
      </w:r>
    </w:p>
    <w:p w14:paraId="48B57AE5">
      <w:pPr>
        <w:pStyle w:val="24"/>
        <w:bidi w:val="0"/>
        <w:rPr>
          <w:rFonts w:hint="eastAsia"/>
          <w:lang w:val="en-US" w:eastAsia="zh-CN"/>
        </w:rPr>
      </w:pPr>
      <w:r>
        <w:rPr>
          <w:rFonts w:hint="eastAsia"/>
          <w:lang w:val="en-US" w:eastAsia="zh-CN"/>
        </w:rPr>
        <w:t>GB 12143  饮料通用分析方法</w:t>
      </w:r>
    </w:p>
    <w:p w14:paraId="0AE34B30">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12456</w:t>
      </w:r>
      <w:r>
        <w:rPr>
          <w:rFonts w:hint="eastAsia" w:cs="宋体"/>
          <w:sz w:val="21"/>
          <w:lang w:val="en-US" w:eastAsia="zh-CN"/>
        </w:rPr>
        <w:t xml:space="preserve"> </w:t>
      </w:r>
      <w:r>
        <w:rPr>
          <w:rFonts w:hint="eastAsia" w:ascii="宋体" w:hAnsi="Times New Roman" w:eastAsia="宋体" w:cs="宋体"/>
          <w:sz w:val="21"/>
          <w:lang w:val="en-US" w:eastAsia="zh-CN"/>
        </w:rPr>
        <w:t xml:space="preserve"> 食品安全国家标准 食品中总酸的测定</w:t>
      </w:r>
    </w:p>
    <w:p w14:paraId="6CFDDC89">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13104</w:t>
      </w:r>
      <w:r>
        <w:rPr>
          <w:rFonts w:hint="eastAsia" w:cs="宋体"/>
          <w:sz w:val="21"/>
          <w:lang w:val="en-US" w:eastAsia="zh-CN"/>
        </w:rPr>
        <w:t xml:space="preserve"> </w:t>
      </w:r>
      <w:r>
        <w:rPr>
          <w:rFonts w:hint="eastAsia" w:ascii="宋体" w:hAnsi="Times New Roman" w:eastAsia="宋体" w:cs="宋体"/>
          <w:sz w:val="21"/>
          <w:lang w:val="en-US" w:eastAsia="zh-CN"/>
        </w:rPr>
        <w:t xml:space="preserve"> 食品安全国家标准 食糖</w:t>
      </w:r>
    </w:p>
    <w:p w14:paraId="401F9ED8">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GB/T 19630  有机产品  生产、加工、标识与管理体系要求 </w:t>
      </w:r>
      <w:bookmarkEnd w:id="25"/>
    </w:p>
    <w:p w14:paraId="1ECE14D9">
      <w:pPr>
        <w:pStyle w:val="24"/>
        <w:bidi w:val="0"/>
        <w:rPr>
          <w:rFonts w:hint="eastAsia" w:cs="宋体"/>
          <w:sz w:val="21"/>
          <w:lang w:val="en-US" w:eastAsia="zh-CN"/>
        </w:rPr>
      </w:pPr>
      <w:r>
        <w:rPr>
          <w:rFonts w:hint="eastAsia" w:ascii="宋体" w:hAnsi="Times New Roman" w:eastAsia="宋体" w:cs="宋体"/>
          <w:sz w:val="21"/>
          <w:lang w:val="en-US" w:eastAsia="zh-CN"/>
        </w:rPr>
        <w:t>NY/T</w:t>
      </w:r>
      <w:r>
        <w:rPr>
          <w:rFonts w:hint="eastAsia" w:cs="宋体"/>
          <w:sz w:val="21"/>
          <w:lang w:val="en-US" w:eastAsia="zh-CN"/>
        </w:rPr>
        <w:t xml:space="preserve"> 426  绿色食品  柑橘类水果</w:t>
      </w:r>
    </w:p>
    <w:p w14:paraId="57D028A8">
      <w:pPr>
        <w:pStyle w:val="24"/>
        <w:bidi w:val="0"/>
        <w:rPr>
          <w:rFonts w:hint="default" w:cs="宋体"/>
          <w:sz w:val="21"/>
          <w:lang w:val="en-US" w:eastAsia="zh-CN"/>
        </w:rPr>
      </w:pPr>
      <w:r>
        <w:rPr>
          <w:rFonts w:hint="default" w:cs="宋体"/>
          <w:sz w:val="21"/>
          <w:lang w:val="en-US" w:eastAsia="zh-CN"/>
        </w:rPr>
        <w:t>NY</w:t>
      </w:r>
      <w:r>
        <w:rPr>
          <w:rFonts w:hint="eastAsia" w:cs="宋体"/>
          <w:sz w:val="21"/>
          <w:lang w:val="en-US" w:eastAsia="zh-CN"/>
        </w:rPr>
        <w:t>/</w:t>
      </w:r>
      <w:r>
        <w:rPr>
          <w:rFonts w:hint="default" w:cs="宋体"/>
          <w:sz w:val="21"/>
          <w:lang w:val="en-US" w:eastAsia="zh-CN"/>
        </w:rPr>
        <w:t>T</w:t>
      </w:r>
      <w:r>
        <w:rPr>
          <w:rFonts w:hint="eastAsia" w:cs="宋体"/>
          <w:sz w:val="21"/>
          <w:lang w:val="en-US" w:eastAsia="zh-CN"/>
        </w:rPr>
        <w:t xml:space="preserve"> </w:t>
      </w:r>
      <w:r>
        <w:rPr>
          <w:rFonts w:hint="default" w:cs="宋体"/>
          <w:sz w:val="21"/>
          <w:lang w:val="en-US" w:eastAsia="zh-CN"/>
        </w:rPr>
        <w:t xml:space="preserve">658 </w:t>
      </w:r>
      <w:r>
        <w:rPr>
          <w:rFonts w:hint="eastAsia" w:cs="宋体"/>
          <w:sz w:val="21"/>
          <w:lang w:val="en-US" w:eastAsia="zh-CN"/>
        </w:rPr>
        <w:t xml:space="preserve"> </w:t>
      </w:r>
      <w:r>
        <w:rPr>
          <w:rFonts w:hint="default" w:cs="宋体"/>
          <w:sz w:val="21"/>
          <w:lang w:val="en-US" w:eastAsia="zh-CN"/>
        </w:rPr>
        <w:t xml:space="preserve">绿色食品 </w:t>
      </w:r>
      <w:r>
        <w:rPr>
          <w:rFonts w:hint="eastAsia" w:cs="宋体"/>
          <w:sz w:val="21"/>
          <w:lang w:val="en-US" w:eastAsia="zh-CN"/>
        </w:rPr>
        <w:t xml:space="preserve"> </w:t>
      </w:r>
      <w:r>
        <w:rPr>
          <w:rFonts w:hint="default" w:cs="宋体"/>
          <w:sz w:val="21"/>
          <w:lang w:val="en-US" w:eastAsia="zh-CN"/>
        </w:rPr>
        <w:t>包装通用准则</w:t>
      </w:r>
    </w:p>
    <w:p w14:paraId="7FADD5F3">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1056  绿色食品  贮藏运输准则</w:t>
      </w:r>
    </w:p>
    <w:p w14:paraId="47A3248E">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QB/T 4575</w:t>
      </w:r>
      <w:r>
        <w:rPr>
          <w:rFonts w:hint="eastAsia" w:cs="宋体"/>
          <w:sz w:val="21"/>
          <w:lang w:val="en-US" w:eastAsia="zh-CN"/>
        </w:rPr>
        <w:t xml:space="preserve">  </w:t>
      </w:r>
      <w:r>
        <w:rPr>
          <w:rFonts w:hint="eastAsia" w:ascii="宋体" w:hAnsi="Times New Roman" w:eastAsia="宋体" w:cs="宋体"/>
          <w:sz w:val="21"/>
          <w:lang w:val="en-US" w:eastAsia="zh-CN"/>
        </w:rPr>
        <w:t>食品用菌种制剂</w:t>
      </w:r>
    </w:p>
    <w:p w14:paraId="0B054A4B">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QB</w:t>
      </w:r>
      <w:r>
        <w:rPr>
          <w:rFonts w:hint="eastAsia" w:cs="宋体"/>
          <w:sz w:val="21"/>
          <w:lang w:val="en-US" w:eastAsia="zh-CN"/>
        </w:rPr>
        <w:t>/</w:t>
      </w:r>
      <w:r>
        <w:rPr>
          <w:rFonts w:hint="eastAsia" w:ascii="宋体" w:hAnsi="Times New Roman" w:eastAsia="宋体" w:cs="宋体"/>
          <w:sz w:val="21"/>
          <w:lang w:val="en-US" w:eastAsia="zh-CN"/>
        </w:rPr>
        <w:t>T</w:t>
      </w:r>
      <w:r>
        <w:rPr>
          <w:rFonts w:hint="eastAsia" w:cs="宋体"/>
          <w:sz w:val="21"/>
          <w:lang w:val="en-US" w:eastAsia="zh-CN"/>
        </w:rPr>
        <w:t xml:space="preserve"> </w:t>
      </w:r>
      <w:r>
        <w:rPr>
          <w:rFonts w:hint="eastAsia" w:ascii="宋体" w:hAnsi="Times New Roman" w:eastAsia="宋体" w:cs="宋体"/>
          <w:sz w:val="21"/>
          <w:lang w:val="en-US" w:eastAsia="zh-CN"/>
        </w:rPr>
        <w:t>5760</w:t>
      </w:r>
      <w:r>
        <w:rPr>
          <w:rFonts w:hint="eastAsia" w:cs="宋体"/>
          <w:sz w:val="21"/>
          <w:lang w:val="en-US" w:eastAsia="zh-CN"/>
        </w:rPr>
        <w:t xml:space="preserve">  </w:t>
      </w:r>
      <w:r>
        <w:rPr>
          <w:rFonts w:hint="eastAsia" w:ascii="宋体" w:hAnsi="Times New Roman" w:eastAsia="宋体" w:cs="宋体"/>
          <w:sz w:val="21"/>
          <w:lang w:val="en-US" w:eastAsia="zh-CN"/>
        </w:rPr>
        <w:t>食用复合酵素</w:t>
      </w:r>
    </w:p>
    <w:p w14:paraId="0DACB94D">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SN/T 4260</w:t>
      </w:r>
      <w:r>
        <w:rPr>
          <w:rFonts w:hint="eastAsia" w:cs="宋体"/>
          <w:sz w:val="21"/>
          <w:lang w:val="en-US" w:eastAsia="zh-CN"/>
        </w:rPr>
        <w:t xml:space="preserve"> </w:t>
      </w:r>
      <w:r>
        <w:rPr>
          <w:rFonts w:hint="eastAsia" w:ascii="宋体" w:hAnsi="Times New Roman" w:eastAsia="宋体" w:cs="宋体"/>
          <w:sz w:val="21"/>
          <w:lang w:val="en-US" w:eastAsia="zh-CN"/>
        </w:rPr>
        <w:t xml:space="preserve"> 出口植物源食品中粗多糖的测定 苯酚-硫酸法</w:t>
      </w:r>
    </w:p>
    <w:p w14:paraId="45E92C60">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国家市场监督管理总局令2023年第70号  定量包装商品计量监督管理办法</w:t>
      </w:r>
    </w:p>
    <w:p w14:paraId="7064AED5">
      <w:pPr>
        <w:pStyle w:val="71"/>
        <w:bidi w:val="0"/>
        <w:rPr>
          <w:rFonts w:hint="eastAsia" w:ascii="宋体" w:hAnsi="Times New Roman" w:eastAsia="宋体" w:cs="宋体"/>
          <w:lang w:val="en-US" w:eastAsia="zh-CN"/>
        </w:rPr>
      </w:pPr>
      <w:bookmarkStart w:id="26" w:name="_Toc17023"/>
      <w:r>
        <w:rPr>
          <w:rFonts w:hint="eastAsia"/>
          <w:lang w:val="en-US" w:eastAsia="zh-CN"/>
        </w:rPr>
        <w:t>术语和定义</w:t>
      </w:r>
      <w:bookmarkEnd w:id="26"/>
    </w:p>
    <w:sdt>
      <w:sdtPr>
        <w:rPr>
          <w:rFonts w:hint="eastAsia" w:ascii="宋体" w:hAnsi="Times New Roman" w:eastAsia="宋体" w:cs="宋体"/>
          <w:sz w:val="21"/>
          <w:lang w:val="en-US" w:eastAsia="zh-CN"/>
        </w:rPr>
        <w:tag w:val="TermContent"/>
        <w:id w:val="147475647"/>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3195385D">
          <w:pPr>
            <w:pStyle w:val="24"/>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14CA60B3">
      <w:pPr>
        <w:pStyle w:val="24"/>
        <w:rPr>
          <w:rFonts w:hint="eastAsia"/>
          <w:lang w:val="en-US" w:eastAsia="zh-CN"/>
        </w:rPr>
      </w:pPr>
    </w:p>
    <w:p w14:paraId="0FCA1E32">
      <w:pPr>
        <w:pStyle w:val="82"/>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cs="黑体"/>
          <w:lang w:val="en-US" w:eastAsia="zh-CN"/>
        </w:rPr>
        <w:t xml:space="preserve">蜜柚酵素 honey pomelo jiaosu </w:t>
      </w:r>
    </w:p>
    <w:p w14:paraId="25D22608">
      <w:pPr>
        <w:pStyle w:val="24"/>
        <w:rPr>
          <w:rFonts w:hint="default"/>
          <w:lang w:val="en-US" w:eastAsia="zh-CN"/>
        </w:rPr>
      </w:pPr>
      <w:r>
        <w:rPr>
          <w:rFonts w:hint="default"/>
          <w:lang w:val="en-US" w:eastAsia="zh-CN"/>
        </w:rPr>
        <w:t>以</w:t>
      </w:r>
      <w:r>
        <w:rPr>
          <w:rFonts w:hint="eastAsia"/>
          <w:lang w:val="en-US" w:eastAsia="zh-CN"/>
        </w:rPr>
        <w:t>蜜柚</w:t>
      </w:r>
      <w:r>
        <w:rPr>
          <w:rFonts w:hint="default"/>
          <w:lang w:val="en-US" w:eastAsia="zh-CN"/>
        </w:rPr>
        <w:t>为原料，经</w:t>
      </w:r>
      <w:r>
        <w:rPr>
          <w:rFonts w:hint="eastAsia"/>
          <w:lang w:val="en-US" w:eastAsia="zh-CN"/>
        </w:rPr>
        <w:t>微生物</w:t>
      </w:r>
      <w:r>
        <w:rPr>
          <w:rFonts w:hint="default"/>
          <w:lang w:val="en-US" w:eastAsia="zh-CN"/>
        </w:rPr>
        <w:t>发酵制得的含有特定生物活性成分可食用的酵素产品。</w:t>
      </w:r>
    </w:p>
    <w:p w14:paraId="4B0D0CA5">
      <w:pPr>
        <w:pStyle w:val="24"/>
        <w:rPr>
          <w:rFonts w:hint="default"/>
          <w:lang w:val="en-US" w:eastAsia="zh-CN"/>
        </w:rPr>
      </w:pPr>
    </w:p>
    <w:p w14:paraId="358B78A8">
      <w:pPr>
        <w:pStyle w:val="82"/>
        <w:bidi w:val="0"/>
        <w:spacing w:after="0" w:afterLines="0"/>
        <w:ind w:left="420" w:hanging="420" w:hangingChars="200"/>
        <w:rPr>
          <w:rFonts w:hint="eastAsia" w:ascii="黑体" w:hAnsi="黑体" w:eastAsia="黑体" w:cs="黑体"/>
          <w:lang w:val="en-US" w:eastAsia="zh-CN"/>
        </w:rPr>
      </w:pPr>
    </w:p>
    <w:p w14:paraId="398B4AFD">
      <w:pPr>
        <w:pStyle w:val="82"/>
        <w:numPr>
          <w:ilvl w:val="1"/>
          <w:numId w:val="0"/>
        </w:numPr>
        <w:bidi w:val="0"/>
        <w:spacing w:after="0" w:afterLines="0"/>
        <w:ind w:leftChars="-200" w:firstLine="840" w:firstLineChars="400"/>
        <w:rPr>
          <w:rFonts w:hint="eastAsia" w:ascii="黑体" w:hAnsi="黑体" w:eastAsia="黑体" w:cs="黑体"/>
          <w:lang w:val="en-US" w:eastAsia="zh-CN"/>
        </w:rPr>
      </w:pPr>
      <w:r>
        <w:rPr>
          <w:rFonts w:hint="eastAsia" w:cs="黑体"/>
          <w:lang w:val="en-US" w:eastAsia="zh-CN"/>
        </w:rPr>
        <w:t>井冈蜜柚酵素 Jinggangshan honey pomelo jiaosu</w:t>
      </w:r>
    </w:p>
    <w:p w14:paraId="19789605">
      <w:pPr>
        <w:pStyle w:val="24"/>
        <w:rPr>
          <w:rFonts w:hint="eastAsia"/>
          <w:lang w:val="en-US" w:eastAsia="zh-CN"/>
        </w:rPr>
      </w:pPr>
      <w:r>
        <w:rPr>
          <w:rFonts w:hint="eastAsia"/>
          <w:lang w:val="en-US" w:eastAsia="zh-CN"/>
        </w:rPr>
        <w:t>吉安市行政区域范围内生产的，符合本文件要求，并经“井冈山®”商标持有人授权的蜜柚酵素商品鲜果。</w:t>
      </w:r>
    </w:p>
    <w:p w14:paraId="4214BD33">
      <w:pPr>
        <w:pStyle w:val="24"/>
        <w:rPr>
          <w:rFonts w:hint="eastAsia"/>
          <w:lang w:val="en-US" w:eastAsia="zh-CN"/>
        </w:rPr>
      </w:pPr>
      <w:r>
        <w:rPr>
          <w:rFonts w:hint="eastAsia"/>
          <w:lang w:val="en-US" w:eastAsia="zh-CN"/>
        </w:rPr>
        <w:t>井冈蜜柚酵素生产区域范围见附录A。</w:t>
      </w:r>
    </w:p>
    <w:p w14:paraId="42397C8B">
      <w:pPr>
        <w:pStyle w:val="71"/>
        <w:bidi w:val="0"/>
        <w:rPr>
          <w:rFonts w:hint="eastAsia"/>
          <w:lang w:val="en-US" w:eastAsia="zh-CN"/>
        </w:rPr>
      </w:pPr>
      <w:bookmarkStart w:id="27" w:name="_Toc1476"/>
      <w:r>
        <w:rPr>
          <w:rFonts w:hint="eastAsia"/>
          <w:lang w:val="en-US" w:eastAsia="zh-CN"/>
        </w:rPr>
        <w:t>要求</w:t>
      </w:r>
      <w:bookmarkEnd w:id="27"/>
    </w:p>
    <w:p w14:paraId="507C4563">
      <w:pPr>
        <w:pStyle w:val="72"/>
        <w:spacing w:before="120" w:after="120"/>
      </w:pPr>
      <w:r>
        <w:rPr>
          <w:rFonts w:hint="eastAsia"/>
          <w:lang w:val="en-US" w:eastAsia="zh-CN"/>
        </w:rPr>
        <w:t>原辅料</w:t>
      </w:r>
    </w:p>
    <w:p w14:paraId="11971A7F">
      <w:pPr>
        <w:pStyle w:val="78"/>
        <w:bidi w:val="0"/>
        <w:spacing w:before="0" w:beforeLines="0" w:after="0" w:afterLines="0"/>
        <w:rPr>
          <w:rFonts w:hint="eastAsia"/>
          <w:lang w:val="en-US" w:eastAsia="zh-CN"/>
        </w:rPr>
      </w:pPr>
      <w:r>
        <w:rPr>
          <w:rFonts w:hint="eastAsia"/>
          <w:lang w:val="en-US" w:eastAsia="zh-CN"/>
        </w:rPr>
        <w:t>加工用水应符合 GB 5749的规定。</w:t>
      </w:r>
    </w:p>
    <w:p w14:paraId="1B1402B7">
      <w:pPr>
        <w:pStyle w:val="78"/>
        <w:bidi w:val="0"/>
        <w:spacing w:before="0" w:beforeLines="0" w:after="0" w:afterLines="0"/>
        <w:rPr>
          <w:rFonts w:hint="eastAsia"/>
          <w:lang w:val="en-US" w:eastAsia="zh-CN"/>
        </w:rPr>
      </w:pPr>
      <w:r>
        <w:rPr>
          <w:rFonts w:hint="eastAsia"/>
          <w:lang w:val="en-US" w:eastAsia="zh-CN"/>
        </w:rPr>
        <w:t>蜜柚宜符合</w:t>
      </w:r>
      <w:r>
        <w:rPr>
          <w:rFonts w:hint="eastAsia" w:ascii="宋体" w:hAnsi="Times New Roman" w:eastAsia="宋体" w:cs="宋体"/>
          <w:sz w:val="21"/>
          <w:lang w:val="en-US" w:eastAsia="zh-CN"/>
        </w:rPr>
        <w:t>NY/T</w:t>
      </w:r>
      <w:r>
        <w:rPr>
          <w:rFonts w:hint="eastAsia" w:cs="宋体"/>
          <w:sz w:val="21"/>
          <w:lang w:val="en-US" w:eastAsia="zh-CN"/>
        </w:rPr>
        <w:t xml:space="preserve"> 426的规定</w:t>
      </w:r>
      <w:r>
        <w:rPr>
          <w:rFonts w:hint="eastAsia"/>
          <w:lang w:val="en-US" w:eastAsia="zh-CN"/>
        </w:rPr>
        <w:t>。</w:t>
      </w:r>
    </w:p>
    <w:p w14:paraId="5B85A348">
      <w:pPr>
        <w:pStyle w:val="78"/>
        <w:bidi w:val="0"/>
        <w:spacing w:before="0" w:beforeLines="0" w:after="0" w:afterLines="0"/>
        <w:rPr>
          <w:rFonts w:hint="eastAsia"/>
          <w:lang w:val="en-US" w:eastAsia="zh-CN"/>
        </w:rPr>
      </w:pPr>
      <w:r>
        <w:rPr>
          <w:rFonts w:hint="eastAsia"/>
          <w:lang w:val="en-US" w:eastAsia="zh-CN"/>
        </w:rPr>
        <w:t>保加利亚乳杆菌、嗜热链球菌等发酵菌应符合QB/T 4575的规定。</w:t>
      </w:r>
    </w:p>
    <w:p w14:paraId="637C614A">
      <w:pPr>
        <w:pStyle w:val="78"/>
        <w:bidi w:val="0"/>
        <w:spacing w:before="0" w:beforeLines="0" w:after="0" w:afterLines="0"/>
        <w:rPr>
          <w:rFonts w:hint="eastAsia"/>
          <w:lang w:val="en-US" w:eastAsia="zh-CN"/>
        </w:rPr>
      </w:pPr>
      <w:r>
        <w:rPr>
          <w:rFonts w:hint="eastAsia"/>
          <w:lang w:val="en-US" w:eastAsia="zh-CN"/>
        </w:rPr>
        <w:t>白砂糖应符合GB 13104的规定。</w:t>
      </w:r>
    </w:p>
    <w:p w14:paraId="6AF8E450">
      <w:pPr>
        <w:pStyle w:val="78"/>
        <w:bidi w:val="0"/>
        <w:spacing w:before="0" w:beforeLines="0" w:after="0" w:afterLines="0"/>
        <w:rPr>
          <w:rFonts w:hint="default"/>
          <w:lang w:val="en-US" w:eastAsia="zh-CN"/>
        </w:rPr>
      </w:pPr>
      <w:r>
        <w:rPr>
          <w:rFonts w:hint="eastAsia"/>
          <w:lang w:val="en-US" w:eastAsia="zh-CN"/>
        </w:rPr>
        <w:t>食品添加剂的使用应符合GB 2760的规定。</w:t>
      </w:r>
    </w:p>
    <w:p w14:paraId="16B674C0">
      <w:pPr>
        <w:pStyle w:val="72"/>
        <w:spacing w:before="120" w:after="120"/>
      </w:pPr>
      <w:r>
        <w:rPr>
          <w:rFonts w:hint="eastAsia"/>
          <w:lang w:val="en-US" w:eastAsia="zh-CN"/>
        </w:rPr>
        <w:t>生产主体</w:t>
      </w:r>
    </w:p>
    <w:p w14:paraId="2198EF53">
      <w:pPr>
        <w:pStyle w:val="24"/>
        <w:ind w:firstLine="960"/>
        <w:rPr>
          <w:rFonts w:hint="eastAsia"/>
          <w:lang w:val="en-US" w:eastAsia="zh-CN"/>
        </w:rPr>
      </w:pPr>
      <w:r>
        <w:rPr>
          <w:rFonts w:hint="eastAsia"/>
          <w:lang w:val="en-US" w:eastAsia="zh-CN"/>
        </w:rPr>
        <w:t>生产加工主体应取得食品生产许可证，具备与生产加工产品相适应的环境、场所、设施设备、人员及管理。</w:t>
      </w:r>
    </w:p>
    <w:p w14:paraId="4FF95597">
      <w:pPr>
        <w:pStyle w:val="72"/>
        <w:spacing w:before="120" w:after="120"/>
      </w:pPr>
      <w:r>
        <w:rPr>
          <w:rFonts w:hint="eastAsia"/>
          <w:lang w:val="en-US" w:eastAsia="zh-CN"/>
        </w:rPr>
        <w:t>加工过程</w:t>
      </w:r>
    </w:p>
    <w:p w14:paraId="327CF806">
      <w:pPr>
        <w:pStyle w:val="24"/>
        <w:rPr>
          <w:rFonts w:hint="eastAsia"/>
        </w:rPr>
      </w:pPr>
      <w:r>
        <w:rPr>
          <w:rFonts w:hint="eastAsia"/>
          <w:lang w:val="en-US" w:eastAsia="zh-CN"/>
        </w:rPr>
        <w:t>生产过程应包括发酵工艺环境，并符合GB 14881的规定</w:t>
      </w:r>
      <w:r>
        <w:rPr>
          <w:rFonts w:hint="eastAsia"/>
        </w:rPr>
        <w:t>。</w:t>
      </w:r>
    </w:p>
    <w:p w14:paraId="4CD4A44A">
      <w:pPr>
        <w:pStyle w:val="24"/>
        <w:rPr>
          <w:rFonts w:hint="eastAsia"/>
          <w:lang w:eastAsia="zh-CN"/>
        </w:rPr>
      </w:pPr>
    </w:p>
    <w:p w14:paraId="71410B05">
      <w:pPr>
        <w:pStyle w:val="72"/>
        <w:bidi w:val="0"/>
        <w:rPr>
          <w:rFonts w:hint="default"/>
          <w:lang w:val="en-US" w:eastAsia="zh-CN"/>
        </w:rPr>
      </w:pPr>
      <w:r>
        <w:rPr>
          <w:rFonts w:hint="eastAsia"/>
        </w:rPr>
        <w:t>感官要求</w:t>
      </w:r>
    </w:p>
    <w:p w14:paraId="5075D223">
      <w:pPr>
        <w:pStyle w:val="24"/>
        <w:ind w:firstLine="420"/>
        <w:rPr>
          <w:rFonts w:hint="eastAsia"/>
          <w:lang w:val="en-US" w:eastAsia="zh-CN"/>
        </w:rPr>
      </w:pPr>
      <w:r>
        <w:rPr>
          <w:rFonts w:hint="eastAsia"/>
        </w:rPr>
        <w:t>应符合表</w:t>
      </w:r>
      <w:r>
        <w:t>1</w:t>
      </w:r>
      <w:r>
        <w:rPr>
          <w:rFonts w:hint="eastAsia"/>
        </w:rPr>
        <w:t>的要求。有机产品还应符合GB/T 19630的要求。</w:t>
      </w:r>
    </w:p>
    <w:p w14:paraId="265C6F60">
      <w:pPr>
        <w:pStyle w:val="112"/>
        <w:bidi w:val="0"/>
        <w:rPr>
          <w:rFonts w:hint="eastAsia"/>
          <w:lang w:val="en-US" w:eastAsia="zh-CN"/>
        </w:rPr>
      </w:pPr>
      <w:r>
        <w:rPr>
          <w:rFonts w:hint="eastAsia"/>
          <w:lang w:val="en-US" w:eastAsia="zh-CN"/>
        </w:rPr>
        <w:t>感官指标</w:t>
      </w:r>
    </w:p>
    <w:tbl>
      <w:tblPr>
        <w:tblStyle w:val="21"/>
        <w:tblW w:w="486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6201"/>
      </w:tblGrid>
      <w:tr w14:paraId="17EDC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672" w:type="pct"/>
            <w:tcBorders>
              <w:bottom w:val="single" w:color="auto" w:sz="8" w:space="0"/>
            </w:tcBorders>
            <w:vAlign w:val="center"/>
          </w:tcPr>
          <w:p w14:paraId="6AA288B5">
            <w:pPr>
              <w:pStyle w:val="110"/>
              <w:widowControl w:val="0"/>
              <w:bidi w:val="0"/>
              <w:ind w:left="0" w:leftChars="0" w:firstLine="0" w:firstLineChars="0"/>
              <w:jc w:val="center"/>
              <w:rPr>
                <w:rFonts w:hint="eastAsia" w:eastAsia="宋体"/>
                <w:lang w:val="en-US" w:eastAsia="zh-CN"/>
              </w:rPr>
            </w:pPr>
            <w:r>
              <w:rPr>
                <w:rFonts w:hint="eastAsia"/>
                <w:lang w:val="en-US" w:eastAsia="zh-CN"/>
              </w:rPr>
              <w:t>项目</w:t>
            </w:r>
          </w:p>
        </w:tc>
        <w:tc>
          <w:tcPr>
            <w:tcW w:w="3327" w:type="pct"/>
            <w:tcBorders>
              <w:bottom w:val="single" w:color="auto" w:sz="8" w:space="0"/>
            </w:tcBorders>
            <w:vAlign w:val="center"/>
          </w:tcPr>
          <w:p w14:paraId="55418AE9">
            <w:pPr>
              <w:pStyle w:val="110"/>
              <w:widowControl w:val="0"/>
              <w:bidi w:val="0"/>
              <w:ind w:left="0" w:leftChars="0" w:firstLine="0" w:firstLineChars="0"/>
              <w:jc w:val="center"/>
              <w:rPr>
                <w:rFonts w:hint="default" w:ascii="宋体" w:hAnsi="Times New Roman" w:eastAsia="宋体" w:cs="宋体"/>
                <w:sz w:val="18"/>
                <w:lang w:val="en-US" w:eastAsia="zh-CN"/>
              </w:rPr>
            </w:pPr>
            <w:r>
              <w:rPr>
                <w:rFonts w:hint="eastAsia" w:cs="宋体"/>
                <w:sz w:val="18"/>
                <w:lang w:val="en-US" w:eastAsia="zh-CN"/>
              </w:rPr>
              <w:t>要求</w:t>
            </w:r>
          </w:p>
        </w:tc>
      </w:tr>
      <w:tr w14:paraId="2FDFC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672" w:type="pct"/>
            <w:tcBorders>
              <w:top w:val="single" w:color="auto" w:sz="8" w:space="0"/>
            </w:tcBorders>
            <w:vAlign w:val="center"/>
          </w:tcPr>
          <w:p w14:paraId="113FDEF7">
            <w:pPr>
              <w:pStyle w:val="110"/>
              <w:widowControl w:val="0"/>
              <w:bidi w:val="0"/>
              <w:ind w:left="0" w:leftChars="0" w:firstLine="0" w:firstLineChars="0"/>
              <w:jc w:val="center"/>
              <w:rPr>
                <w:rFonts w:hint="default" w:eastAsia="宋体"/>
                <w:lang w:val="en-US" w:eastAsia="zh-CN"/>
              </w:rPr>
            </w:pPr>
            <w:r>
              <w:rPr>
                <w:rFonts w:hint="eastAsia" w:eastAsia="宋体"/>
                <w:lang w:val="en-US" w:eastAsia="zh-CN"/>
              </w:rPr>
              <w:t>色泽</w:t>
            </w:r>
          </w:p>
        </w:tc>
        <w:tc>
          <w:tcPr>
            <w:tcW w:w="3327" w:type="pct"/>
            <w:tcBorders>
              <w:top w:val="single" w:color="auto" w:sz="8" w:space="0"/>
            </w:tcBorders>
            <w:vAlign w:val="center"/>
          </w:tcPr>
          <w:p w14:paraId="73FA1AA9">
            <w:pPr>
              <w:pStyle w:val="110"/>
              <w:widowControl w:val="0"/>
              <w:bidi w:val="0"/>
              <w:ind w:left="0" w:leftChars="0" w:firstLine="0" w:firstLineChars="0"/>
              <w:jc w:val="center"/>
              <w:rPr>
                <w:rFonts w:hint="default" w:eastAsia="宋体"/>
                <w:lang w:val="en-US" w:eastAsia="zh-CN"/>
              </w:rPr>
            </w:pPr>
            <w:r>
              <w:rPr>
                <w:rFonts w:hint="eastAsia" w:eastAsia="宋体"/>
                <w:lang w:val="en-US" w:eastAsia="zh-CN"/>
              </w:rPr>
              <w:t>具有产品应有的色泽</w:t>
            </w:r>
          </w:p>
        </w:tc>
      </w:tr>
      <w:tr w14:paraId="5F984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672" w:type="pct"/>
            <w:vAlign w:val="center"/>
          </w:tcPr>
          <w:p w14:paraId="27F38F07">
            <w:pPr>
              <w:pStyle w:val="110"/>
              <w:widowControl w:val="0"/>
              <w:bidi w:val="0"/>
              <w:ind w:left="0" w:leftChars="0" w:firstLine="0" w:firstLineChars="0"/>
              <w:jc w:val="center"/>
              <w:rPr>
                <w:rFonts w:hint="default" w:eastAsia="宋体"/>
                <w:lang w:val="en-US" w:eastAsia="zh-CN"/>
              </w:rPr>
            </w:pPr>
            <w:r>
              <w:rPr>
                <w:rFonts w:hint="eastAsia" w:eastAsia="宋体"/>
                <w:lang w:val="en-US" w:eastAsia="zh-CN"/>
              </w:rPr>
              <w:t>气味、滋味</w:t>
            </w:r>
          </w:p>
        </w:tc>
        <w:tc>
          <w:tcPr>
            <w:tcW w:w="3327" w:type="pct"/>
            <w:vAlign w:val="center"/>
          </w:tcPr>
          <w:p w14:paraId="34AD0F20">
            <w:pPr>
              <w:pStyle w:val="110"/>
              <w:widowControl w:val="0"/>
              <w:bidi w:val="0"/>
              <w:ind w:left="0" w:leftChars="0" w:firstLine="0" w:firstLineChars="0"/>
              <w:jc w:val="center"/>
              <w:rPr>
                <w:rFonts w:hint="default" w:eastAsia="宋体"/>
                <w:lang w:val="en-US" w:eastAsia="zh-CN"/>
              </w:rPr>
            </w:pPr>
            <w:r>
              <w:rPr>
                <w:rFonts w:hint="eastAsia" w:eastAsia="宋体"/>
                <w:lang w:val="en-US" w:eastAsia="zh-CN"/>
              </w:rPr>
              <w:t>无异味、具有蜜柚特有的清香气味</w:t>
            </w:r>
          </w:p>
        </w:tc>
      </w:tr>
      <w:tr w14:paraId="6971E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672" w:type="pct"/>
            <w:vAlign w:val="center"/>
          </w:tcPr>
          <w:p w14:paraId="5ADF7F9A">
            <w:pPr>
              <w:pStyle w:val="110"/>
              <w:widowControl w:val="0"/>
              <w:bidi w:val="0"/>
              <w:ind w:left="0" w:leftChars="0" w:firstLine="0" w:firstLineChars="0"/>
              <w:jc w:val="center"/>
              <w:rPr>
                <w:rFonts w:hint="default" w:eastAsia="宋体"/>
                <w:lang w:val="en-US" w:eastAsia="zh-CN"/>
              </w:rPr>
            </w:pPr>
            <w:r>
              <w:rPr>
                <w:rFonts w:hint="eastAsia" w:eastAsia="宋体"/>
                <w:lang w:val="en-US" w:eastAsia="zh-CN"/>
              </w:rPr>
              <w:t>杂质</w:t>
            </w:r>
          </w:p>
        </w:tc>
        <w:tc>
          <w:tcPr>
            <w:tcW w:w="3327" w:type="pct"/>
            <w:vAlign w:val="center"/>
          </w:tcPr>
          <w:p w14:paraId="6E080A3A">
            <w:pPr>
              <w:pStyle w:val="110"/>
              <w:widowControl w:val="0"/>
              <w:bidi w:val="0"/>
              <w:ind w:left="0" w:leftChars="0" w:firstLine="0" w:firstLineChars="0"/>
              <w:jc w:val="center"/>
              <w:rPr>
                <w:rFonts w:hint="default" w:eastAsia="宋体"/>
                <w:lang w:val="en-US" w:eastAsia="zh-CN"/>
              </w:rPr>
            </w:pPr>
            <w:r>
              <w:rPr>
                <w:rFonts w:hint="eastAsia" w:eastAsia="宋体"/>
                <w:lang w:val="en-US" w:eastAsia="zh-CN"/>
              </w:rPr>
              <w:t>无正常视力可见外来杂质</w:t>
            </w:r>
          </w:p>
        </w:tc>
      </w:tr>
    </w:tbl>
    <w:p w14:paraId="7B660166">
      <w:pPr>
        <w:pStyle w:val="72"/>
        <w:bidi w:val="0"/>
        <w:rPr>
          <w:rFonts w:hint="default"/>
          <w:lang w:val="en-US" w:eastAsia="zh-CN"/>
        </w:rPr>
      </w:pPr>
      <w:r>
        <w:rPr>
          <w:rFonts w:hint="eastAsia"/>
          <w:lang w:val="en-US" w:eastAsia="zh-CN"/>
        </w:rPr>
        <w:t>理化指标</w:t>
      </w:r>
    </w:p>
    <w:p w14:paraId="448E836A">
      <w:pPr>
        <w:pStyle w:val="24"/>
        <w:ind w:firstLine="420"/>
        <w:rPr>
          <w:rFonts w:hint="eastAsia"/>
        </w:rPr>
      </w:pPr>
      <w:r>
        <w:rPr>
          <w:rFonts w:hint="eastAsia"/>
        </w:rPr>
        <w:t>应符合表</w:t>
      </w:r>
      <w:r>
        <w:rPr>
          <w:rFonts w:hint="eastAsia"/>
          <w:lang w:val="en-US" w:eastAsia="zh-CN"/>
        </w:rPr>
        <w:t>2</w:t>
      </w:r>
      <w:r>
        <w:rPr>
          <w:rFonts w:hint="eastAsia"/>
        </w:rPr>
        <w:t>的要求。有机产品还应符合GB/T 19630的要求。</w:t>
      </w:r>
    </w:p>
    <w:p w14:paraId="5D595812">
      <w:pPr>
        <w:pStyle w:val="112"/>
        <w:bidi w:val="0"/>
        <w:rPr>
          <w:rFonts w:hint="eastAsia"/>
          <w:lang w:val="en-US" w:eastAsia="zh-CN"/>
        </w:rPr>
      </w:pPr>
      <w:r>
        <w:rPr>
          <w:rFonts w:hint="eastAsia"/>
          <w:lang w:val="en-US" w:eastAsia="zh-CN"/>
        </w:rPr>
        <w:t>理化指标</w:t>
      </w:r>
    </w:p>
    <w:tbl>
      <w:tblPr>
        <w:tblStyle w:val="21"/>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020"/>
        <w:gridCol w:w="1306"/>
        <w:gridCol w:w="1549"/>
        <w:gridCol w:w="988"/>
        <w:gridCol w:w="1696"/>
      </w:tblGrid>
      <w:tr w14:paraId="47BE3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103" w:type="pct"/>
            <w:vMerge w:val="restart"/>
            <w:vAlign w:val="center"/>
          </w:tcPr>
          <w:p w14:paraId="3D09F58D">
            <w:pPr>
              <w:pStyle w:val="110"/>
              <w:widowControl w:val="0"/>
              <w:bidi w:val="0"/>
              <w:ind w:left="0" w:leftChars="0" w:firstLine="0" w:firstLineChars="0"/>
              <w:jc w:val="center"/>
              <w:rPr>
                <w:rFonts w:hint="default"/>
                <w:lang w:val="en-US" w:eastAsia="zh-CN"/>
              </w:rPr>
            </w:pPr>
            <w:r>
              <w:rPr>
                <w:rFonts w:hint="eastAsia"/>
                <w:lang w:val="en-US" w:eastAsia="zh-CN"/>
              </w:rPr>
              <w:t>项目</w:t>
            </w:r>
          </w:p>
        </w:tc>
        <w:tc>
          <w:tcPr>
            <w:tcW w:w="2010" w:type="pct"/>
            <w:gridSpan w:val="3"/>
            <w:tcBorders>
              <w:bottom w:val="single" w:color="auto" w:sz="8" w:space="0"/>
            </w:tcBorders>
            <w:vAlign w:val="center"/>
          </w:tcPr>
          <w:p w14:paraId="7D76FE3B">
            <w:pPr>
              <w:pStyle w:val="110"/>
              <w:widowControl w:val="0"/>
              <w:bidi w:val="0"/>
              <w:ind w:left="0" w:leftChars="0" w:firstLine="0" w:firstLineChars="0"/>
              <w:jc w:val="center"/>
              <w:rPr>
                <w:rFonts w:hint="default"/>
                <w:lang w:val="en-US" w:eastAsia="zh-CN"/>
              </w:rPr>
            </w:pPr>
            <w:r>
              <w:rPr>
                <w:rFonts w:hint="eastAsia"/>
                <w:lang w:val="en-US" w:eastAsia="zh-CN"/>
              </w:rPr>
              <w:t>要求</w:t>
            </w:r>
          </w:p>
        </w:tc>
        <w:tc>
          <w:tcPr>
            <w:tcW w:w="886" w:type="pct"/>
            <w:vMerge w:val="restart"/>
            <w:vAlign w:val="center"/>
          </w:tcPr>
          <w:p w14:paraId="6207B875">
            <w:pPr>
              <w:pStyle w:val="110"/>
              <w:widowControl w:val="0"/>
              <w:bidi w:val="0"/>
              <w:ind w:left="0" w:leftChars="0" w:firstLine="0" w:firstLineChars="0"/>
              <w:jc w:val="center"/>
              <w:rPr>
                <w:rFonts w:hint="default"/>
                <w:lang w:val="en-US" w:eastAsia="zh-CN"/>
              </w:rPr>
            </w:pPr>
            <w:r>
              <w:rPr>
                <w:rFonts w:hint="eastAsia"/>
                <w:lang w:val="en-US" w:eastAsia="zh-CN"/>
              </w:rPr>
              <w:t>检验方法</w:t>
            </w:r>
          </w:p>
        </w:tc>
      </w:tr>
      <w:tr w14:paraId="0570C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103" w:type="pct"/>
            <w:vMerge w:val="continue"/>
            <w:vAlign w:val="center"/>
          </w:tcPr>
          <w:p w14:paraId="1AB39730">
            <w:pPr>
              <w:pStyle w:val="110"/>
              <w:widowControl w:val="0"/>
              <w:bidi w:val="0"/>
              <w:ind w:left="0" w:leftChars="0" w:firstLine="0" w:firstLineChars="0"/>
              <w:jc w:val="center"/>
              <w:rPr>
                <w:rFonts w:hint="eastAsia"/>
                <w:lang w:val="en-US" w:eastAsia="zh-CN"/>
              </w:rPr>
            </w:pPr>
          </w:p>
        </w:tc>
        <w:tc>
          <w:tcPr>
            <w:tcW w:w="683" w:type="pct"/>
            <w:tcBorders>
              <w:bottom w:val="single" w:color="auto" w:sz="8" w:space="0"/>
            </w:tcBorders>
            <w:vAlign w:val="center"/>
          </w:tcPr>
          <w:p w14:paraId="496A67C2">
            <w:pPr>
              <w:pStyle w:val="110"/>
              <w:widowControl w:val="0"/>
              <w:bidi w:val="0"/>
              <w:ind w:left="0" w:leftChars="0" w:firstLine="0" w:firstLineChars="0"/>
              <w:jc w:val="center"/>
              <w:rPr>
                <w:rFonts w:hint="default"/>
                <w:lang w:val="en-US" w:eastAsia="zh-CN"/>
              </w:rPr>
            </w:pPr>
            <w:r>
              <w:rPr>
                <w:rFonts w:hint="eastAsia"/>
                <w:lang w:val="en-US" w:eastAsia="zh-CN"/>
              </w:rPr>
              <w:t>液态</w:t>
            </w:r>
          </w:p>
        </w:tc>
        <w:tc>
          <w:tcPr>
            <w:tcW w:w="810" w:type="pct"/>
            <w:tcBorders>
              <w:bottom w:val="single" w:color="auto" w:sz="8" w:space="0"/>
            </w:tcBorders>
            <w:vAlign w:val="center"/>
          </w:tcPr>
          <w:p w14:paraId="647A404D">
            <w:pPr>
              <w:pStyle w:val="110"/>
              <w:widowControl w:val="0"/>
              <w:bidi w:val="0"/>
              <w:ind w:left="0" w:leftChars="0" w:firstLine="0" w:firstLineChars="0"/>
              <w:jc w:val="center"/>
              <w:rPr>
                <w:rFonts w:hint="default"/>
                <w:lang w:val="en-US" w:eastAsia="zh-CN"/>
              </w:rPr>
            </w:pPr>
            <w:r>
              <w:rPr>
                <w:rFonts w:hint="eastAsia"/>
                <w:lang w:val="en-US" w:eastAsia="zh-CN"/>
              </w:rPr>
              <w:t>半固态</w:t>
            </w:r>
          </w:p>
        </w:tc>
        <w:tc>
          <w:tcPr>
            <w:tcW w:w="516" w:type="pct"/>
            <w:tcBorders>
              <w:bottom w:val="single" w:color="auto" w:sz="8" w:space="0"/>
            </w:tcBorders>
            <w:vAlign w:val="center"/>
          </w:tcPr>
          <w:p w14:paraId="3BE9D81C">
            <w:pPr>
              <w:pStyle w:val="110"/>
              <w:widowControl w:val="0"/>
              <w:bidi w:val="0"/>
              <w:ind w:left="0" w:leftChars="0" w:firstLine="0" w:firstLineChars="0"/>
              <w:jc w:val="center"/>
              <w:rPr>
                <w:rFonts w:hint="default"/>
                <w:lang w:val="en-US" w:eastAsia="zh-CN"/>
              </w:rPr>
            </w:pPr>
            <w:r>
              <w:rPr>
                <w:rFonts w:hint="eastAsia"/>
                <w:lang w:val="en-US" w:eastAsia="zh-CN"/>
              </w:rPr>
              <w:t>固态</w:t>
            </w:r>
          </w:p>
        </w:tc>
        <w:tc>
          <w:tcPr>
            <w:tcW w:w="886" w:type="pct"/>
            <w:vMerge w:val="continue"/>
            <w:vAlign w:val="center"/>
          </w:tcPr>
          <w:p w14:paraId="08DAFCE6">
            <w:pPr>
              <w:pStyle w:val="110"/>
              <w:widowControl w:val="0"/>
              <w:bidi w:val="0"/>
              <w:ind w:left="0" w:leftChars="0" w:firstLine="0" w:firstLineChars="0"/>
              <w:jc w:val="center"/>
              <w:rPr>
                <w:rFonts w:hint="eastAsia"/>
                <w:lang w:val="en-US" w:eastAsia="zh-CN"/>
              </w:rPr>
            </w:pPr>
          </w:p>
        </w:tc>
      </w:tr>
      <w:tr w14:paraId="1399B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3" w:type="pct"/>
            <w:vAlign w:val="center"/>
          </w:tcPr>
          <w:p w14:paraId="37D02BBD">
            <w:pPr>
              <w:pStyle w:val="110"/>
              <w:widowControl w:val="0"/>
              <w:bidi w:val="0"/>
              <w:ind w:left="0" w:leftChars="0" w:firstLine="0" w:firstLineChars="0"/>
              <w:jc w:val="center"/>
              <w:rPr>
                <w:rFonts w:hint="default"/>
                <w:lang w:val="en-US" w:eastAsia="zh-CN"/>
              </w:rPr>
            </w:pPr>
            <w:r>
              <w:rPr>
                <w:rFonts w:hint="eastAsia"/>
                <w:lang w:val="en-US" w:eastAsia="zh-CN"/>
              </w:rPr>
              <w:t>pH</w:t>
            </w:r>
          </w:p>
        </w:tc>
        <w:tc>
          <w:tcPr>
            <w:tcW w:w="683" w:type="pct"/>
            <w:tcBorders>
              <w:bottom w:val="single" w:color="auto" w:sz="8" w:space="0"/>
            </w:tcBorders>
            <w:vAlign w:val="center"/>
          </w:tcPr>
          <w:p w14:paraId="7B3A7E80">
            <w:pPr>
              <w:pStyle w:val="110"/>
              <w:widowControl w:val="0"/>
              <w:bidi w:val="0"/>
              <w:ind w:left="0" w:leftChars="0" w:firstLine="0" w:firstLineChars="0"/>
              <w:jc w:val="center"/>
              <w:rPr>
                <w:rFonts w:hint="default"/>
                <w:lang w:val="en-US" w:eastAsia="zh-CN"/>
              </w:rPr>
            </w:pPr>
            <w:r>
              <w:rPr>
                <w:rFonts w:hint="eastAsia"/>
                <w:lang w:val="en-US" w:eastAsia="zh-CN"/>
              </w:rPr>
              <w:t>≤4.5</w:t>
            </w:r>
          </w:p>
        </w:tc>
        <w:tc>
          <w:tcPr>
            <w:tcW w:w="810" w:type="pct"/>
            <w:tcBorders>
              <w:bottom w:val="single" w:color="auto" w:sz="8" w:space="0"/>
            </w:tcBorders>
            <w:shd w:val="clear" w:color="auto" w:fill="auto"/>
            <w:vAlign w:val="center"/>
          </w:tcPr>
          <w:p w14:paraId="2874F918">
            <w:pPr>
              <w:pStyle w:val="110"/>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≤4.5</w:t>
            </w:r>
          </w:p>
        </w:tc>
        <w:tc>
          <w:tcPr>
            <w:tcW w:w="516" w:type="pct"/>
            <w:tcBorders>
              <w:bottom w:val="single" w:color="auto" w:sz="8" w:space="0"/>
            </w:tcBorders>
            <w:vAlign w:val="center"/>
          </w:tcPr>
          <w:p w14:paraId="3AD235E5">
            <w:pPr>
              <w:pStyle w:val="110"/>
              <w:widowControl w:val="0"/>
              <w:bidi w:val="0"/>
              <w:ind w:left="0" w:leftChars="0" w:firstLine="0" w:firstLineChars="0"/>
              <w:jc w:val="center"/>
              <w:rPr>
                <w:rFonts w:hint="default"/>
                <w:lang w:val="en-US" w:eastAsia="zh-CN"/>
              </w:rPr>
            </w:pPr>
            <w:r>
              <w:rPr>
                <w:rFonts w:hint="eastAsia"/>
                <w:lang w:val="en-US" w:eastAsia="zh-CN"/>
              </w:rPr>
              <w:t>-</w:t>
            </w:r>
          </w:p>
        </w:tc>
        <w:tc>
          <w:tcPr>
            <w:tcW w:w="886" w:type="pct"/>
            <w:vAlign w:val="center"/>
          </w:tcPr>
          <w:p w14:paraId="151DC2EA">
            <w:pPr>
              <w:pStyle w:val="110"/>
              <w:widowControl w:val="0"/>
              <w:bidi w:val="0"/>
              <w:ind w:left="0" w:leftChars="0" w:firstLine="0" w:firstLineChars="0"/>
              <w:jc w:val="center"/>
              <w:rPr>
                <w:rFonts w:hint="default"/>
                <w:lang w:val="en-US" w:eastAsia="zh-CN"/>
              </w:rPr>
            </w:pPr>
            <w:r>
              <w:rPr>
                <w:rFonts w:hint="eastAsia"/>
                <w:lang w:val="en-US" w:eastAsia="zh-CN"/>
              </w:rPr>
              <w:t>GB/T 10468</w:t>
            </w:r>
          </w:p>
        </w:tc>
      </w:tr>
      <w:tr w14:paraId="3FF06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103" w:type="pct"/>
            <w:vAlign w:val="center"/>
          </w:tcPr>
          <w:p w14:paraId="3E721AE7">
            <w:pPr>
              <w:pStyle w:val="110"/>
              <w:widowControl w:val="0"/>
              <w:bidi w:val="0"/>
              <w:ind w:left="0" w:leftChars="0" w:firstLine="0" w:firstLineChars="0"/>
              <w:jc w:val="center"/>
              <w:rPr>
                <w:rFonts w:hint="default"/>
                <w:lang w:val="en-US" w:eastAsia="zh-CN"/>
              </w:rPr>
            </w:pPr>
            <w:r>
              <w:rPr>
                <w:rFonts w:hint="eastAsia"/>
                <w:lang w:val="en-US" w:eastAsia="zh-CN"/>
              </w:rPr>
              <w:t>乙醇含量（g/100g）</w:t>
            </w:r>
          </w:p>
        </w:tc>
        <w:tc>
          <w:tcPr>
            <w:tcW w:w="683" w:type="pct"/>
            <w:tcBorders>
              <w:bottom w:val="single" w:color="auto" w:sz="8" w:space="0"/>
            </w:tcBorders>
            <w:vAlign w:val="center"/>
          </w:tcPr>
          <w:p w14:paraId="731D975F">
            <w:pPr>
              <w:pStyle w:val="110"/>
              <w:widowControl w:val="0"/>
              <w:bidi w:val="0"/>
              <w:ind w:left="0" w:leftChars="0" w:firstLine="0" w:firstLineChars="0"/>
              <w:jc w:val="center"/>
              <w:rPr>
                <w:rFonts w:hint="default"/>
                <w:lang w:val="en-US" w:eastAsia="zh-CN"/>
              </w:rPr>
            </w:pPr>
            <w:r>
              <w:rPr>
                <w:rFonts w:hint="eastAsia"/>
                <w:lang w:val="en-US" w:eastAsia="zh-CN"/>
              </w:rPr>
              <w:t>≤0.5</w:t>
            </w:r>
          </w:p>
        </w:tc>
        <w:tc>
          <w:tcPr>
            <w:tcW w:w="810" w:type="pct"/>
            <w:tcBorders>
              <w:bottom w:val="single" w:color="auto" w:sz="8" w:space="0"/>
            </w:tcBorders>
            <w:shd w:val="clear" w:color="auto" w:fill="auto"/>
            <w:vAlign w:val="center"/>
          </w:tcPr>
          <w:p w14:paraId="1D8FF2E8">
            <w:pPr>
              <w:pStyle w:val="110"/>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≤0.5</w:t>
            </w:r>
          </w:p>
        </w:tc>
        <w:tc>
          <w:tcPr>
            <w:tcW w:w="516" w:type="pct"/>
            <w:tcBorders>
              <w:bottom w:val="single" w:color="auto" w:sz="8" w:space="0"/>
            </w:tcBorders>
            <w:vAlign w:val="center"/>
          </w:tcPr>
          <w:p w14:paraId="47F4CE40">
            <w:pPr>
              <w:pStyle w:val="110"/>
              <w:widowControl w:val="0"/>
              <w:bidi w:val="0"/>
              <w:ind w:left="0" w:leftChars="0" w:firstLine="0" w:firstLineChars="0"/>
              <w:jc w:val="center"/>
              <w:rPr>
                <w:rFonts w:hint="default"/>
                <w:lang w:val="en-US" w:eastAsia="zh-CN"/>
              </w:rPr>
            </w:pPr>
            <w:r>
              <w:rPr>
                <w:rFonts w:hint="eastAsia"/>
                <w:lang w:val="en-US" w:eastAsia="zh-CN"/>
              </w:rPr>
              <w:t>-</w:t>
            </w:r>
          </w:p>
        </w:tc>
        <w:tc>
          <w:tcPr>
            <w:tcW w:w="886" w:type="pct"/>
            <w:vAlign w:val="center"/>
          </w:tcPr>
          <w:p w14:paraId="25F9DCDA">
            <w:pPr>
              <w:pStyle w:val="110"/>
              <w:widowControl w:val="0"/>
              <w:bidi w:val="0"/>
              <w:ind w:left="0" w:leftChars="0" w:firstLine="0" w:firstLineChars="0"/>
              <w:jc w:val="center"/>
              <w:rPr>
                <w:rFonts w:hint="default"/>
                <w:lang w:val="en-US" w:eastAsia="zh-CN"/>
              </w:rPr>
            </w:pPr>
            <w:r>
              <w:rPr>
                <w:rFonts w:hint="eastAsia"/>
                <w:lang w:val="en-US" w:eastAsia="zh-CN"/>
              </w:rPr>
              <w:t>GB 12143</w:t>
            </w:r>
          </w:p>
        </w:tc>
      </w:tr>
      <w:tr w14:paraId="03119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103" w:type="pct"/>
            <w:vAlign w:val="center"/>
          </w:tcPr>
          <w:p w14:paraId="7849D1A8">
            <w:pPr>
              <w:pStyle w:val="110"/>
              <w:widowControl w:val="0"/>
              <w:bidi w:val="0"/>
              <w:ind w:left="0" w:leftChars="0" w:firstLine="0" w:firstLineChars="0"/>
              <w:jc w:val="center"/>
              <w:rPr>
                <w:rFonts w:hint="eastAsia"/>
                <w:lang w:val="en-US" w:eastAsia="zh-CN"/>
              </w:rPr>
            </w:pPr>
            <w:r>
              <w:rPr>
                <w:rFonts w:hint="eastAsia"/>
                <w:lang w:val="en-US" w:eastAsia="zh-CN"/>
              </w:rPr>
              <w:t>总酸（以乳酸系数折算）(g/kg)</w:t>
            </w:r>
          </w:p>
        </w:tc>
        <w:tc>
          <w:tcPr>
            <w:tcW w:w="683" w:type="pct"/>
            <w:tcBorders>
              <w:bottom w:val="single" w:color="auto" w:sz="8" w:space="0"/>
            </w:tcBorders>
            <w:vAlign w:val="center"/>
          </w:tcPr>
          <w:p w14:paraId="76807395">
            <w:pPr>
              <w:pStyle w:val="110"/>
              <w:widowControl w:val="0"/>
              <w:bidi w:val="0"/>
              <w:ind w:left="0" w:leftChars="0" w:firstLine="0" w:firstLineChars="0"/>
              <w:jc w:val="center"/>
              <w:rPr>
                <w:rFonts w:hint="default"/>
                <w:lang w:val="en-US" w:eastAsia="zh-CN"/>
              </w:rPr>
            </w:pPr>
            <w:r>
              <w:rPr>
                <w:rFonts w:hint="eastAsia"/>
                <w:lang w:val="en-US" w:eastAsia="zh-CN"/>
              </w:rPr>
              <w:t>≥8.0</w:t>
            </w:r>
          </w:p>
        </w:tc>
        <w:tc>
          <w:tcPr>
            <w:tcW w:w="810" w:type="pct"/>
            <w:tcBorders>
              <w:bottom w:val="single" w:color="auto" w:sz="8" w:space="0"/>
            </w:tcBorders>
            <w:shd w:val="clear" w:color="auto" w:fill="auto"/>
            <w:vAlign w:val="center"/>
          </w:tcPr>
          <w:p w14:paraId="77F670B3">
            <w:pPr>
              <w:pStyle w:val="110"/>
              <w:widowControl w:val="0"/>
              <w:bidi w:val="0"/>
              <w:ind w:left="0" w:leftChars="0" w:firstLine="0" w:firstLineChars="0"/>
              <w:jc w:val="center"/>
              <w:rPr>
                <w:rFonts w:hint="default"/>
                <w:lang w:val="en-US" w:eastAsia="zh-CN"/>
              </w:rPr>
            </w:pPr>
            <w:r>
              <w:rPr>
                <w:rFonts w:hint="eastAsia"/>
                <w:lang w:val="en-US" w:eastAsia="zh-CN"/>
              </w:rPr>
              <w:t>≥11.0</w:t>
            </w:r>
          </w:p>
        </w:tc>
        <w:tc>
          <w:tcPr>
            <w:tcW w:w="516" w:type="pct"/>
            <w:tcBorders>
              <w:bottom w:val="single" w:color="auto" w:sz="8" w:space="0"/>
            </w:tcBorders>
            <w:vAlign w:val="center"/>
          </w:tcPr>
          <w:p w14:paraId="45EAEFBF">
            <w:pPr>
              <w:pStyle w:val="110"/>
              <w:widowControl w:val="0"/>
              <w:bidi w:val="0"/>
              <w:ind w:left="0" w:leftChars="0" w:firstLine="0" w:firstLineChars="0"/>
              <w:jc w:val="center"/>
              <w:rPr>
                <w:rFonts w:hint="default"/>
                <w:lang w:val="en-US" w:eastAsia="zh-CN"/>
              </w:rPr>
            </w:pPr>
            <w:r>
              <w:rPr>
                <w:rFonts w:hint="eastAsia"/>
                <w:lang w:val="en-US" w:eastAsia="zh-CN"/>
              </w:rPr>
              <w:t>≥24.0</w:t>
            </w:r>
          </w:p>
        </w:tc>
        <w:tc>
          <w:tcPr>
            <w:tcW w:w="886" w:type="pct"/>
            <w:vAlign w:val="center"/>
          </w:tcPr>
          <w:p w14:paraId="5FA86E29">
            <w:pPr>
              <w:pStyle w:val="110"/>
              <w:widowControl w:val="0"/>
              <w:bidi w:val="0"/>
              <w:ind w:left="0" w:leftChars="0" w:firstLine="0" w:firstLineChars="0"/>
              <w:jc w:val="center"/>
              <w:rPr>
                <w:rFonts w:hint="default"/>
                <w:lang w:val="en-US" w:eastAsia="zh-CN"/>
              </w:rPr>
            </w:pPr>
            <w:r>
              <w:rPr>
                <w:rFonts w:hint="eastAsia"/>
                <w:lang w:val="en-US" w:eastAsia="zh-CN"/>
              </w:rPr>
              <w:t>GB 12456</w:t>
            </w:r>
          </w:p>
        </w:tc>
      </w:tr>
      <w:tr w14:paraId="4B046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103" w:type="pct"/>
            <w:vAlign w:val="center"/>
          </w:tcPr>
          <w:p w14:paraId="655695BA">
            <w:pPr>
              <w:pStyle w:val="110"/>
              <w:widowControl w:val="0"/>
              <w:bidi w:val="0"/>
              <w:ind w:left="0" w:leftChars="0" w:firstLine="0" w:firstLineChars="0"/>
              <w:jc w:val="center"/>
              <w:rPr>
                <w:rFonts w:hint="eastAsia"/>
                <w:lang w:val="en-US" w:eastAsia="zh-CN"/>
              </w:rPr>
            </w:pPr>
            <w:r>
              <w:rPr>
                <w:rFonts w:hint="eastAsia"/>
                <w:lang w:val="en-US" w:eastAsia="zh-CN"/>
              </w:rPr>
              <w:t>有机酸（g/kg)</w:t>
            </w:r>
          </w:p>
        </w:tc>
        <w:tc>
          <w:tcPr>
            <w:tcW w:w="683" w:type="pct"/>
            <w:tcBorders>
              <w:bottom w:val="single" w:color="auto" w:sz="8" w:space="0"/>
            </w:tcBorders>
            <w:vAlign w:val="center"/>
          </w:tcPr>
          <w:p w14:paraId="6D7DCC7E">
            <w:pPr>
              <w:pStyle w:val="110"/>
              <w:widowControl w:val="0"/>
              <w:bidi w:val="0"/>
              <w:ind w:left="0" w:leftChars="0" w:firstLine="0" w:firstLineChars="0"/>
              <w:jc w:val="center"/>
              <w:rPr>
                <w:rFonts w:hint="eastAsia"/>
                <w:lang w:val="en-US" w:eastAsia="zh-CN"/>
              </w:rPr>
            </w:pPr>
            <w:r>
              <w:rPr>
                <w:rFonts w:hint="eastAsia"/>
                <w:lang w:val="en-US" w:eastAsia="zh-CN"/>
              </w:rPr>
              <w:t>≥0.55</w:t>
            </w:r>
          </w:p>
        </w:tc>
        <w:tc>
          <w:tcPr>
            <w:tcW w:w="810" w:type="pct"/>
            <w:tcBorders>
              <w:bottom w:val="single" w:color="auto" w:sz="8" w:space="0"/>
            </w:tcBorders>
            <w:shd w:val="clear" w:color="auto" w:fill="auto"/>
            <w:vAlign w:val="center"/>
          </w:tcPr>
          <w:p w14:paraId="45E5FFE5">
            <w:pPr>
              <w:pStyle w:val="110"/>
              <w:widowControl w:val="0"/>
              <w:bidi w:val="0"/>
              <w:ind w:left="0" w:leftChars="0" w:firstLine="0" w:firstLineChars="0"/>
              <w:jc w:val="center"/>
              <w:rPr>
                <w:rFonts w:hint="default"/>
                <w:lang w:val="en-US" w:eastAsia="zh-CN"/>
              </w:rPr>
            </w:pPr>
            <w:r>
              <w:rPr>
                <w:rFonts w:hint="eastAsia"/>
                <w:lang w:val="en-US" w:eastAsia="zh-CN"/>
              </w:rPr>
              <w:t>≥0.8</w:t>
            </w:r>
          </w:p>
        </w:tc>
        <w:tc>
          <w:tcPr>
            <w:tcW w:w="516" w:type="pct"/>
            <w:tcBorders>
              <w:bottom w:val="single" w:color="auto" w:sz="8" w:space="0"/>
            </w:tcBorders>
            <w:vAlign w:val="center"/>
          </w:tcPr>
          <w:p w14:paraId="71076B7D">
            <w:pPr>
              <w:pStyle w:val="110"/>
              <w:widowControl w:val="0"/>
              <w:bidi w:val="0"/>
              <w:ind w:left="0" w:leftChars="0" w:firstLine="0" w:firstLineChars="0"/>
              <w:jc w:val="center"/>
              <w:rPr>
                <w:rFonts w:hint="default"/>
                <w:lang w:val="en-US" w:eastAsia="zh-CN"/>
              </w:rPr>
            </w:pPr>
            <w:r>
              <w:rPr>
                <w:rFonts w:hint="eastAsia"/>
                <w:lang w:val="en-US" w:eastAsia="zh-CN"/>
              </w:rPr>
              <w:t>≥1.15</w:t>
            </w:r>
          </w:p>
        </w:tc>
        <w:tc>
          <w:tcPr>
            <w:tcW w:w="886" w:type="pct"/>
            <w:vAlign w:val="center"/>
          </w:tcPr>
          <w:p w14:paraId="1B77CD94">
            <w:pPr>
              <w:pStyle w:val="110"/>
              <w:widowControl w:val="0"/>
              <w:bidi w:val="0"/>
              <w:ind w:left="0" w:leftChars="0" w:firstLine="0" w:firstLineChars="0"/>
              <w:jc w:val="center"/>
              <w:rPr>
                <w:rFonts w:hint="default"/>
                <w:lang w:val="en-US" w:eastAsia="zh-CN"/>
              </w:rPr>
            </w:pPr>
            <w:r>
              <w:rPr>
                <w:rFonts w:hint="eastAsia"/>
                <w:lang w:val="en-US" w:eastAsia="zh-CN"/>
              </w:rPr>
              <w:t>GB 5009.157</w:t>
            </w:r>
          </w:p>
        </w:tc>
      </w:tr>
      <w:tr w14:paraId="26011D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103" w:type="pct"/>
            <w:vAlign w:val="center"/>
          </w:tcPr>
          <w:p w14:paraId="6D269B06">
            <w:pPr>
              <w:pStyle w:val="110"/>
              <w:widowControl w:val="0"/>
              <w:bidi w:val="0"/>
              <w:ind w:left="0" w:leftChars="0" w:firstLine="0" w:firstLineChars="0"/>
              <w:jc w:val="center"/>
              <w:rPr>
                <w:rFonts w:hint="eastAsia"/>
                <w:lang w:val="en-US" w:eastAsia="zh-CN"/>
              </w:rPr>
            </w:pPr>
            <w:r>
              <w:rPr>
                <w:rFonts w:hint="eastAsia"/>
                <w:lang w:val="en-US" w:eastAsia="zh-CN"/>
              </w:rPr>
              <w:t>粗多糖</w:t>
            </w:r>
          </w:p>
        </w:tc>
        <w:tc>
          <w:tcPr>
            <w:tcW w:w="683" w:type="pct"/>
            <w:tcBorders>
              <w:bottom w:val="single" w:color="auto" w:sz="8" w:space="0"/>
            </w:tcBorders>
            <w:vAlign w:val="center"/>
          </w:tcPr>
          <w:p w14:paraId="3982D696">
            <w:pPr>
              <w:pStyle w:val="110"/>
              <w:widowControl w:val="0"/>
              <w:bidi w:val="0"/>
              <w:ind w:left="0" w:leftChars="0" w:firstLine="0" w:firstLineChars="0"/>
              <w:jc w:val="center"/>
              <w:rPr>
                <w:rFonts w:hint="default"/>
                <w:lang w:val="en-US" w:eastAsia="zh-CN"/>
              </w:rPr>
            </w:pPr>
            <w:r>
              <w:rPr>
                <w:rFonts w:hint="eastAsia"/>
                <w:lang w:val="en-US" w:eastAsia="zh-CN"/>
              </w:rPr>
              <w:t>≥1.0</w:t>
            </w:r>
          </w:p>
        </w:tc>
        <w:tc>
          <w:tcPr>
            <w:tcW w:w="810" w:type="pct"/>
            <w:tcBorders>
              <w:bottom w:val="single" w:color="auto" w:sz="8" w:space="0"/>
            </w:tcBorders>
            <w:shd w:val="clear" w:color="auto" w:fill="auto"/>
            <w:vAlign w:val="center"/>
          </w:tcPr>
          <w:p w14:paraId="5F2D3219">
            <w:pPr>
              <w:pStyle w:val="110"/>
              <w:widowControl w:val="0"/>
              <w:bidi w:val="0"/>
              <w:ind w:left="0" w:leftChars="0" w:firstLine="0" w:firstLineChars="0"/>
              <w:jc w:val="center"/>
              <w:rPr>
                <w:rFonts w:hint="default"/>
                <w:lang w:val="en-US" w:eastAsia="zh-CN"/>
              </w:rPr>
            </w:pPr>
            <w:r>
              <w:rPr>
                <w:rFonts w:hint="eastAsia"/>
                <w:lang w:val="en-US" w:eastAsia="zh-CN"/>
              </w:rPr>
              <w:t>≥1.5</w:t>
            </w:r>
          </w:p>
        </w:tc>
        <w:tc>
          <w:tcPr>
            <w:tcW w:w="516" w:type="pct"/>
            <w:tcBorders>
              <w:bottom w:val="single" w:color="auto" w:sz="8" w:space="0"/>
            </w:tcBorders>
            <w:vAlign w:val="center"/>
          </w:tcPr>
          <w:p w14:paraId="17B8DA3A">
            <w:pPr>
              <w:pStyle w:val="110"/>
              <w:widowControl w:val="0"/>
              <w:bidi w:val="0"/>
              <w:ind w:left="0" w:leftChars="0" w:firstLine="0" w:firstLineChars="0"/>
              <w:jc w:val="center"/>
              <w:rPr>
                <w:rFonts w:hint="default"/>
                <w:lang w:val="en-US" w:eastAsia="zh-CN"/>
              </w:rPr>
            </w:pPr>
            <w:r>
              <w:rPr>
                <w:rFonts w:hint="eastAsia"/>
                <w:lang w:val="en-US" w:eastAsia="zh-CN"/>
              </w:rPr>
              <w:t>≥28.0</w:t>
            </w:r>
          </w:p>
        </w:tc>
        <w:tc>
          <w:tcPr>
            <w:tcW w:w="886" w:type="pct"/>
            <w:vAlign w:val="center"/>
          </w:tcPr>
          <w:p w14:paraId="575FE836">
            <w:pPr>
              <w:pStyle w:val="110"/>
              <w:widowControl w:val="0"/>
              <w:bidi w:val="0"/>
              <w:ind w:left="0" w:leftChars="0" w:firstLine="0" w:firstLineChars="0"/>
              <w:jc w:val="center"/>
              <w:rPr>
                <w:rFonts w:hint="default"/>
                <w:lang w:val="en-US" w:eastAsia="zh-CN"/>
              </w:rPr>
            </w:pPr>
            <w:r>
              <w:rPr>
                <w:rFonts w:hint="eastAsia"/>
                <w:lang w:val="en-US" w:eastAsia="zh-CN"/>
              </w:rPr>
              <w:t>SN/T 4260</w:t>
            </w:r>
          </w:p>
        </w:tc>
      </w:tr>
      <w:tr w14:paraId="1A5F5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103" w:type="pct"/>
            <w:vAlign w:val="center"/>
          </w:tcPr>
          <w:p w14:paraId="2F461A13">
            <w:pPr>
              <w:pStyle w:val="110"/>
              <w:widowControl w:val="0"/>
              <w:bidi w:val="0"/>
              <w:ind w:left="0" w:leftChars="0" w:firstLine="0" w:firstLineChars="0"/>
              <w:jc w:val="center"/>
              <w:rPr>
                <w:rFonts w:hint="eastAsia"/>
                <w:lang w:val="en-US" w:eastAsia="zh-CN"/>
              </w:rPr>
            </w:pPr>
            <w:r>
              <w:rPr>
                <w:rFonts w:hint="eastAsia"/>
                <w:lang w:val="en-US" w:eastAsia="zh-CN"/>
              </w:rPr>
              <w:t>游离氨基酸/(gkg)</w:t>
            </w:r>
          </w:p>
        </w:tc>
        <w:tc>
          <w:tcPr>
            <w:tcW w:w="683" w:type="pct"/>
            <w:tcBorders>
              <w:bottom w:val="single" w:color="auto" w:sz="8" w:space="0"/>
            </w:tcBorders>
            <w:vAlign w:val="center"/>
          </w:tcPr>
          <w:p w14:paraId="0820297A">
            <w:pPr>
              <w:pStyle w:val="110"/>
              <w:widowControl w:val="0"/>
              <w:bidi w:val="0"/>
              <w:ind w:left="0" w:leftChars="0" w:firstLine="0" w:firstLineChars="0"/>
              <w:jc w:val="center"/>
              <w:rPr>
                <w:rFonts w:hint="default"/>
                <w:lang w:val="en-US" w:eastAsia="zh-CN"/>
              </w:rPr>
            </w:pPr>
            <w:r>
              <w:rPr>
                <w:rFonts w:hint="eastAsia"/>
                <w:lang w:val="en-US" w:eastAsia="zh-CN"/>
              </w:rPr>
              <w:t>≥0.33</w:t>
            </w:r>
          </w:p>
        </w:tc>
        <w:tc>
          <w:tcPr>
            <w:tcW w:w="810" w:type="pct"/>
            <w:tcBorders>
              <w:bottom w:val="single" w:color="auto" w:sz="8" w:space="0"/>
            </w:tcBorders>
            <w:shd w:val="clear" w:color="auto" w:fill="auto"/>
            <w:vAlign w:val="center"/>
          </w:tcPr>
          <w:p w14:paraId="3D323B3C">
            <w:pPr>
              <w:pStyle w:val="110"/>
              <w:widowControl w:val="0"/>
              <w:bidi w:val="0"/>
              <w:ind w:left="0" w:leftChars="0" w:firstLine="0" w:firstLineChars="0"/>
              <w:jc w:val="center"/>
              <w:rPr>
                <w:rFonts w:hint="default"/>
                <w:lang w:val="en-US" w:eastAsia="zh-CN"/>
              </w:rPr>
            </w:pPr>
            <w:r>
              <w:rPr>
                <w:rFonts w:hint="eastAsia"/>
                <w:lang w:val="en-US" w:eastAsia="zh-CN"/>
              </w:rPr>
              <w:t>≥0.35</w:t>
            </w:r>
          </w:p>
        </w:tc>
        <w:tc>
          <w:tcPr>
            <w:tcW w:w="516" w:type="pct"/>
            <w:tcBorders>
              <w:bottom w:val="single" w:color="auto" w:sz="8" w:space="0"/>
            </w:tcBorders>
            <w:vAlign w:val="center"/>
          </w:tcPr>
          <w:p w14:paraId="35C37A6C">
            <w:pPr>
              <w:pStyle w:val="110"/>
              <w:widowControl w:val="0"/>
              <w:bidi w:val="0"/>
              <w:ind w:left="0" w:leftChars="0" w:firstLine="0" w:firstLineChars="0"/>
              <w:jc w:val="center"/>
              <w:rPr>
                <w:rFonts w:hint="default"/>
                <w:lang w:val="en-US" w:eastAsia="zh-CN"/>
              </w:rPr>
            </w:pPr>
            <w:r>
              <w:rPr>
                <w:rFonts w:hint="eastAsia"/>
                <w:lang w:val="en-US" w:eastAsia="zh-CN"/>
              </w:rPr>
              <w:t>≥0.97</w:t>
            </w:r>
          </w:p>
        </w:tc>
        <w:tc>
          <w:tcPr>
            <w:tcW w:w="886" w:type="pct"/>
            <w:vAlign w:val="center"/>
          </w:tcPr>
          <w:p w14:paraId="6A34C715">
            <w:pPr>
              <w:pStyle w:val="110"/>
              <w:widowControl w:val="0"/>
              <w:bidi w:val="0"/>
              <w:ind w:left="0" w:leftChars="0" w:firstLine="0" w:firstLineChars="0"/>
              <w:jc w:val="center"/>
              <w:rPr>
                <w:rFonts w:hint="default"/>
                <w:lang w:val="en-US" w:eastAsia="zh-CN"/>
              </w:rPr>
            </w:pPr>
            <w:r>
              <w:rPr>
                <w:rFonts w:hint="eastAsia"/>
                <w:lang w:val="en-US" w:eastAsia="zh-CN"/>
              </w:rPr>
              <w:t>GB 5009.124</w:t>
            </w:r>
          </w:p>
        </w:tc>
      </w:tr>
      <w:tr w14:paraId="25145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103" w:type="pct"/>
            <w:vAlign w:val="center"/>
          </w:tcPr>
          <w:p w14:paraId="2AF35D9E">
            <w:pPr>
              <w:pStyle w:val="110"/>
              <w:widowControl w:val="0"/>
              <w:bidi w:val="0"/>
              <w:ind w:left="0" w:leftChars="0" w:firstLine="0" w:firstLineChars="0"/>
              <w:jc w:val="center"/>
              <w:rPr>
                <w:rFonts w:hint="eastAsia"/>
                <w:lang w:val="en-US" w:eastAsia="zh-CN"/>
              </w:rPr>
            </w:pPr>
            <w:r>
              <w:rPr>
                <w:rFonts w:hint="eastAsia"/>
                <w:lang w:val="en-US" w:eastAsia="zh-CN"/>
              </w:rPr>
              <w:t>乳酸菌[CFU/mL液态），CFU/g（半固体、固态）]</w:t>
            </w:r>
          </w:p>
        </w:tc>
        <w:tc>
          <w:tcPr>
            <w:tcW w:w="683" w:type="pct"/>
            <w:tcBorders>
              <w:bottom w:val="single" w:color="auto" w:sz="8" w:space="0"/>
            </w:tcBorders>
            <w:vAlign w:val="center"/>
          </w:tcPr>
          <w:p w14:paraId="2F7F4BB7">
            <w:pPr>
              <w:pStyle w:val="110"/>
              <w:widowControl w:val="0"/>
              <w:bidi w:val="0"/>
              <w:ind w:left="0" w:leftChars="0" w:firstLine="0" w:firstLineChars="0"/>
              <w:jc w:val="center"/>
              <w:rPr>
                <w:rFonts w:hint="eastAsia"/>
                <w:lang w:val="en-US" w:eastAsia="zh-CN"/>
              </w:rPr>
            </w:pPr>
            <w:r>
              <w:rPr>
                <w:rFonts w:hint="eastAsia"/>
                <w:lang w:val="en-US" w:eastAsia="zh-CN"/>
              </w:rPr>
              <w:t>≥1×10</w:t>
            </w:r>
            <w:r>
              <w:rPr>
                <w:rFonts w:hint="eastAsia"/>
                <w:vertAlign w:val="superscript"/>
                <w:lang w:val="en-US" w:eastAsia="zh-CN"/>
              </w:rPr>
              <w:t>6</w:t>
            </w:r>
          </w:p>
        </w:tc>
        <w:tc>
          <w:tcPr>
            <w:tcW w:w="810" w:type="pct"/>
            <w:tcBorders>
              <w:bottom w:val="single" w:color="auto" w:sz="8" w:space="0"/>
            </w:tcBorders>
            <w:shd w:val="clear" w:color="auto" w:fill="auto"/>
            <w:vAlign w:val="center"/>
          </w:tcPr>
          <w:p w14:paraId="67D19FF4">
            <w:pPr>
              <w:pStyle w:val="110"/>
              <w:widowControl w:val="0"/>
              <w:bidi w:val="0"/>
              <w:ind w:left="0" w:leftChars="0" w:firstLine="0" w:firstLineChars="0"/>
              <w:jc w:val="center"/>
              <w:rPr>
                <w:rFonts w:hint="eastAsia"/>
                <w:lang w:val="en-US" w:eastAsia="zh-CN"/>
              </w:rPr>
            </w:pPr>
            <w:r>
              <w:rPr>
                <w:rFonts w:hint="eastAsia"/>
                <w:lang w:val="en-US" w:eastAsia="zh-CN"/>
              </w:rPr>
              <w:t>≥1×10</w:t>
            </w:r>
            <w:r>
              <w:rPr>
                <w:rFonts w:hint="eastAsia"/>
                <w:vertAlign w:val="superscript"/>
                <w:lang w:val="en-US" w:eastAsia="zh-CN"/>
              </w:rPr>
              <w:t>6</w:t>
            </w:r>
          </w:p>
        </w:tc>
        <w:tc>
          <w:tcPr>
            <w:tcW w:w="516" w:type="pct"/>
            <w:tcBorders>
              <w:bottom w:val="single" w:color="auto" w:sz="8" w:space="0"/>
            </w:tcBorders>
            <w:vAlign w:val="center"/>
          </w:tcPr>
          <w:p w14:paraId="6535EB5D">
            <w:pPr>
              <w:pStyle w:val="110"/>
              <w:widowControl w:val="0"/>
              <w:bidi w:val="0"/>
              <w:ind w:left="0" w:leftChars="0" w:firstLine="0" w:firstLineChars="0"/>
              <w:jc w:val="center"/>
              <w:rPr>
                <w:rFonts w:hint="default"/>
                <w:lang w:val="en-US" w:eastAsia="zh-CN"/>
              </w:rPr>
            </w:pPr>
            <w:r>
              <w:rPr>
                <w:rFonts w:hint="eastAsia"/>
                <w:lang w:val="en-US" w:eastAsia="zh-CN"/>
              </w:rPr>
              <w:t>≥1×10</w:t>
            </w:r>
            <w:r>
              <w:rPr>
                <w:rFonts w:hint="eastAsia"/>
                <w:vertAlign w:val="superscript"/>
                <w:lang w:val="en-US" w:eastAsia="zh-CN"/>
              </w:rPr>
              <w:t>6</w:t>
            </w:r>
          </w:p>
        </w:tc>
        <w:tc>
          <w:tcPr>
            <w:tcW w:w="886" w:type="pct"/>
            <w:vAlign w:val="center"/>
          </w:tcPr>
          <w:p w14:paraId="071AEEE3">
            <w:pPr>
              <w:pStyle w:val="110"/>
              <w:widowControl w:val="0"/>
              <w:bidi w:val="0"/>
              <w:ind w:left="0" w:leftChars="0" w:firstLine="0" w:firstLineChars="0"/>
              <w:jc w:val="center"/>
              <w:rPr>
                <w:rFonts w:hint="default"/>
                <w:lang w:val="en-US" w:eastAsia="zh-CN"/>
              </w:rPr>
            </w:pPr>
            <w:r>
              <w:rPr>
                <w:rFonts w:hint="eastAsia"/>
                <w:lang w:val="en-US" w:eastAsia="zh-CN"/>
              </w:rPr>
              <w:t>GB 4789.35</w:t>
            </w:r>
          </w:p>
        </w:tc>
      </w:tr>
      <w:tr w14:paraId="310D8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103" w:type="pct"/>
            <w:vAlign w:val="center"/>
          </w:tcPr>
          <w:p w14:paraId="0451EE5E">
            <w:pPr>
              <w:pStyle w:val="110"/>
              <w:widowControl w:val="0"/>
              <w:bidi w:val="0"/>
              <w:ind w:left="0" w:leftChars="0" w:firstLine="0" w:firstLineChars="0"/>
              <w:jc w:val="center"/>
              <w:rPr>
                <w:rFonts w:hint="eastAsia"/>
                <w:lang w:val="en-US" w:eastAsia="zh-CN"/>
              </w:rPr>
            </w:pPr>
            <w:r>
              <w:rPr>
                <w:rFonts w:hint="eastAsia"/>
                <w:lang w:val="en-US" w:eastAsia="zh-CN"/>
              </w:rPr>
              <w:t>SOD酶活性</w:t>
            </w:r>
            <w:r>
              <w:rPr>
                <w:rFonts w:hint="eastAsia"/>
                <w:vertAlign w:val="superscript"/>
                <w:lang w:val="en-US" w:eastAsia="zh-CN"/>
              </w:rPr>
              <w:t>a</w:t>
            </w:r>
            <w:r>
              <w:rPr>
                <w:rFonts w:hint="eastAsia"/>
                <w:lang w:val="en-US" w:eastAsia="zh-CN"/>
              </w:rPr>
              <w:t>[U/L（液态），U/kg（半固体、固态）]</w:t>
            </w:r>
          </w:p>
        </w:tc>
        <w:tc>
          <w:tcPr>
            <w:tcW w:w="683" w:type="pct"/>
            <w:tcBorders>
              <w:bottom w:val="single" w:color="auto" w:sz="8" w:space="0"/>
            </w:tcBorders>
            <w:vAlign w:val="center"/>
          </w:tcPr>
          <w:p w14:paraId="78CE135A">
            <w:pPr>
              <w:pStyle w:val="110"/>
              <w:widowControl w:val="0"/>
              <w:bidi w:val="0"/>
              <w:ind w:left="0" w:leftChars="0" w:firstLine="0" w:firstLineChars="0"/>
              <w:jc w:val="center"/>
              <w:rPr>
                <w:rFonts w:hint="default"/>
                <w:lang w:val="en-US" w:eastAsia="zh-CN"/>
              </w:rPr>
            </w:pPr>
            <w:r>
              <w:rPr>
                <w:rFonts w:hint="eastAsia"/>
                <w:lang w:val="en-US" w:eastAsia="zh-CN"/>
              </w:rPr>
              <w:t>≥1×10</w:t>
            </w:r>
            <w:r>
              <w:rPr>
                <w:rFonts w:hint="eastAsia"/>
                <w:vertAlign w:val="superscript"/>
                <w:lang w:val="en-US" w:eastAsia="zh-CN"/>
              </w:rPr>
              <w:t>4</w:t>
            </w:r>
          </w:p>
        </w:tc>
        <w:tc>
          <w:tcPr>
            <w:tcW w:w="810" w:type="pct"/>
            <w:tcBorders>
              <w:bottom w:val="single" w:color="auto" w:sz="8" w:space="0"/>
            </w:tcBorders>
            <w:shd w:val="clear" w:color="auto" w:fill="auto"/>
            <w:vAlign w:val="center"/>
          </w:tcPr>
          <w:p w14:paraId="30847C5F">
            <w:pPr>
              <w:pStyle w:val="110"/>
              <w:widowControl w:val="0"/>
              <w:bidi w:val="0"/>
              <w:ind w:left="0" w:leftChars="0" w:firstLine="0" w:firstLineChars="0"/>
              <w:jc w:val="center"/>
              <w:rPr>
                <w:rFonts w:hint="eastAsia"/>
                <w:lang w:val="en-US" w:eastAsia="zh-CN"/>
              </w:rPr>
            </w:pPr>
            <w:r>
              <w:rPr>
                <w:rFonts w:hint="eastAsia"/>
                <w:lang w:val="en-US" w:eastAsia="zh-CN"/>
              </w:rPr>
              <w:t>≥1×10</w:t>
            </w:r>
            <w:r>
              <w:rPr>
                <w:rFonts w:hint="eastAsia"/>
                <w:vertAlign w:val="superscript"/>
                <w:lang w:val="en-US" w:eastAsia="zh-CN"/>
              </w:rPr>
              <w:t>4</w:t>
            </w:r>
          </w:p>
        </w:tc>
        <w:tc>
          <w:tcPr>
            <w:tcW w:w="516" w:type="pct"/>
            <w:tcBorders>
              <w:bottom w:val="single" w:color="auto" w:sz="8" w:space="0"/>
            </w:tcBorders>
            <w:vAlign w:val="center"/>
          </w:tcPr>
          <w:p w14:paraId="212D082B">
            <w:pPr>
              <w:pStyle w:val="110"/>
              <w:widowControl w:val="0"/>
              <w:bidi w:val="0"/>
              <w:ind w:left="0" w:leftChars="0" w:firstLine="0" w:firstLineChars="0"/>
              <w:jc w:val="center"/>
              <w:rPr>
                <w:rFonts w:hint="eastAsia"/>
                <w:lang w:val="en-US" w:eastAsia="zh-CN"/>
              </w:rPr>
            </w:pPr>
            <w:r>
              <w:rPr>
                <w:rFonts w:hint="eastAsia"/>
                <w:lang w:val="en-US" w:eastAsia="zh-CN"/>
              </w:rPr>
              <w:t>≥1×10</w:t>
            </w:r>
            <w:r>
              <w:rPr>
                <w:rFonts w:hint="eastAsia"/>
                <w:vertAlign w:val="superscript"/>
                <w:lang w:val="en-US" w:eastAsia="zh-CN"/>
              </w:rPr>
              <w:t>4</w:t>
            </w:r>
          </w:p>
        </w:tc>
        <w:tc>
          <w:tcPr>
            <w:tcW w:w="886" w:type="pct"/>
            <w:vAlign w:val="center"/>
          </w:tcPr>
          <w:p w14:paraId="031AA00A">
            <w:pPr>
              <w:pStyle w:val="110"/>
              <w:widowControl w:val="0"/>
              <w:bidi w:val="0"/>
              <w:ind w:left="0" w:leftChars="0" w:firstLine="0" w:firstLineChars="0"/>
              <w:jc w:val="center"/>
              <w:rPr>
                <w:rFonts w:hint="default"/>
                <w:lang w:val="en-US" w:eastAsia="zh-CN"/>
              </w:rPr>
            </w:pPr>
            <w:r>
              <w:rPr>
                <w:rFonts w:hint="eastAsia"/>
                <w:lang w:val="en-US" w:eastAsia="zh-CN"/>
              </w:rPr>
              <w:t>GB 5009.171</w:t>
            </w:r>
          </w:p>
        </w:tc>
      </w:tr>
      <w:tr w14:paraId="7005D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15E1ACDD">
            <w:pPr>
              <w:pStyle w:val="110"/>
              <w:widowControl w:val="0"/>
              <w:bidi w:val="0"/>
              <w:ind w:left="0" w:leftChars="0" w:firstLine="0" w:firstLineChars="0"/>
              <w:jc w:val="left"/>
              <w:rPr>
                <w:rFonts w:hint="eastAsia"/>
                <w:lang w:val="en-US" w:eastAsia="zh-CN"/>
              </w:rPr>
            </w:pPr>
            <w:r>
              <w:rPr>
                <w:rFonts w:hint="eastAsia"/>
                <w:lang w:val="en-US" w:eastAsia="zh-CN"/>
              </w:rPr>
              <w:t>注：表中各指标项为发酵本身产生，非外源添加的物质。</w:t>
            </w:r>
          </w:p>
          <w:p w14:paraId="0E46FE20">
            <w:pPr>
              <w:pStyle w:val="110"/>
              <w:widowControl w:val="0"/>
              <w:bidi w:val="0"/>
              <w:ind w:left="0" w:leftChars="0" w:firstLine="0" w:firstLineChars="0"/>
              <w:jc w:val="left"/>
              <w:rPr>
                <w:rFonts w:hint="eastAsia"/>
                <w:lang w:val="en-US" w:eastAsia="zh-CN"/>
              </w:rPr>
            </w:pPr>
            <w:r>
              <w:rPr>
                <w:rFonts w:hint="eastAsia"/>
                <w:vertAlign w:val="superscript"/>
                <w:lang w:val="en-US" w:eastAsia="zh-CN"/>
              </w:rPr>
              <w:t>a</w:t>
            </w:r>
            <w:r>
              <w:rPr>
                <w:rFonts w:hint="eastAsia"/>
                <w:lang w:val="en-US" w:eastAsia="zh-CN"/>
              </w:rPr>
              <w:t>酶活性指标值指出厂时。</w:t>
            </w:r>
          </w:p>
        </w:tc>
      </w:tr>
    </w:tbl>
    <w:p w14:paraId="111D8D57">
      <w:pPr>
        <w:pStyle w:val="72"/>
        <w:bidi w:val="0"/>
      </w:pPr>
      <w:r>
        <w:t>安全指标</w:t>
      </w:r>
    </w:p>
    <w:p w14:paraId="3461533D">
      <w:pPr>
        <w:pStyle w:val="24"/>
        <w:ind w:firstLine="420"/>
        <w:rPr>
          <w:rFonts w:hint="eastAsia"/>
        </w:rPr>
      </w:pPr>
      <w:r>
        <w:rPr>
          <w:rFonts w:hint="eastAsia"/>
        </w:rPr>
        <w:t>应符合GB 2762、GB 2763</w:t>
      </w:r>
      <w:r>
        <w:rPr>
          <w:rFonts w:hint="eastAsia"/>
          <w:lang w:eastAsia="zh-CN"/>
        </w:rPr>
        <w:t>、</w:t>
      </w:r>
      <w:r>
        <w:rPr>
          <w:rFonts w:hint="eastAsia" w:ascii="宋体" w:hAnsi="Times New Roman" w:eastAsia="宋体" w:cs="宋体"/>
          <w:sz w:val="21"/>
          <w:lang w:val="en-US" w:eastAsia="zh-CN"/>
        </w:rPr>
        <w:t>QB</w:t>
      </w:r>
      <w:r>
        <w:rPr>
          <w:rFonts w:hint="eastAsia" w:cs="宋体"/>
          <w:sz w:val="21"/>
          <w:lang w:val="en-US" w:eastAsia="zh-CN"/>
        </w:rPr>
        <w:t>/</w:t>
      </w:r>
      <w:r>
        <w:rPr>
          <w:rFonts w:hint="eastAsia" w:ascii="宋体" w:hAnsi="Times New Roman" w:eastAsia="宋体" w:cs="宋体"/>
          <w:sz w:val="21"/>
          <w:lang w:val="en-US" w:eastAsia="zh-CN"/>
        </w:rPr>
        <w:t>T</w:t>
      </w:r>
      <w:r>
        <w:rPr>
          <w:rFonts w:hint="eastAsia" w:cs="宋体"/>
          <w:sz w:val="21"/>
          <w:lang w:val="en-US" w:eastAsia="zh-CN"/>
        </w:rPr>
        <w:t xml:space="preserve"> </w:t>
      </w:r>
      <w:r>
        <w:rPr>
          <w:rFonts w:hint="eastAsia" w:ascii="宋体" w:hAnsi="Times New Roman" w:eastAsia="宋体" w:cs="宋体"/>
          <w:sz w:val="21"/>
          <w:lang w:val="en-US" w:eastAsia="zh-CN"/>
        </w:rPr>
        <w:t>5760</w:t>
      </w:r>
      <w:r>
        <w:rPr>
          <w:rFonts w:hint="eastAsia"/>
        </w:rPr>
        <w:t>的要求，有机产品还应符合GB/T 19630的要求。</w:t>
      </w:r>
    </w:p>
    <w:p w14:paraId="0F871668">
      <w:pPr>
        <w:pStyle w:val="72"/>
        <w:bidi w:val="0"/>
      </w:pPr>
      <w:r>
        <w:rPr>
          <w:rFonts w:hint="eastAsia"/>
        </w:rPr>
        <w:t>净含量</w:t>
      </w:r>
    </w:p>
    <w:p w14:paraId="4E894E09">
      <w:pPr>
        <w:pStyle w:val="24"/>
        <w:ind w:firstLine="420"/>
        <w:rPr>
          <w:rFonts w:hint="eastAsia"/>
        </w:rPr>
      </w:pPr>
      <w:r>
        <w:rPr>
          <w:rFonts w:hint="eastAsia"/>
        </w:rPr>
        <w:t>应符合《定量包装商品计量监督管理办法》的要求，检验方法按照J</w:t>
      </w:r>
      <w:r>
        <w:t>JF 1070</w:t>
      </w:r>
      <w:r>
        <w:rPr>
          <w:rFonts w:hint="eastAsia"/>
        </w:rPr>
        <w:t>规定执行。</w:t>
      </w:r>
    </w:p>
    <w:p w14:paraId="0526AD6D">
      <w:pPr>
        <w:pStyle w:val="71"/>
        <w:bidi w:val="0"/>
      </w:pPr>
      <w:bookmarkStart w:id="28" w:name="_Toc103848005"/>
      <w:bookmarkStart w:id="29" w:name="_Toc15014"/>
      <w:bookmarkStart w:id="30" w:name="_Toc147761913"/>
      <w:bookmarkStart w:id="31" w:name="_Toc147843901"/>
      <w:bookmarkStart w:id="32" w:name="_Toc103848253"/>
      <w:bookmarkStart w:id="33" w:name="_Toc141363102"/>
      <w:bookmarkStart w:id="34" w:name="_Toc147777293"/>
      <w:bookmarkStart w:id="35" w:name="_Toc150196311"/>
      <w:bookmarkStart w:id="36" w:name="_Toc141026233"/>
      <w:bookmarkStart w:id="37" w:name="_Toc149643651"/>
      <w:bookmarkStart w:id="38" w:name="_Toc144479682"/>
      <w:bookmarkStart w:id="39" w:name="_Toc144670743"/>
      <w:bookmarkStart w:id="40" w:name="_Toc111488254"/>
      <w:bookmarkStart w:id="41" w:name="_Toc141040835"/>
      <w:bookmarkStart w:id="42" w:name="_Toc104058753"/>
      <w:bookmarkStart w:id="43" w:name="_Toc141189597"/>
      <w:bookmarkStart w:id="44" w:name="_Toc143288146"/>
      <w:bookmarkStart w:id="45" w:name="_Toc143955922"/>
      <w:r>
        <w:rPr>
          <w:rFonts w:hint="eastAsia"/>
        </w:rPr>
        <w:t>检验规则</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CB25322">
      <w:pPr>
        <w:pStyle w:val="72"/>
        <w:spacing w:before="120" w:after="120"/>
      </w:pPr>
      <w:r>
        <w:rPr>
          <w:rFonts w:hint="eastAsia"/>
        </w:rPr>
        <w:t>组批</w:t>
      </w:r>
    </w:p>
    <w:p w14:paraId="20ED8573">
      <w:pPr>
        <w:pStyle w:val="24"/>
        <w:ind w:firstLine="420"/>
      </w:pPr>
      <w:r>
        <w:rPr>
          <w:rFonts w:hint="eastAsia"/>
        </w:rPr>
        <w:t>同一</w:t>
      </w:r>
      <w:r>
        <w:rPr>
          <w:rFonts w:hint="eastAsia"/>
          <w:lang w:val="en-US" w:eastAsia="zh-CN"/>
        </w:rPr>
        <w:t>原料、同一生产线、同一班次</w:t>
      </w:r>
      <w:r>
        <w:rPr>
          <w:rFonts w:hint="eastAsia"/>
        </w:rPr>
        <w:t>的产品为一个检验批次。</w:t>
      </w:r>
    </w:p>
    <w:p w14:paraId="3A170AEA">
      <w:pPr>
        <w:pStyle w:val="72"/>
        <w:spacing w:before="120" w:after="120"/>
      </w:pPr>
      <w:r>
        <w:rPr>
          <w:rFonts w:hint="eastAsia"/>
        </w:rPr>
        <w:t>抽样方法</w:t>
      </w:r>
    </w:p>
    <w:p w14:paraId="4EF15946">
      <w:pPr>
        <w:pStyle w:val="24"/>
        <w:ind w:firstLine="420"/>
        <w:rPr>
          <w:rFonts w:hint="eastAsia"/>
        </w:rPr>
      </w:pPr>
      <w:r>
        <w:rPr>
          <w:rFonts w:hint="eastAsia"/>
          <w:lang w:val="en-US" w:eastAsia="zh-CN"/>
        </w:rPr>
        <w:t>同一组批抽取3L（液态）或3kg（半固体、固态）。</w:t>
      </w:r>
    </w:p>
    <w:p w14:paraId="190A250C">
      <w:pPr>
        <w:pStyle w:val="72"/>
        <w:spacing w:before="120" w:after="120"/>
      </w:pPr>
      <w:r>
        <w:rPr>
          <w:rFonts w:hint="eastAsia"/>
        </w:rPr>
        <w:t>检验分类</w:t>
      </w:r>
    </w:p>
    <w:p w14:paraId="7728EC3A">
      <w:pPr>
        <w:pStyle w:val="73"/>
        <w:spacing w:before="120" w:after="120"/>
      </w:pPr>
      <w:r>
        <w:rPr>
          <w:rFonts w:hint="eastAsia"/>
          <w:lang w:val="en-US" w:eastAsia="zh-CN"/>
        </w:rPr>
        <w:t>交付</w:t>
      </w:r>
      <w:r>
        <w:rPr>
          <w:rFonts w:hint="eastAsia"/>
        </w:rPr>
        <w:t>检验</w:t>
      </w:r>
    </w:p>
    <w:p w14:paraId="73DBF00F">
      <w:pPr>
        <w:pStyle w:val="24"/>
        <w:ind w:firstLine="420"/>
      </w:pPr>
      <w:r>
        <w:rPr>
          <w:rFonts w:hint="eastAsia"/>
        </w:rPr>
        <w:t>每批次产品应进行</w:t>
      </w:r>
      <w:r>
        <w:rPr>
          <w:rFonts w:hint="eastAsia"/>
          <w:lang w:val="en-US" w:eastAsia="zh-CN"/>
        </w:rPr>
        <w:t>交付</w:t>
      </w:r>
      <w:r>
        <w:rPr>
          <w:rFonts w:hint="eastAsia"/>
        </w:rPr>
        <w:t>检验</w:t>
      </w:r>
      <w:r>
        <w:rPr>
          <w:rFonts w:hint="eastAsia"/>
          <w:lang w:eastAsia="zh-CN"/>
        </w:rPr>
        <w:t>，</w:t>
      </w:r>
      <w:r>
        <w:rPr>
          <w:rFonts w:hint="eastAsia"/>
        </w:rPr>
        <w:t>出库检验项目为感官指标</w:t>
      </w:r>
      <w:r>
        <w:rPr>
          <w:rFonts w:hint="eastAsia"/>
          <w:lang w:eastAsia="zh-CN"/>
        </w:rPr>
        <w:t>、</w:t>
      </w:r>
      <w:r>
        <w:rPr>
          <w:rFonts w:hint="eastAsia"/>
          <w:lang w:val="en-US" w:eastAsia="zh-CN"/>
        </w:rPr>
        <w:t>pH、乙醇含量</w:t>
      </w:r>
      <w:r>
        <w:rPr>
          <w:rFonts w:hint="eastAsia"/>
        </w:rPr>
        <w:t>。</w:t>
      </w:r>
    </w:p>
    <w:p w14:paraId="79477477">
      <w:pPr>
        <w:pStyle w:val="73"/>
        <w:spacing w:before="120" w:after="120"/>
      </w:pPr>
      <w:r>
        <w:rPr>
          <w:rFonts w:hint="eastAsia"/>
        </w:rPr>
        <w:t>型式检验</w:t>
      </w:r>
    </w:p>
    <w:p w14:paraId="23C7CBAC">
      <w:pPr>
        <w:pStyle w:val="79"/>
        <w:spacing w:before="0" w:beforeLines="0" w:after="0" w:afterLines="0"/>
      </w:pPr>
      <w:r>
        <w:rPr>
          <w:rFonts w:hint="eastAsia"/>
        </w:rPr>
        <w:t>型式检验应每年进行一次，下列情况之一也应进行型式检验：</w:t>
      </w:r>
    </w:p>
    <w:p w14:paraId="23ECC1DD">
      <w:pPr>
        <w:pStyle w:val="56"/>
      </w:pPr>
      <w:r>
        <w:rPr>
          <w:rFonts w:hint="eastAsia"/>
        </w:rPr>
        <w:t>两次检验结果相差较大时；</w:t>
      </w:r>
    </w:p>
    <w:p w14:paraId="28C7D5B1">
      <w:pPr>
        <w:pStyle w:val="56"/>
        <w:ind w:left="851" w:hanging="426"/>
      </w:pPr>
      <w:r>
        <w:rPr>
          <w:rFonts w:hint="eastAsia"/>
          <w:color w:val="auto"/>
          <w:highlight w:val="none"/>
        </w:rPr>
        <w:t>种植</w:t>
      </w:r>
      <w:r>
        <w:rPr>
          <w:rFonts w:hint="eastAsia"/>
          <w:color w:val="auto"/>
          <w:highlight w:val="none"/>
          <w:lang w:val="en-US" w:eastAsia="zh-CN"/>
        </w:rPr>
        <w:t>生产</w:t>
      </w:r>
      <w:r>
        <w:rPr>
          <w:rFonts w:hint="eastAsia"/>
        </w:rPr>
        <w:t>条件发生重大变化，可能影响产品质量时；</w:t>
      </w:r>
    </w:p>
    <w:p w14:paraId="6BAB7279">
      <w:pPr>
        <w:pStyle w:val="56"/>
      </w:pPr>
      <w:r>
        <w:rPr>
          <w:rFonts w:hint="eastAsia"/>
        </w:rPr>
        <w:t>有关行政主管部门、行业协会要求型式检验时。</w:t>
      </w:r>
    </w:p>
    <w:p w14:paraId="4A13886C">
      <w:pPr>
        <w:pStyle w:val="79"/>
        <w:spacing w:before="0" w:beforeLines="0" w:after="0" w:afterLines="0"/>
      </w:pPr>
      <w:r>
        <w:rPr>
          <w:rFonts w:hint="eastAsia"/>
        </w:rPr>
        <w:t>型式检验项目包括本文</w:t>
      </w:r>
      <w:r>
        <w:rPr>
          <w:rFonts w:hint="eastAsia"/>
          <w:highlight w:val="none"/>
        </w:rPr>
        <w:t>件</w:t>
      </w:r>
      <w:r>
        <w:rPr>
          <w:rFonts w:hint="eastAsia"/>
          <w:highlight w:val="none"/>
          <w:lang w:val="en-US" w:eastAsia="zh-CN"/>
        </w:rPr>
        <w:t>4.4</w:t>
      </w:r>
      <w:r>
        <w:rPr>
          <w:rFonts w:hint="eastAsia"/>
          <w:highlight w:val="none"/>
        </w:rPr>
        <w:t>～</w:t>
      </w:r>
      <w:r>
        <w:rPr>
          <w:rFonts w:hint="eastAsia"/>
          <w:highlight w:val="none"/>
          <w:lang w:val="en-US" w:eastAsia="zh-CN"/>
        </w:rPr>
        <w:t>4.7</w:t>
      </w:r>
      <w:r>
        <w:rPr>
          <w:rFonts w:hint="eastAsia"/>
          <w:highlight w:val="none"/>
        </w:rPr>
        <w:t>规</w:t>
      </w:r>
      <w:r>
        <w:rPr>
          <w:rFonts w:hint="eastAsia"/>
        </w:rPr>
        <w:t>定的所有项目。</w:t>
      </w:r>
    </w:p>
    <w:p w14:paraId="238A0E55">
      <w:pPr>
        <w:pStyle w:val="72"/>
        <w:spacing w:before="120" w:after="120"/>
      </w:pPr>
      <w:r>
        <w:rPr>
          <w:rFonts w:hint="eastAsia"/>
        </w:rPr>
        <w:t>判定规则</w:t>
      </w:r>
    </w:p>
    <w:p w14:paraId="0C2CD7F8">
      <w:pPr>
        <w:pStyle w:val="78"/>
        <w:spacing w:before="0" w:beforeLines="0" w:after="0" w:afterLines="0"/>
      </w:pPr>
      <w:r>
        <w:rPr>
          <w:rFonts w:hint="eastAsia"/>
        </w:rPr>
        <w:t>所有指标全部符合本文件要求时判该批产品合格。</w:t>
      </w:r>
    </w:p>
    <w:p w14:paraId="0B601CE0">
      <w:pPr>
        <w:pStyle w:val="78"/>
        <w:spacing w:before="0" w:beforeLines="0" w:after="0" w:afterLines="0"/>
      </w:pPr>
      <w:r>
        <w:rPr>
          <w:rFonts w:hint="eastAsia"/>
        </w:rPr>
        <w:t>有一项不合格</w:t>
      </w:r>
      <w:r>
        <w:rPr>
          <w:rFonts w:hint="eastAsia"/>
          <w:lang w:eastAsia="zh-CN"/>
        </w:rPr>
        <w:t>（</w:t>
      </w:r>
      <w:r>
        <w:rPr>
          <w:rFonts w:hint="eastAsia"/>
          <w:lang w:val="en-US" w:eastAsia="zh-CN"/>
        </w:rPr>
        <w:t>安全指标除外）</w:t>
      </w:r>
      <w:r>
        <w:rPr>
          <w:rFonts w:hint="eastAsia"/>
        </w:rPr>
        <w:t>时，可在同批产品中抽取两倍量样品进行复验，以复验结果为准。</w:t>
      </w:r>
    </w:p>
    <w:p w14:paraId="4B82CE5F">
      <w:pPr>
        <w:pStyle w:val="71"/>
        <w:bidi w:val="0"/>
      </w:pPr>
      <w:bookmarkStart w:id="46" w:name="_Toc103848006"/>
      <w:bookmarkStart w:id="47" w:name="_Toc144479683"/>
      <w:bookmarkStart w:id="48" w:name="_Toc141026234"/>
      <w:bookmarkStart w:id="49" w:name="_Toc141363103"/>
      <w:bookmarkStart w:id="50" w:name="_Toc147843902"/>
      <w:bookmarkStart w:id="51" w:name="_Toc143955923"/>
      <w:bookmarkStart w:id="52" w:name="_Toc150196312"/>
      <w:bookmarkStart w:id="53" w:name="_Toc147777294"/>
      <w:bookmarkStart w:id="54" w:name="_Toc141189598"/>
      <w:bookmarkStart w:id="55" w:name="_Toc149643652"/>
      <w:bookmarkStart w:id="56" w:name="_Toc143288147"/>
      <w:bookmarkStart w:id="57" w:name="_Toc104058754"/>
      <w:bookmarkStart w:id="58" w:name="_Toc147761914"/>
      <w:bookmarkStart w:id="59" w:name="_Toc144670744"/>
      <w:bookmarkStart w:id="60" w:name="_Toc103848254"/>
      <w:bookmarkStart w:id="61" w:name="_Toc141040836"/>
      <w:bookmarkStart w:id="62" w:name="_Toc30562"/>
      <w:bookmarkStart w:id="63" w:name="_Toc111488255"/>
      <w:r>
        <w:rPr>
          <w:rFonts w:hint="eastAsia"/>
        </w:rPr>
        <w:t>包装、标签</w:t>
      </w:r>
      <w:bookmarkEnd w:id="46"/>
      <w:r>
        <w:rPr>
          <w:rFonts w:hint="eastAsia"/>
        </w:rPr>
        <w:t>与标志</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4BC1C7A">
      <w:pPr>
        <w:pStyle w:val="72"/>
        <w:spacing w:before="120" w:after="120"/>
      </w:pPr>
      <w:r>
        <w:rPr>
          <w:rFonts w:hint="eastAsia"/>
        </w:rPr>
        <w:t>包装</w:t>
      </w:r>
    </w:p>
    <w:p w14:paraId="34FD7E63">
      <w:pPr>
        <w:pStyle w:val="78"/>
        <w:bidi w:val="0"/>
        <w:spacing w:before="0" w:beforeLines="0" w:after="0" w:afterLines="0"/>
        <w:rPr>
          <w:rFonts w:hint="eastAsia"/>
        </w:rPr>
      </w:pPr>
      <w:bookmarkStart w:id="64" w:name="_Hlk111489077"/>
      <w:r>
        <w:rPr>
          <w:rFonts w:hint="eastAsia"/>
          <w:lang w:val="en-US" w:eastAsia="zh-CN"/>
        </w:rPr>
        <w:t>包装应严密、无渗漏或破裂。</w:t>
      </w:r>
      <w:r>
        <w:rPr>
          <w:rFonts w:hint="eastAsia"/>
        </w:rPr>
        <w:t>绿色食品应符合NY/T 65</w:t>
      </w:r>
      <w:r>
        <w:rPr>
          <w:rFonts w:hint="eastAsia"/>
          <w:lang w:val="en-US" w:eastAsia="zh-CN"/>
        </w:rPr>
        <w:t>8</w:t>
      </w:r>
      <w:r>
        <w:rPr>
          <w:rFonts w:hint="eastAsia"/>
        </w:rPr>
        <w:t>的要求</w:t>
      </w:r>
      <w:r>
        <w:rPr>
          <w:rFonts w:hint="eastAsia"/>
          <w:lang w:eastAsia="zh-CN"/>
        </w:rPr>
        <w:t>，</w:t>
      </w:r>
      <w:r>
        <w:rPr>
          <w:rFonts w:hint="eastAsia"/>
        </w:rPr>
        <w:t>有机产品应符合GB/T 19630的要求</w:t>
      </w:r>
      <w:bookmarkEnd w:id="64"/>
      <w:r>
        <w:rPr>
          <w:rFonts w:hint="eastAsia"/>
        </w:rPr>
        <w:t>。</w:t>
      </w:r>
    </w:p>
    <w:p w14:paraId="76D0D20F">
      <w:pPr>
        <w:pStyle w:val="78"/>
        <w:bidi w:val="0"/>
        <w:spacing w:before="0" w:beforeLines="0" w:after="0" w:afterLines="0"/>
        <w:rPr>
          <w:rFonts w:hint="eastAsia"/>
        </w:rPr>
      </w:pPr>
      <w:r>
        <w:rPr>
          <w:rFonts w:hint="eastAsia"/>
        </w:rPr>
        <w:t>包装材料应分别符合</w:t>
      </w:r>
      <w:bookmarkStart w:id="65" w:name="_Hlk111486485"/>
      <w:bookmarkStart w:id="66" w:name="_Hlk111488105"/>
      <w:r>
        <w:t>GB 4806.1</w:t>
      </w:r>
      <w:r>
        <w:rPr>
          <w:rFonts w:hint="eastAsia"/>
        </w:rPr>
        <w:t>、GB 4806.7</w:t>
      </w:r>
      <w:bookmarkEnd w:id="65"/>
      <w:r>
        <w:rPr>
          <w:rFonts w:hint="eastAsia"/>
        </w:rPr>
        <w:t>、</w:t>
      </w:r>
      <w:r>
        <w:t>GB 4806.8</w:t>
      </w:r>
      <w:bookmarkEnd w:id="66"/>
      <w:r>
        <w:rPr>
          <w:rFonts w:hint="eastAsia"/>
        </w:rPr>
        <w:t>的规定。</w:t>
      </w:r>
    </w:p>
    <w:p w14:paraId="3BB732A4">
      <w:pPr>
        <w:pStyle w:val="78"/>
        <w:bidi w:val="0"/>
        <w:spacing w:before="0" w:beforeLines="0" w:after="0" w:afterLines="0"/>
        <w:rPr>
          <w:rFonts w:hint="eastAsia"/>
        </w:rPr>
      </w:pPr>
      <w:r>
        <w:rPr>
          <w:rFonts w:hint="eastAsia"/>
        </w:rPr>
        <w:t>塑料包装容器应符合GB/T 5737的要求。</w:t>
      </w:r>
    </w:p>
    <w:p w14:paraId="65C1A281">
      <w:pPr>
        <w:pStyle w:val="72"/>
        <w:spacing w:before="120" w:after="120"/>
      </w:pPr>
      <w:r>
        <w:rPr>
          <w:rFonts w:hint="eastAsia"/>
        </w:rPr>
        <w:t>标签与标志</w:t>
      </w:r>
    </w:p>
    <w:p w14:paraId="7DA53058">
      <w:pPr>
        <w:pStyle w:val="78"/>
        <w:bidi w:val="0"/>
        <w:spacing w:before="0" w:beforeLines="0" w:after="0" w:afterLines="0"/>
        <w:rPr>
          <w:rFonts w:hint="eastAsia"/>
        </w:rPr>
      </w:pPr>
      <w:bookmarkStart w:id="67" w:name="_Hlk103955000"/>
      <w:r>
        <w:rPr>
          <w:rFonts w:hint="eastAsia"/>
        </w:rPr>
        <w:t>包装上应标明品名、规格、产地、批号、生产或包装日期、净含量、产品执行标准号、生产单位名称和地址等，并附有质量合格的标志。包装储运图示标志应符合</w:t>
      </w:r>
      <w:bookmarkStart w:id="68" w:name="_Hlk103848491"/>
      <w:r>
        <w:rPr>
          <w:rFonts w:hint="eastAsia"/>
        </w:rPr>
        <w:t>GB/T 191</w:t>
      </w:r>
      <w:bookmarkEnd w:id="68"/>
      <w:r>
        <w:rPr>
          <w:rFonts w:hint="eastAsia"/>
        </w:rPr>
        <w:t>的规定。</w:t>
      </w:r>
    </w:p>
    <w:p w14:paraId="6B217BBE">
      <w:pPr>
        <w:pStyle w:val="78"/>
        <w:bidi w:val="0"/>
        <w:spacing w:before="0" w:beforeLines="0" w:after="0" w:afterLines="0"/>
        <w:rPr>
          <w:rFonts w:hint="eastAsia"/>
          <w:lang w:val="en-US" w:eastAsia="zh-CN"/>
        </w:rPr>
      </w:pPr>
      <w:r>
        <w:rPr>
          <w:rFonts w:hint="eastAsia"/>
        </w:rPr>
        <w:t>产品标签应符合</w:t>
      </w:r>
      <w:r>
        <w:rPr>
          <w:rFonts w:hint="eastAsia"/>
          <w:lang w:val="en-US" w:eastAsia="zh-CN"/>
        </w:rPr>
        <w:t>GB 7718</w:t>
      </w:r>
      <w:r>
        <w:rPr>
          <w:rFonts w:hint="eastAsia"/>
        </w:rPr>
        <w:t>的要求</w:t>
      </w:r>
      <w:r>
        <w:rPr>
          <w:rFonts w:hint="eastAsia"/>
          <w:lang w:eastAsia="zh-CN"/>
        </w:rPr>
        <w:t>。</w:t>
      </w:r>
    </w:p>
    <w:bookmarkEnd w:id="67"/>
    <w:p w14:paraId="7576DCB1">
      <w:pPr>
        <w:pStyle w:val="71"/>
        <w:spacing w:before="240" w:after="240"/>
      </w:pPr>
      <w:bookmarkStart w:id="69" w:name="_Toc104058755"/>
      <w:bookmarkStart w:id="70" w:name="_Toc141189599"/>
      <w:bookmarkStart w:id="71" w:name="_Toc147843903"/>
      <w:bookmarkStart w:id="72" w:name="_Toc144670745"/>
      <w:bookmarkStart w:id="73" w:name="_Toc143955924"/>
      <w:bookmarkStart w:id="74" w:name="_Toc141040837"/>
      <w:bookmarkStart w:id="75" w:name="_Toc147777295"/>
      <w:bookmarkStart w:id="76" w:name="_Toc141026235"/>
      <w:bookmarkStart w:id="77" w:name="_Toc26806"/>
      <w:bookmarkStart w:id="78" w:name="_Toc141363104"/>
      <w:bookmarkStart w:id="79" w:name="_Toc103848255"/>
      <w:bookmarkStart w:id="80" w:name="_Toc143288148"/>
      <w:bookmarkStart w:id="81" w:name="_Toc103848007"/>
      <w:bookmarkStart w:id="82" w:name="_Toc111488256"/>
      <w:bookmarkStart w:id="83" w:name="_Toc149643653"/>
      <w:bookmarkStart w:id="84" w:name="_Toc147761915"/>
      <w:bookmarkStart w:id="85" w:name="_Toc150196313"/>
      <w:bookmarkStart w:id="86" w:name="_Toc144479684"/>
      <w:r>
        <w:rPr>
          <w:rFonts w:hint="eastAsia"/>
        </w:rPr>
        <w:t>运输与贮存</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5D42004">
      <w:pPr>
        <w:pStyle w:val="72"/>
        <w:spacing w:before="120" w:after="120"/>
      </w:pPr>
      <w:r>
        <w:rPr>
          <w:rFonts w:hint="eastAsia"/>
        </w:rPr>
        <w:t>运输</w:t>
      </w:r>
    </w:p>
    <w:p w14:paraId="54E89FE6">
      <w:pPr>
        <w:pStyle w:val="24"/>
        <w:ind w:firstLine="420"/>
      </w:pPr>
      <w:bookmarkStart w:id="87" w:name="_Hlk111489198"/>
      <w:r>
        <w:rPr>
          <w:rFonts w:hint="eastAsia"/>
        </w:rPr>
        <w:t>运输工具应具有清洁、卫生、干燥、无异味，不得与有毒有害物品混运。运输途中应防雨、防潮、防暴晒、防污染。绿色食品应符合NY/T 1056的要求</w:t>
      </w:r>
      <w:r>
        <w:rPr>
          <w:rFonts w:hint="eastAsia"/>
          <w:lang w:eastAsia="zh-CN"/>
        </w:rPr>
        <w:t>，</w:t>
      </w:r>
      <w:r>
        <w:rPr>
          <w:rFonts w:hint="eastAsia"/>
        </w:rPr>
        <w:t>有机产品应符合GB/T 19630的要求。</w:t>
      </w:r>
    </w:p>
    <w:bookmarkEnd w:id="87"/>
    <w:p w14:paraId="28E07206">
      <w:pPr>
        <w:pStyle w:val="72"/>
        <w:spacing w:before="120" w:after="120"/>
      </w:pPr>
      <w:r>
        <w:rPr>
          <w:rFonts w:hint="eastAsia"/>
        </w:rPr>
        <w:t>贮存</w:t>
      </w:r>
    </w:p>
    <w:p w14:paraId="547AA54D">
      <w:pPr>
        <w:pStyle w:val="78"/>
        <w:numPr>
          <w:ilvl w:val="0"/>
          <w:numId w:val="0"/>
        </w:numPr>
        <w:spacing w:before="0" w:beforeLines="0" w:after="0" w:afterLines="0"/>
        <w:ind w:firstLine="420" w:firstLineChars="200"/>
      </w:pPr>
      <w:r>
        <w:rPr>
          <w:rFonts w:hint="eastAsia"/>
          <w:lang w:val="en-US" w:eastAsia="zh-CN"/>
        </w:rPr>
        <w:t>应在清洁、干燥、通风避光、无虫害的仓库内贮存，远离有毒、有害物品，严禁与有异味的物品混贮。</w:t>
      </w:r>
      <w:r>
        <w:rPr>
          <w:rFonts w:hint="eastAsia"/>
        </w:rPr>
        <w:t>绿色食品应符合</w:t>
      </w:r>
      <w:bookmarkStart w:id="88" w:name="_Hlk111489232"/>
      <w:r>
        <w:rPr>
          <w:rFonts w:hint="eastAsia"/>
        </w:rPr>
        <w:t>NY/T</w:t>
      </w:r>
      <w:bookmarkEnd w:id="88"/>
      <w:r>
        <w:rPr>
          <w:rFonts w:hint="eastAsia"/>
        </w:rPr>
        <w:t xml:space="preserve"> 1056的要求；有机产品应符合GB/T 19630的要求。</w:t>
      </w:r>
    </w:p>
    <w:p w14:paraId="3F595F51">
      <w:pPr>
        <w:pStyle w:val="24"/>
        <w:rPr>
          <w:rFonts w:hint="default"/>
          <w:lang w:val="en-US" w:eastAsia="zh-CN"/>
        </w:rPr>
      </w:pPr>
    </w:p>
    <w:p w14:paraId="2759ED00">
      <w:pPr>
        <w:pStyle w:val="24"/>
        <w:rPr>
          <w:rFonts w:hint="eastAsia"/>
          <w:lang w:val="en-US" w:eastAsia="zh-CN"/>
        </w:rPr>
      </w:pPr>
    </w:p>
    <w:p w14:paraId="70A00649">
      <w:pPr>
        <w:pStyle w:val="24"/>
        <w:rPr>
          <w:rFonts w:hint="eastAsia"/>
          <w:lang w:val="en-US" w:eastAsia="zh-CN"/>
        </w:rPr>
      </w:pPr>
    </w:p>
    <w:p w14:paraId="5E521099">
      <w:pPr>
        <w:rPr>
          <w:rFonts w:hint="eastAsia"/>
          <w:lang w:val="en-US" w:eastAsia="zh-CN"/>
        </w:rPr>
      </w:pPr>
      <w:r>
        <w:rPr>
          <w:rFonts w:hint="eastAsia"/>
          <w:lang w:val="en-US" w:eastAsia="zh-CN"/>
        </w:rPr>
        <w:br w:type="page"/>
      </w:r>
      <w:bookmarkStart w:id="89" w:name="BKFL"/>
    </w:p>
    <w:p w14:paraId="4831931F">
      <w:pPr>
        <w:pStyle w:val="98"/>
        <w:bidi w:val="0"/>
        <w:rPr>
          <w:rFonts w:hint="eastAsia"/>
          <w:lang w:val="en-US" w:eastAsia="zh-CN"/>
        </w:rPr>
      </w:pPr>
    </w:p>
    <w:p w14:paraId="12589FBD">
      <w:pPr>
        <w:pStyle w:val="100"/>
        <w:bidi w:val="0"/>
        <w:rPr>
          <w:rFonts w:hint="eastAsia"/>
          <w:lang w:val="en-US" w:eastAsia="zh-CN"/>
        </w:rPr>
      </w:pPr>
    </w:p>
    <w:p w14:paraId="1EFED1AE">
      <w:pPr>
        <w:pStyle w:val="87"/>
        <w:bidi w:val="0"/>
        <w:rPr>
          <w:rFonts w:hint="eastAsia"/>
          <w:lang w:val="en-US" w:eastAsia="zh-CN"/>
        </w:rPr>
      </w:pPr>
      <w:bookmarkStart w:id="90" w:name="_Toc12561"/>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井冈蜜柚酵素生产区域范</w:t>
      </w:r>
      <w:bookmarkStart w:id="92" w:name="_GoBack"/>
      <w:bookmarkEnd w:id="92"/>
      <w:r>
        <w:rPr>
          <w:rFonts w:hint="eastAsia"/>
          <w:lang w:val="en-US" w:eastAsia="zh-CN"/>
        </w:rPr>
        <w:t>围图</w:t>
      </w:r>
      <w:bookmarkEnd w:id="90"/>
    </w:p>
    <w:p w14:paraId="44E28C67">
      <w:pPr>
        <w:pStyle w:val="24"/>
        <w:rPr>
          <w:rFonts w:hint="eastAsia"/>
          <w:lang w:val="en-US" w:eastAsia="zh-CN"/>
        </w:rPr>
      </w:pPr>
    </w:p>
    <w:p w14:paraId="0E25D499">
      <w:pPr>
        <w:pStyle w:val="24"/>
        <w:rPr>
          <w:rFonts w:hint="default"/>
          <w:lang w:val="en-US" w:eastAsia="zh-CN"/>
        </w:rPr>
      </w:pPr>
      <w:r>
        <w:rPr>
          <w:rFonts w:hint="eastAsia"/>
          <w:lang w:val="en-US" w:eastAsia="zh-CN"/>
        </w:rPr>
        <w:t>井冈蜜柚酵素生产区域范围见图A.1。</w:t>
      </w:r>
    </w:p>
    <w:bookmarkEnd w:id="89"/>
    <w:p w14:paraId="6D49AEFA">
      <w:pPr>
        <w:pStyle w:val="24"/>
        <w:ind w:firstLine="0" w:firstLineChars="0"/>
        <w:jc w:val="center"/>
      </w:pPr>
      <w:r>
        <w:drawing>
          <wp:inline distT="0" distB="0" distL="114300" distR="114300">
            <wp:extent cx="3604260" cy="5093335"/>
            <wp:effectExtent l="0" t="0" r="15240" b="12065"/>
            <wp:docPr id="1" name="图片 1" descr="0678208d9958eceed3b97fe5adb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8208d9958eceed3b97fe5adbcc18"/>
                    <pic:cNvPicPr>
                      <a:picLocks noChangeAspect="1"/>
                    </pic:cNvPicPr>
                  </pic:nvPicPr>
                  <pic:blipFill>
                    <a:blip r:embed="rId6"/>
                    <a:stretch>
                      <a:fillRect/>
                    </a:stretch>
                  </pic:blipFill>
                  <pic:spPr>
                    <a:xfrm>
                      <a:off x="0" y="0"/>
                      <a:ext cx="3604260" cy="5093335"/>
                    </a:xfrm>
                    <a:prstGeom prst="rect">
                      <a:avLst/>
                    </a:prstGeom>
                  </pic:spPr>
                </pic:pic>
              </a:graphicData>
            </a:graphic>
          </wp:inline>
        </w:drawing>
      </w:r>
    </w:p>
    <w:p w14:paraId="5D5DBE43">
      <w:pPr>
        <w:pStyle w:val="113"/>
        <w:numPr>
          <w:ilvl w:val="0"/>
          <w:numId w:val="0"/>
        </w:numPr>
        <w:bidi w:val="0"/>
        <w:ind w:leftChars="0"/>
        <w:jc w:val="center"/>
        <w:rPr>
          <w:rFonts w:hint="eastAsia"/>
          <w:lang w:val="en-US" w:eastAsia="zh-CN"/>
        </w:rPr>
      </w:pPr>
      <w:r>
        <w:rPr>
          <w:rFonts w:hint="eastAsia"/>
          <w:lang w:val="en-US" w:eastAsia="zh-CN"/>
        </w:rPr>
        <w:t>图A.1 井冈山蜜柚酵素生产区域范围图</w:t>
      </w:r>
    </w:p>
    <w:p w14:paraId="4513F8F4">
      <w:pPr>
        <w:pStyle w:val="24"/>
        <w:jc w:val="center"/>
      </w:pPr>
    </w:p>
    <w:p w14:paraId="656C8399">
      <w:pPr>
        <w:pStyle w:val="24"/>
        <w:jc w:val="center"/>
      </w:pPr>
    </w:p>
    <w:p w14:paraId="5207502E">
      <w:pPr>
        <w:pStyle w:val="24"/>
        <w:jc w:val="center"/>
      </w:pPr>
    </w:p>
    <w:p w14:paraId="05E690E2">
      <w:pPr>
        <w:pStyle w:val="111"/>
        <w:bidi w:val="0"/>
        <w:rPr>
          <w:rFonts w:hint="default"/>
          <w:lang w:val="en-US" w:eastAsia="zh-CN"/>
        </w:rPr>
      </w:pPr>
      <w:bookmarkStart w:id="91"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7"/>
                    <a:stretch>
                      <a:fillRect/>
                    </a:stretch>
                  </pic:blipFill>
                  <pic:spPr>
                    <a:xfrm>
                      <a:off x="0" y="0"/>
                      <a:ext cx="1485900" cy="317500"/>
                    </a:xfrm>
                    <a:prstGeom prst="rect">
                      <a:avLst/>
                    </a:prstGeom>
                  </pic:spPr>
                </pic:pic>
              </a:graphicData>
            </a:graphic>
          </wp:inline>
        </w:drawing>
      </w:r>
      <w:bookmarkEnd w:id="91"/>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7A75">
    <w:pPr>
      <w:pStyle w:val="30"/>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23F3">
    <w:pPr>
      <w:pStyle w:val="31"/>
      <w:bidi w:val="0"/>
      <w:rPr>
        <w:rFonts w:hint="eastAsia" w:eastAsia="黑体"/>
        <w:lang w:eastAsia="zh-CN"/>
      </w:rPr>
    </w:pPr>
    <w:r>
      <w:rPr>
        <w:rFonts w:hint="eastAsia"/>
        <w:lang w:eastAsia="zh-CN"/>
      </w:rPr>
      <w:t>T/JALNCP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E7787"/>
    <w:multiLevelType w:val="multilevel"/>
    <w:tmpl w:val="8B4E7787"/>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A1986273"/>
    <w:multiLevelType w:val="multilevel"/>
    <w:tmpl w:val="A1986273"/>
    <w:lvl w:ilvl="0" w:tentative="0">
      <w:start w:val="1"/>
      <w:numFmt w:val="lowerLetter"/>
      <w:pStyle w:val="59"/>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0"/>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8"/>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B573FCA0"/>
    <w:multiLevelType w:val="multilevel"/>
    <w:tmpl w:val="B573FCA0"/>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C8AD354"/>
    <w:multiLevelType w:val="multilevel"/>
    <w:tmpl w:val="EC8AD354"/>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F0136F18"/>
    <w:multiLevelType w:val="multilevel"/>
    <w:tmpl w:val="F0136F18"/>
    <w:lvl w:ilvl="0" w:tentative="0">
      <w:start w:val="1"/>
      <w:numFmt w:val="decimal"/>
      <w:pStyle w:val="106"/>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F8764C4D"/>
    <w:multiLevelType w:val="multilevel"/>
    <w:tmpl w:val="F8764C4D"/>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042BE165"/>
    <w:multiLevelType w:val="multilevel"/>
    <w:tmpl w:val="042BE165"/>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0AD82C9C"/>
    <w:multiLevelType w:val="multilevel"/>
    <w:tmpl w:val="0AD82C9C"/>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1AF25FD9"/>
    <w:multiLevelType w:val="multilevel"/>
    <w:tmpl w:val="1AF25FD9"/>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2173D9F1"/>
    <w:multiLevelType w:val="multilevel"/>
    <w:tmpl w:val="2173D9F1"/>
    <w:lvl w:ilvl="0" w:tentative="0">
      <w:start w:val="1"/>
      <w:numFmt w:val="none"/>
      <w:pStyle w:val="103"/>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22827D5B"/>
    <w:multiLevelType w:val="multilevel"/>
    <w:tmpl w:val="22827D5B"/>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2E34FD65"/>
    <w:multiLevelType w:val="multilevel"/>
    <w:tmpl w:val="2E34FD65"/>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3222B981"/>
    <w:multiLevelType w:val="multilevel"/>
    <w:tmpl w:val="3222B981"/>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617328A"/>
    <w:multiLevelType w:val="multilevel"/>
    <w:tmpl w:val="3617328A"/>
    <w:lvl w:ilvl="0" w:tentative="0">
      <w:start w:val="1"/>
      <w:numFmt w:val="none"/>
      <w:pStyle w:val="105"/>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38D1385B"/>
    <w:multiLevelType w:val="multilevel"/>
    <w:tmpl w:val="38D1385B"/>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5">
    <w:nsid w:val="3B12D4D2"/>
    <w:multiLevelType w:val="multilevel"/>
    <w:tmpl w:val="3B12D4D2"/>
    <w:lvl w:ilvl="0" w:tentative="0">
      <w:start w:val="1"/>
      <w:numFmt w:val="none"/>
      <w:pStyle w:val="56"/>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7"/>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DBF04F4"/>
    <w:multiLevelType w:val="multilevel"/>
    <w:tmpl w:val="6DBF04F4"/>
    <w:lvl w:ilvl="0" w:tentative="0">
      <w:start w:val="1"/>
      <w:numFmt w:val="none"/>
      <w:pStyle w:val="12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1DEBFF6"/>
    <w:multiLevelType w:val="multilevel"/>
    <w:tmpl w:val="71DEBFF6"/>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61"/>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2"/>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3"/>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4"/>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5"/>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733389A6"/>
    <w:multiLevelType w:val="multilevel"/>
    <w:tmpl w:val="733389A6"/>
    <w:lvl w:ilvl="0" w:tentative="0">
      <w:start w:val="1"/>
      <w:numFmt w:val="decimal"/>
      <w:pStyle w:val="104"/>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5"/>
  </w:num>
  <w:num w:numId="2">
    <w:abstractNumId w:val="14"/>
  </w:num>
  <w:num w:numId="3">
    <w:abstractNumId w:val="11"/>
  </w:num>
  <w:num w:numId="4">
    <w:abstractNumId w:val="17"/>
  </w:num>
  <w:num w:numId="5">
    <w:abstractNumId w:val="15"/>
  </w:num>
  <w:num w:numId="6">
    <w:abstractNumId w:val="1"/>
  </w:num>
  <w:num w:numId="7">
    <w:abstractNumId w:val="7"/>
  </w:num>
  <w:num w:numId="8">
    <w:abstractNumId w:val="12"/>
  </w:num>
  <w:num w:numId="9">
    <w:abstractNumId w:val="8"/>
  </w:num>
  <w:num w:numId="10">
    <w:abstractNumId w:val="9"/>
  </w:num>
  <w:num w:numId="11">
    <w:abstractNumId w:val="18"/>
  </w:num>
  <w:num w:numId="12">
    <w:abstractNumId w:val="13"/>
  </w:num>
  <w:num w:numId="13">
    <w:abstractNumId w:val="4"/>
  </w:num>
  <w:num w:numId="14">
    <w:abstractNumId w:val="2"/>
  </w:num>
  <w:num w:numId="15">
    <w:abstractNumId w:val="3"/>
  </w:num>
  <w:num w:numId="16">
    <w:abstractNumId w:val="6"/>
  </w:num>
  <w:num w:numId="17">
    <w:abstractNumId w:val="0"/>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MDJlNGI2MGYwZTFkYTlhNTg4Mjc5YjcwMGViOTAifQ=="/>
  </w:docVars>
  <w:rsids>
    <w:rsidRoot w:val="22A65372"/>
    <w:rsid w:val="01E44FDB"/>
    <w:rsid w:val="02CE2CB2"/>
    <w:rsid w:val="03D35910"/>
    <w:rsid w:val="048E4B7A"/>
    <w:rsid w:val="096820FA"/>
    <w:rsid w:val="0D54274B"/>
    <w:rsid w:val="0FFA3C1C"/>
    <w:rsid w:val="103E71E0"/>
    <w:rsid w:val="10FB396F"/>
    <w:rsid w:val="11C4715B"/>
    <w:rsid w:val="1257050D"/>
    <w:rsid w:val="136F089E"/>
    <w:rsid w:val="174736BE"/>
    <w:rsid w:val="1A9E7AF2"/>
    <w:rsid w:val="1BA06543"/>
    <w:rsid w:val="1D57438E"/>
    <w:rsid w:val="1EBB0A1A"/>
    <w:rsid w:val="206F3F8C"/>
    <w:rsid w:val="225E1FA6"/>
    <w:rsid w:val="22A65372"/>
    <w:rsid w:val="258921ED"/>
    <w:rsid w:val="29671BBB"/>
    <w:rsid w:val="2F555CE3"/>
    <w:rsid w:val="30A154CE"/>
    <w:rsid w:val="317561A9"/>
    <w:rsid w:val="34F62354"/>
    <w:rsid w:val="3510196C"/>
    <w:rsid w:val="35D23F20"/>
    <w:rsid w:val="368F2BB5"/>
    <w:rsid w:val="36DA7652"/>
    <w:rsid w:val="36EA7C97"/>
    <w:rsid w:val="38CF5396"/>
    <w:rsid w:val="403A64B2"/>
    <w:rsid w:val="410C109C"/>
    <w:rsid w:val="414B74E4"/>
    <w:rsid w:val="417D0AC2"/>
    <w:rsid w:val="421A5B5D"/>
    <w:rsid w:val="425002F5"/>
    <w:rsid w:val="47997CE8"/>
    <w:rsid w:val="49CB0459"/>
    <w:rsid w:val="4AFF666B"/>
    <w:rsid w:val="4B4F58DA"/>
    <w:rsid w:val="4D950505"/>
    <w:rsid w:val="4FAD3C3C"/>
    <w:rsid w:val="50B145A5"/>
    <w:rsid w:val="51B51175"/>
    <w:rsid w:val="53CE6585"/>
    <w:rsid w:val="548415A6"/>
    <w:rsid w:val="595C1F30"/>
    <w:rsid w:val="5C8559C5"/>
    <w:rsid w:val="5D6B597F"/>
    <w:rsid w:val="5E2C229D"/>
    <w:rsid w:val="5EAF57DE"/>
    <w:rsid w:val="5EC91604"/>
    <w:rsid w:val="5FDC037C"/>
    <w:rsid w:val="60C62FD2"/>
    <w:rsid w:val="63B514A9"/>
    <w:rsid w:val="63D022E1"/>
    <w:rsid w:val="65647DB9"/>
    <w:rsid w:val="672E5DC5"/>
    <w:rsid w:val="679B072E"/>
    <w:rsid w:val="69175047"/>
    <w:rsid w:val="69D26D40"/>
    <w:rsid w:val="6B307D54"/>
    <w:rsid w:val="6C5E0930"/>
    <w:rsid w:val="6E4C2A0A"/>
    <w:rsid w:val="6FA348AB"/>
    <w:rsid w:val="6FBB4290"/>
    <w:rsid w:val="701F78B8"/>
    <w:rsid w:val="73E21E46"/>
    <w:rsid w:val="75916036"/>
    <w:rsid w:val="76791307"/>
    <w:rsid w:val="785710EA"/>
    <w:rsid w:val="799301B1"/>
    <w:rsid w:val="7A3B3D35"/>
    <w:rsid w:val="7A9D0921"/>
    <w:rsid w:val="7C0A2C05"/>
    <w:rsid w:val="7D032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2">
    <w:name w:val="Default Paragraph Font"/>
    <w:semiHidden/>
    <w:qFormat/>
    <w:uiPriority w:val="0"/>
    <w:rPr>
      <w:rFonts w:hint="eastAsia" w:ascii="宋体" w:hAnsi="Times New Roman" w:eastAsia="宋体" w:cs="Times New Roman"/>
      <w:sz w:val="21"/>
    </w:rPr>
  </w:style>
  <w:style w:type="table" w:default="1" w:styleId="20">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paragraph" w:styleId="19">
    <w:name w:val="Normal (Web)"/>
    <w:basedOn w:val="1"/>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otnote reference"/>
    <w:basedOn w:val="22"/>
    <w:qFormat/>
    <w:uiPriority w:val="0"/>
    <w:rPr>
      <w:rFonts w:hAnsi="宋体" w:cs="宋体"/>
      <w:sz w:val="18"/>
      <w:vertAlign w:val="superscript"/>
    </w:rPr>
  </w:style>
  <w:style w:type="paragraph" w:customStyle="1" w:styleId="24">
    <w:name w:val="标准文件_段"/>
    <w:qFormat/>
    <w:uiPriority w:val="0"/>
    <w:pPr>
      <w:ind w:firstLine="960" w:firstLineChars="200"/>
      <w:jc w:val="both"/>
    </w:pPr>
    <w:rPr>
      <w:rFonts w:hint="eastAsia" w:ascii="宋体" w:hAnsi="Times New Roman" w:eastAsia="宋体" w:cs="宋体"/>
      <w:sz w:val="21"/>
    </w:rPr>
  </w:style>
  <w:style w:type="paragraph" w:customStyle="1" w:styleId="25">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0">
    <w:name w:val="标准书脚_奇数页"/>
    <w:qFormat/>
    <w:uiPriority w:val="0"/>
    <w:pPr>
      <w:ind w:right="227"/>
      <w:jc w:val="right"/>
    </w:pPr>
    <w:rPr>
      <w:rFonts w:hint="eastAsia" w:ascii="宋体" w:hAnsi="Times New Roman" w:eastAsia="宋体" w:cs="宋体"/>
      <w:sz w:val="18"/>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2">
    <w:name w:val="标准书眉_偶数页"/>
    <w:next w:val="1"/>
    <w:qFormat/>
    <w:uiPriority w:val="0"/>
    <w:pPr>
      <w:spacing w:after="120"/>
    </w:pPr>
    <w:rPr>
      <w:rFonts w:hint="eastAsia" w:ascii="黑体" w:hAnsi="Times New Roman" w:eastAsia="黑体" w:cs="黑体"/>
      <w:sz w:val="21"/>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2">
    <w:name w:val="封面标准英文名称"/>
    <w:basedOn w:val="41"/>
    <w:qFormat/>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spacing w:before="760"/>
    </w:pPr>
  </w:style>
  <w:style w:type="paragraph" w:customStyle="1" w:styleId="44">
    <w:name w:val="封面标准文稿类别"/>
    <w:basedOn w:val="43"/>
    <w:qFormat/>
    <w:uiPriority w:val="0"/>
    <w:pPr>
      <w:spacing w:before="440" w:after="160"/>
    </w:pPr>
    <w:rPr>
      <w:rFonts w:ascii="黑体" w:hAnsi="黑体" w:cs="黑体"/>
      <w:sz w:val="24"/>
    </w:rPr>
  </w:style>
  <w:style w:type="paragraph" w:customStyle="1" w:styleId="45">
    <w:name w:val="封面标准文稿编辑信息"/>
    <w:basedOn w:val="44"/>
    <w:qFormat/>
    <w:uiPriority w:val="0"/>
    <w:pPr>
      <w:spacing w:before="180" w:line="240" w:lineRule="atLeast"/>
    </w:pPr>
    <w:rPr>
      <w:sz w:val="21"/>
    </w:rPr>
  </w:style>
  <w:style w:type="paragraph" w:customStyle="1" w:styleId="46">
    <w:name w:val="封面标准文稿附件"/>
    <w:basedOn w:val="44"/>
    <w:qFormat/>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3">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5">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56">
    <w:name w:val="标准文件_一级项"/>
    <w:next w:val="24"/>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7">
    <w:name w:val="标准文件_二级项2"/>
    <w:basedOn w:val="24"/>
    <w:next w:val="24"/>
    <w:qFormat/>
    <w:uiPriority w:val="0"/>
    <w:pPr>
      <w:numPr>
        <w:ilvl w:val="1"/>
        <w:numId w:val="5"/>
      </w:numPr>
      <w:suppressAutoHyphens w:val="0"/>
      <w:ind w:left="1270" w:hanging="419"/>
    </w:pPr>
    <w:rPr>
      <w:rFonts w:hint="eastAsia" w:ascii="宋体" w:hAnsi="Times New Roman" w:eastAsia="宋体" w:cs="Times New Roman"/>
      <w:sz w:val="21"/>
    </w:rPr>
  </w:style>
  <w:style w:type="paragraph" w:customStyle="1" w:styleId="58">
    <w:name w:val="标准文件_三级项"/>
    <w:basedOn w:val="1"/>
    <w:next w:val="24"/>
    <w:qFormat/>
    <w:uiPriority w:val="0"/>
    <w:pPr>
      <w:numPr>
        <w:ilvl w:val="2"/>
        <w:numId w:val="6"/>
      </w:numPr>
      <w:suppressAutoHyphens w:val="0"/>
      <w:spacing w:line="300" w:lineRule="exact"/>
      <w:ind w:left="1678" w:hanging="414"/>
    </w:pPr>
    <w:rPr>
      <w:rFonts w:hAnsi="+西文正文"/>
    </w:rPr>
  </w:style>
  <w:style w:type="paragraph" w:customStyle="1" w:styleId="59">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0">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1">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62">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63">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64">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65">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6">
    <w:name w:val="标准文件_引言一级无标题"/>
    <w:basedOn w:val="61"/>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62"/>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63"/>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64"/>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65"/>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2">
    <w:name w:val="标准文件_一级条标题"/>
    <w:basedOn w:val="71"/>
    <w:next w:val="24"/>
    <w:qFormat/>
    <w:uiPriority w:val="0"/>
    <w:pPr>
      <w:numPr>
        <w:ilvl w:val="1"/>
      </w:numPr>
      <w:spacing w:before="157" w:beforeLines="50" w:after="157" w:afterLines="5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4">
    <w:name w:val="标准文件_三级条标题"/>
    <w:basedOn w:val="73"/>
    <w:next w:val="24"/>
    <w:qFormat/>
    <w:uiPriority w:val="0"/>
    <w:pPr>
      <w:numPr>
        <w:ilvl w:val="3"/>
      </w:numPr>
      <w:spacing w:before="157" w:after="157"/>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一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425"/>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0">
    <w:name w:val="附录表标号"/>
    <w:basedOn w:val="24"/>
    <w:next w:val="24"/>
    <w:qFormat/>
    <w:uiPriority w:val="0"/>
    <w:pPr>
      <w:numPr>
        <w:ilvl w:val="0"/>
        <w:numId w:val="9"/>
      </w:numPr>
      <w:spacing w:line="14" w:lineRule="exact"/>
      <w:ind w:left="425"/>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suppressAutoHyphens w:val="0"/>
      <w:jc w:val="both"/>
    </w:pPr>
    <w:rPr>
      <w:rFonts w:hint="eastAsia" w:ascii="宋体" w:hAnsi="宋体" w:eastAsia="宋体" w:cs="宋体"/>
      <w:sz w:val="18"/>
    </w:rPr>
  </w:style>
  <w:style w:type="paragraph" w:customStyle="1" w:styleId="104">
    <w:name w:val="标准文件_示例×"/>
    <w:basedOn w:val="1"/>
    <w:next w:val="102"/>
    <w:qFormat/>
    <w:uiPriority w:val="0"/>
    <w:pPr>
      <w:widowControl/>
      <w:numPr>
        <w:ilvl w:val="0"/>
        <w:numId w:val="11"/>
      </w:numPr>
      <w:suppressAutoHyphens w:val="0"/>
      <w:ind w:firstLine="363"/>
    </w:pPr>
    <w:rPr>
      <w:rFonts w:hAnsi="Times New Roman"/>
      <w:sz w:val="18"/>
    </w:rPr>
  </w:style>
  <w:style w:type="paragraph" w:customStyle="1" w:styleId="105">
    <w:name w:val="标准文件_注"/>
    <w:next w:val="24"/>
    <w:qFormat/>
    <w:uiPriority w:val="0"/>
    <w:pPr>
      <w:numPr>
        <w:ilvl w:val="0"/>
        <w:numId w:val="12"/>
      </w:numPr>
      <w:autoSpaceDE w:val="0"/>
      <w:autoSpaceDN w:val="0"/>
      <w:jc w:val="both"/>
    </w:pPr>
    <w:rPr>
      <w:rFonts w:hint="eastAsia" w:ascii="宋体" w:hAnsi="宋体" w:eastAsia="宋体" w:cs="宋体"/>
      <w:sz w:val="18"/>
    </w:rPr>
  </w:style>
  <w:style w:type="paragraph" w:customStyle="1" w:styleId="106">
    <w:name w:val="标准文件_注×"/>
    <w:next w:val="24"/>
    <w:qFormat/>
    <w:uiPriority w:val="0"/>
    <w:pPr>
      <w:numPr>
        <w:ilvl w:val="0"/>
        <w:numId w:val="13"/>
      </w:numPr>
      <w:jc w:val="both"/>
    </w:pPr>
    <w:rPr>
      <w:rFonts w:hint="eastAsia" w:ascii="宋体" w:hAnsi="宋体" w:eastAsia="宋体" w:cs="宋体"/>
      <w:sz w:val="18"/>
    </w:rPr>
  </w:style>
  <w:style w:type="paragraph" w:customStyle="1" w:styleId="107">
    <w:name w:val="标准文件_图表脚注"/>
    <w:basedOn w:val="1"/>
    <w:next w:val="24"/>
    <w:qFormat/>
    <w:uiPriority w:val="0"/>
    <w:pPr>
      <w:numPr>
        <w:ilvl w:val="0"/>
        <w:numId w:val="14"/>
      </w:numPr>
      <w:suppressAutoHyphens w:val="0"/>
      <w:adjustRightInd w:val="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jc w:val="center"/>
    </w:pPr>
    <w:rPr>
      <w:rFonts w:hint="eastAsia" w:ascii="宋体" w:hAnsi="宋体" w:eastAsia="宋体" w:cs="宋体"/>
      <w:b/>
      <w:kern w:val="2"/>
      <w:sz w:val="21"/>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55"/>
    <w:qFormat/>
    <w:uiPriority w:val="0"/>
    <w:rPr>
      <w:rFonts w:ascii="黑体" w:hAnsi="黑体" w:eastAsia="黑体" w:cs="黑体"/>
      <w:sz w:val="32"/>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1">
    <w:name w:val="注：（正文）"/>
    <w:basedOn w:val="122"/>
    <w:next w:val="120"/>
    <w:qFormat/>
    <w:uiPriority w:val="0"/>
    <w:pPr>
      <w:numPr>
        <w:ilvl w:val="0"/>
        <w:numId w:val="18"/>
      </w:numPr>
    </w:pPr>
  </w:style>
  <w:style w:type="paragraph" w:customStyle="1" w:styleId="122">
    <w:name w:val="注："/>
    <w:next w:val="120"/>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508EF581">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7FF03D60">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54E208B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2219</Words>
  <Characters>2782</Characters>
  <Lines>0</Lines>
  <Paragraphs>0</Paragraphs>
  <TotalTime>3</TotalTime>
  <ScaleCrop>false</ScaleCrop>
  <LinksUpToDate>false</LinksUpToDate>
  <CharactersWithSpaces>2972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晨曦</cp:lastModifiedBy>
  <dcterms:modified xsi:type="dcterms:W3CDTF">2024-10-08T03:07:14Z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E84B8143474D400A9B15CE4853C4FA29_11</vt:lpwstr>
  </property>
</Properties>
</file>