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EDEB1">
      <w:pPr>
        <w:pStyle w:val="28"/>
        <w:bidi w:val="0"/>
        <w:rPr>
          <w:rFonts w:hint="eastAsia"/>
          <w:lang w:val="en-US" w:eastAsia="zh-CN"/>
        </w:rPr>
      </w:pPr>
      <w:r>
        <w:rPr>
          <w:rFonts w:hint="eastAsia"/>
          <w:lang w:val="en-US" w:eastAsia="zh-CN"/>
        </w:rPr>
        <w:fldChar w:fldCharType="begin">
          <w:ffData>
            <w:name w:val="TMark1"/>
            <w:enabled/>
            <w:calcOnExit w:val="0"/>
            <w:textInput/>
          </w:ffData>
        </w:fldChar>
      </w:r>
      <w:bookmarkStart w:id="0" w:name="TMark1"/>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0"/>
      <w:r>
        <w:rPr>
          <w:rFonts w:hint="eastAsia"/>
          <w:lang w:val="en-US" w:eastAsia="zh-CN"/>
        </w:rPr>
        <w:t>团体标准</w:t>
      </w:r>
    </w:p>
    <w:p w14:paraId="56BB58D1">
      <w:pPr>
        <w:pStyle w:val="39"/>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058DF0F5">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5611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402776A1">
            <w:pPr>
              <w:pStyle w:val="33"/>
              <w:widowControl w:val="0"/>
              <w:bidi w:val="0"/>
              <w:jc w:val="both"/>
              <w:rPr>
                <w:rFonts w:hint="eastAsia"/>
                <w:sz w:val="10"/>
                <w:vertAlign w:val="baseline"/>
                <w:lang w:val="en-US" w:eastAsia="zh-CN"/>
              </w:rPr>
            </w:pPr>
          </w:p>
        </w:tc>
      </w:tr>
    </w:tbl>
    <w:p w14:paraId="56DADB4D">
      <w:pPr>
        <w:pStyle w:val="40"/>
        <w:bidi w:val="0"/>
        <w:rPr>
          <w:rFonts w:hint="default"/>
          <w:lang w:val="en-US" w:eastAsia="zh-CN"/>
        </w:rPr>
      </w:pPr>
      <w:bookmarkStart w:id="3" w:name="StdName"/>
      <w:r>
        <w:rPr>
          <w:rFonts w:hint="eastAsia" w:cs="Times New Roman"/>
          <w:sz w:val="52"/>
          <w:lang w:val="en-US" w:eastAsia="zh-CN"/>
        </w:rPr>
        <w:t>井冈山</w:t>
      </w:r>
      <w:bookmarkEnd w:id="3"/>
      <w:r>
        <w:rPr>
          <w:rFonts w:hint="eastAsia" w:cs="Times New Roman"/>
          <w:sz w:val="52"/>
          <w:lang w:val="en-US" w:eastAsia="zh-CN"/>
        </w:rPr>
        <w:t>土（阉）鸡</w:t>
      </w:r>
    </w:p>
    <w:p w14:paraId="26441E6B">
      <w:pPr>
        <w:pStyle w:val="41"/>
        <w:bidi w:val="0"/>
        <w:rPr>
          <w:rFonts w:hint="eastAsia"/>
          <w:lang w:val="en-US" w:eastAsia="zh-CN"/>
        </w:rPr>
      </w:pPr>
      <w:bookmarkStart w:id="4" w:name="StdEnglishName"/>
      <w:r>
        <w:rPr>
          <w:rFonts w:hint="eastAsia" w:cs="Times New Roman"/>
          <w:sz w:val="28"/>
          <w:lang w:val="en-US" w:eastAsia="zh-CN"/>
        </w:rPr>
        <w:t xml:space="preserve">Jinggangshan </w:t>
      </w:r>
      <w:bookmarkEnd w:id="4"/>
      <w:r>
        <w:rPr>
          <w:rFonts w:ascii="Times New Roman" w:hAnsi="Times New Roman" w:eastAsia="黑体" w:cs="Times New Roman"/>
          <w:i w:val="0"/>
          <w:iCs w:val="0"/>
          <w:caps w:val="0"/>
          <w:color w:val="auto"/>
          <w:spacing w:val="0"/>
          <w:sz w:val="28"/>
          <w:szCs w:val="20"/>
          <w:shd w:val="clear" w:fill="auto"/>
          <w:lang w:val="en-US" w:eastAsia="zh-CN"/>
        </w:rPr>
        <w:t>free-range chicken</w:t>
      </w:r>
      <w:r>
        <w:rPr>
          <w:rFonts w:hint="eastAsia" w:cs="Times New Roman"/>
          <w:i w:val="0"/>
          <w:iCs w:val="0"/>
          <w:caps w:val="0"/>
          <w:spacing w:val="0"/>
          <w:sz w:val="28"/>
          <w:szCs w:val="20"/>
          <w:shd w:val="clear"/>
          <w:lang w:val="en-US" w:eastAsia="zh-CN"/>
        </w:rPr>
        <w:t>（</w:t>
      </w:r>
      <w:r>
        <w:rPr>
          <w:rFonts w:ascii="Times New Roman" w:hAnsi="Times New Roman" w:eastAsia="黑体" w:cs="Times New Roman"/>
          <w:i w:val="0"/>
          <w:iCs w:val="0"/>
          <w:caps w:val="0"/>
          <w:color w:val="auto"/>
          <w:spacing w:val="0"/>
          <w:sz w:val="28"/>
          <w:szCs w:val="20"/>
          <w:shd w:val="clear" w:fill="auto"/>
          <w:lang w:val="en-US" w:eastAsia="zh-CN"/>
        </w:rPr>
        <w:t>capon</w:t>
      </w:r>
      <w:r>
        <w:rPr>
          <w:rFonts w:hint="eastAsia" w:cs="Times New Roman"/>
          <w:i w:val="0"/>
          <w:iCs w:val="0"/>
          <w:caps w:val="0"/>
          <w:spacing w:val="0"/>
          <w:sz w:val="28"/>
          <w:szCs w:val="20"/>
          <w:shd w:val="clear"/>
          <w:lang w:val="en-US" w:eastAsia="zh-CN"/>
        </w:rPr>
        <w:t>）</w:t>
      </w:r>
    </w:p>
    <w:p w14:paraId="6889C1B5">
      <w:pPr>
        <w:pStyle w:val="42"/>
        <w:bidi w:val="0"/>
        <w:rPr>
          <w:rFonts w:hint="eastAsia"/>
          <w:lang w:val="en-US" w:eastAsia="zh-CN"/>
        </w:rPr>
      </w:pPr>
      <w:r>
        <w:rPr>
          <w:rFonts w:hint="eastAsia" w:cs="Times New Roman"/>
          <w:sz w:val="28"/>
          <w:lang w:val="en-US" w:eastAsia="zh-CN"/>
        </w:rPr>
        <w:t xml:space="preserve"> </w:t>
      </w:r>
    </w:p>
    <w:p w14:paraId="067ABD83">
      <w:pPr>
        <w:pStyle w:val="43"/>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6BEF902A">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116BEBF3">
      <w:pPr>
        <w:pStyle w:val="45"/>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6EE8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4944" w:type="dxa"/>
            <w:tcBorders>
              <w:bottom w:val="single" w:color="auto" w:sz="8" w:space="0"/>
            </w:tcBorders>
            <w:tcMar>
              <w:left w:w="57" w:type="dxa"/>
              <w:bottom w:w="28" w:type="dxa"/>
            </w:tcMar>
          </w:tcPr>
          <w:p w14:paraId="3DF57AEE">
            <w:pPr>
              <w:pStyle w:val="37"/>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47B9BD53">
            <w:pPr>
              <w:pStyle w:val="37"/>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35DFD654">
      <w:pPr>
        <w:pStyle w:val="47"/>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340F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2353972F">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747DADD5">
            <w:pPr>
              <w:pStyle w:val="51"/>
              <w:framePr w:w="9639" w:wrap="around"/>
              <w:bidi w:val="0"/>
              <w:jc w:val="both"/>
              <w:rPr>
                <w:rFonts w:hint="eastAsia"/>
                <w:vertAlign w:val="baseline"/>
                <w:lang w:val="en-US" w:eastAsia="zh-CN"/>
              </w:rPr>
            </w:pPr>
            <w:bookmarkStart w:id="15"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5"/>
          </w:p>
        </w:tc>
      </w:tr>
      <w:tr w14:paraId="178C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3" w:type="dxa"/>
          </w:tcPr>
          <w:p w14:paraId="14EB6E1C">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47EF08A1">
            <w:pPr>
              <w:pStyle w:val="51"/>
              <w:framePr w:w="9639" w:wrap="around"/>
              <w:bidi w:val="0"/>
              <w:jc w:val="both"/>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677DC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21190B2D">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13057C4C">
            <w:pPr>
              <w:pStyle w:val="51"/>
              <w:framePr w:w="9639" w:wrap="around"/>
              <w:bidi w:val="0"/>
              <w:jc w:val="both"/>
              <w:rPr>
                <w:rFonts w:hint="eastAsia"/>
                <w:vertAlign w:val="baseline"/>
                <w:lang w:val="en-US" w:eastAsia="zh-CN"/>
              </w:rPr>
            </w:pPr>
          </w:p>
        </w:tc>
      </w:tr>
    </w:tbl>
    <w:p w14:paraId="55F747F7">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39DD2593">
      <w:pPr>
        <w:pStyle w:val="52"/>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23B61BE0">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0A0388EF">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4BAD76D">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46E823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_Toc17023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32F91A6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0896ECD">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8BB0CD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_Toc30562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4A4B06BC">
      <w:pPr>
        <w:pStyle w:val="14"/>
        <w:tabs>
          <w:tab w:val="right" w:leader="dot" w:pos="9354"/>
        </w:tabs>
        <w:ind w:left="0" w:leftChars="0" w:firstLine="0" w:firstLineChars="0"/>
        <w:rPr>
          <w:rFonts w:hint="eastAsia" w:ascii="宋体" w:hAnsi="宋体" w:eastAsia="宋体" w:cs="宋体"/>
          <w:spacing w:val="0"/>
          <w:lang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lang w:val="en-US" w:eastAsia="zh-CN"/>
        </w:rPr>
        <w:fldChar w:fldCharType="end"/>
      </w:r>
      <w:r>
        <w:rPr>
          <w:rFonts w:hint="eastAsia" w:cs="宋体"/>
          <w:spacing w:val="0"/>
          <w:lang w:val="en-US" w:eastAsia="zh-CN"/>
        </w:rPr>
        <w:t>3</w:t>
      </w:r>
    </w:p>
    <w:p w14:paraId="73A763EB">
      <w:pPr>
        <w:pStyle w:val="14"/>
        <w:tabs>
          <w:tab w:val="right" w:leader="dot" w:pos="9354"/>
        </w:tabs>
        <w:ind w:left="0" w:leftChars="0" w:firstLine="0" w:firstLineChars="0"/>
        <w:rPr>
          <w:rFonts w:hint="eastAsia" w:ascii="宋体" w:hAnsi="宋体" w:eastAsia="宋体" w:cs="宋体"/>
          <w:spacing w:val="0"/>
          <w:lang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w:t>
      </w:r>
      <w:r>
        <w:rPr>
          <w:rFonts w:hint="eastAsia" w:cs="宋体"/>
          <w:spacing w:val="0"/>
          <w:lang w:val="en-US" w:eastAsia="zh-CN"/>
        </w:rPr>
        <w:t>井冈山土（阉）鸡养殖</w:t>
      </w:r>
      <w:r>
        <w:rPr>
          <w:rFonts w:hint="eastAsia" w:ascii="宋体" w:hAnsi="宋体" w:eastAsia="宋体" w:cs="宋体"/>
          <w:spacing w:val="0"/>
          <w:lang w:val="en-US" w:eastAsia="zh-CN"/>
        </w:rPr>
        <w:t>区域范围图</w:t>
      </w:r>
      <w:r>
        <w:rPr>
          <w:rFonts w:hint="eastAsia" w:ascii="宋体" w:hAnsi="宋体" w:eastAsia="宋体" w:cs="宋体"/>
          <w:spacing w:val="0"/>
        </w:rPr>
        <w:tab/>
      </w:r>
      <w:r>
        <w:rPr>
          <w:rFonts w:hint="eastAsia" w:ascii="宋体" w:hAnsi="宋体" w:eastAsia="宋体" w:cs="宋体"/>
          <w:spacing w:val="0"/>
          <w:lang w:val="en-US" w:eastAsia="zh-CN"/>
        </w:rPr>
        <w:fldChar w:fldCharType="end"/>
      </w:r>
      <w:r>
        <w:rPr>
          <w:rFonts w:hint="eastAsia" w:cs="宋体"/>
          <w:spacing w:val="0"/>
          <w:lang w:val="en-US" w:eastAsia="zh-CN"/>
        </w:rPr>
        <w:t>4</w:t>
      </w:r>
    </w:p>
    <w:p w14:paraId="2E0496C8">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E9AC121">
      <w:pPr>
        <w:pStyle w:val="52"/>
        <w:bidi w:val="0"/>
        <w:rPr>
          <w:rFonts w:hint="eastAsia"/>
          <w:lang w:val="en-US" w:eastAsia="zh-CN"/>
        </w:rPr>
      </w:pPr>
      <w:r>
        <w:rPr>
          <w:rFonts w:hint="eastAsia"/>
          <w:lang w:val="en-US" w:eastAsia="zh-CN"/>
        </w:rPr>
        <w:br w:type="page"/>
      </w:r>
    </w:p>
    <w:p w14:paraId="7859567B">
      <w:pPr>
        <w:pStyle w:val="53"/>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1D799ECD">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3281466D">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0EB6BE19">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2E00D017">
      <w:pPr>
        <w:pStyle w:val="23"/>
        <w:bidi w:val="0"/>
        <w:rPr>
          <w:rFonts w:hint="eastAsia"/>
          <w:lang w:val="en-US" w:eastAsia="zh-CN"/>
        </w:rPr>
      </w:pPr>
      <w:r>
        <w:rPr>
          <w:rFonts w:hint="eastAsia"/>
          <w:lang w:val="en-US" w:eastAsia="zh-CN"/>
        </w:rPr>
        <w:t>本文件起草单位：</w:t>
      </w:r>
    </w:p>
    <w:p w14:paraId="073E9915">
      <w:pPr>
        <w:pStyle w:val="23"/>
        <w:bidi w:val="0"/>
        <w:rPr>
          <w:rFonts w:hint="eastAsia"/>
          <w:lang w:val="en-US" w:eastAsia="zh-CN"/>
        </w:rPr>
      </w:pPr>
      <w:r>
        <w:rPr>
          <w:rFonts w:hint="eastAsia"/>
          <w:lang w:val="en-US" w:eastAsia="zh-CN"/>
        </w:rPr>
        <w:t>本文件主要起草人：</w:t>
      </w:r>
    </w:p>
    <w:p w14:paraId="44E2CE17">
      <w:pPr>
        <w:pStyle w:val="23"/>
        <w:bidi w:val="0"/>
        <w:rPr>
          <w:rFonts w:hint="eastAsia"/>
          <w:lang w:val="en-US" w:eastAsia="zh-CN"/>
        </w:rPr>
      </w:pPr>
    </w:p>
    <w:bookmarkEnd w:id="20"/>
    <w:p w14:paraId="3D7804F7">
      <w:pPr>
        <w:rPr>
          <w:rFonts w:hint="eastAsia"/>
          <w:lang w:val="en-US" w:eastAsia="zh-CN"/>
        </w:rPr>
      </w:pPr>
    </w:p>
    <w:p w14:paraId="1497D018">
      <w:pPr>
        <w:rPr>
          <w:rFonts w:hint="eastAsia"/>
          <w:lang w:val="en-US" w:eastAsia="zh-CN"/>
        </w:rPr>
      </w:pPr>
    </w:p>
    <w:p w14:paraId="7D7C42A1">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13B3AB2A">
          <w:pPr>
            <w:pStyle w:val="54"/>
            <w:bidi w:val="0"/>
            <w:rPr>
              <w:rStyle w:val="118"/>
              <w:rFonts w:hint="eastAsia"/>
              <w:lang w:val="en-US" w:eastAsia="zh-CN"/>
            </w:rPr>
          </w:pPr>
          <w:bookmarkStart w:id="21" w:name="StandardName"/>
          <w:r>
            <w:rPr>
              <w:rStyle w:val="118"/>
              <w:rFonts w:hint="eastAsia"/>
              <w:lang w:val="en-US" w:eastAsia="zh-CN"/>
            </w:rPr>
            <w:t>井冈山</w:t>
          </w:r>
          <w:bookmarkEnd w:id="21"/>
          <w:r>
            <w:rPr>
              <w:rStyle w:val="118"/>
              <w:rFonts w:hint="eastAsia"/>
              <w:lang w:val="en-US" w:eastAsia="zh-CN"/>
            </w:rPr>
            <w:t>土（阉）鸡</w:t>
          </w:r>
        </w:p>
      </w:sdtContent>
    </w:sdt>
    <w:p w14:paraId="11FDCC39">
      <w:pPr>
        <w:pStyle w:val="70"/>
        <w:bidi w:val="0"/>
        <w:rPr>
          <w:rStyle w:val="118"/>
          <w:rFonts w:hint="eastAsia"/>
          <w:lang w:val="en-US" w:eastAsia="zh-CN"/>
        </w:rPr>
      </w:pPr>
      <w:bookmarkStart w:id="22" w:name="_Toc8095"/>
      <w:r>
        <w:rPr>
          <w:rFonts w:hint="eastAsia"/>
          <w:lang w:val="en-US" w:eastAsia="zh-CN"/>
        </w:rPr>
        <w:t>范围</w:t>
      </w:r>
      <w:bookmarkEnd w:id="22"/>
    </w:p>
    <w:p w14:paraId="40171BEE">
      <w:pPr>
        <w:pStyle w:val="23"/>
        <w:rPr>
          <w:rFonts w:hint="eastAsia"/>
          <w:lang w:val="en-US" w:eastAsia="zh-CN"/>
        </w:rPr>
      </w:pPr>
      <w:r>
        <w:rPr>
          <w:rFonts w:hint="eastAsia"/>
          <w:lang w:val="en-US" w:eastAsia="zh-CN"/>
        </w:rPr>
        <w:t>本文件规定了井冈山土（阉）鸡的要求、检验规则、包装、标志与标签、运输与贮存。</w:t>
      </w:r>
    </w:p>
    <w:p w14:paraId="1045794D">
      <w:pPr>
        <w:pStyle w:val="23"/>
        <w:rPr>
          <w:rFonts w:hint="eastAsia"/>
          <w:lang w:val="en-US" w:eastAsia="zh-CN"/>
        </w:rPr>
      </w:pPr>
      <w:r>
        <w:rPr>
          <w:rFonts w:hint="eastAsia"/>
          <w:lang w:val="en-US" w:eastAsia="zh-CN"/>
        </w:rPr>
        <w:t>本文件适用于吉安市行政区域范围内养植的土（阉）鸡。</w:t>
      </w:r>
    </w:p>
    <w:p w14:paraId="3B39E616">
      <w:pPr>
        <w:pStyle w:val="70"/>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512F118A">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A03AA1">
      <w:pPr>
        <w:pStyle w:val="23"/>
        <w:bidi w:val="0"/>
        <w:rPr>
          <w:rFonts w:hint="eastAsia"/>
          <w:lang w:val="en-US" w:eastAsia="zh-CN"/>
        </w:rPr>
      </w:pPr>
      <w:r>
        <w:rPr>
          <w:rFonts w:hint="eastAsia"/>
          <w:lang w:val="en-US" w:eastAsia="zh-CN"/>
        </w:rPr>
        <w:t>GB/T 191 包装储运图示标志</w:t>
      </w:r>
    </w:p>
    <w:p w14:paraId="1F72FBD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2707 食品安全国家标准 鲜（冻）畜、禽产品</w:t>
      </w:r>
    </w:p>
    <w:p w14:paraId="6D23FDCF">
      <w:pPr>
        <w:pStyle w:val="23"/>
        <w:bidi w:val="0"/>
        <w:rPr>
          <w:rFonts w:hint="eastAsia"/>
          <w:lang w:val="en-US" w:eastAsia="zh-CN"/>
        </w:rPr>
      </w:pPr>
      <w:r>
        <w:rPr>
          <w:rFonts w:hint="eastAsia"/>
          <w:lang w:val="en-US" w:eastAsia="zh-CN"/>
        </w:rPr>
        <w:t>GB 2762 食品安全国家标准 食品中污染物限量</w:t>
      </w:r>
    </w:p>
    <w:p w14:paraId="479F27F4">
      <w:pPr>
        <w:pStyle w:val="23"/>
        <w:bidi w:val="0"/>
        <w:rPr>
          <w:rFonts w:hint="eastAsia"/>
          <w:lang w:val="en-US" w:eastAsia="zh-CN"/>
        </w:rPr>
      </w:pPr>
      <w:r>
        <w:rPr>
          <w:rFonts w:hint="eastAsia"/>
          <w:lang w:val="en-US" w:eastAsia="zh-CN"/>
        </w:rPr>
        <w:t>GB 2763 食品安全国家标准 食品中农药最大残留限量</w:t>
      </w:r>
    </w:p>
    <w:p w14:paraId="55506674">
      <w:pPr>
        <w:pStyle w:val="23"/>
        <w:bidi w:val="0"/>
        <w:rPr>
          <w:rFonts w:hint="default" w:eastAsia="宋体"/>
          <w:lang w:val="en-US" w:eastAsia="zh-CN"/>
        </w:rPr>
      </w:pPr>
      <w:r>
        <w:t>GB 4806.</w:t>
      </w:r>
      <w:r>
        <w:rPr>
          <w:rFonts w:hint="eastAsia"/>
          <w:lang w:val="en-US" w:eastAsia="zh-CN"/>
        </w:rPr>
        <w:t>1 食品安全国家标准 食品接触材料及制品通用安全要求</w:t>
      </w:r>
    </w:p>
    <w:p w14:paraId="2EA3C254">
      <w:pPr>
        <w:pStyle w:val="23"/>
        <w:bidi w:val="0"/>
        <w:rPr>
          <w:rFonts w:hint="default" w:eastAsia="宋体"/>
          <w:lang w:val="en-US" w:eastAsia="zh-CN"/>
        </w:rPr>
      </w:pPr>
      <w:r>
        <w:t>GB 4806.</w:t>
      </w:r>
      <w:r>
        <w:rPr>
          <w:rFonts w:hint="eastAsia"/>
          <w:lang w:val="en-US" w:eastAsia="zh-CN"/>
        </w:rPr>
        <w:t>7 食品安全国家标准 食品接触用塑料材料及制品</w:t>
      </w:r>
    </w:p>
    <w:p w14:paraId="28C16F04">
      <w:pPr>
        <w:pStyle w:val="23"/>
        <w:bidi w:val="0"/>
        <w:rPr>
          <w:rFonts w:hint="eastAsia"/>
          <w:lang w:val="en-US" w:eastAsia="zh-CN"/>
        </w:rPr>
      </w:pPr>
      <w:r>
        <w:t>GB 4806.</w:t>
      </w:r>
      <w:r>
        <w:rPr>
          <w:rFonts w:hint="eastAsia"/>
          <w:lang w:val="en-US" w:eastAsia="zh-CN"/>
        </w:rPr>
        <w:t>8 食品安全国家标准 食品接触用纸和纸板材料及制品</w:t>
      </w:r>
    </w:p>
    <w:p w14:paraId="4FE71E45">
      <w:pPr>
        <w:pStyle w:val="23"/>
        <w:bidi w:val="0"/>
        <w:rPr>
          <w:rFonts w:hint="default" w:ascii="宋体" w:hAnsi="Times New Roman" w:eastAsia="宋体" w:cs="宋体"/>
          <w:sz w:val="21"/>
          <w:lang w:val="en-US" w:eastAsia="zh-CN"/>
        </w:rPr>
      </w:pPr>
      <w:r>
        <w:rPr>
          <w:rFonts w:hint="eastAsia"/>
          <w:lang w:val="en-US" w:eastAsia="zh-CN"/>
        </w:rPr>
        <w:t>GB 5009.3 食品安全国家标准 食品中水分的测定</w:t>
      </w:r>
    </w:p>
    <w:p w14:paraId="2C613CDD">
      <w:pPr>
        <w:pStyle w:val="23"/>
        <w:bidi w:val="0"/>
        <w:rPr>
          <w:rFonts w:hint="default" w:ascii="宋体" w:hAnsi="Times New Roman" w:eastAsia="宋体" w:cs="宋体"/>
          <w:sz w:val="21"/>
          <w:lang w:val="en-US" w:eastAsia="zh-CN"/>
        </w:rPr>
      </w:pPr>
      <w:r>
        <w:rPr>
          <w:rFonts w:hint="eastAsia"/>
          <w:lang w:val="en-US" w:eastAsia="zh-CN"/>
        </w:rPr>
        <w:t>GB 5009.5 食品安全国家标准 食品中蛋白质的测定</w:t>
      </w:r>
    </w:p>
    <w:p w14:paraId="41E40B87">
      <w:pPr>
        <w:pStyle w:val="23"/>
        <w:bidi w:val="0"/>
        <w:rPr>
          <w:rFonts w:hint="default"/>
          <w:lang w:val="en-US" w:eastAsia="zh-CN"/>
        </w:rPr>
      </w:pPr>
      <w:r>
        <w:rPr>
          <w:rFonts w:hint="eastAsia"/>
          <w:lang w:val="en-US" w:eastAsia="zh-CN"/>
        </w:rPr>
        <w:t>GB 5009.6 食品安全国家标准 食品中脂肪的测定</w:t>
      </w:r>
    </w:p>
    <w:p w14:paraId="49AB2BF7">
      <w:pPr>
        <w:pStyle w:val="23"/>
        <w:bidi w:val="0"/>
        <w:rPr>
          <w:rFonts w:hint="default"/>
          <w:lang w:val="en-US" w:eastAsia="zh-CN"/>
        </w:rPr>
      </w:pPr>
      <w:r>
        <w:rPr>
          <w:rFonts w:hint="eastAsia"/>
          <w:lang w:val="en-US" w:eastAsia="zh-CN"/>
        </w:rPr>
        <w:t>GB 5009.124 食品安全国家标准 食品中氨基酸的测定</w:t>
      </w:r>
    </w:p>
    <w:p w14:paraId="7ECC67B7">
      <w:pPr>
        <w:pStyle w:val="23"/>
        <w:bidi w:val="0"/>
        <w:rPr>
          <w:rFonts w:hint="eastAsia"/>
          <w:lang w:val="en-US" w:eastAsia="zh-CN"/>
        </w:rPr>
      </w:pPr>
      <w:r>
        <w:rPr>
          <w:rFonts w:hint="eastAsia"/>
          <w:lang w:val="en-US" w:eastAsia="zh-CN"/>
        </w:rPr>
        <w:t>GB 5009.228 食品安全国家标准 食品中挥发性盐基氮的测定</w:t>
      </w:r>
    </w:p>
    <w:p w14:paraId="177D31D3">
      <w:pPr>
        <w:pStyle w:val="23"/>
        <w:bidi w:val="0"/>
        <w:rPr>
          <w:rFonts w:hint="default"/>
          <w:lang w:val="en-US" w:eastAsia="zh-CN"/>
        </w:rPr>
      </w:pPr>
      <w:r>
        <w:rPr>
          <w:rFonts w:hint="eastAsia"/>
          <w:lang w:val="en-US" w:eastAsia="zh-CN"/>
        </w:rPr>
        <w:t xml:space="preserve">GB/T 5737 </w:t>
      </w:r>
      <w:r>
        <w:rPr>
          <w:rFonts w:hint="default"/>
          <w:lang w:val="en-US" w:eastAsia="zh-CN"/>
        </w:rPr>
        <w:t>食品塑料周转箱</w:t>
      </w:r>
    </w:p>
    <w:p w14:paraId="36A78714">
      <w:pPr>
        <w:pStyle w:val="23"/>
        <w:bidi w:val="0"/>
        <w:rPr>
          <w:rFonts w:ascii="宋体" w:hAnsi="Times New Roman" w:eastAsia="宋体" w:cs="宋体"/>
          <w:i w:val="0"/>
          <w:iCs w:val="0"/>
          <w:caps w:val="0"/>
          <w:spacing w:val="0"/>
          <w:sz w:val="21"/>
          <w:szCs w:val="20"/>
          <w:shd w:val="clear"/>
          <w:lang w:val="en-US" w:eastAsia="zh-CN"/>
        </w:rPr>
      </w:pPr>
      <w:r>
        <w:rPr>
          <w:rFonts w:hint="eastAsia" w:cs="宋体"/>
          <w:sz w:val="21"/>
          <w:lang w:val="en-US" w:eastAsia="zh-CN"/>
        </w:rPr>
        <w:t xml:space="preserve">GB/T 10004  </w:t>
      </w:r>
      <w:r>
        <w:rPr>
          <w:rFonts w:ascii="宋体" w:hAnsi="Times New Roman" w:eastAsia="宋体" w:cs="宋体"/>
          <w:i w:val="0"/>
          <w:iCs w:val="0"/>
          <w:caps w:val="0"/>
          <w:spacing w:val="0"/>
          <w:sz w:val="21"/>
          <w:szCs w:val="20"/>
          <w:shd w:val="clear"/>
          <w:lang w:val="en-US" w:eastAsia="zh-CN"/>
        </w:rPr>
        <w:t>包装用塑料复合膜、袋 干法复合、挤出复合</w:t>
      </w:r>
    </w:p>
    <w:p w14:paraId="0E5FD751">
      <w:pPr>
        <w:pStyle w:val="23"/>
        <w:rPr>
          <w:rFonts w:hint="default"/>
          <w:lang w:val="en-US" w:eastAsia="zh-CN"/>
        </w:rPr>
      </w:pPr>
      <w:r>
        <w:rPr>
          <w:rFonts w:hint="default"/>
          <w:lang w:val="en-US" w:eastAsia="zh-CN"/>
        </w:rPr>
        <w:t>GB/T 24616 冷藏、冷冻食品物流包装、标志、运输和储存</w:t>
      </w:r>
    </w:p>
    <w:p w14:paraId="5735021B">
      <w:pPr>
        <w:pStyle w:val="23"/>
        <w:bidi w:val="0"/>
        <w:rPr>
          <w:rFonts w:hint="default"/>
          <w:lang w:val="en-US" w:eastAsia="zh-CN"/>
        </w:rPr>
      </w:pPr>
      <w:r>
        <w:rPr>
          <w:rFonts w:hint="eastAsia"/>
          <w:lang w:val="en-US" w:eastAsia="zh-CN"/>
        </w:rPr>
        <w:t xml:space="preserve">GB 29921 </w:t>
      </w:r>
      <w:r>
        <w:rPr>
          <w:rFonts w:ascii="Verdana" w:hAnsi="Verdana" w:eastAsia="宋体" w:cs="Verdana"/>
          <w:i w:val="0"/>
          <w:iCs w:val="0"/>
          <w:caps w:val="0"/>
          <w:color w:val="333333"/>
          <w:spacing w:val="0"/>
          <w:sz w:val="20"/>
          <w:szCs w:val="20"/>
          <w:shd w:val="clear" w:fill="FFFFFF"/>
        </w:rPr>
        <w:t>食品安全国家标准 预包装食品中致病菌限量</w:t>
      </w:r>
    </w:p>
    <w:p w14:paraId="2C71D65F">
      <w:pPr>
        <w:pStyle w:val="23"/>
        <w:bidi w:val="0"/>
        <w:rPr>
          <w:rFonts w:hint="default"/>
          <w:lang w:val="en-US" w:eastAsia="zh-CN"/>
        </w:rPr>
      </w:pPr>
      <w:r>
        <w:rPr>
          <w:rFonts w:hint="eastAsia"/>
        </w:rPr>
        <w:t>J</w:t>
      </w:r>
      <w:r>
        <w:t>JF 1070</w:t>
      </w:r>
      <w:r>
        <w:rPr>
          <w:rFonts w:hint="eastAsia"/>
          <w:lang w:val="en-US" w:eastAsia="zh-CN"/>
        </w:rPr>
        <w:t xml:space="preserve"> </w:t>
      </w:r>
      <w:r>
        <w:rPr>
          <w:rFonts w:hint="default"/>
          <w:lang w:val="en-US" w:eastAsia="zh-CN"/>
        </w:rPr>
        <w:t>定量包装商品净含量计量检验规则</w:t>
      </w:r>
    </w:p>
    <w:p w14:paraId="6C946F68">
      <w:pPr>
        <w:pStyle w:val="23"/>
        <w:bidi w:val="0"/>
        <w:rPr>
          <w:rFonts w:hint="default"/>
          <w:lang w:val="en-US" w:eastAsia="zh-CN"/>
        </w:rPr>
      </w:pPr>
      <w:r>
        <w:rPr>
          <w:rFonts w:hint="default"/>
          <w:lang w:val="en-US" w:eastAsia="zh-CN"/>
        </w:rPr>
        <w:t>国家市场监督管理总局令2023年第70号  定量包装商品计量监督管理办法</w:t>
      </w:r>
    </w:p>
    <w:p w14:paraId="2AF5A97C">
      <w:pPr>
        <w:pStyle w:val="70"/>
        <w:bidi w:val="0"/>
        <w:rPr>
          <w:rFonts w:hint="eastAsia" w:ascii="宋体" w:hAnsi="Times New Roman" w:eastAsia="宋体" w:cs="宋体"/>
          <w:lang w:val="en-US" w:eastAsia="zh-CN"/>
        </w:rPr>
      </w:pPr>
      <w:bookmarkStart w:id="24" w:name="_Toc17023"/>
      <w:r>
        <w:rPr>
          <w:rFonts w:hint="eastAsia"/>
          <w:lang w:val="en-US" w:eastAsia="zh-CN"/>
        </w:rPr>
        <w:t>术语和定义</w:t>
      </w:r>
      <w:bookmarkEnd w:id="24"/>
    </w:p>
    <w:sdt>
      <w:sdtPr>
        <w:rPr>
          <w:rFonts w:hint="eastAsia" w:ascii="宋体" w:hAnsi="Times New Roman" w:eastAsia="宋体" w:cs="宋体"/>
          <w:sz w:val="21"/>
          <w:lang w:val="en-US" w:eastAsia="zh-CN"/>
        </w:rPr>
        <w:tag w:val="TermContent"/>
        <w:id w:val="147464578"/>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63D15294">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6137A3E4">
      <w:pPr>
        <w:pStyle w:val="81"/>
        <w:bidi w:val="0"/>
        <w:spacing w:after="0" w:afterLines="0"/>
        <w:ind w:left="420" w:hanging="420" w:hangingChars="200"/>
        <w:rPr>
          <w:rFonts w:hint="eastAsia" w:ascii="黑体" w:hAnsi="黑体" w:eastAsia="黑体" w:cs="黑体"/>
          <w:lang w:val="en-US" w:eastAsia="zh-CN"/>
        </w:rPr>
      </w:pPr>
    </w:p>
    <w:p w14:paraId="15822A6F">
      <w:pPr>
        <w:pStyle w:val="81"/>
        <w:numPr>
          <w:ilvl w:val="-1"/>
          <w:numId w:val="0"/>
        </w:numPr>
        <w:bidi w:val="0"/>
        <w:spacing w:after="0" w:afterLines="0"/>
        <w:ind w:left="-420" w:leftChars="-200" w:firstLine="840" w:firstLineChars="400"/>
        <w:rPr>
          <w:rFonts w:hint="default" w:ascii="黑体" w:hAnsi="黑体" w:eastAsia="黑体" w:cs="黑体"/>
          <w:lang w:val="en-US" w:eastAsia="zh-CN"/>
        </w:rPr>
      </w:pPr>
      <w:r>
        <w:rPr>
          <w:rFonts w:hint="eastAsia" w:cs="黑体"/>
          <w:lang w:val="en-US" w:eastAsia="zh-CN"/>
        </w:rPr>
        <w:t>井冈山土鸡Jinggangshan free-range chicken</w:t>
      </w:r>
    </w:p>
    <w:p w14:paraId="7BDC3B09">
      <w:pPr>
        <w:pStyle w:val="23"/>
        <w:rPr>
          <w:rFonts w:hint="eastAsia"/>
          <w:lang w:val="en-US" w:eastAsia="zh-CN"/>
        </w:rPr>
      </w:pPr>
      <w:r>
        <w:rPr>
          <w:rFonts w:hint="eastAsia"/>
          <w:lang w:val="en-US" w:eastAsia="zh-CN"/>
        </w:rPr>
        <w:t>吉安市行政区域范围内养殖的，符合本文件要求，并经“井冈山®”商标持有人授权的土鸡。</w:t>
      </w:r>
    </w:p>
    <w:p w14:paraId="539C7FAF">
      <w:pPr>
        <w:pStyle w:val="81"/>
        <w:bidi w:val="0"/>
        <w:spacing w:after="0" w:afterLines="0"/>
        <w:ind w:left="420" w:hanging="420" w:hangingChars="200"/>
        <w:rPr>
          <w:rFonts w:hint="eastAsia" w:ascii="黑体" w:hAnsi="黑体" w:eastAsia="黑体" w:cs="黑体"/>
          <w:lang w:val="en-US" w:eastAsia="zh-CN"/>
        </w:rPr>
      </w:pPr>
    </w:p>
    <w:p w14:paraId="1858FBDC">
      <w:pPr>
        <w:pStyle w:val="81"/>
        <w:numPr>
          <w:ilvl w:val="-1"/>
          <w:numId w:val="0"/>
        </w:numPr>
        <w:bidi w:val="0"/>
        <w:spacing w:after="0" w:afterLines="0"/>
        <w:ind w:left="-420" w:leftChars="-200" w:firstLine="840" w:firstLineChars="400"/>
        <w:rPr>
          <w:rFonts w:hint="default" w:ascii="黑体" w:hAnsi="黑体" w:eastAsia="黑体" w:cs="黑体"/>
          <w:lang w:val="en-US" w:eastAsia="zh-CN"/>
        </w:rPr>
      </w:pPr>
      <w:r>
        <w:rPr>
          <w:rFonts w:hint="eastAsia" w:cs="黑体"/>
          <w:lang w:val="en-US" w:eastAsia="zh-CN"/>
        </w:rPr>
        <w:t>阉鸡capon</w:t>
      </w:r>
    </w:p>
    <w:p w14:paraId="78DCA44E">
      <w:pPr>
        <w:pStyle w:val="23"/>
        <w:ind w:firstLine="420"/>
        <w:rPr>
          <w:rFonts w:hint="eastAsia"/>
          <w:lang w:val="en-US" w:eastAsia="zh-CN"/>
        </w:rPr>
      </w:pPr>
      <w:r>
        <w:rPr>
          <w:rFonts w:hint="eastAsia"/>
          <w:lang w:val="en-US" w:eastAsia="zh-CN"/>
        </w:rPr>
        <w:t>在体重0.5kg左右进行庵割后的井冈山公鸡。</w:t>
      </w:r>
    </w:p>
    <w:p w14:paraId="332B2351">
      <w:pPr>
        <w:pStyle w:val="23"/>
        <w:rPr>
          <w:rFonts w:hint="eastAsia"/>
          <w:lang w:val="en-US" w:eastAsia="zh-CN"/>
        </w:rPr>
      </w:pPr>
      <w:r>
        <w:rPr>
          <w:rFonts w:hint="eastAsia"/>
          <w:lang w:val="en-US" w:eastAsia="zh-CN"/>
        </w:rPr>
        <w:t>井冈山土（阉）鸡养殖区域范围见附录A。</w:t>
      </w:r>
    </w:p>
    <w:p w14:paraId="7F7030B6">
      <w:pPr>
        <w:pStyle w:val="23"/>
        <w:ind w:firstLine="420"/>
        <w:rPr>
          <w:rFonts w:hint="eastAsia"/>
          <w:lang w:val="en-US" w:eastAsia="zh-CN"/>
        </w:rPr>
      </w:pPr>
    </w:p>
    <w:p w14:paraId="1D271453">
      <w:pPr>
        <w:pStyle w:val="70"/>
        <w:bidi w:val="0"/>
        <w:rPr>
          <w:rFonts w:hint="eastAsia"/>
          <w:lang w:val="en-US" w:eastAsia="zh-CN"/>
        </w:rPr>
      </w:pPr>
      <w:bookmarkStart w:id="25" w:name="_Toc1476"/>
      <w:r>
        <w:rPr>
          <w:rFonts w:hint="eastAsia"/>
          <w:lang w:val="en-US" w:eastAsia="zh-CN"/>
        </w:rPr>
        <w:t>要求</w:t>
      </w:r>
      <w:bookmarkEnd w:id="25"/>
    </w:p>
    <w:p w14:paraId="23DCBE8D">
      <w:pPr>
        <w:pStyle w:val="71"/>
        <w:spacing w:before="120" w:after="120"/>
      </w:pPr>
      <w:r>
        <w:rPr>
          <w:rFonts w:hint="eastAsia"/>
          <w:lang w:val="en-US" w:eastAsia="zh-CN"/>
        </w:rPr>
        <w:t>品种</w:t>
      </w:r>
    </w:p>
    <w:p w14:paraId="20C1E95E">
      <w:pPr>
        <w:pStyle w:val="23"/>
        <w:rPr>
          <w:rFonts w:hint="default"/>
          <w:lang w:val="en-US" w:eastAsia="zh-CN"/>
        </w:rPr>
      </w:pPr>
      <w:r>
        <w:rPr>
          <w:rFonts w:hint="eastAsia"/>
          <w:lang w:val="en-US" w:eastAsia="zh-CN"/>
        </w:rPr>
        <w:t>选用当地适宜养殖品种。</w:t>
      </w:r>
    </w:p>
    <w:p w14:paraId="4CAB6469">
      <w:pPr>
        <w:pStyle w:val="71"/>
        <w:bidi w:val="0"/>
        <w:rPr>
          <w:rFonts w:hint="default"/>
          <w:lang w:val="en-US" w:eastAsia="zh-CN"/>
        </w:rPr>
      </w:pPr>
      <w:r>
        <w:rPr>
          <w:rFonts w:hint="eastAsia"/>
          <w:lang w:val="en-US" w:eastAsia="zh-CN"/>
        </w:rPr>
        <w:t>上市</w:t>
      </w:r>
    </w:p>
    <w:p w14:paraId="0050706B">
      <w:pPr>
        <w:pStyle w:val="23"/>
        <w:ind w:firstLine="960"/>
        <w:rPr>
          <w:rFonts w:hint="default"/>
          <w:lang w:val="en-US" w:eastAsia="zh-CN"/>
        </w:rPr>
      </w:pPr>
      <w:r>
        <w:rPr>
          <w:rFonts w:hint="eastAsia"/>
          <w:lang w:val="en-US" w:eastAsia="zh-CN"/>
        </w:rPr>
        <w:t>土（阉）鸡在饲养约210d后，经检疫合格，规范化屠宰后，放血，去除毛、内脏，去除爪之后真空包装，然后冷冻（≤-18 ℃）处理。</w:t>
      </w:r>
    </w:p>
    <w:p w14:paraId="0DA8E1CE">
      <w:pPr>
        <w:pStyle w:val="71"/>
        <w:bidi w:val="0"/>
        <w:rPr>
          <w:rFonts w:hint="default"/>
          <w:lang w:val="en-US" w:eastAsia="zh-CN"/>
        </w:rPr>
      </w:pPr>
      <w:r>
        <w:rPr>
          <w:rFonts w:hint="eastAsia"/>
        </w:rPr>
        <w:t>感官要求</w:t>
      </w:r>
    </w:p>
    <w:p w14:paraId="4AC4BEA7">
      <w:pPr>
        <w:pStyle w:val="23"/>
        <w:ind w:firstLine="420"/>
        <w:rPr>
          <w:rFonts w:hint="eastAsia"/>
          <w:lang w:val="en-US" w:eastAsia="zh-CN"/>
        </w:rPr>
      </w:pPr>
      <w:r>
        <w:rPr>
          <w:rFonts w:hint="eastAsia"/>
          <w:lang w:val="en-US" w:eastAsia="zh-CN"/>
        </w:rPr>
        <w:t>应符合表1的规定</w:t>
      </w:r>
      <w:r>
        <w:rPr>
          <w:rFonts w:hint="eastAsia"/>
        </w:rPr>
        <w:t>。</w:t>
      </w:r>
    </w:p>
    <w:p w14:paraId="4BF75101">
      <w:pPr>
        <w:pStyle w:val="111"/>
        <w:bidi w:val="0"/>
        <w:rPr>
          <w:rFonts w:hint="eastAsia"/>
          <w:lang w:val="en-US" w:eastAsia="zh-CN"/>
        </w:rPr>
      </w:pPr>
      <w:r>
        <w:rPr>
          <w:rFonts w:hint="eastAsia"/>
          <w:lang w:val="en-US" w:eastAsia="zh-CN"/>
        </w:rPr>
        <w:t>感官指标</w:t>
      </w:r>
    </w:p>
    <w:tbl>
      <w:tblPr>
        <w:tblStyle w:val="20"/>
        <w:tblW w:w="49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64"/>
        <w:gridCol w:w="6139"/>
        <w:gridCol w:w="1793"/>
      </w:tblGrid>
      <w:tr w14:paraId="00416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543" w:type="pct"/>
          <w:trHeight w:val="146" w:hRule="atLeast"/>
          <w:jc w:val="center"/>
        </w:trPr>
        <w:tc>
          <w:tcPr>
            <w:tcW w:w="694" w:type="pct"/>
            <w:vAlign w:val="center"/>
          </w:tcPr>
          <w:p w14:paraId="77E433C3">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910" w:type="pct"/>
            <w:tcBorders>
              <w:bottom w:val="single" w:color="auto" w:sz="8" w:space="0"/>
            </w:tcBorders>
            <w:vAlign w:val="center"/>
          </w:tcPr>
          <w:p w14:paraId="52BCA747">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850" w:type="pct"/>
            <w:vAlign w:val="center"/>
          </w:tcPr>
          <w:p w14:paraId="34DBF240">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2AA8D3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543" w:type="pct"/>
          <w:jc w:val="center"/>
        </w:trPr>
        <w:tc>
          <w:tcPr>
            <w:tcW w:w="694" w:type="pct"/>
            <w:tcBorders>
              <w:top w:val="single" w:color="auto" w:sz="8" w:space="0"/>
            </w:tcBorders>
            <w:vAlign w:val="center"/>
          </w:tcPr>
          <w:p w14:paraId="7FC2AF3E">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2910" w:type="pct"/>
            <w:tcBorders>
              <w:top w:val="single" w:color="auto" w:sz="8" w:space="0"/>
            </w:tcBorders>
            <w:vAlign w:val="center"/>
          </w:tcPr>
          <w:p w14:paraId="6D6E4853">
            <w:pPr>
              <w:widowControl/>
              <w:bidi w:val="0"/>
              <w:ind w:left="0" w:leftChars="0" w:firstLineChars="0"/>
              <w:jc w:val="left"/>
              <w:rPr>
                <w:rFonts w:hint="default"/>
                <w:lang w:val="en-US" w:eastAsia="zh-CN"/>
              </w:rPr>
            </w:pPr>
            <w:r>
              <w:rPr>
                <w:rFonts w:hint="eastAsia" w:hAnsi="宋体" w:cs="宋体"/>
                <w:color w:val="000000"/>
                <w:kern w:val="0"/>
                <w:sz w:val="20"/>
                <w:szCs w:val="20"/>
                <w:lang w:val="en-US" w:eastAsia="zh-CN" w:bidi="ar"/>
              </w:rPr>
              <w:t>具有产品应有的色泽</w:t>
            </w:r>
          </w:p>
        </w:tc>
        <w:tc>
          <w:tcPr>
            <w:tcW w:w="850" w:type="pct"/>
            <w:vMerge w:val="restart"/>
            <w:tcBorders>
              <w:top w:val="single" w:color="auto" w:sz="8" w:space="0"/>
            </w:tcBorders>
            <w:vAlign w:val="center"/>
          </w:tcPr>
          <w:p w14:paraId="0D5CE80E">
            <w:pPr>
              <w:pStyle w:val="109"/>
              <w:widowControl w:val="0"/>
              <w:bidi w:val="0"/>
              <w:ind w:left="0" w:leftChars="0" w:firstLine="0" w:firstLineChars="0"/>
              <w:jc w:val="center"/>
              <w:rPr>
                <w:rFonts w:hint="default"/>
                <w:lang w:val="en-US" w:eastAsia="zh-CN"/>
              </w:rPr>
            </w:pPr>
            <w:r>
              <w:rPr>
                <w:rFonts w:hint="eastAsia"/>
                <w:lang w:val="en-US" w:eastAsia="zh-CN"/>
              </w:rPr>
              <w:t>GB 2707</w:t>
            </w:r>
          </w:p>
        </w:tc>
      </w:tr>
      <w:tr w14:paraId="659F3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543" w:type="pct"/>
          <w:jc w:val="center"/>
        </w:trPr>
        <w:tc>
          <w:tcPr>
            <w:tcW w:w="694" w:type="pct"/>
            <w:vAlign w:val="center"/>
          </w:tcPr>
          <w:p w14:paraId="366F446F">
            <w:pPr>
              <w:pStyle w:val="109"/>
              <w:widowControl w:val="0"/>
              <w:bidi w:val="0"/>
              <w:ind w:left="0" w:leftChars="0" w:firstLine="0" w:firstLineChars="0"/>
              <w:jc w:val="center"/>
              <w:rPr>
                <w:rFonts w:hint="default"/>
                <w:lang w:val="en-US" w:eastAsia="zh-CN"/>
              </w:rPr>
            </w:pPr>
            <w:r>
              <w:rPr>
                <w:rFonts w:hint="eastAsia"/>
                <w:lang w:val="en-US" w:eastAsia="zh-CN"/>
              </w:rPr>
              <w:t>气味</w:t>
            </w:r>
          </w:p>
        </w:tc>
        <w:tc>
          <w:tcPr>
            <w:tcW w:w="2910" w:type="pct"/>
            <w:vAlign w:val="center"/>
          </w:tcPr>
          <w:p w14:paraId="4A0F637C">
            <w:pPr>
              <w:pStyle w:val="109"/>
              <w:widowControl w:val="0"/>
              <w:bidi w:val="0"/>
              <w:ind w:left="0" w:leftChars="0" w:firstLine="0" w:firstLineChars="0"/>
              <w:jc w:val="left"/>
              <w:rPr>
                <w:rFonts w:hint="default"/>
                <w:lang w:val="en-US" w:eastAsia="zh-CN"/>
              </w:rPr>
            </w:pPr>
            <w:r>
              <w:rPr>
                <w:rFonts w:hint="eastAsia"/>
                <w:lang w:val="en-US" w:eastAsia="zh-CN"/>
              </w:rPr>
              <w:t>具有产品应有的气味，无异味</w:t>
            </w:r>
          </w:p>
        </w:tc>
        <w:tc>
          <w:tcPr>
            <w:tcW w:w="850" w:type="pct"/>
            <w:vMerge w:val="continue"/>
            <w:vAlign w:val="center"/>
          </w:tcPr>
          <w:p w14:paraId="5B1FDB30">
            <w:pPr>
              <w:pStyle w:val="109"/>
              <w:widowControl w:val="0"/>
              <w:bidi w:val="0"/>
              <w:ind w:left="0" w:leftChars="0" w:firstLine="0" w:firstLineChars="0"/>
              <w:jc w:val="center"/>
              <w:rPr>
                <w:rFonts w:hint="eastAsia"/>
                <w:lang w:val="en-US" w:eastAsia="zh-CN"/>
              </w:rPr>
            </w:pPr>
          </w:p>
        </w:tc>
      </w:tr>
      <w:tr w14:paraId="23085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After w:w="543" w:type="pct"/>
          <w:jc w:val="center"/>
        </w:trPr>
        <w:tc>
          <w:tcPr>
            <w:tcW w:w="694" w:type="pct"/>
            <w:vAlign w:val="center"/>
          </w:tcPr>
          <w:p w14:paraId="54BCD3FA">
            <w:pPr>
              <w:pStyle w:val="109"/>
              <w:widowControl w:val="0"/>
              <w:bidi w:val="0"/>
              <w:ind w:left="0" w:leftChars="0" w:firstLine="0" w:firstLineChars="0"/>
              <w:jc w:val="center"/>
              <w:rPr>
                <w:rFonts w:hint="default"/>
                <w:lang w:val="en-US" w:eastAsia="zh-CN"/>
              </w:rPr>
            </w:pPr>
            <w:r>
              <w:rPr>
                <w:rFonts w:hint="eastAsia"/>
                <w:lang w:val="en-US" w:eastAsia="zh-CN"/>
              </w:rPr>
              <w:t>状态</w:t>
            </w:r>
          </w:p>
        </w:tc>
        <w:tc>
          <w:tcPr>
            <w:tcW w:w="2910" w:type="pct"/>
            <w:vAlign w:val="center"/>
          </w:tcPr>
          <w:p w14:paraId="24BEEF7C">
            <w:pPr>
              <w:pStyle w:val="109"/>
              <w:widowControl w:val="0"/>
              <w:bidi w:val="0"/>
              <w:ind w:left="0" w:leftChars="0" w:firstLine="0" w:firstLineChars="0"/>
              <w:jc w:val="left"/>
              <w:rPr>
                <w:rFonts w:hint="default"/>
                <w:lang w:val="en-US" w:eastAsia="zh-CN"/>
              </w:rPr>
            </w:pPr>
            <w:r>
              <w:rPr>
                <w:rFonts w:hint="eastAsia"/>
                <w:lang w:val="en-US" w:eastAsia="zh-CN"/>
              </w:rPr>
              <w:t>具有产品应有的状态，无正常视力可见外来异物</w:t>
            </w:r>
          </w:p>
        </w:tc>
        <w:tc>
          <w:tcPr>
            <w:tcW w:w="850" w:type="pct"/>
            <w:vMerge w:val="continue"/>
            <w:vAlign w:val="center"/>
          </w:tcPr>
          <w:p w14:paraId="63447FF7">
            <w:pPr>
              <w:pStyle w:val="109"/>
              <w:widowControl w:val="0"/>
              <w:bidi w:val="0"/>
              <w:ind w:left="0" w:leftChars="0" w:firstLine="0" w:firstLineChars="0"/>
              <w:jc w:val="center"/>
              <w:rPr>
                <w:rFonts w:hint="eastAsia"/>
                <w:lang w:val="en-US" w:eastAsia="zh-CN"/>
              </w:rPr>
            </w:pPr>
          </w:p>
        </w:tc>
      </w:tr>
    </w:tbl>
    <w:p w14:paraId="0EFD4605">
      <w:pPr>
        <w:pStyle w:val="71"/>
        <w:bidi w:val="0"/>
        <w:rPr>
          <w:rFonts w:hint="default"/>
          <w:lang w:val="en-US" w:eastAsia="zh-CN"/>
        </w:rPr>
      </w:pPr>
      <w:r>
        <w:rPr>
          <w:rFonts w:hint="eastAsia"/>
          <w:lang w:val="en-US" w:eastAsia="zh-CN"/>
        </w:rPr>
        <w:t>理化指标</w:t>
      </w:r>
    </w:p>
    <w:p w14:paraId="428FB595">
      <w:pPr>
        <w:pStyle w:val="23"/>
        <w:ind w:firstLine="420"/>
        <w:rPr>
          <w:rFonts w:hint="eastAsia"/>
        </w:rPr>
      </w:pPr>
      <w:r>
        <w:rPr>
          <w:rFonts w:hint="eastAsia"/>
        </w:rPr>
        <w:t>应符合表</w:t>
      </w:r>
      <w:r>
        <w:rPr>
          <w:rFonts w:hint="eastAsia"/>
          <w:lang w:val="en-US" w:eastAsia="zh-CN"/>
        </w:rPr>
        <w:t>2</w:t>
      </w:r>
      <w:r>
        <w:rPr>
          <w:rFonts w:hint="eastAsia"/>
        </w:rPr>
        <w:t>的要求。</w:t>
      </w:r>
    </w:p>
    <w:p w14:paraId="09EA62CE">
      <w:pPr>
        <w:pStyle w:val="111"/>
        <w:bidi w:val="0"/>
        <w:rPr>
          <w:rFonts w:hint="eastAsia"/>
          <w:lang w:val="en-US" w:eastAsia="zh-CN"/>
        </w:rPr>
      </w:pPr>
      <w:r>
        <w:rPr>
          <w:rFonts w:hint="eastAsia"/>
          <w:lang w:val="en-US" w:eastAsia="zh-CN"/>
        </w:rPr>
        <w:t>理化指标</w:t>
      </w:r>
    </w:p>
    <w:tbl>
      <w:tblPr>
        <w:tblStyle w:val="20"/>
        <w:tblW w:w="447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27"/>
        <w:gridCol w:w="3444"/>
        <w:gridCol w:w="2386"/>
      </w:tblGrid>
      <w:tr w14:paraId="3DA3E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93" w:type="pct"/>
            <w:vAlign w:val="center"/>
          </w:tcPr>
          <w:p w14:paraId="6D2C5C01">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012" w:type="pct"/>
            <w:tcBorders>
              <w:bottom w:val="single" w:color="auto" w:sz="8" w:space="0"/>
            </w:tcBorders>
            <w:vAlign w:val="center"/>
          </w:tcPr>
          <w:p w14:paraId="1CEE9109">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394" w:type="pct"/>
            <w:vAlign w:val="center"/>
          </w:tcPr>
          <w:p w14:paraId="4DE5BC4A">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5581F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tcBorders>
              <w:top w:val="single" w:color="auto" w:sz="8" w:space="0"/>
            </w:tcBorders>
            <w:vAlign w:val="center"/>
          </w:tcPr>
          <w:p w14:paraId="338CE3A5">
            <w:pPr>
              <w:pStyle w:val="109"/>
              <w:widowControl w:val="0"/>
              <w:bidi w:val="0"/>
              <w:ind w:left="0" w:leftChars="0" w:firstLine="0" w:firstLineChars="0"/>
              <w:jc w:val="center"/>
              <w:rPr>
                <w:rFonts w:hint="default"/>
                <w:lang w:val="en-US" w:eastAsia="zh-CN"/>
              </w:rPr>
            </w:pPr>
            <w:r>
              <w:rPr>
                <w:rFonts w:hint="eastAsia"/>
                <w:lang w:val="en-US" w:eastAsia="zh-CN"/>
              </w:rPr>
              <w:t>水分/（g/100g）</w:t>
            </w:r>
          </w:p>
        </w:tc>
        <w:tc>
          <w:tcPr>
            <w:tcW w:w="2012" w:type="pct"/>
            <w:tcBorders>
              <w:top w:val="single" w:color="auto" w:sz="8" w:space="0"/>
            </w:tcBorders>
            <w:vAlign w:val="center"/>
          </w:tcPr>
          <w:p w14:paraId="47324E08">
            <w:pPr>
              <w:pStyle w:val="109"/>
              <w:widowControl w:val="0"/>
              <w:bidi w:val="0"/>
              <w:ind w:left="0" w:leftChars="0" w:firstLine="0" w:firstLineChars="0"/>
              <w:jc w:val="center"/>
              <w:rPr>
                <w:rFonts w:hint="default"/>
                <w:lang w:val="en-US" w:eastAsia="zh-CN"/>
              </w:rPr>
            </w:pPr>
            <w:r>
              <w:rPr>
                <w:rFonts w:hint="eastAsia"/>
                <w:lang w:val="en-US" w:eastAsia="zh-CN"/>
              </w:rPr>
              <w:t>≤77</w:t>
            </w:r>
          </w:p>
        </w:tc>
        <w:tc>
          <w:tcPr>
            <w:tcW w:w="1394" w:type="pct"/>
            <w:tcBorders>
              <w:top w:val="single" w:color="auto" w:sz="8" w:space="0"/>
            </w:tcBorders>
            <w:vAlign w:val="center"/>
          </w:tcPr>
          <w:p w14:paraId="7209E17E">
            <w:pPr>
              <w:pStyle w:val="109"/>
              <w:widowControl w:val="0"/>
              <w:bidi w:val="0"/>
              <w:ind w:left="0" w:leftChars="0" w:firstLine="0" w:firstLineChars="0"/>
              <w:jc w:val="center"/>
              <w:rPr>
                <w:rFonts w:hint="default"/>
                <w:lang w:val="en-US" w:eastAsia="zh-CN"/>
              </w:rPr>
            </w:pPr>
            <w:r>
              <w:rPr>
                <w:rFonts w:hint="eastAsia"/>
                <w:lang w:val="en-US" w:eastAsia="zh-CN"/>
              </w:rPr>
              <w:t>GB 5009.3</w:t>
            </w:r>
          </w:p>
        </w:tc>
      </w:tr>
      <w:tr w14:paraId="75F6A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93" w:type="pct"/>
            <w:vAlign w:val="center"/>
          </w:tcPr>
          <w:p w14:paraId="67886159">
            <w:pPr>
              <w:pStyle w:val="109"/>
              <w:widowControl w:val="0"/>
              <w:bidi w:val="0"/>
              <w:ind w:left="0" w:leftChars="0" w:firstLine="0" w:firstLineChars="0"/>
              <w:jc w:val="center"/>
              <w:rPr>
                <w:rFonts w:hint="eastAsia"/>
                <w:lang w:val="en-US" w:eastAsia="zh-CN"/>
              </w:rPr>
            </w:pPr>
            <w:r>
              <w:rPr>
                <w:rFonts w:hint="eastAsia"/>
                <w:lang w:val="en-US" w:eastAsia="zh-CN"/>
              </w:rPr>
              <w:t>挥发性盐基氮/（mg/100g）</w:t>
            </w:r>
          </w:p>
        </w:tc>
        <w:tc>
          <w:tcPr>
            <w:tcW w:w="2012" w:type="pct"/>
            <w:vAlign w:val="center"/>
          </w:tcPr>
          <w:p w14:paraId="768E9BE2">
            <w:pPr>
              <w:pStyle w:val="109"/>
              <w:widowControl w:val="0"/>
              <w:bidi w:val="0"/>
              <w:ind w:left="0" w:leftChars="0" w:firstLine="0" w:firstLineChars="0"/>
              <w:jc w:val="center"/>
              <w:rPr>
                <w:rFonts w:hint="default"/>
                <w:lang w:val="en-US" w:eastAsia="zh-CN"/>
              </w:rPr>
            </w:pPr>
            <w:r>
              <w:rPr>
                <w:rFonts w:hint="eastAsia"/>
                <w:lang w:val="en-US" w:eastAsia="zh-CN"/>
              </w:rPr>
              <w:t>≤15</w:t>
            </w:r>
          </w:p>
        </w:tc>
        <w:tc>
          <w:tcPr>
            <w:tcW w:w="1394" w:type="pct"/>
            <w:vAlign w:val="center"/>
          </w:tcPr>
          <w:p w14:paraId="53D96892">
            <w:pPr>
              <w:pStyle w:val="109"/>
              <w:widowControl w:val="0"/>
              <w:bidi w:val="0"/>
              <w:ind w:left="0" w:leftChars="0" w:firstLine="0" w:firstLineChars="0"/>
              <w:jc w:val="center"/>
              <w:rPr>
                <w:rFonts w:hint="eastAsia"/>
                <w:lang w:val="en-US" w:eastAsia="zh-CN"/>
              </w:rPr>
            </w:pPr>
            <w:r>
              <w:rPr>
                <w:rFonts w:hint="eastAsia"/>
                <w:lang w:val="en-US" w:eastAsia="zh-CN"/>
              </w:rPr>
              <w:t>GB/T 5009.228</w:t>
            </w:r>
          </w:p>
        </w:tc>
      </w:tr>
    </w:tbl>
    <w:p w14:paraId="4C15D8C8">
      <w:pPr>
        <w:pStyle w:val="71"/>
        <w:bidi w:val="0"/>
      </w:pPr>
      <w:r>
        <w:rPr>
          <w:rFonts w:hint="eastAsia"/>
          <w:lang w:val="en-US" w:eastAsia="zh-CN"/>
        </w:rPr>
        <w:t>安全指标</w:t>
      </w:r>
    </w:p>
    <w:p w14:paraId="012E4A59">
      <w:pPr>
        <w:pStyle w:val="72"/>
        <w:bidi w:val="0"/>
      </w:pPr>
      <w:r>
        <w:rPr>
          <w:rFonts w:hint="eastAsia"/>
          <w:lang w:val="en-US" w:eastAsia="zh-CN"/>
        </w:rPr>
        <w:t>污染物限量</w:t>
      </w:r>
    </w:p>
    <w:p w14:paraId="225BB3CE">
      <w:pPr>
        <w:pStyle w:val="23"/>
        <w:rPr>
          <w:rFonts w:hint="eastAsia"/>
          <w:lang w:val="en-US" w:eastAsia="zh-CN"/>
        </w:rPr>
      </w:pPr>
      <w:r>
        <w:rPr>
          <w:rFonts w:hint="eastAsia"/>
          <w:lang w:val="en-US" w:eastAsia="zh-CN"/>
        </w:rPr>
        <w:t>应符合GB 2762中肉类（禽畜内脏除外）的规定。</w:t>
      </w:r>
    </w:p>
    <w:p w14:paraId="610BAE98">
      <w:pPr>
        <w:pStyle w:val="72"/>
        <w:rPr>
          <w:rFonts w:hint="eastAsia"/>
          <w:lang w:val="en-US" w:eastAsia="zh-CN"/>
        </w:rPr>
      </w:pPr>
      <w:r>
        <w:rPr>
          <w:rFonts w:hint="eastAsia"/>
          <w:lang w:val="en-US" w:eastAsia="zh-CN"/>
        </w:rPr>
        <w:t>致病菌限量</w:t>
      </w:r>
    </w:p>
    <w:p w14:paraId="71813637">
      <w:pPr>
        <w:pStyle w:val="23"/>
        <w:ind w:firstLine="0" w:firstLineChars="0"/>
        <w:rPr>
          <w:rFonts w:hint="default"/>
          <w:lang w:val="en-US" w:eastAsia="zh-CN"/>
        </w:rPr>
      </w:pPr>
      <w:r>
        <w:rPr>
          <w:rFonts w:hint="eastAsia"/>
          <w:lang w:val="en-US" w:eastAsia="zh-CN"/>
        </w:rPr>
        <w:t xml:space="preserve">    应符合GB 29921中肉制品的规定。</w:t>
      </w:r>
    </w:p>
    <w:p w14:paraId="4D222279">
      <w:pPr>
        <w:pStyle w:val="72"/>
        <w:rPr>
          <w:rFonts w:hint="eastAsia"/>
          <w:lang w:val="en-US" w:eastAsia="zh-CN"/>
        </w:rPr>
      </w:pPr>
      <w:r>
        <w:rPr>
          <w:rFonts w:hint="eastAsia"/>
          <w:lang w:val="en-US" w:eastAsia="zh-CN"/>
        </w:rPr>
        <w:t>农药残留限量和兽药残留限量</w:t>
      </w:r>
    </w:p>
    <w:p w14:paraId="7FD5B545">
      <w:pPr>
        <w:pStyle w:val="73"/>
        <w:rPr>
          <w:rFonts w:hint="eastAsia" w:ascii="宋体" w:hAnsi="Times New Roman" w:eastAsia="宋体" w:cs="宋体"/>
          <w:b w:val="0"/>
          <w:bCs w:val="0"/>
          <w:lang w:val="en-US" w:eastAsia="zh-CN"/>
        </w:rPr>
      </w:pPr>
      <w:r>
        <w:rPr>
          <w:rFonts w:hint="eastAsia" w:ascii="宋体" w:hAnsi="Times New Roman" w:eastAsia="宋体" w:cs="宋体"/>
          <w:lang w:val="en-US" w:eastAsia="zh-CN"/>
        </w:rPr>
        <w:t>农药残留量应符合GB 2763的规定。</w:t>
      </w:r>
    </w:p>
    <w:p w14:paraId="49D7E726">
      <w:pPr>
        <w:pStyle w:val="73"/>
        <w:rPr>
          <w:rFonts w:hint="eastAsia" w:ascii="宋体" w:hAnsi="Times New Roman" w:eastAsia="宋体" w:cs="宋体"/>
          <w:b w:val="0"/>
          <w:bCs w:val="0"/>
          <w:lang w:val="en-US" w:eastAsia="zh-CN"/>
        </w:rPr>
      </w:pPr>
      <w:r>
        <w:rPr>
          <w:rFonts w:hint="eastAsia" w:ascii="宋体" w:hAnsi="Times New Roman" w:eastAsia="宋体" w:cs="宋体"/>
          <w:b w:val="0"/>
          <w:bCs w:val="0"/>
          <w:lang w:val="en-US" w:eastAsia="zh-CN"/>
        </w:rPr>
        <w:t>兽药残留量应符合国家有关规定和公告。</w:t>
      </w:r>
    </w:p>
    <w:p w14:paraId="24E0E15C">
      <w:pPr>
        <w:pStyle w:val="71"/>
        <w:numPr>
          <w:ilvl w:val="1"/>
          <w:numId w:val="7"/>
        </w:numPr>
        <w:bidi w:val="0"/>
      </w:pPr>
      <w:r>
        <w:rPr>
          <w:rFonts w:hint="eastAsia"/>
        </w:rPr>
        <w:t>净含量</w:t>
      </w:r>
    </w:p>
    <w:p w14:paraId="3C280238">
      <w:pPr>
        <w:pStyle w:val="23"/>
        <w:ind w:firstLine="420"/>
        <w:rPr>
          <w:rFonts w:hint="eastAsia"/>
        </w:rPr>
      </w:pPr>
      <w:r>
        <w:rPr>
          <w:rFonts w:hint="eastAsia"/>
        </w:rPr>
        <w:t>应符合《定量包装商品计量监督管理办法》的要求，检验方法按照J</w:t>
      </w:r>
      <w:r>
        <w:t>JF 1070</w:t>
      </w:r>
      <w:r>
        <w:rPr>
          <w:rFonts w:hint="eastAsia"/>
        </w:rPr>
        <w:t>规定执行</w:t>
      </w:r>
      <w:bookmarkStart w:id="87" w:name="_GoBack"/>
      <w:bookmarkEnd w:id="87"/>
      <w:r>
        <w:rPr>
          <w:rFonts w:hint="eastAsia"/>
        </w:rPr>
        <w:t>。</w:t>
      </w:r>
    </w:p>
    <w:p w14:paraId="36854B3B">
      <w:pPr>
        <w:pStyle w:val="70"/>
        <w:numPr>
          <w:ilvl w:val="0"/>
          <w:numId w:val="7"/>
        </w:numPr>
        <w:bidi w:val="0"/>
      </w:pPr>
      <w:bookmarkStart w:id="26" w:name="_Toc143955922"/>
      <w:bookmarkStart w:id="27" w:name="_Toc15014"/>
      <w:bookmarkStart w:id="28" w:name="_Toc147761913"/>
      <w:bookmarkStart w:id="29" w:name="_Toc111488254"/>
      <w:bookmarkStart w:id="30" w:name="_Toc104058753"/>
      <w:bookmarkStart w:id="31" w:name="_Toc149643651"/>
      <w:bookmarkStart w:id="32" w:name="_Toc144670743"/>
      <w:bookmarkStart w:id="33" w:name="_Toc141026233"/>
      <w:bookmarkStart w:id="34" w:name="_Toc103848005"/>
      <w:bookmarkStart w:id="35" w:name="_Toc150196311"/>
      <w:bookmarkStart w:id="36" w:name="_Toc141040835"/>
      <w:bookmarkStart w:id="37" w:name="_Toc103848253"/>
      <w:bookmarkStart w:id="38" w:name="_Toc144479682"/>
      <w:bookmarkStart w:id="39" w:name="_Toc143288146"/>
      <w:bookmarkStart w:id="40" w:name="_Toc141189597"/>
      <w:bookmarkStart w:id="41" w:name="_Toc147777293"/>
      <w:bookmarkStart w:id="42" w:name="_Toc141363102"/>
      <w:bookmarkStart w:id="43" w:name="_Toc147843901"/>
      <w:r>
        <w:rPr>
          <w:rFonts w:hint="eastAsia"/>
        </w:rPr>
        <w:t>检验规则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FFED7D4">
      <w:pPr>
        <w:pStyle w:val="71"/>
        <w:numPr>
          <w:ilvl w:val="1"/>
          <w:numId w:val="7"/>
        </w:numPr>
        <w:spacing w:before="120" w:after="120"/>
      </w:pPr>
      <w:r>
        <w:rPr>
          <w:rFonts w:hint="eastAsia"/>
        </w:rPr>
        <w:t>组批</w:t>
      </w:r>
    </w:p>
    <w:p w14:paraId="50AC1C9B">
      <w:pPr>
        <w:pStyle w:val="23"/>
        <w:ind w:firstLine="420"/>
      </w:pPr>
      <w:r>
        <w:rPr>
          <w:rFonts w:hint="eastAsia"/>
        </w:rPr>
        <w:t>同一</w:t>
      </w:r>
      <w:r>
        <w:rPr>
          <w:rFonts w:hint="eastAsia"/>
          <w:lang w:val="en-US" w:eastAsia="zh-CN"/>
        </w:rPr>
        <w:t>饲养管理条件，同时出栏宰杀的为</w:t>
      </w:r>
      <w:r>
        <w:rPr>
          <w:rFonts w:hint="eastAsia"/>
        </w:rPr>
        <w:t>一个检验批次。</w:t>
      </w:r>
    </w:p>
    <w:p w14:paraId="433F622F">
      <w:pPr>
        <w:pStyle w:val="71"/>
        <w:numPr>
          <w:ilvl w:val="1"/>
          <w:numId w:val="7"/>
        </w:numPr>
        <w:spacing w:before="120" w:after="120"/>
      </w:pPr>
      <w:r>
        <w:rPr>
          <w:rFonts w:hint="eastAsia"/>
        </w:rPr>
        <w:t>抽样方法</w:t>
      </w:r>
    </w:p>
    <w:p w14:paraId="3DB0B51D">
      <w:pPr>
        <w:pStyle w:val="23"/>
        <w:ind w:firstLine="420"/>
        <w:rPr>
          <w:rFonts w:hint="eastAsia"/>
        </w:rPr>
      </w:pPr>
      <w:r>
        <w:rPr>
          <w:rFonts w:hint="eastAsia"/>
          <w:lang w:val="en-US" w:eastAsia="zh-CN"/>
        </w:rPr>
        <w:t>每批抽取0.05%，每批抽样数不得少于2只。</w:t>
      </w:r>
    </w:p>
    <w:p w14:paraId="66725706">
      <w:pPr>
        <w:pStyle w:val="71"/>
        <w:numPr>
          <w:ilvl w:val="1"/>
          <w:numId w:val="7"/>
        </w:numPr>
        <w:spacing w:before="120" w:after="120"/>
      </w:pPr>
      <w:r>
        <w:rPr>
          <w:rFonts w:hint="eastAsia"/>
        </w:rPr>
        <w:t>检验分类</w:t>
      </w:r>
    </w:p>
    <w:p w14:paraId="25F55634">
      <w:pPr>
        <w:pStyle w:val="72"/>
        <w:numPr>
          <w:ilvl w:val="2"/>
          <w:numId w:val="7"/>
        </w:numPr>
        <w:spacing w:before="120" w:after="120"/>
      </w:pPr>
      <w:r>
        <w:rPr>
          <w:rFonts w:hint="eastAsia"/>
          <w:lang w:val="en-US" w:eastAsia="zh-CN"/>
        </w:rPr>
        <w:t>交付</w:t>
      </w:r>
      <w:r>
        <w:rPr>
          <w:rFonts w:hint="eastAsia"/>
        </w:rPr>
        <w:t>检验</w:t>
      </w:r>
    </w:p>
    <w:p w14:paraId="112B4CF3">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lang w:val="en-US" w:eastAsia="zh-CN"/>
        </w:rPr>
        <w:t>交付</w:t>
      </w:r>
      <w:r>
        <w:rPr>
          <w:rFonts w:hint="eastAsia"/>
        </w:rPr>
        <w:t>检验项目为感官指标。</w:t>
      </w:r>
    </w:p>
    <w:p w14:paraId="6D96F964">
      <w:pPr>
        <w:pStyle w:val="72"/>
        <w:numPr>
          <w:ilvl w:val="2"/>
          <w:numId w:val="7"/>
        </w:numPr>
        <w:spacing w:before="120" w:after="120"/>
      </w:pPr>
      <w:r>
        <w:rPr>
          <w:rFonts w:hint="eastAsia"/>
        </w:rPr>
        <w:t>型式检验</w:t>
      </w:r>
    </w:p>
    <w:p w14:paraId="0ED9D5A6">
      <w:pPr>
        <w:pStyle w:val="78"/>
        <w:numPr>
          <w:ilvl w:val="3"/>
          <w:numId w:val="7"/>
        </w:numPr>
        <w:spacing w:before="0" w:beforeLines="0" w:after="0" w:afterLines="0"/>
      </w:pPr>
      <w:r>
        <w:rPr>
          <w:rFonts w:hint="eastAsia"/>
        </w:rPr>
        <w:t>型式检验应每年进行一次，下列情况之一也应进行型式检验：</w:t>
      </w:r>
    </w:p>
    <w:p w14:paraId="794904F4">
      <w:pPr>
        <w:pStyle w:val="55"/>
      </w:pPr>
      <w:r>
        <w:rPr>
          <w:rFonts w:hint="eastAsia"/>
        </w:rPr>
        <w:t>两次检验结果相差较大时；</w:t>
      </w:r>
    </w:p>
    <w:p w14:paraId="2C416F3B">
      <w:pPr>
        <w:pStyle w:val="55"/>
        <w:ind w:left="851" w:hanging="426"/>
      </w:pPr>
      <w:r>
        <w:rPr>
          <w:rFonts w:hint="eastAsia"/>
          <w:color w:val="auto"/>
          <w:highlight w:val="none"/>
          <w:lang w:val="en-US" w:eastAsia="zh-CN"/>
        </w:rPr>
        <w:t>饲养方法有较大变更或喂养饲料配比有较大变化</w:t>
      </w:r>
      <w:r>
        <w:rPr>
          <w:rFonts w:hint="eastAsia"/>
        </w:rPr>
        <w:t>，可能影响产品质量时；</w:t>
      </w:r>
    </w:p>
    <w:p w14:paraId="334802DC">
      <w:pPr>
        <w:pStyle w:val="55"/>
      </w:pPr>
      <w:r>
        <w:rPr>
          <w:rFonts w:hint="eastAsia"/>
        </w:rPr>
        <w:t>有关行政主管部门、行业协会要求型式检验时。</w:t>
      </w:r>
    </w:p>
    <w:p w14:paraId="2976BECD">
      <w:pPr>
        <w:pStyle w:val="78"/>
        <w:numPr>
          <w:ilvl w:val="3"/>
          <w:numId w:val="7"/>
        </w:numPr>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4.3</w:t>
      </w:r>
      <w:r>
        <w:rPr>
          <w:rFonts w:hint="eastAsia"/>
          <w:highlight w:val="none"/>
        </w:rPr>
        <w:t>～</w:t>
      </w:r>
      <w:r>
        <w:rPr>
          <w:rFonts w:hint="eastAsia"/>
          <w:highlight w:val="none"/>
          <w:lang w:val="en-US" w:eastAsia="zh-CN"/>
        </w:rPr>
        <w:t>4.6</w:t>
      </w:r>
      <w:r>
        <w:rPr>
          <w:rFonts w:hint="eastAsia"/>
          <w:highlight w:val="none"/>
        </w:rPr>
        <w:t>规</w:t>
      </w:r>
      <w:r>
        <w:rPr>
          <w:rFonts w:hint="eastAsia"/>
        </w:rPr>
        <w:t>定的所有项目。</w:t>
      </w:r>
    </w:p>
    <w:p w14:paraId="1C5DF8BF">
      <w:pPr>
        <w:pStyle w:val="71"/>
        <w:numPr>
          <w:ilvl w:val="1"/>
          <w:numId w:val="7"/>
        </w:numPr>
        <w:spacing w:before="120" w:after="120"/>
      </w:pPr>
      <w:r>
        <w:rPr>
          <w:rFonts w:hint="eastAsia"/>
        </w:rPr>
        <w:t>判定规则</w:t>
      </w:r>
    </w:p>
    <w:p w14:paraId="0B73C58C">
      <w:pPr>
        <w:pStyle w:val="77"/>
        <w:numPr>
          <w:ilvl w:val="2"/>
          <w:numId w:val="7"/>
        </w:numPr>
        <w:spacing w:before="0" w:beforeLines="0" w:after="0" w:afterLines="0"/>
      </w:pPr>
      <w:r>
        <w:rPr>
          <w:rFonts w:hint="eastAsia"/>
        </w:rPr>
        <w:t>所有指标全部符合本文件要求时判该批产品合格。</w:t>
      </w:r>
    </w:p>
    <w:p w14:paraId="66DBDBF9">
      <w:pPr>
        <w:pStyle w:val="77"/>
        <w:numPr>
          <w:ilvl w:val="2"/>
          <w:numId w:val="7"/>
        </w:numPr>
        <w:spacing w:before="0" w:beforeLines="0" w:after="0" w:afterLines="0"/>
      </w:pPr>
      <w:r>
        <w:rPr>
          <w:rFonts w:hint="eastAsia"/>
        </w:rPr>
        <w:t>有一项不合格时，可在同批产品中抽取两倍量样品进行复</w:t>
      </w:r>
      <w:r>
        <w:rPr>
          <w:rFonts w:hint="eastAsia"/>
          <w:lang w:val="en-US" w:eastAsia="zh-CN"/>
        </w:rPr>
        <w:t>验</w:t>
      </w:r>
      <w:r>
        <w:rPr>
          <w:rFonts w:hint="eastAsia"/>
        </w:rPr>
        <w:t>，以复</w:t>
      </w:r>
      <w:r>
        <w:rPr>
          <w:rFonts w:hint="eastAsia"/>
          <w:lang w:val="en-US" w:eastAsia="zh-CN"/>
        </w:rPr>
        <w:t>验</w:t>
      </w:r>
      <w:r>
        <w:rPr>
          <w:rFonts w:hint="eastAsia"/>
        </w:rPr>
        <w:t>结果为准。</w:t>
      </w:r>
    </w:p>
    <w:p w14:paraId="2615B1AB">
      <w:pPr>
        <w:pStyle w:val="70"/>
        <w:numPr>
          <w:ilvl w:val="0"/>
          <w:numId w:val="7"/>
        </w:numPr>
        <w:bidi w:val="0"/>
      </w:pPr>
      <w:bookmarkStart w:id="44" w:name="_Toc103848006"/>
      <w:bookmarkStart w:id="45" w:name="_Toc144670744"/>
      <w:bookmarkStart w:id="46" w:name="_Toc141363103"/>
      <w:bookmarkStart w:id="47" w:name="_Toc141040836"/>
      <w:bookmarkStart w:id="48" w:name="_Toc111488255"/>
      <w:bookmarkStart w:id="49" w:name="_Toc143955923"/>
      <w:bookmarkStart w:id="50" w:name="_Toc103848254"/>
      <w:bookmarkStart w:id="51" w:name="_Toc143288147"/>
      <w:bookmarkStart w:id="52" w:name="_Toc150196312"/>
      <w:bookmarkStart w:id="53" w:name="_Toc141189598"/>
      <w:bookmarkStart w:id="54" w:name="_Toc144479683"/>
      <w:bookmarkStart w:id="55" w:name="_Toc141026234"/>
      <w:bookmarkStart w:id="56" w:name="_Toc147761914"/>
      <w:bookmarkStart w:id="57" w:name="_Toc147843902"/>
      <w:bookmarkStart w:id="58" w:name="_Toc104058754"/>
      <w:bookmarkStart w:id="59" w:name="_Toc147777294"/>
      <w:bookmarkStart w:id="60" w:name="_Toc149643652"/>
      <w:bookmarkStart w:id="61" w:name="_Toc30562"/>
      <w:r>
        <w:rPr>
          <w:rFonts w:hint="eastAsia"/>
        </w:rPr>
        <w:t>包装、标签</w:t>
      </w:r>
      <w:bookmarkEnd w:id="44"/>
      <w:r>
        <w:rPr>
          <w:rFonts w:hint="eastAsia"/>
        </w:rPr>
        <w:t>与标志</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84C99DC">
      <w:pPr>
        <w:pStyle w:val="71"/>
        <w:numPr>
          <w:ilvl w:val="1"/>
          <w:numId w:val="7"/>
        </w:numPr>
        <w:spacing w:before="120" w:after="120"/>
      </w:pPr>
      <w:r>
        <w:rPr>
          <w:rFonts w:hint="eastAsia"/>
        </w:rPr>
        <w:t>包装</w:t>
      </w:r>
    </w:p>
    <w:p w14:paraId="24F9279D">
      <w:pPr>
        <w:pStyle w:val="77"/>
        <w:numPr>
          <w:ilvl w:val="2"/>
          <w:numId w:val="7"/>
        </w:numPr>
        <w:bidi w:val="0"/>
        <w:spacing w:before="0" w:beforeLines="0" w:after="0" w:afterLines="0"/>
        <w:rPr>
          <w:rFonts w:hint="eastAsia"/>
        </w:rPr>
      </w:pPr>
      <w:r>
        <w:rPr>
          <w:rFonts w:hint="eastAsia"/>
        </w:rPr>
        <w:t>包装材料应分别符合</w:t>
      </w:r>
      <w:bookmarkStart w:id="62" w:name="_Hlk111486485"/>
      <w:bookmarkStart w:id="63" w:name="_Hlk111488105"/>
      <w:r>
        <w:t>GB 4806.1</w:t>
      </w:r>
      <w:r>
        <w:rPr>
          <w:rFonts w:hint="eastAsia"/>
        </w:rPr>
        <w:t>、GB 4806.7</w:t>
      </w:r>
      <w:bookmarkEnd w:id="62"/>
      <w:r>
        <w:rPr>
          <w:rFonts w:hint="eastAsia"/>
        </w:rPr>
        <w:t>、</w:t>
      </w:r>
      <w:r>
        <w:t>GB 4806.8</w:t>
      </w:r>
      <w:bookmarkEnd w:id="63"/>
      <w:r>
        <w:rPr>
          <w:rFonts w:hint="eastAsia"/>
          <w:lang w:eastAsia="zh-CN"/>
        </w:rPr>
        <w:t>、</w:t>
      </w:r>
      <w:r>
        <w:rPr>
          <w:rFonts w:hint="eastAsia"/>
          <w:lang w:val="en-US" w:eastAsia="zh-CN"/>
        </w:rPr>
        <w:t>GB/T 10004</w:t>
      </w:r>
      <w:r>
        <w:rPr>
          <w:rFonts w:hint="eastAsia"/>
        </w:rPr>
        <w:t>的规定。</w:t>
      </w:r>
    </w:p>
    <w:p w14:paraId="207C38E3">
      <w:pPr>
        <w:pStyle w:val="77"/>
        <w:numPr>
          <w:ilvl w:val="2"/>
          <w:numId w:val="7"/>
        </w:numPr>
        <w:bidi w:val="0"/>
        <w:spacing w:before="0" w:beforeLines="0" w:after="0" w:afterLines="0"/>
        <w:rPr>
          <w:rFonts w:hint="eastAsia"/>
        </w:rPr>
      </w:pPr>
      <w:r>
        <w:rPr>
          <w:rFonts w:hint="eastAsia"/>
        </w:rPr>
        <w:t>塑料包装容器应符合GB/T 5737的要求。</w:t>
      </w:r>
    </w:p>
    <w:p w14:paraId="514B0319">
      <w:pPr>
        <w:pStyle w:val="71"/>
        <w:numPr>
          <w:ilvl w:val="1"/>
          <w:numId w:val="7"/>
        </w:numPr>
        <w:spacing w:before="120" w:after="120"/>
      </w:pPr>
      <w:r>
        <w:rPr>
          <w:rFonts w:hint="eastAsia"/>
        </w:rPr>
        <w:t>标签与标志</w:t>
      </w:r>
    </w:p>
    <w:p w14:paraId="5C4CB9C5">
      <w:pPr>
        <w:pStyle w:val="77"/>
        <w:numPr>
          <w:ilvl w:val="-1"/>
          <w:numId w:val="0"/>
        </w:numPr>
        <w:bidi w:val="0"/>
        <w:spacing w:before="0" w:beforeLines="0" w:after="0" w:afterLines="0"/>
        <w:ind w:firstLine="420" w:firstLineChars="200"/>
        <w:rPr>
          <w:rFonts w:hint="eastAsia"/>
        </w:rPr>
      </w:pPr>
      <w:bookmarkStart w:id="64" w:name="_Hlk103955000"/>
      <w:r>
        <w:rPr>
          <w:rFonts w:hint="eastAsia"/>
        </w:rPr>
        <w:t>包装上应标明品名、规格、产地、批号、生产或包装日期、净含量、产品执行标准号、生产单位名称和地址等，并附有质量合格的标志。包装储运图示标志应符合</w:t>
      </w:r>
      <w:bookmarkStart w:id="65" w:name="_Hlk103848491"/>
      <w:r>
        <w:rPr>
          <w:rFonts w:hint="eastAsia"/>
        </w:rPr>
        <w:t>GB/T 191</w:t>
      </w:r>
      <w:bookmarkEnd w:id="65"/>
      <w:r>
        <w:rPr>
          <w:rFonts w:hint="eastAsia"/>
        </w:rPr>
        <w:t>的规定。</w:t>
      </w:r>
    </w:p>
    <w:bookmarkEnd w:id="64"/>
    <w:p w14:paraId="142DF279">
      <w:pPr>
        <w:pStyle w:val="70"/>
        <w:numPr>
          <w:ilvl w:val="0"/>
          <w:numId w:val="7"/>
        </w:numPr>
        <w:spacing w:before="240" w:after="240"/>
      </w:pPr>
      <w:bookmarkStart w:id="66" w:name="_Toc144670745"/>
      <w:bookmarkStart w:id="67" w:name="_Toc143288148"/>
      <w:bookmarkStart w:id="68" w:name="_Toc104058755"/>
      <w:bookmarkStart w:id="69" w:name="_Toc150196313"/>
      <w:bookmarkStart w:id="70" w:name="_Toc141026235"/>
      <w:bookmarkStart w:id="71" w:name="_Toc144479684"/>
      <w:bookmarkStart w:id="72" w:name="_Toc103848007"/>
      <w:bookmarkStart w:id="73" w:name="_Toc111488256"/>
      <w:bookmarkStart w:id="74" w:name="_Toc147777295"/>
      <w:bookmarkStart w:id="75" w:name="_Toc26806"/>
      <w:bookmarkStart w:id="76" w:name="_Toc143955924"/>
      <w:bookmarkStart w:id="77" w:name="_Toc141189599"/>
      <w:bookmarkStart w:id="78" w:name="_Toc141363104"/>
      <w:bookmarkStart w:id="79" w:name="_Toc103848255"/>
      <w:bookmarkStart w:id="80" w:name="_Toc149643653"/>
      <w:bookmarkStart w:id="81" w:name="_Toc147761915"/>
      <w:bookmarkStart w:id="82" w:name="_Toc141040837"/>
      <w:bookmarkStart w:id="83" w:name="_Toc147843903"/>
      <w:r>
        <w:rPr>
          <w:rFonts w:hint="eastAsia"/>
        </w:rPr>
        <w:t>运输与贮存</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3FCB314">
      <w:pPr>
        <w:pStyle w:val="23"/>
        <w:rPr>
          <w:rFonts w:hint="eastAsia"/>
          <w:lang w:val="en-US" w:eastAsia="zh-CN"/>
        </w:rPr>
      </w:pPr>
      <w:r>
        <w:rPr>
          <w:rFonts w:hint="eastAsia"/>
          <w:lang w:val="en-US" w:eastAsia="zh-CN"/>
        </w:rPr>
        <w:t>运输与贮存应符合</w:t>
      </w:r>
      <w:r>
        <w:rPr>
          <w:rFonts w:hint="default"/>
          <w:lang w:val="en-US" w:eastAsia="zh-CN"/>
        </w:rPr>
        <w:t>GB/T 24616</w:t>
      </w:r>
      <w:r>
        <w:rPr>
          <w:rFonts w:hint="eastAsia"/>
          <w:lang w:val="en-US" w:eastAsia="zh-CN"/>
        </w:rPr>
        <w:t>的规定。</w:t>
      </w:r>
    </w:p>
    <w:p w14:paraId="573550D5">
      <w:pPr>
        <w:rPr>
          <w:rFonts w:hint="eastAsia"/>
          <w:lang w:val="en-US" w:eastAsia="zh-CN"/>
        </w:rPr>
      </w:pPr>
      <w:r>
        <w:rPr>
          <w:rFonts w:hint="eastAsia"/>
          <w:lang w:val="en-US" w:eastAsia="zh-CN"/>
        </w:rPr>
        <w:br w:type="page"/>
      </w:r>
      <w:bookmarkStart w:id="84" w:name="BKFL"/>
    </w:p>
    <w:p w14:paraId="16208B3E">
      <w:pPr>
        <w:pStyle w:val="97"/>
        <w:bidi w:val="0"/>
        <w:rPr>
          <w:rFonts w:hint="eastAsia"/>
          <w:lang w:val="en-US" w:eastAsia="zh-CN"/>
        </w:rPr>
      </w:pPr>
    </w:p>
    <w:p w14:paraId="055895CF">
      <w:pPr>
        <w:pStyle w:val="99"/>
        <w:bidi w:val="0"/>
        <w:rPr>
          <w:rFonts w:hint="eastAsia"/>
          <w:lang w:val="en-US" w:eastAsia="zh-CN"/>
        </w:rPr>
      </w:pPr>
    </w:p>
    <w:p w14:paraId="5E2B928F">
      <w:pPr>
        <w:pStyle w:val="86"/>
        <w:bidi w:val="0"/>
        <w:rPr>
          <w:rFonts w:hint="eastAsia"/>
          <w:lang w:val="en-US" w:eastAsia="zh-CN"/>
        </w:rPr>
      </w:pPr>
      <w:bookmarkStart w:id="85" w:name="_Toc12561"/>
    </w:p>
    <w:p w14:paraId="5F88A1DF">
      <w:pPr>
        <w:pStyle w:val="86"/>
        <w:numPr>
          <w:ilvl w:val="-1"/>
          <w:numId w:val="0"/>
        </w:numPr>
        <w:bidi w:val="0"/>
        <w:jc w:val="center"/>
        <w:rPr>
          <w:rFonts w:hint="eastAsia"/>
          <w:lang w:val="en-US" w:eastAsia="zh-CN"/>
        </w:rPr>
      </w:pPr>
      <w:r>
        <w:rPr>
          <w:rFonts w:hint="eastAsia"/>
          <w:lang w:val="en-US" w:eastAsia="zh-CN"/>
        </w:rPr>
        <w:t>（规范性）</w:t>
      </w:r>
    </w:p>
    <w:p w14:paraId="15A9BD22">
      <w:pPr>
        <w:pStyle w:val="86"/>
        <w:numPr>
          <w:ilvl w:val="-1"/>
          <w:numId w:val="0"/>
        </w:numPr>
        <w:bidi w:val="0"/>
        <w:jc w:val="center"/>
        <w:rPr>
          <w:rFonts w:hint="eastAsia"/>
          <w:lang w:val="en-US" w:eastAsia="zh-CN"/>
        </w:rPr>
      </w:pPr>
      <w:r>
        <w:rPr>
          <w:rFonts w:hint="eastAsia"/>
          <w:lang w:val="en-US" w:eastAsia="zh-CN"/>
        </w:rPr>
        <w:t>井冈山</w:t>
      </w:r>
      <w:bookmarkEnd w:id="85"/>
      <w:r>
        <w:rPr>
          <w:rFonts w:hint="eastAsia" w:cs="宋体"/>
          <w:spacing w:val="0"/>
          <w:lang w:val="en-US" w:eastAsia="zh-CN"/>
        </w:rPr>
        <w:t>土（阉）鸡养殖</w:t>
      </w:r>
      <w:r>
        <w:rPr>
          <w:rFonts w:hint="eastAsia" w:ascii="黑体" w:hAnsi="黑体" w:eastAsia="黑体" w:cs="宋体"/>
          <w:spacing w:val="0"/>
          <w:lang w:val="en-US" w:eastAsia="zh-CN"/>
        </w:rPr>
        <w:t>区域范围图</w:t>
      </w:r>
    </w:p>
    <w:p w14:paraId="44A82262">
      <w:pPr>
        <w:pStyle w:val="86"/>
        <w:numPr>
          <w:ilvl w:val="0"/>
          <w:numId w:val="0"/>
        </w:numPr>
        <w:jc w:val="left"/>
        <w:rPr>
          <w:rFonts w:hint="eastAsia" w:ascii="宋体" w:hAnsi="宋体" w:eastAsia="宋体" w:cs="宋体"/>
          <w:lang w:val="en-US" w:eastAsia="zh-CN"/>
        </w:rPr>
      </w:pPr>
    </w:p>
    <w:p w14:paraId="5EF8B823">
      <w:pPr>
        <w:pStyle w:val="86"/>
        <w:numPr>
          <w:ilvl w:val="0"/>
          <w:numId w:val="0"/>
        </w:numPr>
        <w:jc w:val="left"/>
        <w:rPr>
          <w:rFonts w:hint="eastAsia" w:ascii="宋体" w:hAnsi="宋体" w:eastAsia="宋体" w:cs="宋体"/>
          <w:lang w:val="en-US" w:eastAsia="zh-CN"/>
        </w:rPr>
      </w:pPr>
      <w:r>
        <w:rPr>
          <w:rFonts w:hint="eastAsia" w:ascii="宋体" w:hAnsi="宋体" w:eastAsia="宋体" w:cs="宋体"/>
          <w:lang w:val="en-US" w:eastAsia="zh-CN"/>
        </w:rPr>
        <w:t>井冈山</w:t>
      </w:r>
      <w:r>
        <w:rPr>
          <w:rFonts w:hint="eastAsia" w:ascii="宋体" w:hAnsi="宋体" w:eastAsia="宋体" w:cs="宋体"/>
          <w:spacing w:val="0"/>
          <w:lang w:val="en-US" w:eastAsia="zh-CN"/>
        </w:rPr>
        <w:t>土（阉）鸡养殖区域范围图</w:t>
      </w:r>
      <w:r>
        <w:rPr>
          <w:rFonts w:hint="eastAsia" w:ascii="宋体" w:hAnsi="宋体" w:eastAsia="宋体" w:cs="宋体"/>
          <w:lang w:val="en-US" w:eastAsia="zh-CN"/>
        </w:rPr>
        <w:t>见图A.1。</w:t>
      </w:r>
    </w:p>
    <w:bookmarkEnd w:id="84"/>
    <w:p w14:paraId="0ED617DE">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3607435" cy="5097780"/>
            <wp:effectExtent l="0" t="0" r="12065" b="7620"/>
            <wp:docPr id="1" name="图片 1" descr="0a31e11a43363ee575067b8fc67d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31e11a43363ee575067b8fc67def3"/>
                    <pic:cNvPicPr>
                      <a:picLocks noChangeAspect="1"/>
                    </pic:cNvPicPr>
                  </pic:nvPicPr>
                  <pic:blipFill>
                    <a:blip r:embed="rId6"/>
                    <a:stretch>
                      <a:fillRect/>
                    </a:stretch>
                  </pic:blipFill>
                  <pic:spPr>
                    <a:xfrm>
                      <a:off x="0" y="0"/>
                      <a:ext cx="3607435" cy="5097780"/>
                    </a:xfrm>
                    <a:prstGeom prst="rect">
                      <a:avLst/>
                    </a:prstGeom>
                  </pic:spPr>
                </pic:pic>
              </a:graphicData>
            </a:graphic>
          </wp:inline>
        </w:drawing>
      </w:r>
    </w:p>
    <w:p w14:paraId="78B41875">
      <w:pPr>
        <w:pStyle w:val="86"/>
        <w:numPr>
          <w:ilvl w:val="-1"/>
          <w:numId w:val="0"/>
        </w:numPr>
        <w:bidi w:val="0"/>
        <w:ind w:leftChars="0"/>
        <w:jc w:val="center"/>
        <w:rPr>
          <w:rFonts w:hint="eastAsia"/>
          <w:lang w:val="en-US" w:eastAsia="zh-CN"/>
        </w:rPr>
      </w:pPr>
      <w:r>
        <w:rPr>
          <w:rFonts w:hint="eastAsia"/>
          <w:lang w:val="en-US" w:eastAsia="zh-CN"/>
        </w:rPr>
        <w:t>图A.1 井冈山</w:t>
      </w:r>
      <w:r>
        <w:rPr>
          <w:rFonts w:hint="eastAsia" w:cs="宋体"/>
          <w:spacing w:val="0"/>
          <w:lang w:val="en-US" w:eastAsia="zh-CN"/>
        </w:rPr>
        <w:t>土（阉）鸡养殖</w:t>
      </w:r>
      <w:r>
        <w:rPr>
          <w:rFonts w:hint="eastAsia" w:ascii="黑体" w:hAnsi="黑体" w:eastAsia="黑体" w:cs="宋体"/>
          <w:spacing w:val="0"/>
          <w:lang w:val="en-US" w:eastAsia="zh-CN"/>
        </w:rPr>
        <w:t>区域范围图</w:t>
      </w:r>
    </w:p>
    <w:p w14:paraId="7DFC6B4B">
      <w:pPr>
        <w:pStyle w:val="23"/>
        <w:jc w:val="center"/>
      </w:pPr>
    </w:p>
    <w:p w14:paraId="1BF549EB">
      <w:pPr>
        <w:pStyle w:val="23"/>
        <w:jc w:val="center"/>
      </w:pPr>
    </w:p>
    <w:p w14:paraId="41FCBB8F">
      <w:pPr>
        <w:pStyle w:val="23"/>
        <w:jc w:val="center"/>
      </w:pPr>
    </w:p>
    <w:p w14:paraId="36908EEE">
      <w:pPr>
        <w:pStyle w:val="110"/>
        <w:bidi w:val="0"/>
        <w:rPr>
          <w:rFonts w:hint="default"/>
          <w:lang w:val="en-US" w:eastAsia="zh-CN"/>
        </w:rPr>
      </w:pPr>
      <w:bookmarkStart w:id="86" w:name="EndLine"/>
      <w:r>
        <w:rPr>
          <w:rFonts w:hint="default"/>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7"/>
                    <a:stretch>
                      <a:fillRect/>
                    </a:stretch>
                  </pic:blipFill>
                  <pic:spPr>
                    <a:xfrm>
                      <a:off x="0" y="0"/>
                      <a:ext cx="1485900" cy="317500"/>
                    </a:xfrm>
                    <a:prstGeom prst="rect">
                      <a:avLst/>
                    </a:prstGeom>
                  </pic:spPr>
                </pic:pic>
              </a:graphicData>
            </a:graphic>
          </wp:inline>
        </w:drawing>
      </w:r>
      <w:bookmarkEnd w:id="86"/>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947A7">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69FD">
    <w:pPr>
      <w:pStyle w:val="30"/>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22A65372"/>
    <w:rsid w:val="014A2DD9"/>
    <w:rsid w:val="01852063"/>
    <w:rsid w:val="01E44FDB"/>
    <w:rsid w:val="020E3ED1"/>
    <w:rsid w:val="02630973"/>
    <w:rsid w:val="029A38EC"/>
    <w:rsid w:val="02CE2CB2"/>
    <w:rsid w:val="02D0730E"/>
    <w:rsid w:val="02DE7C7D"/>
    <w:rsid w:val="03D35910"/>
    <w:rsid w:val="03FF434E"/>
    <w:rsid w:val="044E498E"/>
    <w:rsid w:val="048E4B7A"/>
    <w:rsid w:val="04A22F2C"/>
    <w:rsid w:val="04B54A0D"/>
    <w:rsid w:val="04C968F4"/>
    <w:rsid w:val="05393890"/>
    <w:rsid w:val="0580501B"/>
    <w:rsid w:val="058F525E"/>
    <w:rsid w:val="062067FE"/>
    <w:rsid w:val="071D4AEC"/>
    <w:rsid w:val="077E558A"/>
    <w:rsid w:val="086C1887"/>
    <w:rsid w:val="088A4403"/>
    <w:rsid w:val="088E5CA1"/>
    <w:rsid w:val="08BF794D"/>
    <w:rsid w:val="09173EE8"/>
    <w:rsid w:val="09353BD7"/>
    <w:rsid w:val="09371E95"/>
    <w:rsid w:val="093B3166"/>
    <w:rsid w:val="096820FA"/>
    <w:rsid w:val="09697390"/>
    <w:rsid w:val="097C01EF"/>
    <w:rsid w:val="09C3197A"/>
    <w:rsid w:val="09FB3231"/>
    <w:rsid w:val="0A486323"/>
    <w:rsid w:val="0A651A0D"/>
    <w:rsid w:val="0AA25A34"/>
    <w:rsid w:val="0B640F3B"/>
    <w:rsid w:val="0BB772BD"/>
    <w:rsid w:val="0C006EB6"/>
    <w:rsid w:val="0C0D512F"/>
    <w:rsid w:val="0C311B03"/>
    <w:rsid w:val="0C4A1EDF"/>
    <w:rsid w:val="0C4F5747"/>
    <w:rsid w:val="0C8278CB"/>
    <w:rsid w:val="0D533620"/>
    <w:rsid w:val="0D54274B"/>
    <w:rsid w:val="0D7336B7"/>
    <w:rsid w:val="0D906017"/>
    <w:rsid w:val="0DA970D9"/>
    <w:rsid w:val="0DCE6B40"/>
    <w:rsid w:val="0DF447F8"/>
    <w:rsid w:val="0DFF4637"/>
    <w:rsid w:val="0E0367E9"/>
    <w:rsid w:val="0E8A0CB9"/>
    <w:rsid w:val="0F9856BA"/>
    <w:rsid w:val="0FF860F6"/>
    <w:rsid w:val="0FFA3C1C"/>
    <w:rsid w:val="103E71E0"/>
    <w:rsid w:val="10FB396F"/>
    <w:rsid w:val="11006F17"/>
    <w:rsid w:val="115B06EA"/>
    <w:rsid w:val="116752E1"/>
    <w:rsid w:val="117B6FDE"/>
    <w:rsid w:val="119970AB"/>
    <w:rsid w:val="119C5940"/>
    <w:rsid w:val="12080872"/>
    <w:rsid w:val="122F45C9"/>
    <w:rsid w:val="1257050D"/>
    <w:rsid w:val="12A14823"/>
    <w:rsid w:val="13294F44"/>
    <w:rsid w:val="139B74C4"/>
    <w:rsid w:val="14AD5701"/>
    <w:rsid w:val="167A5AB7"/>
    <w:rsid w:val="16AD7C3A"/>
    <w:rsid w:val="16C86822"/>
    <w:rsid w:val="174736BE"/>
    <w:rsid w:val="175E2CE2"/>
    <w:rsid w:val="178A0359"/>
    <w:rsid w:val="18004F16"/>
    <w:rsid w:val="186407CC"/>
    <w:rsid w:val="19145D4E"/>
    <w:rsid w:val="19781700"/>
    <w:rsid w:val="19B968F6"/>
    <w:rsid w:val="1A8C400A"/>
    <w:rsid w:val="1A9E7AF2"/>
    <w:rsid w:val="1ABD41C4"/>
    <w:rsid w:val="1ADC6D40"/>
    <w:rsid w:val="1B3D45B5"/>
    <w:rsid w:val="1B6E024A"/>
    <w:rsid w:val="1B9566BB"/>
    <w:rsid w:val="1BA06543"/>
    <w:rsid w:val="1BBC26CD"/>
    <w:rsid w:val="1C273FEB"/>
    <w:rsid w:val="1C6E5776"/>
    <w:rsid w:val="1D022362"/>
    <w:rsid w:val="1D57438E"/>
    <w:rsid w:val="1DCA2E80"/>
    <w:rsid w:val="1DE32193"/>
    <w:rsid w:val="1DF32B81"/>
    <w:rsid w:val="1E1B36DB"/>
    <w:rsid w:val="1E48649A"/>
    <w:rsid w:val="1EBB0A1A"/>
    <w:rsid w:val="1EF62D5F"/>
    <w:rsid w:val="20427645"/>
    <w:rsid w:val="20564E9E"/>
    <w:rsid w:val="206F3F8C"/>
    <w:rsid w:val="20DF30E6"/>
    <w:rsid w:val="20FC2382"/>
    <w:rsid w:val="21042B4C"/>
    <w:rsid w:val="21F04E7F"/>
    <w:rsid w:val="22A30143"/>
    <w:rsid w:val="22A65372"/>
    <w:rsid w:val="23403BE4"/>
    <w:rsid w:val="242C61F0"/>
    <w:rsid w:val="249D4B7A"/>
    <w:rsid w:val="24D740D4"/>
    <w:rsid w:val="24E46F1D"/>
    <w:rsid w:val="258921ED"/>
    <w:rsid w:val="25F50CB6"/>
    <w:rsid w:val="26170C2C"/>
    <w:rsid w:val="270F5DA7"/>
    <w:rsid w:val="27B97384"/>
    <w:rsid w:val="27CA1941"/>
    <w:rsid w:val="28EC2844"/>
    <w:rsid w:val="28EF7C3E"/>
    <w:rsid w:val="292F2731"/>
    <w:rsid w:val="29671BBB"/>
    <w:rsid w:val="2A5E151F"/>
    <w:rsid w:val="2A88034A"/>
    <w:rsid w:val="2A8B15D7"/>
    <w:rsid w:val="2B6922A0"/>
    <w:rsid w:val="2B7C0AF2"/>
    <w:rsid w:val="2BB1567F"/>
    <w:rsid w:val="2C0E2AD1"/>
    <w:rsid w:val="2DF301D1"/>
    <w:rsid w:val="2EA65243"/>
    <w:rsid w:val="2F414F6C"/>
    <w:rsid w:val="2FD47B8E"/>
    <w:rsid w:val="301E2A65"/>
    <w:rsid w:val="308B46F0"/>
    <w:rsid w:val="30E6401D"/>
    <w:rsid w:val="316B3335"/>
    <w:rsid w:val="317561A9"/>
    <w:rsid w:val="319C0B7F"/>
    <w:rsid w:val="322F72FD"/>
    <w:rsid w:val="33DE547F"/>
    <w:rsid w:val="34F62354"/>
    <w:rsid w:val="34FF5B06"/>
    <w:rsid w:val="3510196C"/>
    <w:rsid w:val="35D23F20"/>
    <w:rsid w:val="362F1FC2"/>
    <w:rsid w:val="363E63B2"/>
    <w:rsid w:val="364D513C"/>
    <w:rsid w:val="36BB1AA7"/>
    <w:rsid w:val="36DA7652"/>
    <w:rsid w:val="36EA7C97"/>
    <w:rsid w:val="37AE5168"/>
    <w:rsid w:val="37B564F7"/>
    <w:rsid w:val="38B95B73"/>
    <w:rsid w:val="38BD1A5F"/>
    <w:rsid w:val="38CF5396"/>
    <w:rsid w:val="3B3E6803"/>
    <w:rsid w:val="3B44206B"/>
    <w:rsid w:val="3BF53366"/>
    <w:rsid w:val="3D4C16AB"/>
    <w:rsid w:val="3EEB27FE"/>
    <w:rsid w:val="3F4A39C9"/>
    <w:rsid w:val="3F6C491E"/>
    <w:rsid w:val="3FE45BCB"/>
    <w:rsid w:val="3FE50C54"/>
    <w:rsid w:val="3FF51B86"/>
    <w:rsid w:val="403A64B2"/>
    <w:rsid w:val="40EF549F"/>
    <w:rsid w:val="410C109C"/>
    <w:rsid w:val="412D7FCC"/>
    <w:rsid w:val="417D0AC2"/>
    <w:rsid w:val="41870F04"/>
    <w:rsid w:val="421A5B5D"/>
    <w:rsid w:val="42440BA3"/>
    <w:rsid w:val="425002F5"/>
    <w:rsid w:val="42EB74CC"/>
    <w:rsid w:val="43486471"/>
    <w:rsid w:val="44316F05"/>
    <w:rsid w:val="444924A1"/>
    <w:rsid w:val="44664A8E"/>
    <w:rsid w:val="45462E84"/>
    <w:rsid w:val="4554734F"/>
    <w:rsid w:val="45D116C3"/>
    <w:rsid w:val="46CB1893"/>
    <w:rsid w:val="46D324F5"/>
    <w:rsid w:val="46DF70EC"/>
    <w:rsid w:val="47997CE8"/>
    <w:rsid w:val="48494212"/>
    <w:rsid w:val="489F2FD7"/>
    <w:rsid w:val="49495109"/>
    <w:rsid w:val="49CB0459"/>
    <w:rsid w:val="4A3E237C"/>
    <w:rsid w:val="4B0233A9"/>
    <w:rsid w:val="4B0B04B0"/>
    <w:rsid w:val="4B1B446B"/>
    <w:rsid w:val="4B8169C4"/>
    <w:rsid w:val="4B8D4CE9"/>
    <w:rsid w:val="4BB328F5"/>
    <w:rsid w:val="4BD765E4"/>
    <w:rsid w:val="4D0478AD"/>
    <w:rsid w:val="4D5D54A0"/>
    <w:rsid w:val="4D950505"/>
    <w:rsid w:val="4DAD1CF2"/>
    <w:rsid w:val="4E6D3230"/>
    <w:rsid w:val="4EB63A15"/>
    <w:rsid w:val="4EEF00E8"/>
    <w:rsid w:val="4FBA24A4"/>
    <w:rsid w:val="502D2C76"/>
    <w:rsid w:val="50504BB7"/>
    <w:rsid w:val="50B145A5"/>
    <w:rsid w:val="50EC48E0"/>
    <w:rsid w:val="51744C86"/>
    <w:rsid w:val="528374C6"/>
    <w:rsid w:val="538F3C48"/>
    <w:rsid w:val="53CE6585"/>
    <w:rsid w:val="549B003A"/>
    <w:rsid w:val="54A43723"/>
    <w:rsid w:val="5621327D"/>
    <w:rsid w:val="563B7B04"/>
    <w:rsid w:val="568850AA"/>
    <w:rsid w:val="56D93B58"/>
    <w:rsid w:val="574865E8"/>
    <w:rsid w:val="57A9177C"/>
    <w:rsid w:val="57E502DB"/>
    <w:rsid w:val="57F0635F"/>
    <w:rsid w:val="580C3AB9"/>
    <w:rsid w:val="58615BB3"/>
    <w:rsid w:val="59777658"/>
    <w:rsid w:val="5A343B61"/>
    <w:rsid w:val="5B2011D6"/>
    <w:rsid w:val="5B7C2D04"/>
    <w:rsid w:val="5BAC183B"/>
    <w:rsid w:val="5BD14DFE"/>
    <w:rsid w:val="5C0A6562"/>
    <w:rsid w:val="5C2A09B2"/>
    <w:rsid w:val="5C7B120D"/>
    <w:rsid w:val="5C8559C5"/>
    <w:rsid w:val="5D543F38"/>
    <w:rsid w:val="5D5757D7"/>
    <w:rsid w:val="5D6B597F"/>
    <w:rsid w:val="5D8B722E"/>
    <w:rsid w:val="5E2C229D"/>
    <w:rsid w:val="5E4915C3"/>
    <w:rsid w:val="5EC91604"/>
    <w:rsid w:val="5F4537A2"/>
    <w:rsid w:val="5FDC037C"/>
    <w:rsid w:val="60714E01"/>
    <w:rsid w:val="60C62FD2"/>
    <w:rsid w:val="61603F1A"/>
    <w:rsid w:val="62305C1F"/>
    <w:rsid w:val="62612C54"/>
    <w:rsid w:val="64122457"/>
    <w:rsid w:val="6457607A"/>
    <w:rsid w:val="64E51A25"/>
    <w:rsid w:val="659B647C"/>
    <w:rsid w:val="65B732B6"/>
    <w:rsid w:val="65CB0B10"/>
    <w:rsid w:val="65F53DDF"/>
    <w:rsid w:val="672E5DC5"/>
    <w:rsid w:val="67642FCA"/>
    <w:rsid w:val="679B072E"/>
    <w:rsid w:val="67E660D5"/>
    <w:rsid w:val="67EE0AE5"/>
    <w:rsid w:val="68721717"/>
    <w:rsid w:val="68F55EA4"/>
    <w:rsid w:val="692C7B17"/>
    <w:rsid w:val="69D26D40"/>
    <w:rsid w:val="69FA19C4"/>
    <w:rsid w:val="6A093324"/>
    <w:rsid w:val="6B217424"/>
    <w:rsid w:val="6B9E0A74"/>
    <w:rsid w:val="6BD36970"/>
    <w:rsid w:val="6C0528A2"/>
    <w:rsid w:val="6C5E0930"/>
    <w:rsid w:val="6DB4457F"/>
    <w:rsid w:val="6E510020"/>
    <w:rsid w:val="6FA348AB"/>
    <w:rsid w:val="6FBB4290"/>
    <w:rsid w:val="701F78B8"/>
    <w:rsid w:val="72760055"/>
    <w:rsid w:val="7285473C"/>
    <w:rsid w:val="728C1627"/>
    <w:rsid w:val="72930C07"/>
    <w:rsid w:val="72AC03B6"/>
    <w:rsid w:val="73E21E46"/>
    <w:rsid w:val="745A6272"/>
    <w:rsid w:val="746F1200"/>
    <w:rsid w:val="74FF4332"/>
    <w:rsid w:val="753B0F8F"/>
    <w:rsid w:val="7568637B"/>
    <w:rsid w:val="757765BE"/>
    <w:rsid w:val="75916036"/>
    <w:rsid w:val="75952EE8"/>
    <w:rsid w:val="764741E2"/>
    <w:rsid w:val="76791307"/>
    <w:rsid w:val="767B3E8C"/>
    <w:rsid w:val="767C19B2"/>
    <w:rsid w:val="7688544C"/>
    <w:rsid w:val="76A33F8C"/>
    <w:rsid w:val="76BE3EDD"/>
    <w:rsid w:val="76C05D43"/>
    <w:rsid w:val="784B5AE0"/>
    <w:rsid w:val="79103E0A"/>
    <w:rsid w:val="79273E57"/>
    <w:rsid w:val="7A9D0921"/>
    <w:rsid w:val="7C0A2C05"/>
    <w:rsid w:val="7D032264"/>
    <w:rsid w:val="7D9A5540"/>
    <w:rsid w:val="7DA261A2"/>
    <w:rsid w:val="7EAD12A3"/>
    <w:rsid w:val="7ECB34D7"/>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425"/>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425"/>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qFormat/>
    <w:uiPriority w:val="0"/>
    <w:pPr>
      <w:numPr>
        <w:ilvl w:val="0"/>
        <w:numId w:val="18"/>
      </w:numPr>
    </w:pPr>
  </w:style>
  <w:style w:type="paragraph" w:customStyle="1" w:styleId="121">
    <w:name w:val="注："/>
    <w:next w:val="119"/>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0ED870F1">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081F7383">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784E3A8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2711</Words>
  <Characters>3377</Characters>
  <Lines>0</Lines>
  <Paragraphs>0</Paragraphs>
  <TotalTime>9</TotalTime>
  <ScaleCrop>false</ScaleCrop>
  <LinksUpToDate>false</LinksUpToDate>
  <CharactersWithSpaces>3605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青春</cp:lastModifiedBy>
  <dcterms:modified xsi:type="dcterms:W3CDTF">2024-09-19T01:22:13Z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5E05600BEBBE4FFCA955E001E0A3029D_13</vt:lpwstr>
  </property>
</Properties>
</file>