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E72AD">
      <w:pPr>
        <w:pStyle w:val="28"/>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72EDC052">
      <w:pPr>
        <w:pStyle w:val="39"/>
        <w:bidi w:val="0"/>
        <w:rPr>
          <w:rFonts w:hint="eastAsia"/>
          <w:lang w:val="en-US" w:eastAsia="zh-CN"/>
        </w:rPr>
      </w:pPr>
      <w:r>
        <w:rPr>
          <w:rFonts w:hint="eastAsia"/>
          <w:lang w:val="en-US" w:eastAsia="zh-CN"/>
        </w:rPr>
        <w:fldChar w:fldCharType="begin">
          <w:ffData>
            <w:name w:val="StandNo"/>
            <w:enabled/>
            <w:calcOnExit w:val="0"/>
            <w:textInput>
              <w:default w:val="T/JALNCP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T/JALNCP XXX—XXXX</w:t>
      </w:r>
      <w:r>
        <w:rPr>
          <w:rFonts w:hint="eastAsia"/>
          <w:lang w:val="en-US" w:eastAsia="zh-CN"/>
        </w:rPr>
        <w:fldChar w:fldCharType="end"/>
      </w:r>
      <w:bookmarkEnd w:id="1"/>
    </w:p>
    <w:p w14:paraId="0B79EE8F">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38D8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214861AD">
            <w:pPr>
              <w:pStyle w:val="33"/>
              <w:widowControl w:val="0"/>
              <w:bidi w:val="0"/>
              <w:jc w:val="both"/>
              <w:rPr>
                <w:rFonts w:hint="eastAsia"/>
                <w:sz w:val="10"/>
                <w:vertAlign w:val="baseline"/>
                <w:lang w:val="en-US" w:eastAsia="zh-CN"/>
              </w:rPr>
            </w:pPr>
          </w:p>
        </w:tc>
      </w:tr>
    </w:tbl>
    <w:p w14:paraId="41033F21">
      <w:pPr>
        <w:pStyle w:val="40"/>
        <w:bidi w:val="0"/>
        <w:rPr>
          <w:rFonts w:hint="default"/>
          <w:lang w:val="en-US" w:eastAsia="zh-CN"/>
        </w:rPr>
      </w:pPr>
      <w:bookmarkStart w:id="3" w:name="StdName"/>
      <w:r>
        <w:rPr>
          <w:rFonts w:hint="default" w:ascii="黑体" w:hAnsi="Times New Roman" w:eastAsia="黑体" w:cs="Times New Roman"/>
          <w:sz w:val="52"/>
          <w:lang w:val="en-US" w:eastAsia="zh-CN"/>
        </w:rPr>
        <w:fldChar w:fldCharType="begin">
          <w:ffData>
            <w:name w:val="StdName"/>
            <w:enabled/>
            <w:calcOnExit w:val="0"/>
            <w:textInput>
              <w:default w:val="井冈山圣女果"/>
            </w:textInput>
          </w:ffData>
        </w:fldChar>
      </w:r>
      <w:r>
        <w:rPr>
          <w:rFonts w:hint="default" w:ascii="黑体" w:hAnsi="Times New Roman" w:eastAsia="黑体" w:cs="Times New Roman"/>
          <w:sz w:val="52"/>
          <w:lang w:val="en-US" w:eastAsia="zh-CN"/>
        </w:rPr>
        <w:instrText xml:space="preserve">FORMTEXT</w:instrText>
      </w:r>
      <w:r>
        <w:rPr>
          <w:rFonts w:hint="default" w:ascii="黑体" w:hAnsi="Times New Roman" w:eastAsia="黑体" w:cs="Times New Roman"/>
          <w:sz w:val="52"/>
          <w:lang w:val="en-US" w:eastAsia="zh-CN"/>
        </w:rPr>
        <w:fldChar w:fldCharType="separate"/>
      </w:r>
      <w:r>
        <w:rPr>
          <w:rFonts w:hint="default" w:ascii="黑体" w:hAnsi="Times New Roman" w:eastAsia="黑体" w:cs="Times New Roman"/>
          <w:sz w:val="52"/>
          <w:lang w:val="en-US" w:eastAsia="zh-CN"/>
        </w:rPr>
        <w:t>井冈山圣女果</w:t>
      </w:r>
      <w:r>
        <w:rPr>
          <w:rFonts w:hint="default" w:ascii="黑体" w:hAnsi="Times New Roman" w:eastAsia="黑体" w:cs="Times New Roman"/>
          <w:sz w:val="52"/>
          <w:lang w:val="en-US" w:eastAsia="zh-CN"/>
        </w:rPr>
        <w:fldChar w:fldCharType="end"/>
      </w:r>
      <w:bookmarkEnd w:id="3"/>
    </w:p>
    <w:p w14:paraId="330BBC28">
      <w:pPr>
        <w:pStyle w:val="41"/>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Jinggangshan cherry tomatoes"/>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Jinggangshan cherry tomatoes</w:t>
      </w:r>
      <w:r>
        <w:rPr>
          <w:rFonts w:hint="eastAsia" w:ascii="Times New Roman" w:hAnsi="Times New Roman" w:eastAsia="黑体" w:cs="Times New Roman"/>
          <w:sz w:val="28"/>
          <w:lang w:val="en-US" w:eastAsia="zh-CN"/>
        </w:rPr>
        <w:fldChar w:fldCharType="end"/>
      </w:r>
      <w:bookmarkEnd w:id="4"/>
    </w:p>
    <w:p w14:paraId="6583DEBC">
      <w:pPr>
        <w:pStyle w:val="42"/>
        <w:bidi w:val="0"/>
        <w:rPr>
          <w:rFonts w:hint="eastAsia"/>
          <w:lang w:val="en-US" w:eastAsia="zh-CN"/>
        </w:rPr>
      </w:pPr>
      <w:r>
        <w:rPr>
          <w:rFonts w:hint="eastAsia" w:cs="Times New Roman"/>
          <w:sz w:val="28"/>
          <w:lang w:val="en-US" w:eastAsia="zh-CN"/>
        </w:rPr>
        <w:t xml:space="preserve"> </w:t>
      </w:r>
    </w:p>
    <w:p w14:paraId="401DF018">
      <w:pPr>
        <w:pStyle w:val="43"/>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55FF181A">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61562FCB">
      <w:pPr>
        <w:pStyle w:val="45"/>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1B78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6E6E09DF">
            <w:pPr>
              <w:pStyle w:val="37"/>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1ED17100">
            <w:pPr>
              <w:pStyle w:val="37"/>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0657F292">
      <w:pPr>
        <w:pStyle w:val="47"/>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1364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6223CCCA">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5A6C9EBC">
            <w:pPr>
              <w:pStyle w:val="51"/>
              <w:framePr w:w="9639" w:wrap="around"/>
              <w:bidi w:val="0"/>
              <w:jc w:val="both"/>
              <w:rPr>
                <w:rFonts w:hint="eastAsia"/>
                <w:vertAlign w:val="baseline"/>
                <w:lang w:val="en-US" w:eastAsia="zh-CN"/>
              </w:rPr>
            </w:pPr>
            <w:bookmarkStart w:id="15"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5"/>
          </w:p>
        </w:tc>
      </w:tr>
      <w:tr w14:paraId="064C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08F9F44">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50157159">
            <w:pPr>
              <w:pStyle w:val="51"/>
              <w:framePr w:w="9639" w:wrap="around"/>
              <w:bidi w:val="0"/>
              <w:jc w:val="both"/>
              <w:rPr>
                <w:rFonts w:hint="eastAsia"/>
                <w:vertAlign w:val="baseline"/>
                <w:lang w:val="en-US" w:eastAsia="zh-CN"/>
              </w:rPr>
            </w:pPr>
            <w:bookmarkStart w:id="16"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4EF2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212C6D5A">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7706C83C">
            <w:pPr>
              <w:pStyle w:val="51"/>
              <w:framePr w:w="9639" w:wrap="around"/>
              <w:bidi w:val="0"/>
              <w:jc w:val="both"/>
              <w:rPr>
                <w:rFonts w:hint="eastAsia"/>
                <w:vertAlign w:val="baseline"/>
                <w:lang w:val="en-US" w:eastAsia="zh-CN"/>
              </w:rPr>
            </w:pPr>
          </w:p>
        </w:tc>
      </w:tr>
    </w:tbl>
    <w:p w14:paraId="04FF249C">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1D7D7A26">
      <w:pPr>
        <w:pStyle w:val="52"/>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65B3E83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26C9E5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1EB3A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83A1E0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_Toc17023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3CC1D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9BAFCA2">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0A0573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_Toc30562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4EE63E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_Toc26806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82C477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井冈山</w:t>
      </w:r>
      <w:r>
        <w:rPr>
          <w:rFonts w:hint="eastAsia" w:cs="宋体"/>
          <w:spacing w:val="0"/>
          <w:lang w:val="en-US" w:eastAsia="zh-CN"/>
        </w:rPr>
        <w:t>圣女果</w:t>
      </w:r>
      <w:r>
        <w:rPr>
          <w:rFonts w:hint="eastAsia" w:ascii="宋体" w:hAnsi="宋体" w:eastAsia="宋体" w:cs="宋体"/>
          <w:spacing w:val="0"/>
          <w:lang w:val="en-US" w:eastAsia="zh-CN"/>
        </w:rPr>
        <w:t>生产区域范围图</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_Toc12561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A647395">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1FB6151">
      <w:pPr>
        <w:pStyle w:val="52"/>
        <w:bidi w:val="0"/>
        <w:rPr>
          <w:rFonts w:hint="eastAsia"/>
          <w:lang w:val="en-US" w:eastAsia="zh-CN"/>
        </w:rPr>
      </w:pPr>
      <w:r>
        <w:rPr>
          <w:rFonts w:hint="eastAsia"/>
          <w:lang w:val="en-US" w:eastAsia="zh-CN"/>
        </w:rPr>
        <w:br w:type="page"/>
      </w:r>
    </w:p>
    <w:p w14:paraId="1D46B299">
      <w:pPr>
        <w:pStyle w:val="53"/>
        <w:bidi w:val="0"/>
        <w:rPr>
          <w:rFonts w:hint="eastAsia"/>
          <w:lang w:val="en-US" w:eastAsia="zh-CN"/>
        </w:rPr>
      </w:pPr>
      <w:bookmarkStart w:id="19" w:name="_Toc10082"/>
      <w:r>
        <w:rPr>
          <w:rFonts w:hint="eastAsia"/>
          <w:spacing w:val="317"/>
          <w:lang w:val="en-US" w:eastAsia="zh-CN"/>
        </w:rPr>
        <w:t>前</w:t>
      </w:r>
      <w:bookmarkStart w:id="20" w:name="BKQY"/>
      <w:r>
        <w:rPr>
          <w:rFonts w:hint="eastAsia"/>
          <w:lang w:val="en-US" w:eastAsia="zh-CN"/>
        </w:rPr>
        <w:t>言</w:t>
      </w:r>
      <w:bookmarkEnd w:id="19"/>
    </w:p>
    <w:p w14:paraId="67476BE4">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0959708A">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6CFD8BEE">
      <w:pPr>
        <w:pStyle w:val="23"/>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2194F00">
      <w:pPr>
        <w:pStyle w:val="23"/>
        <w:bidi w:val="0"/>
        <w:rPr>
          <w:rFonts w:hint="eastAsia"/>
          <w:lang w:val="en-US" w:eastAsia="zh-CN"/>
        </w:rPr>
      </w:pPr>
      <w:r>
        <w:rPr>
          <w:rFonts w:hint="eastAsia"/>
          <w:lang w:val="en-US" w:eastAsia="zh-CN"/>
        </w:rPr>
        <w:t>本文件起草单位：</w:t>
      </w:r>
      <w:r>
        <w:rPr>
          <w:rFonts w:hint="eastAsia"/>
        </w:rPr>
        <w:t>吉安市绿色农产品促进会</w:t>
      </w:r>
    </w:p>
    <w:p w14:paraId="6F22F7E2">
      <w:pPr>
        <w:pStyle w:val="23"/>
        <w:bidi w:val="0"/>
        <w:rPr>
          <w:rFonts w:hint="eastAsia"/>
          <w:lang w:val="en-US" w:eastAsia="zh-CN"/>
        </w:rPr>
      </w:pPr>
      <w:r>
        <w:rPr>
          <w:rFonts w:hint="eastAsia"/>
          <w:lang w:val="en-US" w:eastAsia="zh-CN"/>
        </w:rPr>
        <w:t>本文件主要起草人：</w:t>
      </w:r>
    </w:p>
    <w:p w14:paraId="6F007FC2">
      <w:pPr>
        <w:pStyle w:val="23"/>
        <w:bidi w:val="0"/>
        <w:rPr>
          <w:rFonts w:hint="eastAsia"/>
          <w:lang w:val="en-US" w:eastAsia="zh-CN"/>
        </w:rPr>
      </w:pPr>
    </w:p>
    <w:bookmarkEnd w:id="20"/>
    <w:p w14:paraId="0B49538D">
      <w:pPr>
        <w:rPr>
          <w:rFonts w:hint="eastAsia"/>
          <w:lang w:val="en-US" w:eastAsia="zh-CN"/>
        </w:rPr>
      </w:pPr>
    </w:p>
    <w:p w14:paraId="34200437">
      <w:pPr>
        <w:rPr>
          <w:rFonts w:hint="eastAsia"/>
          <w:lang w:val="en-US" w:eastAsia="zh-CN"/>
        </w:rPr>
      </w:pPr>
    </w:p>
    <w:p w14:paraId="051D45C4">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7484"/>
        <w:lock w:val="sdtLocked"/>
        <w:placeholder>
          <w:docPart w:val="{dc198fea-d184-4aa6-8509-aaf3d889285d}"/>
        </w:placeholder>
      </w:sdtPr>
      <w:sdtEndPr>
        <w:rPr>
          <w:rStyle w:val="118"/>
          <w:rFonts w:hint="eastAsia"/>
          <w:lang w:val="en-US" w:eastAsia="zh-CN"/>
        </w:rPr>
      </w:sdtEndPr>
      <w:sdtContent>
        <w:p w14:paraId="0D91E934">
          <w:pPr>
            <w:pStyle w:val="54"/>
            <w:bidi w:val="0"/>
            <w:rPr>
              <w:rStyle w:val="118"/>
              <w:rFonts w:hint="eastAsia"/>
              <w:lang w:val="en-US" w:eastAsia="zh-CN"/>
            </w:rPr>
          </w:pPr>
          <w:bookmarkStart w:id="21" w:name="StandardName"/>
          <w:r>
            <w:rPr>
              <w:rStyle w:val="118"/>
              <w:rFonts w:hint="eastAsia"/>
              <w:lang w:val="en-US" w:eastAsia="zh-CN"/>
            </w:rPr>
            <w:t>井冈山圣女果</w:t>
          </w:r>
          <w:bookmarkEnd w:id="21"/>
        </w:p>
      </w:sdtContent>
    </w:sdt>
    <w:p w14:paraId="39825421">
      <w:pPr>
        <w:pStyle w:val="70"/>
        <w:bidi w:val="0"/>
        <w:rPr>
          <w:rStyle w:val="118"/>
          <w:rFonts w:hint="eastAsia"/>
          <w:lang w:val="en-US" w:eastAsia="zh-CN"/>
        </w:rPr>
      </w:pPr>
      <w:bookmarkStart w:id="22" w:name="_Toc8095"/>
      <w:r>
        <w:rPr>
          <w:rFonts w:hint="eastAsia"/>
          <w:lang w:val="en-US" w:eastAsia="zh-CN"/>
        </w:rPr>
        <w:t>范围</w:t>
      </w:r>
      <w:bookmarkEnd w:id="22"/>
    </w:p>
    <w:p w14:paraId="7630DB5C">
      <w:pPr>
        <w:pStyle w:val="23"/>
        <w:rPr>
          <w:rFonts w:hint="eastAsia"/>
          <w:lang w:val="en-US" w:eastAsia="zh-CN"/>
        </w:rPr>
      </w:pPr>
      <w:r>
        <w:rPr>
          <w:rFonts w:hint="eastAsia"/>
          <w:lang w:val="en-US" w:eastAsia="zh-CN"/>
        </w:rPr>
        <w:t>本文件规定了井冈山圣女果的要求、检验规则、包装、标志与标签、运输与贮存。</w:t>
      </w:r>
    </w:p>
    <w:p w14:paraId="4CF41884">
      <w:pPr>
        <w:pStyle w:val="23"/>
        <w:rPr>
          <w:rFonts w:hint="eastAsia"/>
          <w:lang w:val="en-US" w:eastAsia="zh-CN"/>
        </w:rPr>
      </w:pPr>
      <w:r>
        <w:rPr>
          <w:rFonts w:hint="eastAsia"/>
          <w:lang w:val="en-US" w:eastAsia="zh-CN"/>
        </w:rPr>
        <w:t>本文件适用于吉安市行政区域范围内种植的鲜食圣女果。</w:t>
      </w:r>
    </w:p>
    <w:p w14:paraId="6474A4FD">
      <w:pPr>
        <w:pStyle w:val="70"/>
        <w:bidi w:val="0"/>
        <w:rPr>
          <w:rFonts w:hint="eastAsia"/>
          <w:lang w:val="en-US" w:eastAsia="zh-CN"/>
        </w:rPr>
      </w:pPr>
      <w:bookmarkStart w:id="23" w:name="_Toc8385"/>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5D0290D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FF1BEC">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14:paraId="1B588CA5">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14:paraId="71DADC5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2763  </w:t>
      </w:r>
      <w:bookmarkStart w:id="24" w:name="_Hlk103955994"/>
      <w:r>
        <w:rPr>
          <w:rFonts w:hint="eastAsia" w:ascii="宋体" w:hAnsi="Times New Roman" w:eastAsia="宋体" w:cs="宋体"/>
          <w:sz w:val="21"/>
          <w:lang w:val="en-US" w:eastAsia="zh-CN"/>
        </w:rPr>
        <w:t>食品安全国家标准</w:t>
      </w:r>
      <w:bookmarkEnd w:id="24"/>
      <w:r>
        <w:rPr>
          <w:rFonts w:hint="eastAsia" w:ascii="宋体" w:hAnsi="Times New Roman" w:eastAsia="宋体" w:cs="宋体"/>
          <w:sz w:val="21"/>
          <w:lang w:val="en-US" w:eastAsia="zh-CN"/>
        </w:rPr>
        <w:t xml:space="preserve">  食品中农药最大残留限量</w:t>
      </w:r>
    </w:p>
    <w:p w14:paraId="48D033A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4806.1 </w:t>
      </w:r>
      <w:r>
        <w:rPr>
          <w:rFonts w:hint="eastAsia" w:cs="宋体"/>
          <w:sz w:val="21"/>
          <w:lang w:val="en-US" w:eastAsia="zh-CN"/>
        </w:rPr>
        <w:t xml:space="preserve"> </w:t>
      </w:r>
      <w:r>
        <w:rPr>
          <w:rFonts w:hint="eastAsia" w:ascii="宋体" w:hAnsi="Times New Roman" w:eastAsia="宋体" w:cs="宋体"/>
          <w:sz w:val="21"/>
          <w:lang w:val="en-US" w:eastAsia="zh-CN"/>
        </w:rPr>
        <w:t xml:space="preserve">食品安全国家标准 </w:t>
      </w:r>
      <w:r>
        <w:rPr>
          <w:rFonts w:hint="eastAsia" w:cs="宋体"/>
          <w:sz w:val="21"/>
          <w:lang w:val="en-US" w:eastAsia="zh-CN"/>
        </w:rPr>
        <w:t xml:space="preserve"> </w:t>
      </w:r>
      <w:r>
        <w:rPr>
          <w:rFonts w:hint="eastAsia" w:ascii="宋体" w:hAnsi="Times New Roman" w:eastAsia="宋体" w:cs="宋体"/>
          <w:sz w:val="21"/>
          <w:lang w:val="en-US" w:eastAsia="zh-CN"/>
        </w:rPr>
        <w:t>食品接触材料及制品通用安全要求</w:t>
      </w:r>
    </w:p>
    <w:p w14:paraId="1774D2D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087872E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26059E4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43284  限制商品过度包装要求 生鲜食用农产品</w:t>
      </w:r>
    </w:p>
    <w:p w14:paraId="0475FB6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5737 </w:t>
      </w:r>
      <w:r>
        <w:rPr>
          <w:rFonts w:hint="eastAsia" w:cs="宋体"/>
          <w:sz w:val="21"/>
          <w:lang w:val="en-US" w:eastAsia="zh-CN"/>
        </w:rPr>
        <w:t xml:space="preserve"> </w:t>
      </w:r>
      <w:r>
        <w:rPr>
          <w:rFonts w:hint="eastAsia" w:ascii="宋体" w:hAnsi="Times New Roman" w:eastAsia="宋体" w:cs="宋体"/>
          <w:sz w:val="21"/>
          <w:lang w:val="en-US" w:eastAsia="zh-CN"/>
        </w:rPr>
        <w:t>食品塑料周转箱</w:t>
      </w:r>
    </w:p>
    <w:p w14:paraId="30431D16">
      <w:pPr>
        <w:pStyle w:val="23"/>
        <w:bidi w:val="0"/>
        <w:rPr>
          <w:rFonts w:hint="default" w:ascii="宋体" w:hAnsi="Times New Roman" w:eastAsia="宋体" w:cs="宋体"/>
          <w:sz w:val="21"/>
          <w:lang w:val="en-US" w:eastAsia="zh-CN"/>
        </w:rPr>
      </w:pPr>
      <w:r>
        <w:rPr>
          <w:rFonts w:hint="eastAsia" w:cs="宋体"/>
          <w:sz w:val="21"/>
          <w:lang w:val="en-US" w:eastAsia="zh-CN"/>
        </w:rPr>
        <w:t>GB 12456  食品安全国家标准 食品中总酸的测定</w:t>
      </w:r>
    </w:p>
    <w:p w14:paraId="401F9ED8">
      <w:pPr>
        <w:pStyle w:val="23"/>
        <w:bidi w:val="0"/>
        <w:rPr>
          <w:rFonts w:hint="eastAsia" w:ascii="宋体" w:hAnsi="Times New Roman" w:eastAsia="宋体" w:cs="宋体"/>
          <w:sz w:val="21"/>
          <w:lang w:val="en-US" w:eastAsia="zh-CN"/>
        </w:rPr>
      </w:pPr>
      <w:bookmarkStart w:id="25" w:name="_Hlk103956065"/>
      <w:r>
        <w:rPr>
          <w:rFonts w:hint="eastAsia" w:ascii="宋体" w:hAnsi="Times New Roman" w:eastAsia="宋体" w:cs="宋体"/>
          <w:sz w:val="21"/>
          <w:lang w:val="en-US" w:eastAsia="zh-CN"/>
        </w:rPr>
        <w:t xml:space="preserve">GB/T 19630  有机产品  生产、加工、标识与管理体系要求 </w:t>
      </w:r>
      <w:bookmarkEnd w:id="25"/>
    </w:p>
    <w:p w14:paraId="10B9CDE7">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32950</w:t>
      </w:r>
      <w:r>
        <w:rPr>
          <w:rFonts w:hint="eastAsia" w:cs="宋体"/>
          <w:sz w:val="21"/>
          <w:lang w:val="en-US" w:eastAsia="zh-CN"/>
        </w:rPr>
        <w:t xml:space="preserve">  </w:t>
      </w:r>
      <w:r>
        <w:rPr>
          <w:rFonts w:hint="eastAsia" w:ascii="宋体" w:hAnsi="Times New Roman" w:eastAsia="宋体" w:cs="宋体"/>
          <w:sz w:val="21"/>
          <w:lang w:val="en-US" w:eastAsia="zh-CN"/>
        </w:rPr>
        <w:t>鲜活农产品标签标识</w:t>
      </w:r>
    </w:p>
    <w:p w14:paraId="2F2702AB">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NY/T 391  绿色食品  产地环境质量</w:t>
      </w:r>
    </w:p>
    <w:p w14:paraId="76DE5D6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393  绿色食品  农药使用准则</w:t>
      </w:r>
    </w:p>
    <w:p w14:paraId="12907BB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394  绿色食品  肥料使用准则</w:t>
      </w:r>
    </w:p>
    <w:p w14:paraId="206FF9E2">
      <w:pPr>
        <w:pStyle w:val="23"/>
        <w:bidi w:val="0"/>
        <w:rPr>
          <w:rFonts w:hint="default" w:cs="宋体"/>
          <w:sz w:val="21"/>
          <w:lang w:val="en-US" w:eastAsia="zh-CN"/>
        </w:rPr>
      </w:pPr>
      <w:r>
        <w:rPr>
          <w:rFonts w:hint="default" w:cs="宋体"/>
          <w:sz w:val="21"/>
          <w:lang w:val="en-US" w:eastAsia="zh-CN"/>
        </w:rPr>
        <w:t>NY/T 655</w:t>
      </w:r>
      <w:r>
        <w:rPr>
          <w:rFonts w:hint="eastAsia" w:cs="宋体"/>
          <w:sz w:val="21"/>
          <w:lang w:val="en-US" w:eastAsia="zh-CN"/>
        </w:rPr>
        <w:t xml:space="preserve">  </w:t>
      </w:r>
      <w:r>
        <w:rPr>
          <w:rFonts w:hint="default" w:cs="宋体"/>
          <w:sz w:val="21"/>
          <w:lang w:val="en-US" w:eastAsia="zh-CN"/>
        </w:rPr>
        <w:t>绿色食品 茄果类蔬菜</w:t>
      </w:r>
    </w:p>
    <w:p w14:paraId="57D028A8">
      <w:pPr>
        <w:pStyle w:val="23"/>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 xml:space="preserve">绿色食品 </w:t>
      </w:r>
      <w:r>
        <w:rPr>
          <w:rFonts w:hint="eastAsia" w:cs="宋体"/>
          <w:sz w:val="21"/>
          <w:lang w:val="en-US" w:eastAsia="zh-CN"/>
        </w:rPr>
        <w:t xml:space="preserve"> </w:t>
      </w:r>
      <w:r>
        <w:rPr>
          <w:rFonts w:hint="default" w:cs="宋体"/>
          <w:sz w:val="21"/>
          <w:lang w:val="en-US" w:eastAsia="zh-CN"/>
        </w:rPr>
        <w:t>包装通用准则</w:t>
      </w:r>
    </w:p>
    <w:p w14:paraId="7FADD5F3">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297D40D5">
      <w:pPr>
        <w:pStyle w:val="23"/>
        <w:bidi w:val="0"/>
        <w:rPr>
          <w:rFonts w:hint="default" w:cs="宋体"/>
          <w:sz w:val="21"/>
          <w:lang w:val="en-US" w:eastAsia="zh-CN"/>
        </w:rPr>
      </w:pPr>
      <w:r>
        <w:rPr>
          <w:rFonts w:hint="default" w:cs="宋体"/>
          <w:sz w:val="21"/>
          <w:lang w:val="en-US" w:eastAsia="zh-CN"/>
        </w:rPr>
        <w:t>NY/T 2637</w:t>
      </w:r>
      <w:r>
        <w:rPr>
          <w:rFonts w:hint="eastAsia" w:cs="宋体"/>
          <w:sz w:val="21"/>
          <w:lang w:val="en-US" w:eastAsia="zh-CN"/>
        </w:rPr>
        <w:t xml:space="preserve">  </w:t>
      </w:r>
      <w:r>
        <w:rPr>
          <w:rFonts w:hint="default" w:cs="宋体"/>
          <w:sz w:val="21"/>
          <w:lang w:val="en-US" w:eastAsia="zh-CN"/>
        </w:rPr>
        <w:t>水果和蔬菜可溶性固形物含量的测定 折射仪法</w:t>
      </w:r>
    </w:p>
    <w:p w14:paraId="6E031CE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4265</w:t>
      </w:r>
      <w:r>
        <w:rPr>
          <w:rFonts w:hint="eastAsia" w:cs="宋体"/>
          <w:sz w:val="21"/>
          <w:lang w:val="en-US" w:eastAsia="zh-CN"/>
        </w:rPr>
        <w:t xml:space="preserve"> </w:t>
      </w:r>
      <w:r>
        <w:rPr>
          <w:rFonts w:hint="eastAsia" w:ascii="宋体" w:hAnsi="Times New Roman" w:eastAsia="宋体" w:cs="宋体"/>
          <w:sz w:val="21"/>
          <w:lang w:val="en-US" w:eastAsia="zh-CN"/>
        </w:rPr>
        <w:t xml:space="preserve"> 樱桃番茄</w:t>
      </w:r>
    </w:p>
    <w:p w14:paraId="45E92C60">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国家市场监督管理总局令2023年第70号  定量包装商品计量监督管理办法</w:t>
      </w:r>
    </w:p>
    <w:p w14:paraId="7064AED5">
      <w:pPr>
        <w:pStyle w:val="70"/>
        <w:bidi w:val="0"/>
        <w:rPr>
          <w:rFonts w:hint="eastAsia" w:ascii="宋体" w:hAnsi="Times New Roman" w:eastAsia="宋体" w:cs="宋体"/>
          <w:lang w:val="en-US" w:eastAsia="zh-CN"/>
        </w:rPr>
      </w:pPr>
      <w:bookmarkStart w:id="26" w:name="_Toc17023"/>
      <w:r>
        <w:rPr>
          <w:rFonts w:hint="eastAsia"/>
          <w:lang w:val="en-US" w:eastAsia="zh-CN"/>
        </w:rPr>
        <w:t>术语和定义</w:t>
      </w:r>
      <w:bookmarkEnd w:id="26"/>
    </w:p>
    <w:sdt>
      <w:sdtPr>
        <w:rPr>
          <w:rFonts w:hint="eastAsia" w:ascii="宋体" w:hAnsi="Times New Roman" w:eastAsia="宋体" w:cs="宋体"/>
          <w:sz w:val="21"/>
          <w:lang w:val="en-US" w:eastAsia="zh-CN"/>
        </w:rPr>
        <w:tag w:val="TermContent"/>
        <w:id w:val="147475647"/>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3195385D">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4CA60B3">
      <w:pPr>
        <w:pStyle w:val="23"/>
        <w:rPr>
          <w:rFonts w:hint="eastAsia"/>
          <w:lang w:val="en-US" w:eastAsia="zh-CN"/>
        </w:rPr>
      </w:pPr>
    </w:p>
    <w:p w14:paraId="398B4AFD">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cs="黑体"/>
          <w:lang w:val="en-US" w:eastAsia="zh-CN"/>
        </w:rPr>
        <w:t>井冈山圣女果 Jinggangshan cherry tomatoes</w:t>
      </w:r>
    </w:p>
    <w:p w14:paraId="19789605">
      <w:pPr>
        <w:pStyle w:val="23"/>
        <w:rPr>
          <w:rFonts w:hint="eastAsia"/>
          <w:lang w:val="en-US" w:eastAsia="zh-CN"/>
        </w:rPr>
      </w:pPr>
      <w:r>
        <w:rPr>
          <w:rFonts w:hint="eastAsia"/>
          <w:lang w:val="en-US" w:eastAsia="zh-CN"/>
        </w:rPr>
        <w:t>吉安市行政区域范围内生产的，符合本文件要求，并经“井冈山®”商标持有人授权的圣女果商品鲜果。</w:t>
      </w:r>
    </w:p>
    <w:p w14:paraId="4214BD33">
      <w:pPr>
        <w:pStyle w:val="23"/>
        <w:rPr>
          <w:rFonts w:hint="eastAsia"/>
          <w:lang w:val="en-US" w:eastAsia="zh-CN"/>
        </w:rPr>
      </w:pPr>
      <w:r>
        <w:rPr>
          <w:rFonts w:hint="eastAsia"/>
          <w:lang w:val="en-US" w:eastAsia="zh-CN"/>
        </w:rPr>
        <w:t>井冈山圣女果生产区域范围见附录A。</w:t>
      </w:r>
    </w:p>
    <w:p w14:paraId="42397C8B">
      <w:pPr>
        <w:pStyle w:val="70"/>
        <w:bidi w:val="0"/>
        <w:rPr>
          <w:rFonts w:hint="eastAsia"/>
          <w:lang w:val="en-US" w:eastAsia="zh-CN"/>
        </w:rPr>
      </w:pPr>
      <w:bookmarkStart w:id="27" w:name="_Toc1476"/>
      <w:r>
        <w:rPr>
          <w:rFonts w:hint="eastAsia"/>
          <w:lang w:val="en-US" w:eastAsia="zh-CN"/>
        </w:rPr>
        <w:t>要求</w:t>
      </w:r>
      <w:bookmarkEnd w:id="27"/>
    </w:p>
    <w:p w14:paraId="507C4563">
      <w:pPr>
        <w:pStyle w:val="71"/>
        <w:spacing w:before="120" w:after="120"/>
      </w:pPr>
      <w:r>
        <w:rPr>
          <w:rFonts w:hint="eastAsia"/>
          <w:lang w:val="en-US" w:eastAsia="zh-CN"/>
        </w:rPr>
        <w:t>品种</w:t>
      </w:r>
    </w:p>
    <w:p w14:paraId="13443D13">
      <w:pPr>
        <w:pStyle w:val="23"/>
        <w:rPr>
          <w:rFonts w:hint="default"/>
          <w:lang w:val="en-US" w:eastAsia="zh-CN"/>
        </w:rPr>
      </w:pPr>
      <w:r>
        <w:rPr>
          <w:rFonts w:hint="eastAsia"/>
          <w:lang w:val="en-US" w:eastAsia="zh-CN"/>
        </w:rPr>
        <w:t>宜</w:t>
      </w:r>
      <w:bookmarkStart w:id="98" w:name="_GoBack"/>
      <w:bookmarkEnd w:id="98"/>
      <w:r>
        <w:rPr>
          <w:rFonts w:hint="eastAsia"/>
          <w:lang w:val="en-US" w:eastAsia="zh-CN"/>
        </w:rPr>
        <w:t>选用当地适宜栽培品种。</w:t>
      </w:r>
    </w:p>
    <w:p w14:paraId="16B674C0">
      <w:pPr>
        <w:pStyle w:val="71"/>
        <w:spacing w:before="120" w:after="120"/>
      </w:pPr>
      <w:r>
        <w:rPr>
          <w:rFonts w:hint="eastAsia"/>
        </w:rPr>
        <w:t>产地环境</w:t>
      </w:r>
    </w:p>
    <w:p w14:paraId="61419646">
      <w:pPr>
        <w:pStyle w:val="23"/>
        <w:ind w:firstLine="960"/>
        <w:rPr>
          <w:rFonts w:hint="eastAsia"/>
          <w:lang w:val="en-US" w:eastAsia="zh-CN"/>
        </w:rPr>
      </w:pPr>
      <w:r>
        <w:rPr>
          <w:rFonts w:hint="eastAsia"/>
        </w:rPr>
        <w:t>应符合</w:t>
      </w:r>
      <w:bookmarkStart w:id="28" w:name="_Hlk103953316"/>
      <w:r>
        <w:rPr>
          <w:rFonts w:hint="eastAsia"/>
        </w:rPr>
        <w:t>NY/T 391</w:t>
      </w:r>
      <w:bookmarkEnd w:id="28"/>
      <w:r>
        <w:rPr>
          <w:rFonts w:hint="eastAsia"/>
        </w:rPr>
        <w:t>的要求</w:t>
      </w:r>
      <w:r>
        <w:rPr>
          <w:rFonts w:hint="eastAsia"/>
          <w:lang w:val="en-US" w:eastAsia="zh-CN"/>
        </w:rPr>
        <w:t>。</w:t>
      </w:r>
      <w:r>
        <w:rPr>
          <w:rFonts w:hint="eastAsia"/>
        </w:rPr>
        <w:t>有机产品应符合</w:t>
      </w:r>
      <w:bookmarkStart w:id="29" w:name="_Hlk111149948"/>
      <w:bookmarkStart w:id="30" w:name="_Hlk111488025"/>
      <w:bookmarkStart w:id="31" w:name="_Hlk111150970"/>
      <w:r>
        <w:rPr>
          <w:rFonts w:hint="eastAsia"/>
        </w:rPr>
        <w:t>GB/T</w:t>
      </w:r>
      <w:bookmarkEnd w:id="29"/>
      <w:r>
        <w:rPr>
          <w:rFonts w:hint="eastAsia"/>
        </w:rPr>
        <w:t xml:space="preserve"> 19630</w:t>
      </w:r>
      <w:bookmarkEnd w:id="30"/>
      <w:r>
        <w:rPr>
          <w:rFonts w:hint="eastAsia"/>
        </w:rPr>
        <w:t>的要求</w:t>
      </w:r>
      <w:bookmarkEnd w:id="31"/>
      <w:r>
        <w:rPr>
          <w:rFonts w:hint="eastAsia"/>
        </w:rPr>
        <w:t>。</w:t>
      </w:r>
    </w:p>
    <w:p w14:paraId="4FF95597">
      <w:pPr>
        <w:pStyle w:val="71"/>
        <w:spacing w:before="120" w:after="120"/>
      </w:pPr>
      <w:r>
        <w:rPr>
          <w:rFonts w:hint="eastAsia"/>
        </w:rPr>
        <w:t>投入品</w:t>
      </w:r>
    </w:p>
    <w:p w14:paraId="327CF806">
      <w:pPr>
        <w:pStyle w:val="23"/>
        <w:rPr>
          <w:rFonts w:hint="eastAsia"/>
        </w:rPr>
      </w:pPr>
      <w:r>
        <w:rPr>
          <w:rFonts w:hint="eastAsia"/>
        </w:rPr>
        <w:t>投入品使用应遵守</w:t>
      </w:r>
      <w:bookmarkStart w:id="32" w:name="_Hlk111472201"/>
      <w:r>
        <w:rPr>
          <w:rFonts w:hint="eastAsia"/>
        </w:rPr>
        <w:t>NY/T</w:t>
      </w:r>
      <w:bookmarkEnd w:id="32"/>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有机产品投入品应符合GB/T 19630的要求。</w:t>
      </w:r>
    </w:p>
    <w:p w14:paraId="01502AD3">
      <w:pPr>
        <w:pStyle w:val="71"/>
        <w:bidi w:val="0"/>
        <w:rPr>
          <w:rFonts w:hint="default"/>
          <w:lang w:val="en-US" w:eastAsia="zh-CN"/>
        </w:rPr>
      </w:pPr>
      <w:r>
        <w:rPr>
          <w:rFonts w:hint="eastAsia"/>
          <w:lang w:val="en-US" w:eastAsia="zh-CN"/>
        </w:rPr>
        <w:t>采收</w:t>
      </w:r>
    </w:p>
    <w:p w14:paraId="1F0A381E">
      <w:pPr>
        <w:pStyle w:val="23"/>
        <w:ind w:firstLine="960"/>
        <w:rPr>
          <w:rFonts w:hint="default"/>
          <w:lang w:val="en-US" w:eastAsia="zh-CN"/>
        </w:rPr>
      </w:pPr>
      <w:r>
        <w:rPr>
          <w:rFonts w:hint="eastAsia"/>
          <w:lang w:val="en-US" w:eastAsia="zh-CN"/>
        </w:rPr>
        <w:t>鲜果在果实正常成熟、表现出本品种固有的品质特征时采收。</w:t>
      </w:r>
    </w:p>
    <w:p w14:paraId="71410B05">
      <w:pPr>
        <w:pStyle w:val="71"/>
        <w:bidi w:val="0"/>
        <w:rPr>
          <w:rFonts w:hint="default"/>
          <w:lang w:val="en-US" w:eastAsia="zh-CN"/>
        </w:rPr>
      </w:pPr>
      <w:r>
        <w:rPr>
          <w:rFonts w:hint="eastAsia"/>
        </w:rPr>
        <w:t>感官要求</w:t>
      </w:r>
    </w:p>
    <w:p w14:paraId="5075D223">
      <w:pPr>
        <w:pStyle w:val="23"/>
        <w:ind w:firstLine="420"/>
        <w:rPr>
          <w:rFonts w:hint="eastAsia"/>
          <w:lang w:val="en-US" w:eastAsia="zh-CN"/>
        </w:rPr>
      </w:pPr>
      <w:r>
        <w:rPr>
          <w:rFonts w:hint="eastAsia"/>
          <w:lang w:val="en-US" w:eastAsia="zh-CN"/>
        </w:rPr>
        <w:t>依据感官分为特级、一级，</w:t>
      </w:r>
      <w:r>
        <w:rPr>
          <w:rFonts w:hint="eastAsia"/>
        </w:rPr>
        <w:t>应符合表</w:t>
      </w:r>
      <w:r>
        <w:t>1</w:t>
      </w:r>
      <w:r>
        <w:rPr>
          <w:rFonts w:hint="eastAsia"/>
        </w:rPr>
        <w:t>的要求。绿色食品还应符合</w:t>
      </w:r>
      <w:r>
        <w:rPr>
          <w:rFonts w:hint="default" w:cs="宋体"/>
          <w:sz w:val="21"/>
          <w:lang w:val="en-US" w:eastAsia="zh-CN"/>
        </w:rPr>
        <w:t>NY/T 655</w:t>
      </w:r>
      <w:r>
        <w:rPr>
          <w:rFonts w:hint="eastAsia"/>
        </w:rPr>
        <w:t>的要求，有机产品还应符合GB/T 19630的要求。</w:t>
      </w:r>
    </w:p>
    <w:p w14:paraId="265C6F60">
      <w:pPr>
        <w:pStyle w:val="111"/>
        <w:bidi w:val="0"/>
        <w:rPr>
          <w:rFonts w:hint="eastAsia"/>
          <w:lang w:val="en-US" w:eastAsia="zh-CN"/>
        </w:rPr>
      </w:pPr>
      <w:r>
        <w:rPr>
          <w:rFonts w:hint="eastAsia"/>
          <w:lang w:val="en-US" w:eastAsia="zh-CN"/>
        </w:rPr>
        <w:t>感官指标</w:t>
      </w:r>
    </w:p>
    <w:tbl>
      <w:tblPr>
        <w:tblStyle w:val="20"/>
        <w:tblW w:w="493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2358"/>
        <w:gridCol w:w="2362"/>
        <w:gridCol w:w="2360"/>
      </w:tblGrid>
      <w:tr w14:paraId="1CE65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9" w:type="pct"/>
            <w:vMerge w:val="restart"/>
            <w:vAlign w:val="center"/>
          </w:tcPr>
          <w:p w14:paraId="273155F3">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gridSpan w:val="2"/>
            <w:tcBorders>
              <w:bottom w:val="single" w:color="auto" w:sz="8" w:space="0"/>
            </w:tcBorders>
            <w:vAlign w:val="center"/>
          </w:tcPr>
          <w:p w14:paraId="335F2BD8">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Merge w:val="restart"/>
            <w:vAlign w:val="center"/>
          </w:tcPr>
          <w:p w14:paraId="606FB9EB">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17EDC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9" w:type="pct"/>
            <w:vMerge w:val="continue"/>
            <w:tcBorders>
              <w:bottom w:val="single" w:color="auto" w:sz="8" w:space="0"/>
            </w:tcBorders>
            <w:vAlign w:val="center"/>
          </w:tcPr>
          <w:p w14:paraId="6AA288B5">
            <w:pPr>
              <w:pStyle w:val="109"/>
              <w:widowControl w:val="0"/>
              <w:bidi w:val="0"/>
              <w:ind w:left="0" w:leftChars="0" w:firstLine="0" w:firstLineChars="0"/>
              <w:jc w:val="center"/>
            </w:pPr>
          </w:p>
        </w:tc>
        <w:tc>
          <w:tcPr>
            <w:tcW w:w="1249" w:type="pct"/>
            <w:tcBorders>
              <w:bottom w:val="single" w:color="auto" w:sz="8" w:space="0"/>
            </w:tcBorders>
            <w:vAlign w:val="center"/>
          </w:tcPr>
          <w:p w14:paraId="55418AE9">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特级</w:t>
            </w:r>
          </w:p>
        </w:tc>
        <w:tc>
          <w:tcPr>
            <w:tcW w:w="1251" w:type="pct"/>
            <w:tcBorders>
              <w:bottom w:val="single" w:color="auto" w:sz="8" w:space="0"/>
            </w:tcBorders>
            <w:vAlign w:val="center"/>
          </w:tcPr>
          <w:p w14:paraId="45968107">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一级</w:t>
            </w:r>
          </w:p>
        </w:tc>
        <w:tc>
          <w:tcPr>
            <w:tcW w:w="1250" w:type="pct"/>
            <w:vMerge w:val="continue"/>
            <w:tcBorders>
              <w:bottom w:val="single" w:color="auto" w:sz="8" w:space="0"/>
            </w:tcBorders>
            <w:vAlign w:val="center"/>
          </w:tcPr>
          <w:p w14:paraId="6B0B5A07">
            <w:pPr>
              <w:pStyle w:val="109"/>
              <w:widowControl w:val="0"/>
              <w:bidi w:val="0"/>
              <w:ind w:left="0" w:leftChars="0" w:firstLine="0" w:firstLineChars="0"/>
              <w:jc w:val="center"/>
              <w:rPr>
                <w:rFonts w:hint="eastAsia"/>
                <w:lang w:val="en-US" w:eastAsia="zh-CN"/>
              </w:rPr>
            </w:pPr>
          </w:p>
        </w:tc>
      </w:tr>
      <w:tr w14:paraId="2FDFC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49" w:type="pct"/>
            <w:tcBorders>
              <w:top w:val="single" w:color="auto" w:sz="8" w:space="0"/>
            </w:tcBorders>
            <w:vAlign w:val="center"/>
          </w:tcPr>
          <w:p w14:paraId="113FDEF7">
            <w:pPr>
              <w:pStyle w:val="109"/>
              <w:widowControl w:val="0"/>
              <w:bidi w:val="0"/>
              <w:ind w:left="0" w:leftChars="0" w:firstLine="0" w:firstLineChars="0"/>
              <w:jc w:val="center"/>
              <w:rPr>
                <w:rFonts w:hint="default"/>
                <w:lang w:val="en-US" w:eastAsia="zh-CN"/>
              </w:rPr>
            </w:pPr>
            <w:r>
              <w:rPr>
                <w:rFonts w:hint="eastAsia"/>
                <w:lang w:val="en-US" w:eastAsia="zh-CN"/>
              </w:rPr>
              <w:t>果形</w:t>
            </w:r>
          </w:p>
        </w:tc>
        <w:tc>
          <w:tcPr>
            <w:tcW w:w="1249" w:type="pct"/>
            <w:tcBorders>
              <w:top w:val="single" w:color="auto" w:sz="8" w:space="0"/>
            </w:tcBorders>
            <w:vAlign w:val="center"/>
          </w:tcPr>
          <w:p w14:paraId="291A3C22">
            <w:pPr>
              <w:pStyle w:val="109"/>
              <w:widowControl w:val="0"/>
              <w:bidi w:val="0"/>
              <w:ind w:left="0" w:leftChars="0" w:firstLine="0" w:firstLineChars="0"/>
              <w:jc w:val="center"/>
              <w:rPr>
                <w:rFonts w:hint="default"/>
                <w:lang w:val="en-US" w:eastAsia="zh-CN"/>
              </w:rPr>
            </w:pPr>
            <w:r>
              <w:rPr>
                <w:rFonts w:hint="default"/>
                <w:lang w:val="en-US" w:eastAsia="zh-CN"/>
              </w:rPr>
              <w:t>具有该品种果形特征·果形大小均匀一致</w:t>
            </w:r>
          </w:p>
        </w:tc>
        <w:tc>
          <w:tcPr>
            <w:tcW w:w="1251" w:type="pct"/>
            <w:tcBorders>
              <w:top w:val="single" w:color="auto" w:sz="8" w:space="0"/>
            </w:tcBorders>
            <w:vAlign w:val="center"/>
          </w:tcPr>
          <w:p w14:paraId="0BBF8BE4">
            <w:pPr>
              <w:pStyle w:val="109"/>
              <w:widowControl w:val="0"/>
              <w:bidi w:val="0"/>
              <w:ind w:left="0" w:leftChars="0" w:firstLine="0" w:firstLineChars="0"/>
              <w:jc w:val="center"/>
              <w:rPr>
                <w:rFonts w:hint="default"/>
                <w:lang w:val="en-US" w:eastAsia="zh-CN"/>
              </w:rPr>
            </w:pPr>
            <w:r>
              <w:rPr>
                <w:rFonts w:hint="default"/>
                <w:lang w:val="en-US" w:eastAsia="zh-CN"/>
              </w:rPr>
              <w:t>具有该品种果形特征</w:t>
            </w:r>
            <w:r>
              <w:rPr>
                <w:rFonts w:hint="eastAsia"/>
                <w:lang w:val="en-US" w:eastAsia="zh-CN"/>
              </w:rPr>
              <w:t>，</w:t>
            </w:r>
            <w:r>
              <w:rPr>
                <w:rFonts w:hint="default"/>
                <w:lang w:val="en-US" w:eastAsia="zh-CN"/>
              </w:rPr>
              <w:t>果形大小基本一致</w:t>
            </w:r>
          </w:p>
        </w:tc>
        <w:tc>
          <w:tcPr>
            <w:tcW w:w="1250" w:type="pct"/>
            <w:vMerge w:val="restart"/>
            <w:tcBorders>
              <w:top w:val="single" w:color="auto" w:sz="8" w:space="0"/>
            </w:tcBorders>
            <w:vAlign w:val="center"/>
          </w:tcPr>
          <w:p w14:paraId="6BB3BB74">
            <w:pPr>
              <w:pStyle w:val="109"/>
              <w:widowControl w:val="0"/>
              <w:bidi w:val="0"/>
              <w:ind w:left="0" w:leftChars="0" w:firstLine="0" w:firstLineChars="0"/>
              <w:jc w:val="center"/>
              <w:rPr>
                <w:rFonts w:hint="default"/>
                <w:lang w:val="en-US" w:eastAsia="zh-CN"/>
              </w:rPr>
            </w:pPr>
            <w:r>
              <w:rPr>
                <w:rFonts w:hint="eastAsia" w:ascii="宋体" w:hAnsi="Times New Roman" w:eastAsia="宋体" w:cs="宋体"/>
                <w:sz w:val="21"/>
                <w:lang w:val="en-US" w:eastAsia="zh-CN"/>
              </w:rPr>
              <w:t>NY/T 4265</w:t>
            </w:r>
          </w:p>
        </w:tc>
      </w:tr>
      <w:tr w14:paraId="5F984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49" w:type="pct"/>
            <w:vAlign w:val="center"/>
          </w:tcPr>
          <w:p w14:paraId="27F38F07">
            <w:pPr>
              <w:pStyle w:val="109"/>
              <w:widowControl w:val="0"/>
              <w:bidi w:val="0"/>
              <w:ind w:left="0" w:leftChars="0" w:firstLine="0" w:firstLineChars="0"/>
              <w:jc w:val="center"/>
              <w:rPr>
                <w:rFonts w:hint="default"/>
                <w:lang w:val="en-US" w:eastAsia="zh-CN"/>
              </w:rPr>
            </w:pPr>
            <w:r>
              <w:rPr>
                <w:rFonts w:hint="eastAsia"/>
                <w:lang w:val="en-US" w:eastAsia="zh-CN"/>
              </w:rPr>
              <w:t>色泽</w:t>
            </w:r>
          </w:p>
        </w:tc>
        <w:tc>
          <w:tcPr>
            <w:tcW w:w="1249" w:type="pct"/>
            <w:vAlign w:val="center"/>
          </w:tcPr>
          <w:p w14:paraId="34AD0F20">
            <w:pPr>
              <w:pStyle w:val="109"/>
              <w:widowControl w:val="0"/>
              <w:bidi w:val="0"/>
              <w:ind w:left="0" w:leftChars="0" w:firstLine="0" w:firstLineChars="0"/>
              <w:jc w:val="center"/>
              <w:rPr>
                <w:rFonts w:hint="default"/>
                <w:lang w:val="en-US" w:eastAsia="zh-CN"/>
              </w:rPr>
            </w:pPr>
            <w:r>
              <w:rPr>
                <w:rFonts w:hint="default"/>
                <w:lang w:val="en-US" w:eastAsia="zh-CN"/>
              </w:rPr>
              <w:t>具有该品种正常果皮色泽，果面颜色一致</w:t>
            </w:r>
            <w:r>
              <w:rPr>
                <w:rFonts w:hint="eastAsia"/>
                <w:lang w:val="en-US" w:eastAsia="zh-CN"/>
              </w:rPr>
              <w:t>，</w:t>
            </w:r>
            <w:r>
              <w:rPr>
                <w:rFonts w:hint="default"/>
                <w:lang w:val="en-US" w:eastAsia="zh-CN"/>
              </w:rPr>
              <w:t>有光泽</w:t>
            </w:r>
            <w:r>
              <w:rPr>
                <w:rFonts w:hint="eastAsia"/>
                <w:lang w:val="en-US" w:eastAsia="zh-CN"/>
              </w:rPr>
              <w:t>，</w:t>
            </w:r>
            <w:r>
              <w:rPr>
                <w:rFonts w:hint="default"/>
                <w:lang w:val="en-US" w:eastAsia="zh-CN"/>
              </w:rPr>
              <w:t>果尊鲜绿</w:t>
            </w:r>
          </w:p>
        </w:tc>
        <w:tc>
          <w:tcPr>
            <w:tcW w:w="1251" w:type="pct"/>
            <w:vAlign w:val="center"/>
          </w:tcPr>
          <w:p w14:paraId="5EAD3FF6">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ascii="宋体" w:hAnsi="Times New Roman" w:eastAsia="宋体" w:cs="宋体"/>
                <w:sz w:val="18"/>
                <w:lang w:val="en-US" w:eastAsia="zh-CN"/>
              </w:rPr>
              <w:t>具有该品种正常果皮色泽</w:t>
            </w:r>
            <w:r>
              <w:rPr>
                <w:rFonts w:hint="eastAsia" w:cs="宋体"/>
                <w:sz w:val="18"/>
                <w:lang w:val="en-US" w:eastAsia="zh-CN"/>
              </w:rPr>
              <w:t>，</w:t>
            </w:r>
            <w:r>
              <w:rPr>
                <w:rFonts w:hint="eastAsia" w:ascii="宋体" w:hAnsi="Times New Roman" w:eastAsia="宋体" w:cs="宋体"/>
                <w:sz w:val="18"/>
                <w:lang w:val="en-US" w:eastAsia="zh-CN"/>
              </w:rPr>
              <w:t>果面颜色较一致</w:t>
            </w:r>
            <w:r>
              <w:rPr>
                <w:rFonts w:hint="eastAsia" w:cs="宋体"/>
                <w:sz w:val="18"/>
                <w:lang w:val="en-US" w:eastAsia="zh-CN"/>
              </w:rPr>
              <w:t>，</w:t>
            </w:r>
            <w:r>
              <w:rPr>
                <w:rFonts w:hint="eastAsia" w:ascii="宋体" w:hAnsi="Times New Roman" w:eastAsia="宋体" w:cs="宋体"/>
                <w:sz w:val="18"/>
                <w:lang w:val="en-US" w:eastAsia="zh-CN"/>
              </w:rPr>
              <w:t>有光泽</w:t>
            </w:r>
            <w:r>
              <w:rPr>
                <w:rFonts w:hint="eastAsia" w:cs="宋体"/>
                <w:sz w:val="18"/>
                <w:lang w:val="en-US" w:eastAsia="zh-CN"/>
              </w:rPr>
              <w:t>，果肉</w:t>
            </w:r>
            <w:r>
              <w:rPr>
                <w:rFonts w:hint="eastAsia" w:ascii="宋体" w:hAnsi="Times New Roman" w:eastAsia="宋体" w:cs="宋体"/>
                <w:sz w:val="18"/>
                <w:lang w:val="en-US" w:eastAsia="zh-CN"/>
              </w:rPr>
              <w:t>较鲜绿</w:t>
            </w:r>
          </w:p>
        </w:tc>
        <w:tc>
          <w:tcPr>
            <w:tcW w:w="1250" w:type="pct"/>
            <w:vMerge w:val="continue"/>
            <w:vAlign w:val="center"/>
          </w:tcPr>
          <w:p w14:paraId="346429BC">
            <w:pPr>
              <w:pStyle w:val="109"/>
              <w:widowControl w:val="0"/>
              <w:bidi w:val="0"/>
              <w:ind w:left="0" w:leftChars="0" w:firstLine="0" w:firstLineChars="0"/>
              <w:jc w:val="center"/>
              <w:rPr>
                <w:rFonts w:hint="eastAsia"/>
                <w:lang w:val="en-US" w:eastAsia="zh-CN"/>
              </w:rPr>
            </w:pPr>
          </w:p>
        </w:tc>
      </w:tr>
      <w:tr w14:paraId="6971E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49" w:type="pct"/>
            <w:vAlign w:val="center"/>
          </w:tcPr>
          <w:p w14:paraId="5ADF7F9A">
            <w:pPr>
              <w:pStyle w:val="109"/>
              <w:widowControl w:val="0"/>
              <w:bidi w:val="0"/>
              <w:ind w:left="0" w:leftChars="0" w:firstLine="0" w:firstLineChars="0"/>
              <w:jc w:val="center"/>
              <w:rPr>
                <w:rFonts w:hint="default"/>
                <w:lang w:val="en-US" w:eastAsia="zh-CN"/>
              </w:rPr>
            </w:pPr>
            <w:r>
              <w:rPr>
                <w:rFonts w:hint="eastAsia"/>
                <w:lang w:val="en-US" w:eastAsia="zh-CN"/>
              </w:rPr>
              <w:t>硬度</w:t>
            </w:r>
          </w:p>
        </w:tc>
        <w:tc>
          <w:tcPr>
            <w:tcW w:w="1249" w:type="pct"/>
            <w:vAlign w:val="center"/>
          </w:tcPr>
          <w:p w14:paraId="6E080A3A">
            <w:pPr>
              <w:pStyle w:val="109"/>
              <w:widowControl w:val="0"/>
              <w:bidi w:val="0"/>
              <w:ind w:left="0" w:leftChars="0" w:firstLine="0" w:firstLineChars="0"/>
              <w:jc w:val="center"/>
              <w:rPr>
                <w:rFonts w:hint="default"/>
                <w:lang w:val="en-US" w:eastAsia="zh-CN"/>
              </w:rPr>
            </w:pPr>
            <w:r>
              <w:rPr>
                <w:rFonts w:hint="default"/>
                <w:lang w:val="en-US" w:eastAsia="zh-CN"/>
              </w:rPr>
              <w:t>果实</w:t>
            </w:r>
            <w:r>
              <w:rPr>
                <w:rFonts w:hint="eastAsia"/>
                <w:lang w:val="en-US" w:eastAsia="zh-CN"/>
              </w:rPr>
              <w:t>坚</w:t>
            </w:r>
            <w:r>
              <w:rPr>
                <w:rFonts w:hint="default"/>
                <w:lang w:val="en-US" w:eastAsia="zh-CN"/>
              </w:rPr>
              <w:t>实</w:t>
            </w:r>
            <w:r>
              <w:rPr>
                <w:rFonts w:hint="eastAsia"/>
                <w:lang w:val="en-US" w:eastAsia="zh-CN"/>
              </w:rPr>
              <w:t>，</w:t>
            </w:r>
            <w:r>
              <w:rPr>
                <w:rFonts w:hint="default"/>
                <w:lang w:val="en-US" w:eastAsia="zh-CN"/>
              </w:rPr>
              <w:t>富有弹性</w:t>
            </w:r>
          </w:p>
        </w:tc>
        <w:tc>
          <w:tcPr>
            <w:tcW w:w="1251" w:type="pct"/>
            <w:vAlign w:val="center"/>
          </w:tcPr>
          <w:p w14:paraId="1158AEA1">
            <w:pPr>
              <w:pStyle w:val="109"/>
              <w:widowControl w:val="0"/>
              <w:bidi w:val="0"/>
              <w:ind w:left="0" w:leftChars="0" w:firstLine="0" w:firstLineChars="0"/>
              <w:jc w:val="center"/>
              <w:rPr>
                <w:rFonts w:hint="eastAsia"/>
                <w:lang w:val="en-US" w:eastAsia="zh-CN"/>
              </w:rPr>
            </w:pPr>
            <w:r>
              <w:rPr>
                <w:rFonts w:hint="eastAsia"/>
                <w:lang w:val="en-US" w:eastAsia="zh-CN"/>
              </w:rPr>
              <w:t>果实较坚实，富有弹性</w:t>
            </w:r>
          </w:p>
        </w:tc>
        <w:tc>
          <w:tcPr>
            <w:tcW w:w="1250" w:type="pct"/>
            <w:vMerge w:val="continue"/>
            <w:vAlign w:val="center"/>
          </w:tcPr>
          <w:p w14:paraId="55129535">
            <w:pPr>
              <w:pStyle w:val="109"/>
              <w:widowControl w:val="0"/>
              <w:bidi w:val="0"/>
              <w:ind w:left="0" w:leftChars="0" w:firstLine="0" w:firstLineChars="0"/>
              <w:jc w:val="center"/>
              <w:rPr>
                <w:rFonts w:hint="eastAsia"/>
                <w:lang w:val="en-US" w:eastAsia="zh-CN"/>
              </w:rPr>
            </w:pPr>
          </w:p>
        </w:tc>
      </w:tr>
      <w:tr w14:paraId="5531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vAlign w:val="center"/>
          </w:tcPr>
          <w:p w14:paraId="4E678D0E">
            <w:pPr>
              <w:pStyle w:val="109"/>
              <w:widowControl w:val="0"/>
              <w:bidi w:val="0"/>
              <w:ind w:left="0" w:leftChars="0" w:firstLine="0" w:firstLineChars="0"/>
              <w:jc w:val="center"/>
              <w:rPr>
                <w:rFonts w:hint="default"/>
                <w:lang w:val="en-US" w:eastAsia="zh-CN"/>
              </w:rPr>
            </w:pPr>
            <w:r>
              <w:rPr>
                <w:rFonts w:hint="eastAsia"/>
                <w:lang w:val="en-US" w:eastAsia="zh-CN"/>
              </w:rPr>
              <w:t>缺陷</w:t>
            </w:r>
          </w:p>
        </w:tc>
        <w:tc>
          <w:tcPr>
            <w:tcW w:w="1249" w:type="pct"/>
            <w:vAlign w:val="center"/>
          </w:tcPr>
          <w:p w14:paraId="19929C85">
            <w:pPr>
              <w:pStyle w:val="109"/>
              <w:widowControl w:val="0"/>
              <w:bidi w:val="0"/>
              <w:ind w:left="0" w:leftChars="0" w:firstLine="0" w:firstLineChars="0"/>
              <w:jc w:val="center"/>
              <w:rPr>
                <w:rFonts w:hint="default"/>
                <w:lang w:val="en-US" w:eastAsia="zh-CN"/>
              </w:rPr>
            </w:pPr>
            <w:r>
              <w:rPr>
                <w:rFonts w:hint="default"/>
                <w:lang w:val="en-US" w:eastAsia="zh-CN"/>
              </w:rPr>
              <w:t>无损伤、无裂口、无疤痕</w:t>
            </w:r>
          </w:p>
        </w:tc>
        <w:tc>
          <w:tcPr>
            <w:tcW w:w="1251" w:type="pct"/>
            <w:shd w:val="clear" w:color="auto" w:fill="auto"/>
            <w:vAlign w:val="center"/>
          </w:tcPr>
          <w:p w14:paraId="3EEEC67F">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default"/>
                <w:lang w:val="en-US" w:eastAsia="zh-CN"/>
              </w:rPr>
              <w:t>无损伤、无裂口、无疤痕</w:t>
            </w:r>
          </w:p>
        </w:tc>
        <w:tc>
          <w:tcPr>
            <w:tcW w:w="1250" w:type="pct"/>
            <w:vMerge w:val="continue"/>
            <w:vAlign w:val="center"/>
          </w:tcPr>
          <w:p w14:paraId="35CC5273">
            <w:pPr>
              <w:pStyle w:val="109"/>
              <w:widowControl w:val="0"/>
              <w:bidi w:val="0"/>
              <w:ind w:left="0" w:leftChars="0" w:firstLine="0" w:firstLineChars="0"/>
              <w:jc w:val="center"/>
              <w:rPr>
                <w:rFonts w:hint="eastAsia"/>
                <w:lang w:val="en-US" w:eastAsia="zh-CN"/>
              </w:rPr>
            </w:pPr>
          </w:p>
        </w:tc>
      </w:tr>
    </w:tbl>
    <w:p w14:paraId="14226B8D">
      <w:pPr>
        <w:pStyle w:val="23"/>
        <w:rPr>
          <w:rFonts w:hint="eastAsia"/>
          <w:lang w:eastAsia="zh-CN"/>
        </w:rPr>
      </w:pPr>
    </w:p>
    <w:p w14:paraId="7B660166">
      <w:pPr>
        <w:pStyle w:val="71"/>
        <w:bidi w:val="0"/>
        <w:rPr>
          <w:rFonts w:hint="default"/>
          <w:lang w:val="en-US" w:eastAsia="zh-CN"/>
        </w:rPr>
      </w:pPr>
      <w:r>
        <w:rPr>
          <w:rFonts w:hint="eastAsia"/>
          <w:lang w:val="en-US" w:eastAsia="zh-CN"/>
        </w:rPr>
        <w:t>理化指标</w:t>
      </w:r>
    </w:p>
    <w:p w14:paraId="448E836A">
      <w:pPr>
        <w:pStyle w:val="23"/>
        <w:ind w:firstLine="420"/>
        <w:rPr>
          <w:rFonts w:hint="eastAsia"/>
        </w:rPr>
      </w:pPr>
      <w:r>
        <w:rPr>
          <w:rFonts w:hint="eastAsia"/>
        </w:rPr>
        <w:t>应符合表</w:t>
      </w:r>
      <w:r>
        <w:rPr>
          <w:rFonts w:hint="eastAsia"/>
          <w:lang w:val="en-US" w:eastAsia="zh-CN"/>
        </w:rPr>
        <w:t>2</w:t>
      </w:r>
      <w:r>
        <w:rPr>
          <w:rFonts w:hint="eastAsia"/>
        </w:rPr>
        <w:t>的要求。绿色食品还应符合</w:t>
      </w:r>
      <w:r>
        <w:rPr>
          <w:rFonts w:hint="default" w:cs="宋体"/>
          <w:sz w:val="21"/>
          <w:lang w:val="en-US" w:eastAsia="zh-CN"/>
        </w:rPr>
        <w:t>NY/T 655</w:t>
      </w:r>
      <w:r>
        <w:rPr>
          <w:rFonts w:hint="eastAsia"/>
        </w:rPr>
        <w:t>的要求，有机产品还应符合GB/T 19630的要求。</w:t>
      </w:r>
    </w:p>
    <w:p w14:paraId="5D595812">
      <w:pPr>
        <w:pStyle w:val="111"/>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4781"/>
        <w:gridCol w:w="2390"/>
      </w:tblGrid>
      <w:tr w14:paraId="47BE3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Align w:val="center"/>
          </w:tcPr>
          <w:p w14:paraId="3D09F58D">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tcBorders>
              <w:bottom w:val="single" w:color="auto" w:sz="8" w:space="0"/>
            </w:tcBorders>
            <w:vAlign w:val="center"/>
          </w:tcPr>
          <w:p w14:paraId="7D76FE3B">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Align w:val="center"/>
          </w:tcPr>
          <w:p w14:paraId="6207B875">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6EB46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5F7E2C2B">
            <w:pPr>
              <w:pStyle w:val="109"/>
              <w:widowControl w:val="0"/>
              <w:bidi w:val="0"/>
              <w:ind w:left="0" w:leftChars="0" w:firstLine="0" w:firstLineChars="0"/>
              <w:jc w:val="center"/>
              <w:rPr>
                <w:rFonts w:hint="default"/>
                <w:lang w:val="en-US" w:eastAsia="zh-CN"/>
              </w:rPr>
            </w:pPr>
            <w:r>
              <w:rPr>
                <w:rFonts w:hint="eastAsia"/>
                <w:lang w:val="en-US" w:eastAsia="zh-CN"/>
              </w:rPr>
              <w:t>可溶性固形物（%）</w:t>
            </w:r>
          </w:p>
        </w:tc>
        <w:tc>
          <w:tcPr>
            <w:tcW w:w="2500" w:type="pct"/>
            <w:tcBorders>
              <w:top w:val="single" w:color="auto" w:sz="8" w:space="0"/>
            </w:tcBorders>
            <w:vAlign w:val="center"/>
          </w:tcPr>
          <w:p w14:paraId="2A840FE7">
            <w:pPr>
              <w:pStyle w:val="109"/>
              <w:widowControl w:val="0"/>
              <w:bidi w:val="0"/>
              <w:ind w:left="0" w:leftChars="0" w:firstLine="0" w:firstLineChars="0"/>
              <w:jc w:val="center"/>
              <w:rPr>
                <w:rFonts w:hint="default"/>
                <w:lang w:val="en-US" w:eastAsia="zh-CN"/>
              </w:rPr>
            </w:pPr>
            <w:r>
              <w:rPr>
                <w:rFonts w:hint="eastAsia"/>
                <w:lang w:val="en-US" w:eastAsia="zh-CN"/>
              </w:rPr>
              <w:t>≥6.0</w:t>
            </w:r>
          </w:p>
        </w:tc>
        <w:tc>
          <w:tcPr>
            <w:tcW w:w="1250" w:type="pct"/>
            <w:tcBorders>
              <w:top w:val="single" w:color="auto" w:sz="8" w:space="0"/>
            </w:tcBorders>
            <w:vAlign w:val="center"/>
          </w:tcPr>
          <w:p w14:paraId="7E350A00">
            <w:pPr>
              <w:pStyle w:val="109"/>
              <w:widowControl w:val="0"/>
              <w:bidi w:val="0"/>
              <w:ind w:left="0" w:leftChars="0" w:firstLine="0" w:firstLineChars="0"/>
              <w:jc w:val="center"/>
              <w:rPr>
                <w:rFonts w:hint="default"/>
                <w:lang w:val="en-US" w:eastAsia="zh-CN"/>
              </w:rPr>
            </w:pPr>
            <w:r>
              <w:rPr>
                <w:rFonts w:hint="eastAsia"/>
                <w:lang w:val="en-US" w:eastAsia="zh-CN"/>
              </w:rPr>
              <w:t>NY/T 2637</w:t>
            </w:r>
          </w:p>
        </w:tc>
      </w:tr>
      <w:tr w14:paraId="4DF50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3D6095F9">
            <w:pPr>
              <w:pStyle w:val="109"/>
              <w:widowControl w:val="0"/>
              <w:bidi w:val="0"/>
              <w:ind w:left="0" w:leftChars="0" w:firstLine="0" w:firstLineChars="0"/>
              <w:jc w:val="center"/>
              <w:rPr>
                <w:rFonts w:hint="default"/>
                <w:lang w:val="en-US" w:eastAsia="zh-CN"/>
              </w:rPr>
            </w:pPr>
            <w:r>
              <w:rPr>
                <w:rFonts w:hint="eastAsia"/>
                <w:lang w:val="en-US" w:eastAsia="zh-CN"/>
              </w:rPr>
              <w:t>总酸（g/100mL）</w:t>
            </w:r>
          </w:p>
        </w:tc>
        <w:tc>
          <w:tcPr>
            <w:tcW w:w="2500" w:type="pct"/>
            <w:vAlign w:val="center"/>
          </w:tcPr>
          <w:p w14:paraId="06BBF7DB">
            <w:pPr>
              <w:pStyle w:val="109"/>
              <w:widowControl w:val="0"/>
              <w:bidi w:val="0"/>
              <w:ind w:left="0" w:leftChars="0" w:firstLine="0" w:firstLineChars="0"/>
              <w:jc w:val="center"/>
              <w:rPr>
                <w:rFonts w:hint="default"/>
                <w:lang w:val="en-US" w:eastAsia="zh-CN"/>
              </w:rPr>
            </w:pPr>
            <w:r>
              <w:rPr>
                <w:rFonts w:hint="eastAsia"/>
                <w:lang w:val="en-US" w:eastAsia="zh-CN"/>
              </w:rPr>
              <w:t>≤1.0</w:t>
            </w:r>
          </w:p>
        </w:tc>
        <w:tc>
          <w:tcPr>
            <w:tcW w:w="1250" w:type="pct"/>
            <w:vAlign w:val="center"/>
          </w:tcPr>
          <w:p w14:paraId="57AB6E59">
            <w:pPr>
              <w:pStyle w:val="109"/>
              <w:widowControl w:val="0"/>
              <w:bidi w:val="0"/>
              <w:ind w:left="0" w:leftChars="0" w:firstLine="0" w:firstLineChars="0"/>
              <w:jc w:val="center"/>
              <w:rPr>
                <w:rFonts w:hint="default"/>
                <w:lang w:val="en-US" w:eastAsia="zh-CN"/>
              </w:rPr>
            </w:pPr>
            <w:r>
              <w:rPr>
                <w:rFonts w:hint="eastAsia"/>
                <w:lang w:val="en-US" w:eastAsia="zh-CN"/>
              </w:rPr>
              <w:t>GB/T 12456</w:t>
            </w:r>
          </w:p>
        </w:tc>
      </w:tr>
    </w:tbl>
    <w:p w14:paraId="111D8D57">
      <w:pPr>
        <w:pStyle w:val="71"/>
        <w:bidi w:val="0"/>
      </w:pPr>
      <w:r>
        <w:t>安全指标</w:t>
      </w:r>
    </w:p>
    <w:p w14:paraId="3461533D">
      <w:pPr>
        <w:pStyle w:val="23"/>
        <w:ind w:firstLine="420"/>
        <w:rPr>
          <w:rFonts w:hint="eastAsia"/>
        </w:rPr>
      </w:pPr>
      <w:r>
        <w:rPr>
          <w:rFonts w:hint="eastAsia"/>
        </w:rPr>
        <w:t>应符合GB 2762、GB 2763的要求</w:t>
      </w:r>
      <w:r>
        <w:rPr>
          <w:rFonts w:hint="eastAsia"/>
          <w:lang w:eastAsia="zh-CN"/>
        </w:rPr>
        <w:t>，</w:t>
      </w:r>
      <w:r>
        <w:rPr>
          <w:rFonts w:hint="eastAsia"/>
        </w:rPr>
        <w:t xml:space="preserve">绿色食品还应符合NY/T </w:t>
      </w:r>
      <w:r>
        <w:rPr>
          <w:rFonts w:hint="eastAsia"/>
          <w:lang w:val="en-US" w:eastAsia="zh-CN"/>
        </w:rPr>
        <w:t>655</w:t>
      </w:r>
      <w:r>
        <w:rPr>
          <w:rFonts w:hint="eastAsia"/>
        </w:rPr>
        <w:t>的要求，有机产品还应符合GB/T 19630的要求。</w:t>
      </w:r>
    </w:p>
    <w:p w14:paraId="0F871668">
      <w:pPr>
        <w:pStyle w:val="71"/>
        <w:bidi w:val="0"/>
      </w:pPr>
      <w:r>
        <w:rPr>
          <w:rFonts w:hint="eastAsia"/>
        </w:rPr>
        <w:t>净含量</w:t>
      </w:r>
    </w:p>
    <w:p w14:paraId="4E894E09">
      <w:pPr>
        <w:pStyle w:val="23"/>
        <w:ind w:firstLine="420"/>
        <w:rPr>
          <w:rFonts w:hint="eastAsia"/>
        </w:rPr>
      </w:pPr>
      <w:r>
        <w:rPr>
          <w:rFonts w:hint="eastAsia"/>
        </w:rPr>
        <w:t>应符合《定量包装商品计量监督管理办法》的要求，检验方法按照J</w:t>
      </w:r>
      <w:r>
        <w:t>JF 1070</w:t>
      </w:r>
      <w:r>
        <w:rPr>
          <w:rFonts w:hint="eastAsia"/>
        </w:rPr>
        <w:t>规定执行。</w:t>
      </w:r>
    </w:p>
    <w:p w14:paraId="0526AD6D">
      <w:pPr>
        <w:pStyle w:val="70"/>
        <w:bidi w:val="0"/>
      </w:pPr>
      <w:bookmarkStart w:id="33" w:name="_Toc103848253"/>
      <w:bookmarkStart w:id="34" w:name="_Toc147777293"/>
      <w:bookmarkStart w:id="35" w:name="_Toc149643651"/>
      <w:bookmarkStart w:id="36" w:name="_Toc143955922"/>
      <w:bookmarkStart w:id="37" w:name="_Toc111488254"/>
      <w:bookmarkStart w:id="38" w:name="_Toc147761913"/>
      <w:bookmarkStart w:id="39" w:name="_Toc141040835"/>
      <w:bookmarkStart w:id="40" w:name="_Toc143288146"/>
      <w:bookmarkStart w:id="41" w:name="_Toc15014"/>
      <w:bookmarkStart w:id="42" w:name="_Toc103848005"/>
      <w:bookmarkStart w:id="43" w:name="_Toc141026233"/>
      <w:bookmarkStart w:id="44" w:name="_Toc141363102"/>
      <w:bookmarkStart w:id="45" w:name="_Toc147843901"/>
      <w:bookmarkStart w:id="46" w:name="_Toc141189597"/>
      <w:bookmarkStart w:id="47" w:name="_Toc104058753"/>
      <w:bookmarkStart w:id="48" w:name="_Toc150196311"/>
      <w:bookmarkStart w:id="49" w:name="_Toc144479682"/>
      <w:bookmarkStart w:id="50" w:name="_Toc144670743"/>
      <w:r>
        <w:rPr>
          <w:rFonts w:hint="eastAsia"/>
        </w:rPr>
        <w:t>检验规则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CB25322">
      <w:pPr>
        <w:pStyle w:val="71"/>
        <w:spacing w:before="120" w:after="120"/>
      </w:pPr>
      <w:r>
        <w:rPr>
          <w:rFonts w:hint="eastAsia"/>
        </w:rPr>
        <w:t>组批</w:t>
      </w:r>
    </w:p>
    <w:p w14:paraId="20ED8573">
      <w:pPr>
        <w:pStyle w:val="23"/>
        <w:ind w:firstLine="420"/>
      </w:pPr>
      <w:r>
        <w:rPr>
          <w:rFonts w:hint="eastAsia"/>
        </w:rPr>
        <w:t>同一</w:t>
      </w:r>
      <w:r>
        <w:rPr>
          <w:rFonts w:hint="eastAsia"/>
          <w:lang w:val="en-US" w:eastAsia="zh-CN"/>
        </w:rPr>
        <w:t>品种、</w:t>
      </w:r>
      <w:r>
        <w:rPr>
          <w:rFonts w:hint="eastAsia"/>
        </w:rPr>
        <w:t>同一生产基地</w:t>
      </w:r>
      <w:r>
        <w:rPr>
          <w:rFonts w:hint="eastAsia"/>
          <w:lang w:eastAsia="zh-CN"/>
        </w:rPr>
        <w:t>、</w:t>
      </w:r>
      <w:r>
        <w:rPr>
          <w:rFonts w:hint="eastAsia"/>
          <w:lang w:val="en-US" w:eastAsia="zh-CN"/>
        </w:rPr>
        <w:t>同一生产周期、同一采收期</w:t>
      </w:r>
      <w:r>
        <w:rPr>
          <w:rFonts w:hint="eastAsia"/>
        </w:rPr>
        <w:t>的产品为一个检验批次。</w:t>
      </w:r>
    </w:p>
    <w:p w14:paraId="3A170AEA">
      <w:pPr>
        <w:pStyle w:val="71"/>
        <w:spacing w:before="120" w:after="120"/>
      </w:pPr>
      <w:r>
        <w:rPr>
          <w:rFonts w:hint="eastAsia"/>
        </w:rPr>
        <w:t>抽样方法</w:t>
      </w:r>
    </w:p>
    <w:p w14:paraId="4EF15946">
      <w:pPr>
        <w:pStyle w:val="23"/>
        <w:ind w:firstLine="420"/>
        <w:rPr>
          <w:rFonts w:hint="eastAsia"/>
        </w:rPr>
      </w:pPr>
      <w:r>
        <w:rPr>
          <w:rFonts w:hint="eastAsia"/>
          <w:lang w:val="en-US" w:eastAsia="zh-CN"/>
        </w:rPr>
        <w:t>同一组批抽取3kg。</w:t>
      </w:r>
    </w:p>
    <w:p w14:paraId="190A250C">
      <w:pPr>
        <w:pStyle w:val="71"/>
        <w:spacing w:before="120" w:after="120"/>
      </w:pPr>
      <w:r>
        <w:rPr>
          <w:rFonts w:hint="eastAsia"/>
        </w:rPr>
        <w:t>检验分类</w:t>
      </w:r>
    </w:p>
    <w:p w14:paraId="7728EC3A">
      <w:pPr>
        <w:pStyle w:val="72"/>
        <w:spacing w:before="120" w:after="120"/>
      </w:pPr>
      <w:r>
        <w:rPr>
          <w:rFonts w:hint="eastAsia"/>
          <w:lang w:val="en-US" w:eastAsia="zh-CN"/>
        </w:rPr>
        <w:t>交付</w:t>
      </w:r>
      <w:r>
        <w:rPr>
          <w:rFonts w:hint="eastAsia"/>
        </w:rPr>
        <w:t>检验</w:t>
      </w:r>
    </w:p>
    <w:p w14:paraId="73DBF00F">
      <w:pPr>
        <w:pStyle w:val="23"/>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rPr>
        <w:t>出库检验项目为感官指标。</w:t>
      </w:r>
    </w:p>
    <w:p w14:paraId="79477477">
      <w:pPr>
        <w:pStyle w:val="72"/>
        <w:spacing w:before="120" w:after="120"/>
      </w:pPr>
      <w:r>
        <w:rPr>
          <w:rFonts w:hint="eastAsia"/>
        </w:rPr>
        <w:t>型式检验</w:t>
      </w:r>
    </w:p>
    <w:p w14:paraId="23C7CBAC">
      <w:pPr>
        <w:pStyle w:val="78"/>
        <w:spacing w:before="0" w:beforeLines="0" w:after="0" w:afterLines="0"/>
      </w:pPr>
      <w:r>
        <w:rPr>
          <w:rFonts w:hint="eastAsia"/>
        </w:rPr>
        <w:t>型式检验应每年进行一次，下列情况之一也应进行型式检验：</w:t>
      </w:r>
    </w:p>
    <w:p w14:paraId="23ECC1DD">
      <w:pPr>
        <w:pStyle w:val="55"/>
      </w:pPr>
      <w:r>
        <w:rPr>
          <w:rFonts w:hint="eastAsia"/>
        </w:rPr>
        <w:t>两次检验结果相差较大时；</w:t>
      </w:r>
    </w:p>
    <w:p w14:paraId="28C7D5B1">
      <w:pPr>
        <w:pStyle w:val="55"/>
        <w:ind w:left="851" w:hanging="426"/>
      </w:pPr>
      <w:r>
        <w:rPr>
          <w:rFonts w:hint="eastAsia"/>
          <w:color w:val="auto"/>
          <w:highlight w:val="none"/>
        </w:rPr>
        <w:t>种植</w:t>
      </w:r>
      <w:r>
        <w:rPr>
          <w:rFonts w:hint="eastAsia"/>
          <w:color w:val="auto"/>
          <w:highlight w:val="none"/>
          <w:lang w:val="en-US" w:eastAsia="zh-CN"/>
        </w:rPr>
        <w:t>生产</w:t>
      </w:r>
      <w:r>
        <w:rPr>
          <w:rFonts w:hint="eastAsia"/>
        </w:rPr>
        <w:t>条件发生重大变化，可能影响产品质量时；</w:t>
      </w:r>
    </w:p>
    <w:p w14:paraId="6BAB7279">
      <w:pPr>
        <w:pStyle w:val="55"/>
      </w:pPr>
      <w:r>
        <w:rPr>
          <w:rFonts w:hint="eastAsia"/>
        </w:rPr>
        <w:t>有关行政主管部门、行业协会要求型式检验时。</w:t>
      </w:r>
    </w:p>
    <w:p w14:paraId="4A13886C">
      <w:pPr>
        <w:pStyle w:val="78"/>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4.5</w:t>
      </w:r>
      <w:r>
        <w:rPr>
          <w:rFonts w:hint="eastAsia"/>
          <w:highlight w:val="none"/>
        </w:rPr>
        <w:t>～</w:t>
      </w:r>
      <w:r>
        <w:rPr>
          <w:rFonts w:hint="eastAsia"/>
          <w:highlight w:val="none"/>
          <w:lang w:val="en-US" w:eastAsia="zh-CN"/>
        </w:rPr>
        <w:t>4.8</w:t>
      </w:r>
      <w:r>
        <w:rPr>
          <w:rFonts w:hint="eastAsia"/>
          <w:highlight w:val="none"/>
        </w:rPr>
        <w:t>规</w:t>
      </w:r>
      <w:r>
        <w:rPr>
          <w:rFonts w:hint="eastAsia"/>
        </w:rPr>
        <w:t>定的所有项目。</w:t>
      </w:r>
    </w:p>
    <w:p w14:paraId="238A0E55">
      <w:pPr>
        <w:pStyle w:val="71"/>
        <w:spacing w:before="120" w:after="120"/>
      </w:pPr>
      <w:r>
        <w:rPr>
          <w:rFonts w:hint="eastAsia"/>
        </w:rPr>
        <w:t>判定规则</w:t>
      </w:r>
    </w:p>
    <w:p w14:paraId="0C2CD7F8">
      <w:pPr>
        <w:pStyle w:val="77"/>
        <w:spacing w:before="0" w:beforeLines="0" w:after="0" w:afterLines="0"/>
      </w:pPr>
      <w:r>
        <w:rPr>
          <w:rFonts w:hint="eastAsia"/>
        </w:rPr>
        <w:t>所有指标全部符合本文件要求时判该批产品合格。</w:t>
      </w:r>
    </w:p>
    <w:p w14:paraId="0B601CE0">
      <w:pPr>
        <w:pStyle w:val="77"/>
        <w:spacing w:before="0" w:beforeLines="0" w:after="0" w:afterLines="0"/>
      </w:pPr>
      <w:r>
        <w:rPr>
          <w:rFonts w:hint="eastAsia"/>
        </w:rPr>
        <w:t>有一项不合格时，可在同批产品中抽取两倍量样品进行复验，以复验结果为准。</w:t>
      </w:r>
    </w:p>
    <w:p w14:paraId="4B82CE5F">
      <w:pPr>
        <w:pStyle w:val="70"/>
        <w:bidi w:val="0"/>
      </w:pPr>
      <w:bookmarkStart w:id="51" w:name="_Toc103848006"/>
      <w:bookmarkStart w:id="52" w:name="_Toc141189598"/>
      <w:bookmarkStart w:id="53" w:name="_Toc104058754"/>
      <w:bookmarkStart w:id="54" w:name="_Toc147843902"/>
      <w:bookmarkStart w:id="55" w:name="_Toc141363103"/>
      <w:bookmarkStart w:id="56" w:name="_Toc150196312"/>
      <w:bookmarkStart w:id="57" w:name="_Toc30562"/>
      <w:bookmarkStart w:id="58" w:name="_Toc149643652"/>
      <w:bookmarkStart w:id="59" w:name="_Toc147761914"/>
      <w:bookmarkStart w:id="60" w:name="_Toc141026234"/>
      <w:bookmarkStart w:id="61" w:name="_Toc111488255"/>
      <w:bookmarkStart w:id="62" w:name="_Toc141040836"/>
      <w:bookmarkStart w:id="63" w:name="_Toc103848254"/>
      <w:bookmarkStart w:id="64" w:name="_Toc143288147"/>
      <w:bookmarkStart w:id="65" w:name="_Toc144479683"/>
      <w:bookmarkStart w:id="66" w:name="_Toc143955923"/>
      <w:bookmarkStart w:id="67" w:name="_Toc147777294"/>
      <w:bookmarkStart w:id="68" w:name="_Toc144670744"/>
      <w:r>
        <w:rPr>
          <w:rFonts w:hint="eastAsia"/>
        </w:rPr>
        <w:t>包装、标签</w:t>
      </w:r>
      <w:bookmarkEnd w:id="51"/>
      <w:r>
        <w:rPr>
          <w:rFonts w:hint="eastAsia"/>
        </w:rPr>
        <w:t>与标志</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4BC1C7A">
      <w:pPr>
        <w:pStyle w:val="71"/>
        <w:spacing w:before="120" w:after="120"/>
      </w:pPr>
      <w:r>
        <w:rPr>
          <w:rFonts w:hint="eastAsia"/>
        </w:rPr>
        <w:t>包装</w:t>
      </w:r>
    </w:p>
    <w:p w14:paraId="34FD7E63">
      <w:pPr>
        <w:pStyle w:val="77"/>
        <w:bidi w:val="0"/>
        <w:spacing w:before="0" w:beforeLines="0" w:after="0" w:afterLines="0"/>
        <w:rPr>
          <w:rFonts w:hint="eastAsia"/>
        </w:rPr>
      </w:pPr>
      <w:bookmarkStart w:id="69" w:name="_Hlk111489077"/>
      <w:r>
        <w:rPr>
          <w:rFonts w:hint="eastAsia"/>
        </w:rPr>
        <w:t>包装应符合</w:t>
      </w:r>
      <w:bookmarkStart w:id="70" w:name="_Hlk117846728"/>
      <w:r>
        <w:t>GB 43284</w:t>
      </w:r>
      <w:bookmarkEnd w:id="70"/>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69"/>
      <w:r>
        <w:rPr>
          <w:rFonts w:hint="eastAsia"/>
        </w:rPr>
        <w:t>。</w:t>
      </w:r>
    </w:p>
    <w:p w14:paraId="76D0D20F">
      <w:pPr>
        <w:pStyle w:val="77"/>
        <w:bidi w:val="0"/>
        <w:spacing w:before="0" w:beforeLines="0" w:after="0" w:afterLines="0"/>
        <w:rPr>
          <w:rFonts w:hint="eastAsia"/>
        </w:rPr>
      </w:pPr>
      <w:r>
        <w:rPr>
          <w:rFonts w:hint="eastAsia"/>
        </w:rPr>
        <w:t>包装材料应分别符合</w:t>
      </w:r>
      <w:bookmarkStart w:id="71" w:name="_Hlk111486485"/>
      <w:bookmarkStart w:id="72" w:name="_Hlk111488105"/>
      <w:r>
        <w:t>GB 4806.1</w:t>
      </w:r>
      <w:r>
        <w:rPr>
          <w:rFonts w:hint="eastAsia"/>
        </w:rPr>
        <w:t>、GB 4806.7</w:t>
      </w:r>
      <w:bookmarkEnd w:id="71"/>
      <w:r>
        <w:rPr>
          <w:rFonts w:hint="eastAsia"/>
        </w:rPr>
        <w:t>、</w:t>
      </w:r>
      <w:r>
        <w:t>GB 4806.8</w:t>
      </w:r>
      <w:bookmarkEnd w:id="72"/>
      <w:r>
        <w:rPr>
          <w:rFonts w:hint="eastAsia"/>
        </w:rPr>
        <w:t>的规定。</w:t>
      </w:r>
    </w:p>
    <w:p w14:paraId="3BB732A4">
      <w:pPr>
        <w:pStyle w:val="77"/>
        <w:bidi w:val="0"/>
        <w:spacing w:before="0" w:beforeLines="0" w:after="0" w:afterLines="0"/>
        <w:rPr>
          <w:rFonts w:hint="eastAsia"/>
        </w:rPr>
      </w:pPr>
      <w:r>
        <w:rPr>
          <w:rFonts w:hint="eastAsia"/>
        </w:rPr>
        <w:t>塑料包装容器应符合GB/T 5737的要求。</w:t>
      </w:r>
    </w:p>
    <w:p w14:paraId="65C1A281">
      <w:pPr>
        <w:pStyle w:val="71"/>
        <w:spacing w:before="120" w:after="120"/>
      </w:pPr>
      <w:r>
        <w:rPr>
          <w:rFonts w:hint="eastAsia"/>
        </w:rPr>
        <w:t>标签与标志</w:t>
      </w:r>
    </w:p>
    <w:p w14:paraId="7DA53058">
      <w:pPr>
        <w:pStyle w:val="77"/>
        <w:bidi w:val="0"/>
        <w:spacing w:before="0" w:beforeLines="0" w:after="0" w:afterLines="0"/>
        <w:rPr>
          <w:rFonts w:hint="eastAsia"/>
        </w:rPr>
      </w:pPr>
      <w:bookmarkStart w:id="73" w:name="_Hlk103955000"/>
      <w:r>
        <w:rPr>
          <w:rFonts w:hint="eastAsia"/>
        </w:rPr>
        <w:t>包装上应标明品名、规格、产地、批号、生产或包装日期、净含量、产品执行标准号、生产单位名称和地址等，并附有质量合格的标志。包装储运图示标志应符合</w:t>
      </w:r>
      <w:bookmarkStart w:id="74" w:name="_Hlk103848491"/>
      <w:r>
        <w:rPr>
          <w:rFonts w:hint="eastAsia"/>
        </w:rPr>
        <w:t>GB/T 191</w:t>
      </w:r>
      <w:bookmarkEnd w:id="74"/>
      <w:r>
        <w:rPr>
          <w:rFonts w:hint="eastAsia"/>
        </w:rPr>
        <w:t>的规定。</w:t>
      </w:r>
    </w:p>
    <w:p w14:paraId="6B217BBE">
      <w:pPr>
        <w:pStyle w:val="77"/>
        <w:bidi w:val="0"/>
        <w:spacing w:before="0" w:beforeLines="0" w:after="0" w:afterLines="0"/>
        <w:rPr>
          <w:rFonts w:hint="eastAsia"/>
          <w:lang w:val="en-US" w:eastAsia="zh-CN"/>
        </w:rPr>
      </w:pPr>
      <w:r>
        <w:rPr>
          <w:rFonts w:hint="eastAsia"/>
        </w:rPr>
        <w:t>产品标签应符合GB/T 32950的要求</w:t>
      </w:r>
      <w:r>
        <w:rPr>
          <w:rFonts w:hint="eastAsia"/>
          <w:lang w:eastAsia="zh-CN"/>
        </w:rPr>
        <w:t>。</w:t>
      </w:r>
    </w:p>
    <w:bookmarkEnd w:id="73"/>
    <w:p w14:paraId="7576DCB1">
      <w:pPr>
        <w:pStyle w:val="70"/>
        <w:spacing w:before="240" w:after="240"/>
      </w:pPr>
      <w:bookmarkStart w:id="75" w:name="_Toc111488256"/>
      <w:bookmarkStart w:id="76" w:name="_Toc143955924"/>
      <w:bookmarkStart w:id="77" w:name="_Toc103848255"/>
      <w:bookmarkStart w:id="78" w:name="_Toc141026235"/>
      <w:bookmarkStart w:id="79" w:name="_Toc150196313"/>
      <w:bookmarkStart w:id="80" w:name="_Toc144670745"/>
      <w:bookmarkStart w:id="81" w:name="_Toc26806"/>
      <w:bookmarkStart w:id="82" w:name="_Toc147761915"/>
      <w:bookmarkStart w:id="83" w:name="_Toc141040837"/>
      <w:bookmarkStart w:id="84" w:name="_Toc147777295"/>
      <w:bookmarkStart w:id="85" w:name="_Toc141189599"/>
      <w:bookmarkStart w:id="86" w:name="_Toc103848007"/>
      <w:bookmarkStart w:id="87" w:name="_Toc147843903"/>
      <w:bookmarkStart w:id="88" w:name="_Toc143288148"/>
      <w:bookmarkStart w:id="89" w:name="_Toc141363104"/>
      <w:bookmarkStart w:id="90" w:name="_Toc104058755"/>
      <w:bookmarkStart w:id="91" w:name="_Toc144479684"/>
      <w:bookmarkStart w:id="92" w:name="_Toc149643653"/>
      <w:r>
        <w:rPr>
          <w:rFonts w:hint="eastAsia"/>
        </w:rPr>
        <w:t>运输与贮存</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5D42004">
      <w:pPr>
        <w:pStyle w:val="71"/>
        <w:spacing w:before="120" w:after="120"/>
      </w:pPr>
      <w:r>
        <w:rPr>
          <w:rFonts w:hint="eastAsia"/>
        </w:rPr>
        <w:t>运输</w:t>
      </w:r>
    </w:p>
    <w:p w14:paraId="54E89FE6">
      <w:pPr>
        <w:pStyle w:val="23"/>
        <w:ind w:firstLine="420"/>
      </w:pPr>
      <w:bookmarkStart w:id="93" w:name="_Hlk111489198"/>
      <w:r>
        <w:rPr>
          <w:rFonts w:hint="eastAsia"/>
        </w:rPr>
        <w:t>运输工具应具有清洁、卫生、干燥、无异味，不得与有毒有害物品混运。小心装卸、不应重压。运输途中应防雨、防潮、防暴晒、防污染。绿色食品应符合NY/T 1056的要求</w:t>
      </w:r>
      <w:r>
        <w:rPr>
          <w:rFonts w:hint="eastAsia"/>
          <w:lang w:eastAsia="zh-CN"/>
        </w:rPr>
        <w:t>，</w:t>
      </w:r>
      <w:r>
        <w:rPr>
          <w:rFonts w:hint="eastAsia"/>
        </w:rPr>
        <w:t>有机产品应符合GB/T 19630的要求。</w:t>
      </w:r>
    </w:p>
    <w:bookmarkEnd w:id="93"/>
    <w:p w14:paraId="28E07206">
      <w:pPr>
        <w:pStyle w:val="71"/>
        <w:spacing w:before="120" w:after="120"/>
      </w:pPr>
      <w:r>
        <w:rPr>
          <w:rFonts w:hint="eastAsia"/>
        </w:rPr>
        <w:t>贮存</w:t>
      </w:r>
    </w:p>
    <w:p w14:paraId="547AA54D">
      <w:pPr>
        <w:pStyle w:val="77"/>
        <w:numPr>
          <w:ilvl w:val="0"/>
          <w:numId w:val="0"/>
        </w:numPr>
        <w:spacing w:before="0" w:beforeLines="0" w:after="0" w:afterLines="0"/>
        <w:ind w:firstLine="420" w:firstLineChars="200"/>
      </w:pPr>
      <w:r>
        <w:rPr>
          <w:rFonts w:hint="eastAsia"/>
        </w:rPr>
        <w:t>果实采收后宜在当日内储藏入库</w:t>
      </w:r>
      <w:r>
        <w:rPr>
          <w:rFonts w:hint="eastAsia"/>
          <w:lang w:eastAsia="zh-CN"/>
        </w:rPr>
        <w:t>（</w:t>
      </w:r>
      <w:r>
        <w:rPr>
          <w:rFonts w:hint="eastAsia"/>
        </w:rPr>
        <w:t>冷库、通风库、运输工具等</w:t>
      </w:r>
      <w:r>
        <w:rPr>
          <w:rFonts w:hint="eastAsia"/>
          <w:lang w:eastAsia="zh-CN"/>
        </w:rPr>
        <w:t>），</w:t>
      </w:r>
      <w:r>
        <w:rPr>
          <w:rFonts w:hint="eastAsia"/>
          <w:lang w:val="en-US" w:eastAsia="zh-CN"/>
        </w:rPr>
        <w:t>产品宜分等级存放，库内堆码应保持气流均匀流通，不应与有毒、有害、有异味的物品混存。</w:t>
      </w:r>
      <w:r>
        <w:rPr>
          <w:rFonts w:hint="eastAsia"/>
        </w:rPr>
        <w:t>绿色食品应符合</w:t>
      </w:r>
      <w:bookmarkStart w:id="94" w:name="_Hlk111489232"/>
      <w:r>
        <w:rPr>
          <w:rFonts w:hint="eastAsia"/>
        </w:rPr>
        <w:t>NY/T</w:t>
      </w:r>
      <w:bookmarkEnd w:id="94"/>
      <w:r>
        <w:rPr>
          <w:rFonts w:hint="eastAsia"/>
        </w:rPr>
        <w:t xml:space="preserve"> 1056的要求；有机产品应符合GB/T 19630的要求。</w:t>
      </w:r>
    </w:p>
    <w:p w14:paraId="3F595F51">
      <w:pPr>
        <w:pStyle w:val="23"/>
        <w:rPr>
          <w:rFonts w:hint="default"/>
          <w:lang w:val="en-US" w:eastAsia="zh-CN"/>
        </w:rPr>
      </w:pPr>
    </w:p>
    <w:p w14:paraId="2759ED00">
      <w:pPr>
        <w:pStyle w:val="23"/>
        <w:rPr>
          <w:rFonts w:hint="eastAsia"/>
          <w:lang w:val="en-US" w:eastAsia="zh-CN"/>
        </w:rPr>
      </w:pPr>
    </w:p>
    <w:p w14:paraId="70A00649">
      <w:pPr>
        <w:pStyle w:val="23"/>
        <w:rPr>
          <w:rFonts w:hint="eastAsia"/>
          <w:lang w:val="en-US" w:eastAsia="zh-CN"/>
        </w:rPr>
      </w:pPr>
    </w:p>
    <w:p w14:paraId="5E521099">
      <w:pPr>
        <w:rPr>
          <w:rFonts w:hint="eastAsia"/>
          <w:lang w:val="en-US" w:eastAsia="zh-CN"/>
        </w:rPr>
      </w:pPr>
      <w:r>
        <w:rPr>
          <w:rFonts w:hint="eastAsia"/>
          <w:lang w:val="en-US" w:eastAsia="zh-CN"/>
        </w:rPr>
        <w:br w:type="page"/>
      </w:r>
      <w:bookmarkStart w:id="95" w:name="BKFL"/>
    </w:p>
    <w:p w14:paraId="4831931F">
      <w:pPr>
        <w:pStyle w:val="97"/>
        <w:bidi w:val="0"/>
        <w:rPr>
          <w:rFonts w:hint="eastAsia"/>
          <w:lang w:val="en-US" w:eastAsia="zh-CN"/>
        </w:rPr>
      </w:pPr>
    </w:p>
    <w:p w14:paraId="12589FBD">
      <w:pPr>
        <w:pStyle w:val="99"/>
        <w:bidi w:val="0"/>
        <w:rPr>
          <w:rFonts w:hint="eastAsia"/>
          <w:lang w:val="en-US" w:eastAsia="zh-CN"/>
        </w:rPr>
      </w:pPr>
    </w:p>
    <w:p w14:paraId="1EFED1AE">
      <w:pPr>
        <w:pStyle w:val="86"/>
        <w:bidi w:val="0"/>
        <w:rPr>
          <w:rFonts w:hint="eastAsia"/>
          <w:lang w:val="en-US" w:eastAsia="zh-CN"/>
        </w:rPr>
      </w:pPr>
      <w:bookmarkStart w:id="96" w:name="_Toc12561"/>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井冈山圣女果生产区域范围图</w:t>
      </w:r>
      <w:bookmarkEnd w:id="96"/>
    </w:p>
    <w:p w14:paraId="44E28C67">
      <w:pPr>
        <w:pStyle w:val="23"/>
        <w:rPr>
          <w:rFonts w:hint="eastAsia"/>
          <w:lang w:val="en-US" w:eastAsia="zh-CN"/>
        </w:rPr>
      </w:pPr>
    </w:p>
    <w:p w14:paraId="0E25D499">
      <w:pPr>
        <w:pStyle w:val="23"/>
        <w:rPr>
          <w:rFonts w:hint="default"/>
          <w:lang w:val="en-US" w:eastAsia="zh-CN"/>
        </w:rPr>
      </w:pPr>
      <w:r>
        <w:rPr>
          <w:rFonts w:hint="eastAsia"/>
          <w:lang w:val="en-US" w:eastAsia="zh-CN"/>
        </w:rPr>
        <w:t>井冈山圣女果生产区域范围见图A.1。</w:t>
      </w:r>
    </w:p>
    <w:bookmarkEnd w:id="95"/>
    <w:p w14:paraId="6D49AEFA">
      <w:pPr>
        <w:pStyle w:val="23"/>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6"/>
                    <a:stretch>
                      <a:fillRect/>
                    </a:stretch>
                  </pic:blipFill>
                  <pic:spPr>
                    <a:xfrm>
                      <a:off x="0" y="0"/>
                      <a:ext cx="3604260" cy="5093335"/>
                    </a:xfrm>
                    <a:prstGeom prst="rect">
                      <a:avLst/>
                    </a:prstGeom>
                  </pic:spPr>
                </pic:pic>
              </a:graphicData>
            </a:graphic>
          </wp:inline>
        </w:drawing>
      </w:r>
    </w:p>
    <w:p w14:paraId="5D5DBE43">
      <w:pPr>
        <w:pStyle w:val="112"/>
        <w:numPr>
          <w:ilvl w:val="0"/>
          <w:numId w:val="0"/>
        </w:numPr>
        <w:bidi w:val="0"/>
        <w:ind w:leftChars="0"/>
        <w:jc w:val="center"/>
        <w:rPr>
          <w:rFonts w:hint="eastAsia"/>
          <w:lang w:val="en-US" w:eastAsia="zh-CN"/>
        </w:rPr>
      </w:pPr>
      <w:r>
        <w:rPr>
          <w:rFonts w:hint="eastAsia"/>
          <w:lang w:val="en-US" w:eastAsia="zh-CN"/>
        </w:rPr>
        <w:t>图A.1 井冈山圣女果生产区域范围图</w:t>
      </w:r>
    </w:p>
    <w:p w14:paraId="4513F8F4">
      <w:pPr>
        <w:pStyle w:val="23"/>
        <w:jc w:val="center"/>
      </w:pPr>
    </w:p>
    <w:p w14:paraId="656C8399">
      <w:pPr>
        <w:pStyle w:val="23"/>
        <w:jc w:val="center"/>
      </w:pPr>
    </w:p>
    <w:p w14:paraId="5207502E">
      <w:pPr>
        <w:pStyle w:val="23"/>
        <w:jc w:val="center"/>
      </w:pPr>
    </w:p>
    <w:p w14:paraId="05E690E2">
      <w:pPr>
        <w:pStyle w:val="110"/>
        <w:bidi w:val="0"/>
        <w:rPr>
          <w:rFonts w:hint="default"/>
          <w:lang w:val="en-US" w:eastAsia="zh-CN"/>
        </w:rPr>
      </w:pPr>
      <w:bookmarkStart w:id="97"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7"/>
                    <a:stretch>
                      <a:fillRect/>
                    </a:stretch>
                  </pic:blipFill>
                  <pic:spPr>
                    <a:xfrm>
                      <a:off x="0" y="0"/>
                      <a:ext cx="1485900" cy="317500"/>
                    </a:xfrm>
                    <a:prstGeom prst="rect">
                      <a:avLst/>
                    </a:prstGeom>
                  </pic:spPr>
                </pic:pic>
              </a:graphicData>
            </a:graphic>
          </wp:inline>
        </w:drawing>
      </w:r>
      <w:bookmarkEnd w:id="97"/>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7A75">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23F3">
    <w:pPr>
      <w:pStyle w:val="30"/>
      <w:bidi w:val="0"/>
      <w:rPr>
        <w:rFonts w:hint="eastAsia" w:eastAsia="黑体"/>
        <w:lang w:eastAsia="zh-CN"/>
      </w:rPr>
    </w:pPr>
    <w:r>
      <w:rPr>
        <w:rFonts w:hint="eastAsia"/>
        <w:lang w:eastAsia="zh-CN"/>
      </w:rPr>
      <w:t>T/JALNCP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7787"/>
    <w:multiLevelType w:val="multilevel"/>
    <w:tmpl w:val="8B4E778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A1986273"/>
    <w:multiLevelType w:val="multilevel"/>
    <w:tmpl w:val="A1986273"/>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573FCA0"/>
    <w:multiLevelType w:val="multilevel"/>
    <w:tmpl w:val="B573FCA0"/>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C8AD354"/>
    <w:multiLevelType w:val="multilevel"/>
    <w:tmpl w:val="EC8AD354"/>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0136F18"/>
    <w:multiLevelType w:val="multilevel"/>
    <w:tmpl w:val="F0136F18"/>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764C4D"/>
    <w:multiLevelType w:val="multilevel"/>
    <w:tmpl w:val="F8764C4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42BE165"/>
    <w:multiLevelType w:val="multilevel"/>
    <w:tmpl w:val="042BE165"/>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D82C9C"/>
    <w:multiLevelType w:val="multilevel"/>
    <w:tmpl w:val="0AD82C9C"/>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AF25FD9"/>
    <w:multiLevelType w:val="multilevel"/>
    <w:tmpl w:val="1AF25FD9"/>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2173D9F1"/>
    <w:multiLevelType w:val="multilevel"/>
    <w:tmpl w:val="2173D9F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E34FD65"/>
    <w:multiLevelType w:val="multilevel"/>
    <w:tmpl w:val="2E34FD6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222B981"/>
    <w:multiLevelType w:val="multilevel"/>
    <w:tmpl w:val="3222B981"/>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17328A"/>
    <w:multiLevelType w:val="multilevel"/>
    <w:tmpl w:val="3617328A"/>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8D1385B"/>
    <w:multiLevelType w:val="multilevel"/>
    <w:tmpl w:val="38D1385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3B12D4D2"/>
    <w:multiLevelType w:val="multilevel"/>
    <w:tmpl w:val="3B12D4D2"/>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1DEBFF6"/>
    <w:multiLevelType w:val="multilevel"/>
    <w:tmpl w:val="71DEBFF6"/>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33389A6"/>
    <w:multiLevelType w:val="multilevel"/>
    <w:tmpl w:val="733389A6"/>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14"/>
  </w:num>
  <w:num w:numId="3">
    <w:abstractNumId w:val="11"/>
  </w:num>
  <w:num w:numId="4">
    <w:abstractNumId w:val="17"/>
  </w:num>
  <w:num w:numId="5">
    <w:abstractNumId w:val="15"/>
  </w:num>
  <w:num w:numId="6">
    <w:abstractNumId w:val="1"/>
  </w:num>
  <w:num w:numId="7">
    <w:abstractNumId w:val="7"/>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2"/>
  </w:num>
  <w:num w:numId="15">
    <w:abstractNumId w:val="3"/>
  </w:num>
  <w:num w:numId="16">
    <w:abstractNumId w:val="6"/>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WY1NmM2YzE4MjliNTY1ZTgzZDM3ZmU5ODdjZDIifQ=="/>
  </w:docVars>
  <w:rsids>
    <w:rsidRoot w:val="22A65372"/>
    <w:rsid w:val="01E44FDB"/>
    <w:rsid w:val="02CE2CB2"/>
    <w:rsid w:val="03D35910"/>
    <w:rsid w:val="048E4B7A"/>
    <w:rsid w:val="096820FA"/>
    <w:rsid w:val="0D54274B"/>
    <w:rsid w:val="0FFA3C1C"/>
    <w:rsid w:val="103E71E0"/>
    <w:rsid w:val="106D2640"/>
    <w:rsid w:val="10FB396F"/>
    <w:rsid w:val="1257050D"/>
    <w:rsid w:val="174736BE"/>
    <w:rsid w:val="1A9E7AF2"/>
    <w:rsid w:val="1BA06543"/>
    <w:rsid w:val="1BF63E31"/>
    <w:rsid w:val="1D57438E"/>
    <w:rsid w:val="1EBB0A1A"/>
    <w:rsid w:val="206F3F8C"/>
    <w:rsid w:val="22A65372"/>
    <w:rsid w:val="24D61965"/>
    <w:rsid w:val="258921ED"/>
    <w:rsid w:val="29671BBB"/>
    <w:rsid w:val="317561A9"/>
    <w:rsid w:val="34F62354"/>
    <w:rsid w:val="3510196C"/>
    <w:rsid w:val="35D23F20"/>
    <w:rsid w:val="368F2BB5"/>
    <w:rsid w:val="36DA7652"/>
    <w:rsid w:val="36EA7C97"/>
    <w:rsid w:val="38CF5396"/>
    <w:rsid w:val="3ED96825"/>
    <w:rsid w:val="403A64B2"/>
    <w:rsid w:val="410C109C"/>
    <w:rsid w:val="417D0AC2"/>
    <w:rsid w:val="421A5B5D"/>
    <w:rsid w:val="425002F5"/>
    <w:rsid w:val="47997CE8"/>
    <w:rsid w:val="49CB0459"/>
    <w:rsid w:val="4D950505"/>
    <w:rsid w:val="50B145A5"/>
    <w:rsid w:val="512C73D2"/>
    <w:rsid w:val="520E5F1B"/>
    <w:rsid w:val="53CE6585"/>
    <w:rsid w:val="59FA4157"/>
    <w:rsid w:val="5C8559C5"/>
    <w:rsid w:val="5D5D1C96"/>
    <w:rsid w:val="5D6B597F"/>
    <w:rsid w:val="5E2C229D"/>
    <w:rsid w:val="5EC91604"/>
    <w:rsid w:val="5FDC037C"/>
    <w:rsid w:val="60C62FD2"/>
    <w:rsid w:val="659D3FA3"/>
    <w:rsid w:val="672E5DC5"/>
    <w:rsid w:val="679B072E"/>
    <w:rsid w:val="69D26D40"/>
    <w:rsid w:val="6C5E0930"/>
    <w:rsid w:val="6FA348AB"/>
    <w:rsid w:val="6FBB4290"/>
    <w:rsid w:val="701F78B8"/>
    <w:rsid w:val="73E21E46"/>
    <w:rsid w:val="74B77420"/>
    <w:rsid w:val="75916036"/>
    <w:rsid w:val="76173D5F"/>
    <w:rsid w:val="76791307"/>
    <w:rsid w:val="7A3B3D35"/>
    <w:rsid w:val="7A9D0921"/>
    <w:rsid w:val="7C0A2C05"/>
    <w:rsid w:val="7D03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int="eastAsia" w:ascii="宋体" w:hAnsi="Times New Roman" w:eastAsia="宋体" w:cs="Times New Roman"/>
      <w:sz w:val="21"/>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425"/>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425"/>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注：（正文）"/>
    <w:basedOn w:val="121"/>
    <w:next w:val="119"/>
    <w:qFormat/>
    <w:uiPriority w:val="0"/>
    <w:pPr>
      <w:numPr>
        <w:ilvl w:val="0"/>
        <w:numId w:val="18"/>
      </w:numPr>
    </w:pPr>
  </w:style>
  <w:style w:type="paragraph" w:customStyle="1" w:styleId="121">
    <w:name w:val="注："/>
    <w:next w:val="119"/>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508EF581">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7FF03D60">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54E208B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2014</Words>
  <Characters>2418</Characters>
  <Lines>0</Lines>
  <Paragraphs>0</Paragraphs>
  <TotalTime>3</TotalTime>
  <ScaleCrop>false</ScaleCrop>
  <LinksUpToDate>false</LinksUpToDate>
  <CharactersWithSpaces>2581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栗子</cp:lastModifiedBy>
  <dcterms:modified xsi:type="dcterms:W3CDTF">2024-09-25T03:39:34Z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E84B8143474D400A9B15CE4853C4FA29_11</vt:lpwstr>
  </property>
</Properties>
</file>