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3A3D4">
      <w:pPr>
        <w:pStyle w:val="28"/>
        <w:bidi w:val="0"/>
        <w:rPr>
          <w:rFonts w:hint="eastAsia"/>
          <w:lang w:val="en-US" w:eastAsia="zh-CN"/>
        </w:rPr>
      </w:pPr>
      <w:r>
        <w:rPr>
          <w:rFonts w:hint="eastAsia"/>
          <w:lang w:val="en-US" w:eastAsia="zh-CN"/>
        </w:rPr>
        <w:fldChar w:fldCharType="begin">
          <w:ffData>
            <w:name w:val="TMark1"/>
            <w:enabled/>
            <w:calcOnExit w:val="0"/>
            <w:textInput/>
          </w:ffData>
        </w:fldChar>
      </w:r>
      <w:bookmarkStart w:id="0" w:name="TMark1"/>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0"/>
      <w:r>
        <w:rPr>
          <w:rFonts w:hint="eastAsia"/>
          <w:lang w:val="en-US" w:eastAsia="zh-CN"/>
        </w:rPr>
        <w:t>团体标准</w:t>
      </w:r>
    </w:p>
    <w:p w14:paraId="5FF769DC">
      <w:pPr>
        <w:pStyle w:val="39"/>
        <w:bidi w:val="0"/>
        <w:rPr>
          <w:rFonts w:hint="eastAsia"/>
          <w:lang w:val="en-US" w:eastAsia="zh-CN"/>
        </w:rPr>
      </w:pPr>
      <w:r>
        <w:rPr>
          <w:rFonts w:hint="eastAsia"/>
          <w:lang w:val="en-US" w:eastAsia="zh-CN"/>
        </w:rPr>
        <w:fldChar w:fldCharType="begin">
          <w:ffData>
            <w:name w:val="StandNo"/>
            <w:enabled/>
            <w:calcOnExit w:val="0"/>
            <w:textInput>
              <w:default w:val="T/JALNCP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T/JALNCP XXX—XXXX</w:t>
      </w:r>
      <w:r>
        <w:rPr>
          <w:rFonts w:hint="eastAsia"/>
          <w:lang w:val="en-US" w:eastAsia="zh-CN"/>
        </w:rPr>
        <w:fldChar w:fldCharType="end"/>
      </w:r>
      <w:bookmarkEnd w:id="1"/>
    </w:p>
    <w:p w14:paraId="3BDD2600">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6501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15FA1CB3">
            <w:pPr>
              <w:pStyle w:val="33"/>
              <w:widowControl w:val="0"/>
              <w:bidi w:val="0"/>
              <w:jc w:val="both"/>
              <w:rPr>
                <w:rFonts w:hint="eastAsia"/>
                <w:sz w:val="10"/>
                <w:vertAlign w:val="baseline"/>
                <w:lang w:val="en-US" w:eastAsia="zh-CN"/>
              </w:rPr>
            </w:pPr>
          </w:p>
        </w:tc>
      </w:tr>
    </w:tbl>
    <w:p w14:paraId="7CA496E7">
      <w:pPr>
        <w:pStyle w:val="40"/>
        <w:bidi w:val="0"/>
        <w:rPr>
          <w:rFonts w:hint="default"/>
          <w:lang w:val="en-US" w:eastAsia="zh-CN"/>
        </w:rPr>
      </w:pPr>
      <w:r>
        <w:rPr>
          <w:rFonts w:hint="eastAsia" w:cs="Times New Roman"/>
          <w:sz w:val="52"/>
          <w:lang w:val="en-US" w:eastAsia="zh-CN"/>
        </w:rPr>
        <w:t>井冈山黄元米果</w:t>
      </w:r>
    </w:p>
    <w:p w14:paraId="2EEE5A75">
      <w:pPr>
        <w:pStyle w:val="41"/>
        <w:bidi w:val="0"/>
        <w:rPr>
          <w:rFonts w:hint="eastAsia"/>
          <w:lang w:val="en-US" w:eastAsia="zh-CN"/>
        </w:rPr>
      </w:pPr>
      <w:bookmarkStart w:id="3" w:name="StdEnglishName"/>
      <w:r>
        <w:rPr>
          <w:rFonts w:hint="eastAsia" w:cs="Times New Roman"/>
          <w:sz w:val="28"/>
          <w:lang w:val="en-US" w:eastAsia="zh-CN"/>
        </w:rPr>
        <w:t>Jinggangshan h</w:t>
      </w:r>
      <w:r>
        <w:rPr>
          <w:rFonts w:hint="eastAsia" w:ascii="Times New Roman" w:hAnsi="Times New Roman" w:eastAsia="黑体" w:cs="Times New Roman"/>
          <w:sz w:val="28"/>
          <w:lang w:val="en-US" w:eastAsia="zh-CN"/>
        </w:rPr>
        <w:t>uangyuan rice cake</w:t>
      </w:r>
      <w:bookmarkEnd w:id="3"/>
    </w:p>
    <w:p w14:paraId="3F4F2D49">
      <w:pPr>
        <w:pStyle w:val="42"/>
        <w:bidi w:val="0"/>
        <w:rPr>
          <w:rFonts w:hint="eastAsia"/>
          <w:lang w:val="en-US" w:eastAsia="zh-CN"/>
        </w:rPr>
      </w:pPr>
      <w:r>
        <w:rPr>
          <w:rFonts w:hint="eastAsia" w:cs="Times New Roman"/>
          <w:sz w:val="28"/>
          <w:lang w:val="en-US" w:eastAsia="zh-CN"/>
        </w:rPr>
        <w:t xml:space="preserve"> </w:t>
      </w:r>
    </w:p>
    <w:p w14:paraId="33F0CEC8">
      <w:pPr>
        <w:pStyle w:val="43"/>
        <w:bidi w:val="0"/>
        <w:spacing w:after="0"/>
        <w:rPr>
          <w:rFonts w:hint="eastAsia"/>
          <w:lang w:val="en-US" w:eastAsia="zh-CN"/>
        </w:rPr>
      </w:pPr>
      <w:bookmarkStart w:id="4"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4"/>
    </w:p>
    <w:p w14:paraId="30DB90EC">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5"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5"/>
    </w:p>
    <w:p w14:paraId="10FF4AF3">
      <w:pPr>
        <w:pStyle w:val="45"/>
        <w:bidi w:val="0"/>
        <w:spacing w:before="687" w:beforeLines="220"/>
        <w:rPr>
          <w:rFonts w:hint="eastAsia"/>
          <w:lang w:val="en-US" w:eastAsia="zh-CN"/>
        </w:rPr>
      </w:pPr>
      <w:bookmarkStart w:id="6"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6"/>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3D1B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trPr>
        <w:tc>
          <w:tcPr>
            <w:tcW w:w="4944" w:type="dxa"/>
            <w:tcBorders>
              <w:bottom w:val="single" w:color="auto" w:sz="8" w:space="0"/>
            </w:tcBorders>
            <w:tcMar>
              <w:left w:w="57" w:type="dxa"/>
              <w:bottom w:w="28" w:type="dxa"/>
            </w:tcMar>
          </w:tcPr>
          <w:p w14:paraId="1B1A1466">
            <w:pPr>
              <w:pStyle w:val="37"/>
              <w:widowControl w:val="0"/>
              <w:bidi w:val="0"/>
              <w:jc w:val="both"/>
              <w:rPr>
                <w:rFonts w:hint="eastAsia"/>
                <w:vertAlign w:val="baseline"/>
                <w:lang w:val="en-US" w:eastAsia="zh-CN"/>
              </w:rPr>
            </w:pPr>
            <w:bookmarkStart w:id="7"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8"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9"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发布</w:t>
            </w:r>
          </w:p>
        </w:tc>
        <w:tc>
          <w:tcPr>
            <w:tcW w:w="4945" w:type="dxa"/>
            <w:tcBorders>
              <w:bottom w:val="single" w:color="auto" w:sz="8" w:space="0"/>
            </w:tcBorders>
            <w:tcMar>
              <w:right w:w="57" w:type="dxa"/>
            </w:tcMar>
          </w:tcPr>
          <w:p w14:paraId="431803FF">
            <w:pPr>
              <w:pStyle w:val="37"/>
              <w:widowControl w:val="0"/>
              <w:bidi w:val="0"/>
              <w:jc w:val="right"/>
              <w:rPr>
                <w:rFonts w:hint="eastAsia"/>
                <w:vertAlign w:val="baseline"/>
                <w:lang w:val="en-US" w:eastAsia="zh-CN"/>
              </w:rPr>
            </w:pPr>
            <w:bookmarkStart w:id="10"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0"/>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1"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2"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实施</w:t>
            </w:r>
          </w:p>
        </w:tc>
      </w:tr>
    </w:tbl>
    <w:p w14:paraId="3EC3D3F2">
      <w:pPr>
        <w:pStyle w:val="47"/>
        <w:bidi w:val="0"/>
        <w:spacing w:before="0"/>
        <w:rPr>
          <w:rFonts w:hint="eastAsia"/>
          <w:spacing w:val="0"/>
          <w:w w:val="100"/>
          <w:sz w:val="28"/>
          <w:lang w:val="en-US" w:eastAsia="zh-CN"/>
        </w:rPr>
      </w:pPr>
      <w:bookmarkStart w:id="13"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3"/>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0878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634D9204">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747E5039">
            <w:pPr>
              <w:pStyle w:val="51"/>
              <w:framePr w:w="9639" w:wrap="around"/>
              <w:bidi w:val="0"/>
              <w:jc w:val="both"/>
              <w:rPr>
                <w:rFonts w:hint="eastAsia"/>
                <w:vertAlign w:val="baseline"/>
                <w:lang w:val="en-US" w:eastAsia="zh-CN"/>
              </w:rPr>
            </w:pPr>
            <w:bookmarkStart w:id="14"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4"/>
          </w:p>
        </w:tc>
      </w:tr>
      <w:tr w14:paraId="0FB3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3" w:type="dxa"/>
          </w:tcPr>
          <w:p w14:paraId="3F7F6251">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747A16DB">
            <w:pPr>
              <w:pStyle w:val="51"/>
              <w:framePr w:w="9639" w:wrap="around"/>
              <w:bidi w:val="0"/>
              <w:jc w:val="both"/>
              <w:rPr>
                <w:rFonts w:hint="eastAsia"/>
                <w:vertAlign w:val="baseline"/>
                <w:lang w:val="en-US" w:eastAsia="zh-CN"/>
              </w:rPr>
            </w:pPr>
            <w:bookmarkStart w:id="15"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5"/>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5050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609D8A21">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6"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6"/>
                </w:p>
              </w:tc>
            </w:tr>
          </w:tbl>
          <w:p w14:paraId="6DEFE26D">
            <w:pPr>
              <w:pStyle w:val="51"/>
              <w:framePr w:w="9639" w:wrap="around"/>
              <w:bidi w:val="0"/>
              <w:jc w:val="both"/>
              <w:rPr>
                <w:rFonts w:hint="eastAsia"/>
                <w:vertAlign w:val="baseline"/>
                <w:lang w:val="en-US" w:eastAsia="zh-CN"/>
              </w:rPr>
            </w:pPr>
          </w:p>
        </w:tc>
      </w:tr>
    </w:tbl>
    <w:p w14:paraId="45FE620F">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5EEDE961">
      <w:pPr>
        <w:pStyle w:val="52"/>
        <w:bidi w:val="0"/>
        <w:rPr>
          <w:rFonts w:hint="eastAsia"/>
          <w:lang w:val="en-US" w:eastAsia="zh-CN"/>
        </w:rPr>
      </w:pPr>
      <w:r>
        <w:rPr>
          <w:rFonts w:hint="eastAsia"/>
          <w:spacing w:val="317"/>
          <w:lang w:val="en-US" w:eastAsia="zh-CN"/>
        </w:rPr>
        <w:t>目</w:t>
      </w:r>
      <w:bookmarkStart w:id="17" w:name="BKML"/>
      <w:r>
        <w:rPr>
          <w:rFonts w:hint="eastAsia"/>
          <w:lang w:val="en-US" w:eastAsia="zh-CN"/>
        </w:rPr>
        <w:t>次</w:t>
      </w:r>
      <w:bookmarkEnd w:id="17"/>
    </w:p>
    <w:p w14:paraId="48C057D8">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01AC6A3">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91468D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B973078">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_Toc17023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35DBD61">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99288D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5F34C97">
      <w:pPr>
        <w:pStyle w:val="14"/>
        <w:tabs>
          <w:tab w:val="right" w:leader="dot" w:pos="9354"/>
        </w:tabs>
        <w:ind w:left="0" w:leftChars="0" w:firstLine="0" w:firstLineChars="0"/>
        <w:rPr>
          <w:rFonts w:hint="eastAsia" w:ascii="宋体" w:hAnsi="宋体" w:eastAsia="宋体" w:cs="宋体"/>
          <w:spacing w:val="0"/>
          <w:lang w:eastAsia="zh-CN"/>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lang w:val="en-US" w:eastAsia="zh-CN"/>
        </w:rPr>
        <w:fldChar w:fldCharType="end"/>
      </w:r>
      <w:r>
        <w:rPr>
          <w:rFonts w:hint="eastAsia" w:cs="宋体"/>
          <w:spacing w:val="0"/>
          <w:lang w:val="en-US" w:eastAsia="zh-CN"/>
        </w:rPr>
        <w:t>4</w:t>
      </w:r>
    </w:p>
    <w:p w14:paraId="4FE36460">
      <w:pPr>
        <w:pStyle w:val="14"/>
        <w:tabs>
          <w:tab w:val="right" w:leader="dot" w:pos="9354"/>
        </w:tabs>
        <w:ind w:left="0" w:leftChars="0" w:firstLine="0" w:firstLineChars="0"/>
        <w:rPr>
          <w:rFonts w:hint="eastAsia" w:ascii="宋体" w:hAnsi="宋体" w:eastAsia="宋体" w:cs="宋体"/>
          <w:spacing w:val="0"/>
          <w:lang w:val="en-US" w:eastAsia="zh-CN"/>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_Toc26806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78F8C8D">
      <w:pPr>
        <w:rPr>
          <w:rFonts w:hint="default"/>
          <w:lang w:val="en-US"/>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井冈山</w:t>
      </w:r>
      <w:r>
        <w:rPr>
          <w:rFonts w:hint="eastAsia" w:hAnsi="宋体" w:cs="宋体"/>
          <w:spacing w:val="0"/>
          <w:lang w:val="en-US" w:eastAsia="zh-CN"/>
        </w:rPr>
        <w:t>黄元米果</w:t>
      </w:r>
      <w:r>
        <w:rPr>
          <w:rFonts w:hint="eastAsia" w:ascii="宋体" w:hAnsi="宋体" w:eastAsia="宋体" w:cs="宋体"/>
          <w:spacing w:val="0"/>
          <w:lang w:val="en-US" w:eastAsia="zh-CN"/>
        </w:rPr>
        <w:t>生产区域范围图</w:t>
      </w:r>
      <w:r>
        <w:rPr>
          <w:rFonts w:hint="eastAsia" w:ascii="宋体" w:hAnsi="宋体" w:eastAsia="宋体" w:cs="宋体"/>
          <w:spacing w:val="0"/>
        </w:rPr>
        <w:tab/>
      </w:r>
      <w:r>
        <w:rPr>
          <w:rFonts w:hint="eastAsia" w:hAnsi="宋体" w:cs="宋体"/>
          <w:spacing w:val="0"/>
          <w:lang w:val="en-US" w:eastAsia="zh-CN"/>
        </w:rPr>
        <w:t>.</w:t>
      </w:r>
      <w:r>
        <w:rPr>
          <w:rFonts w:hint="eastAsia" w:ascii="宋体" w:hAnsi="宋体" w:eastAsia="宋体" w:cs="宋体"/>
          <w:spacing w:val="0"/>
          <w:lang w:val="en-US" w:eastAsia="zh-CN"/>
        </w:rPr>
        <w:fldChar w:fldCharType="end"/>
      </w:r>
      <w:r>
        <w:rPr>
          <w:rFonts w:hint="eastAsia" w:hAnsi="宋体" w:cs="宋体"/>
          <w:spacing w:val="0"/>
          <w:lang w:val="en-US" w:eastAsia="zh-CN"/>
        </w:rPr>
        <w:t>.......................................5</w:t>
      </w:r>
    </w:p>
    <w:p w14:paraId="6294342E">
      <w:pPr>
        <w:rPr>
          <w:rFonts w:hint="eastAsia"/>
        </w:rPr>
      </w:pPr>
    </w:p>
    <w:p w14:paraId="0CCA40E6">
      <w:pPr>
        <w:pStyle w:val="14"/>
        <w:tabs>
          <w:tab w:val="right" w:leader="dot" w:pos="9354"/>
        </w:tabs>
        <w:ind w:left="0" w:leftChars="0" w:firstLine="0" w:firstLineChars="0"/>
        <w:rPr>
          <w:rFonts w:hint="eastAsia" w:ascii="宋体" w:hAnsi="宋体" w:eastAsia="宋体" w:cs="宋体"/>
          <w:spacing w:val="0"/>
        </w:rPr>
      </w:pPr>
    </w:p>
    <w:p w14:paraId="18C55E23">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4304A9A6">
      <w:pPr>
        <w:pStyle w:val="52"/>
        <w:bidi w:val="0"/>
        <w:rPr>
          <w:rFonts w:hint="eastAsia"/>
          <w:lang w:val="en-US" w:eastAsia="zh-CN"/>
        </w:rPr>
      </w:pPr>
      <w:r>
        <w:rPr>
          <w:rFonts w:hint="eastAsia"/>
          <w:lang w:val="en-US" w:eastAsia="zh-CN"/>
        </w:rPr>
        <w:br w:type="page"/>
      </w:r>
    </w:p>
    <w:p w14:paraId="19FD0342">
      <w:pPr>
        <w:pStyle w:val="53"/>
        <w:bidi w:val="0"/>
        <w:rPr>
          <w:rFonts w:hint="eastAsia"/>
          <w:lang w:val="en-US" w:eastAsia="zh-CN"/>
        </w:rPr>
      </w:pPr>
      <w:bookmarkStart w:id="18" w:name="_Toc10082"/>
      <w:r>
        <w:rPr>
          <w:rFonts w:hint="eastAsia"/>
          <w:spacing w:val="317"/>
          <w:lang w:val="en-US" w:eastAsia="zh-CN"/>
        </w:rPr>
        <w:t>前</w:t>
      </w:r>
      <w:bookmarkStart w:id="19" w:name="BKQY"/>
      <w:r>
        <w:rPr>
          <w:rFonts w:hint="eastAsia"/>
          <w:lang w:val="en-US" w:eastAsia="zh-CN"/>
        </w:rPr>
        <w:t>言</w:t>
      </w:r>
      <w:bookmarkEnd w:id="18"/>
    </w:p>
    <w:p w14:paraId="1AA780BD">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55497805">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0ECF5BF4">
      <w:pPr>
        <w:pStyle w:val="23"/>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65DFF3D5">
      <w:pPr>
        <w:pStyle w:val="23"/>
        <w:bidi w:val="0"/>
        <w:rPr>
          <w:rFonts w:hint="eastAsia"/>
          <w:lang w:val="en-US" w:eastAsia="zh-CN"/>
        </w:rPr>
      </w:pPr>
      <w:r>
        <w:rPr>
          <w:rFonts w:hint="eastAsia"/>
          <w:lang w:val="en-US" w:eastAsia="zh-CN"/>
        </w:rPr>
        <w:t>本文件起草单位：</w:t>
      </w:r>
    </w:p>
    <w:p w14:paraId="39572B36">
      <w:pPr>
        <w:pStyle w:val="23"/>
        <w:bidi w:val="0"/>
        <w:rPr>
          <w:rFonts w:hint="eastAsia"/>
          <w:lang w:val="en-US" w:eastAsia="zh-CN"/>
        </w:rPr>
      </w:pPr>
      <w:r>
        <w:rPr>
          <w:rFonts w:hint="eastAsia"/>
          <w:lang w:val="en-US" w:eastAsia="zh-CN"/>
        </w:rPr>
        <w:t>本文件主要起草人：</w:t>
      </w:r>
    </w:p>
    <w:p w14:paraId="4AF29889">
      <w:pPr>
        <w:pStyle w:val="23"/>
        <w:bidi w:val="0"/>
        <w:rPr>
          <w:rFonts w:hint="eastAsia"/>
          <w:lang w:val="en-US" w:eastAsia="zh-CN"/>
        </w:rPr>
      </w:pPr>
    </w:p>
    <w:bookmarkEnd w:id="19"/>
    <w:p w14:paraId="738857EB">
      <w:pPr>
        <w:rPr>
          <w:rFonts w:hint="eastAsia"/>
          <w:lang w:val="en-US" w:eastAsia="zh-CN"/>
        </w:rPr>
      </w:pPr>
    </w:p>
    <w:p w14:paraId="005C4C44">
      <w:pPr>
        <w:rPr>
          <w:rFonts w:hint="eastAsia"/>
          <w:lang w:val="en-US" w:eastAsia="zh-CN"/>
        </w:rPr>
      </w:pPr>
    </w:p>
    <w:p w14:paraId="01408CA3">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7484"/>
        <w:lock w:val="sdtLocked"/>
        <w:placeholder>
          <w:docPart w:val="{dc198fea-d184-4aa6-8509-aaf3d889285d}"/>
        </w:placeholder>
      </w:sdtPr>
      <w:sdtEndPr>
        <w:rPr>
          <w:rStyle w:val="118"/>
          <w:rFonts w:hint="eastAsia"/>
          <w:lang w:val="en-US" w:eastAsia="zh-CN"/>
        </w:rPr>
      </w:sdtEndPr>
      <w:sdtContent>
        <w:p w14:paraId="47042A37">
          <w:pPr>
            <w:pStyle w:val="54"/>
            <w:bidi w:val="0"/>
            <w:rPr>
              <w:rStyle w:val="118"/>
              <w:rFonts w:hint="eastAsia"/>
              <w:lang w:val="en-US" w:eastAsia="zh-CN"/>
            </w:rPr>
          </w:pPr>
          <w:bookmarkStart w:id="20" w:name="StandardName"/>
          <w:r>
            <w:rPr>
              <w:rStyle w:val="118"/>
              <w:rFonts w:hint="eastAsia"/>
              <w:lang w:val="en-US" w:eastAsia="zh-CN"/>
            </w:rPr>
            <w:t>井冈山黄元米果</w:t>
          </w:r>
          <w:bookmarkEnd w:id="20"/>
        </w:p>
      </w:sdtContent>
    </w:sdt>
    <w:p w14:paraId="23A63047">
      <w:pPr>
        <w:pStyle w:val="70"/>
        <w:bidi w:val="0"/>
        <w:rPr>
          <w:rStyle w:val="118"/>
          <w:rFonts w:hint="eastAsia"/>
          <w:lang w:val="en-US" w:eastAsia="zh-CN"/>
        </w:rPr>
      </w:pPr>
      <w:bookmarkStart w:id="21" w:name="_Toc8095"/>
      <w:r>
        <w:rPr>
          <w:rFonts w:hint="eastAsia"/>
          <w:lang w:val="en-US" w:eastAsia="zh-CN"/>
        </w:rPr>
        <w:t>范围</w:t>
      </w:r>
      <w:bookmarkEnd w:id="21"/>
    </w:p>
    <w:p w14:paraId="2D292F8C">
      <w:pPr>
        <w:pStyle w:val="23"/>
        <w:rPr>
          <w:rFonts w:hint="eastAsia"/>
          <w:lang w:val="en-US" w:eastAsia="zh-CN"/>
        </w:rPr>
      </w:pPr>
      <w:r>
        <w:rPr>
          <w:rFonts w:hint="eastAsia"/>
          <w:lang w:val="en-US" w:eastAsia="zh-CN"/>
        </w:rPr>
        <w:t>本文件规定了井冈山黄元米果的要求、检验规则、包装、标志与标签、运输与贮存。</w:t>
      </w:r>
    </w:p>
    <w:p w14:paraId="680B06A8">
      <w:pPr>
        <w:pStyle w:val="23"/>
        <w:rPr>
          <w:rFonts w:hint="eastAsia"/>
          <w:lang w:val="en-US" w:eastAsia="zh-CN"/>
        </w:rPr>
      </w:pPr>
      <w:r>
        <w:rPr>
          <w:rFonts w:hint="eastAsia"/>
          <w:lang w:val="en-US" w:eastAsia="zh-CN"/>
        </w:rPr>
        <w:t>本文件适用于吉安市行政区域范围内生产加工的黄元米果。</w:t>
      </w:r>
    </w:p>
    <w:p w14:paraId="3338DE9B">
      <w:pPr>
        <w:pStyle w:val="70"/>
        <w:bidi w:val="0"/>
        <w:rPr>
          <w:rFonts w:hint="eastAsia"/>
          <w:lang w:val="en-US" w:eastAsia="zh-CN"/>
        </w:rPr>
      </w:pPr>
      <w:bookmarkStart w:id="22" w:name="_Toc8385"/>
      <w:r>
        <w:rPr>
          <w:rFonts w:hint="eastAsia"/>
          <w:lang w:val="en-US" w:eastAsia="zh-CN"/>
        </w:rPr>
        <w:t>规范性引用文件</w:t>
      </w:r>
      <w:bookmarkEnd w:id="22"/>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1B6B653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69702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14:paraId="27DA54CD">
      <w:pPr>
        <w:pStyle w:val="23"/>
        <w:bidi w:val="0"/>
        <w:rPr>
          <w:rFonts w:ascii="Verdana" w:hAnsi="Verdana" w:eastAsia="宋体" w:cs="Verdana"/>
          <w:i w:val="0"/>
          <w:iCs w:val="0"/>
          <w:caps w:val="0"/>
          <w:color w:val="333333"/>
          <w:spacing w:val="0"/>
          <w:sz w:val="20"/>
          <w:szCs w:val="20"/>
          <w:shd w:val="clear" w:fill="FFFFFF"/>
        </w:rPr>
      </w:pPr>
      <w:r>
        <w:rPr>
          <w:rFonts w:hint="eastAsia"/>
          <w:lang w:val="en-US" w:eastAsia="zh-CN"/>
        </w:rPr>
        <w:t xml:space="preserve">GB/T 1354  </w:t>
      </w:r>
      <w:r>
        <w:rPr>
          <w:rFonts w:ascii="Verdana" w:hAnsi="Verdana" w:eastAsia="宋体" w:cs="Verdana"/>
          <w:i w:val="0"/>
          <w:iCs w:val="0"/>
          <w:caps w:val="0"/>
          <w:color w:val="333333"/>
          <w:spacing w:val="0"/>
          <w:sz w:val="20"/>
          <w:szCs w:val="20"/>
          <w:shd w:val="clear" w:fill="FFFFFF"/>
        </w:rPr>
        <w:t>大米</w:t>
      </w:r>
    </w:p>
    <w:p w14:paraId="6C90A1A3">
      <w:pPr>
        <w:pStyle w:val="23"/>
        <w:bidi w:val="0"/>
        <w:rPr>
          <w:rFonts w:hint="default" w:cs="宋体"/>
          <w:sz w:val="21"/>
          <w:lang w:val="en-US" w:eastAsia="zh-CN"/>
        </w:rPr>
      </w:pPr>
      <w:r>
        <w:rPr>
          <w:rFonts w:hint="eastAsia" w:cs="宋体"/>
          <w:sz w:val="21"/>
          <w:lang w:val="en-US" w:eastAsia="zh-CN"/>
        </w:rPr>
        <w:t xml:space="preserve">GB 2715  </w:t>
      </w:r>
      <w:r>
        <w:rPr>
          <w:rFonts w:ascii="Verdana" w:hAnsi="Verdana" w:eastAsia="宋体" w:cs="Verdana"/>
          <w:i w:val="0"/>
          <w:iCs w:val="0"/>
          <w:caps w:val="0"/>
          <w:color w:val="333333"/>
          <w:spacing w:val="0"/>
          <w:sz w:val="20"/>
          <w:szCs w:val="20"/>
          <w:shd w:val="clear" w:fill="FFFFFF"/>
        </w:rPr>
        <w:t>食品安全国家标准 粮食</w:t>
      </w:r>
    </w:p>
    <w:p w14:paraId="45BF3E96">
      <w:pPr>
        <w:pStyle w:val="23"/>
        <w:bidi w:val="0"/>
        <w:rPr>
          <w:rFonts w:hint="default" w:ascii="宋体" w:hAnsi="Times New Roman" w:eastAsia="宋体" w:cs="宋体"/>
          <w:sz w:val="21"/>
          <w:lang w:val="en-US" w:eastAsia="zh-CN"/>
        </w:rPr>
      </w:pPr>
      <w:r>
        <w:rPr>
          <w:rFonts w:hint="eastAsia" w:cs="宋体"/>
          <w:sz w:val="21"/>
          <w:lang w:val="en-US" w:eastAsia="zh-CN"/>
        </w:rPr>
        <w:t xml:space="preserve">GB 2760  </w:t>
      </w:r>
      <w:r>
        <w:rPr>
          <w:rFonts w:ascii="Verdana" w:hAnsi="Verdana" w:eastAsia="宋体" w:cs="Verdana"/>
          <w:i w:val="0"/>
          <w:iCs w:val="0"/>
          <w:caps w:val="0"/>
          <w:color w:val="333333"/>
          <w:spacing w:val="0"/>
          <w:sz w:val="20"/>
          <w:szCs w:val="20"/>
          <w:shd w:val="clear" w:fill="FFFFFF"/>
        </w:rPr>
        <w:t>食品安全国家标准 食品添加剂使用标准</w:t>
      </w:r>
    </w:p>
    <w:p w14:paraId="530D713B">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14:paraId="5AA06BA8">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2763  食品安全国家标准  食品中农药最大残留限量</w:t>
      </w:r>
    </w:p>
    <w:p w14:paraId="6D02007B">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w:t>
      </w:r>
      <w:r>
        <w:rPr>
          <w:rFonts w:hint="eastAsia" w:cs="宋体"/>
          <w:sz w:val="21"/>
          <w:lang w:val="en-US" w:eastAsia="zh-CN"/>
        </w:rPr>
        <w:t>789</w:t>
      </w:r>
      <w:r>
        <w:rPr>
          <w:rFonts w:hint="eastAsia" w:ascii="宋体" w:hAnsi="Times New Roman" w:eastAsia="宋体" w:cs="宋体"/>
          <w:sz w:val="21"/>
          <w:lang w:val="en-US" w:eastAsia="zh-CN"/>
        </w:rPr>
        <w:t>.</w:t>
      </w:r>
      <w:r>
        <w:rPr>
          <w:rFonts w:hint="eastAsia" w:cs="宋体"/>
          <w:sz w:val="21"/>
          <w:lang w:val="en-US" w:eastAsia="zh-CN"/>
        </w:rPr>
        <w:t>2</w:t>
      </w:r>
      <w:r>
        <w:rPr>
          <w:rFonts w:hint="eastAsia" w:ascii="宋体" w:hAnsi="Times New Roman" w:eastAsia="宋体" w:cs="宋体"/>
          <w:sz w:val="21"/>
          <w:lang w:val="en-US" w:eastAsia="zh-CN"/>
        </w:rPr>
        <w:t xml:space="preserve"> </w:t>
      </w:r>
      <w:r>
        <w:rPr>
          <w:rFonts w:hint="eastAsia" w:cs="宋体"/>
          <w:sz w:val="21"/>
          <w:lang w:val="en-US" w:eastAsia="zh-CN"/>
        </w:rPr>
        <w:t xml:space="preserve"> </w:t>
      </w:r>
      <w:r>
        <w:rPr>
          <w:rFonts w:ascii="Verdana" w:hAnsi="Verdana" w:eastAsia="宋体" w:cs="Verdana"/>
          <w:i w:val="0"/>
          <w:iCs w:val="0"/>
          <w:caps w:val="0"/>
          <w:color w:val="333333"/>
          <w:spacing w:val="0"/>
          <w:sz w:val="20"/>
          <w:szCs w:val="20"/>
          <w:shd w:val="clear" w:fill="FFFFFF"/>
        </w:rPr>
        <w:t>食品安全国家标准 食品微生物学检验 菌落总数测定</w:t>
      </w:r>
    </w:p>
    <w:p w14:paraId="460B6C6D">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w:t>
      </w:r>
      <w:r>
        <w:rPr>
          <w:rFonts w:hint="eastAsia" w:cs="宋体"/>
          <w:sz w:val="21"/>
          <w:lang w:val="en-US" w:eastAsia="zh-CN"/>
        </w:rPr>
        <w:t>789</w:t>
      </w:r>
      <w:r>
        <w:rPr>
          <w:rFonts w:hint="eastAsia" w:ascii="宋体" w:hAnsi="Times New Roman" w:eastAsia="宋体" w:cs="宋体"/>
          <w:sz w:val="21"/>
          <w:lang w:val="en-US" w:eastAsia="zh-CN"/>
        </w:rPr>
        <w:t>.</w:t>
      </w:r>
      <w:r>
        <w:rPr>
          <w:rFonts w:hint="eastAsia" w:cs="宋体"/>
          <w:sz w:val="21"/>
          <w:lang w:val="en-US" w:eastAsia="zh-CN"/>
        </w:rPr>
        <w:t>3</w:t>
      </w:r>
      <w:r>
        <w:rPr>
          <w:rFonts w:hint="eastAsia" w:ascii="宋体" w:hAnsi="Times New Roman" w:eastAsia="宋体" w:cs="宋体"/>
          <w:sz w:val="21"/>
          <w:lang w:val="en-US" w:eastAsia="zh-CN"/>
        </w:rPr>
        <w:t xml:space="preserve">  </w:t>
      </w:r>
      <w:r>
        <w:rPr>
          <w:rFonts w:ascii="Verdana" w:hAnsi="Verdana" w:eastAsia="宋体" w:cs="Verdana"/>
          <w:i w:val="0"/>
          <w:iCs w:val="0"/>
          <w:caps w:val="0"/>
          <w:color w:val="333333"/>
          <w:spacing w:val="0"/>
          <w:sz w:val="20"/>
          <w:szCs w:val="20"/>
          <w:shd w:val="clear" w:fill="FFFFFF"/>
        </w:rPr>
        <w:t>食品安全国家标准 食品微生物学检验 大肠菌群计数</w:t>
      </w:r>
    </w:p>
    <w:p w14:paraId="3BAE87B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w:t>
      </w:r>
      <w:r>
        <w:rPr>
          <w:rFonts w:hint="eastAsia" w:cs="宋体"/>
          <w:sz w:val="21"/>
          <w:lang w:val="en-US" w:eastAsia="zh-CN"/>
        </w:rPr>
        <w:t>789</w:t>
      </w:r>
      <w:r>
        <w:rPr>
          <w:rFonts w:hint="eastAsia" w:ascii="宋体" w:hAnsi="Times New Roman" w:eastAsia="宋体" w:cs="宋体"/>
          <w:sz w:val="21"/>
          <w:lang w:val="en-US" w:eastAsia="zh-CN"/>
        </w:rPr>
        <w:t>.</w:t>
      </w:r>
      <w:r>
        <w:rPr>
          <w:rFonts w:hint="eastAsia" w:cs="宋体"/>
          <w:sz w:val="21"/>
          <w:lang w:val="en-US" w:eastAsia="zh-CN"/>
        </w:rPr>
        <w:t>4</w:t>
      </w:r>
      <w:r>
        <w:rPr>
          <w:rFonts w:hint="eastAsia" w:ascii="宋体" w:hAnsi="Times New Roman" w:eastAsia="宋体" w:cs="宋体"/>
          <w:sz w:val="21"/>
          <w:lang w:val="en-US" w:eastAsia="zh-CN"/>
        </w:rPr>
        <w:t xml:space="preserve">  </w:t>
      </w:r>
      <w:r>
        <w:rPr>
          <w:rFonts w:ascii="Verdana" w:hAnsi="Verdana" w:eastAsia="宋体" w:cs="Verdana"/>
          <w:i w:val="0"/>
          <w:iCs w:val="0"/>
          <w:caps w:val="0"/>
          <w:color w:val="333333"/>
          <w:spacing w:val="0"/>
          <w:sz w:val="20"/>
          <w:szCs w:val="20"/>
          <w:shd w:val="clear" w:fill="FFFFFF"/>
        </w:rPr>
        <w:t>食品安全国家标准 食品微生物学检验 沙门氏菌检验</w:t>
      </w:r>
    </w:p>
    <w:p w14:paraId="135327DE">
      <w:pPr>
        <w:autoSpaceDE w:val="0"/>
        <w:autoSpaceDN w:val="0"/>
        <w:ind w:firstLine="420" w:firstLineChars="200"/>
        <w:jc w:val="both"/>
        <w:rPr>
          <w:rFonts w:ascii="Verdana" w:hAnsi="Verdana" w:eastAsia="宋体" w:cs="Verdana"/>
          <w:i w:val="0"/>
          <w:iCs w:val="0"/>
          <w:caps w:val="0"/>
          <w:color w:val="333333"/>
          <w:spacing w:val="0"/>
          <w:sz w:val="20"/>
          <w:szCs w:val="20"/>
          <w:shd w:val="clear" w:fill="FFFFFF"/>
        </w:rPr>
      </w:pPr>
      <w:r>
        <w:rPr>
          <w:rFonts w:hint="eastAsia" w:ascii="宋体" w:hAnsi="Times New Roman" w:eastAsia="宋体" w:cs="宋体"/>
          <w:sz w:val="21"/>
          <w:lang w:val="en-US" w:eastAsia="zh-CN"/>
        </w:rPr>
        <w:t xml:space="preserve">GB </w:t>
      </w:r>
      <w:r>
        <w:rPr>
          <w:rFonts w:hint="eastAsia" w:cs="宋体"/>
          <w:sz w:val="21"/>
          <w:lang w:val="en-US" w:eastAsia="zh-CN"/>
        </w:rPr>
        <w:t>4789.10</w:t>
      </w:r>
      <w:r>
        <w:rPr>
          <w:rFonts w:hint="eastAsia" w:ascii="宋体" w:hAnsi="Times New Roman" w:eastAsia="宋体" w:cs="宋体"/>
          <w:sz w:val="21"/>
          <w:lang w:val="en-US" w:eastAsia="zh-CN"/>
        </w:rPr>
        <w:t xml:space="preserve">  </w:t>
      </w:r>
      <w:r>
        <w:rPr>
          <w:rFonts w:ascii="Verdana" w:hAnsi="Verdana" w:eastAsia="宋体" w:cs="Verdana"/>
          <w:i w:val="0"/>
          <w:iCs w:val="0"/>
          <w:caps w:val="0"/>
          <w:color w:val="333333"/>
          <w:spacing w:val="0"/>
          <w:sz w:val="20"/>
          <w:szCs w:val="20"/>
          <w:shd w:val="clear" w:fill="FFFFFF"/>
        </w:rPr>
        <w:t>食品安全国家标准 食品微生物学检验 金黄色葡萄球菌检验</w:t>
      </w:r>
    </w:p>
    <w:p w14:paraId="5F617CF9">
      <w:pPr>
        <w:pStyle w:val="23"/>
        <w:bidi w:val="0"/>
        <w:rPr>
          <w:rFonts w:hint="eastAsia" w:ascii="宋体" w:hAnsi="Times New Roman" w:eastAsia="宋体" w:cs="宋体"/>
          <w:color w:val="auto"/>
          <w:kern w:val="0"/>
          <w:sz w:val="21"/>
          <w:szCs w:val="20"/>
          <w:lang w:val="en-US" w:eastAsia="zh-CN" w:bidi="ar"/>
        </w:rPr>
      </w:pPr>
      <w:r>
        <w:rPr>
          <w:rFonts w:hint="eastAsia" w:ascii="宋体" w:hAnsi="Times New Roman" w:eastAsia="宋体" w:cs="宋体"/>
          <w:sz w:val="21"/>
          <w:lang w:val="en-US" w:eastAsia="zh-CN"/>
        </w:rPr>
        <w:t>GB</w:t>
      </w:r>
      <w:r>
        <w:rPr>
          <w:rFonts w:hint="eastAsia" w:cs="宋体"/>
          <w:sz w:val="21"/>
          <w:lang w:val="en-US" w:eastAsia="zh-CN"/>
        </w:rPr>
        <w:t xml:space="preserve"> 4806.1</w:t>
      </w:r>
      <w:r>
        <w:rPr>
          <w:rFonts w:hint="eastAsia" w:ascii="宋体" w:hAnsi="Times New Roman" w:eastAsia="宋体" w:cs="宋体"/>
          <w:sz w:val="21"/>
          <w:lang w:val="en-US" w:eastAsia="zh-CN"/>
        </w:rPr>
        <w:t xml:space="preserve"> </w:t>
      </w:r>
      <w:r>
        <w:rPr>
          <w:rFonts w:hint="eastAsia" w:cs="宋体"/>
          <w:sz w:val="21"/>
          <w:lang w:val="en-US" w:eastAsia="zh-CN"/>
        </w:rPr>
        <w:t xml:space="preserve"> </w:t>
      </w:r>
      <w:r>
        <w:rPr>
          <w:rFonts w:ascii="Verdana" w:hAnsi="Verdana" w:eastAsia="宋体" w:cs="Verdana"/>
          <w:i w:val="0"/>
          <w:iCs w:val="0"/>
          <w:caps w:val="0"/>
          <w:color w:val="333333"/>
          <w:spacing w:val="0"/>
          <w:sz w:val="20"/>
          <w:szCs w:val="20"/>
          <w:shd w:val="clear" w:fill="FFFFFF"/>
        </w:rPr>
        <w:t>食品安全国家标准 食品接触材料及制品通用安全要求</w:t>
      </w:r>
    </w:p>
    <w:p w14:paraId="6B36502E">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w:t>
      </w:r>
      <w:r>
        <w:rPr>
          <w:rFonts w:hint="eastAsia" w:cs="宋体"/>
          <w:sz w:val="21"/>
          <w:lang w:val="en-US" w:eastAsia="zh-CN"/>
        </w:rPr>
        <w:t xml:space="preserve"> </w:t>
      </w:r>
      <w:r>
        <w:rPr>
          <w:rFonts w:hint="eastAsia" w:ascii="宋体" w:hAnsi="Times New Roman" w:eastAsia="宋体" w:cs="宋体"/>
          <w:color w:val="auto"/>
          <w:kern w:val="0"/>
          <w:sz w:val="21"/>
          <w:szCs w:val="20"/>
          <w:lang w:val="en-US" w:eastAsia="zh-CN" w:bidi="ar"/>
        </w:rPr>
        <w:t xml:space="preserve">4806.6 </w:t>
      </w:r>
      <w:r>
        <w:rPr>
          <w:rFonts w:hint="eastAsia" w:cs="宋体"/>
          <w:color w:val="auto"/>
          <w:kern w:val="0"/>
          <w:sz w:val="21"/>
          <w:szCs w:val="20"/>
          <w:lang w:val="en-US" w:eastAsia="zh-CN" w:bidi="ar"/>
        </w:rPr>
        <w:t xml:space="preserve"> </w:t>
      </w:r>
      <w:r>
        <w:rPr>
          <w:rFonts w:ascii="Verdana" w:hAnsi="Verdana" w:eastAsia="宋体" w:cs="Verdana"/>
          <w:i w:val="0"/>
          <w:iCs w:val="0"/>
          <w:caps w:val="0"/>
          <w:color w:val="333333"/>
          <w:spacing w:val="0"/>
          <w:sz w:val="20"/>
          <w:szCs w:val="20"/>
          <w:shd w:val="clear" w:fill="FFFFFF"/>
        </w:rPr>
        <w:t>食品安全国家标准 食品接触用塑料树脂</w:t>
      </w:r>
    </w:p>
    <w:p w14:paraId="26271A28">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4806.7  </w:t>
      </w:r>
      <w:r>
        <w:rPr>
          <w:rFonts w:ascii="Verdana" w:hAnsi="Verdana" w:eastAsia="宋体" w:cs="Verdana"/>
          <w:i w:val="0"/>
          <w:iCs w:val="0"/>
          <w:caps w:val="0"/>
          <w:color w:val="333333"/>
          <w:spacing w:val="0"/>
          <w:sz w:val="20"/>
          <w:szCs w:val="20"/>
          <w:shd w:val="clear" w:fill="FFFFFF"/>
        </w:rPr>
        <w:t>食品安全国家标准 食品接触用塑料材料及制品</w:t>
      </w:r>
      <w:r>
        <w:rPr>
          <w:rFonts w:hint="eastAsia" w:ascii="宋体" w:hAnsi="Times New Roman" w:eastAsia="宋体" w:cs="宋体"/>
          <w:sz w:val="21"/>
          <w:lang w:val="en-US" w:eastAsia="zh-CN"/>
        </w:rPr>
        <w:t xml:space="preserve"> </w:t>
      </w:r>
    </w:p>
    <w:p w14:paraId="221DB27E">
      <w:pPr>
        <w:pStyle w:val="23"/>
        <w:bidi w:val="0"/>
        <w:rPr>
          <w:rFonts w:hint="eastAsia" w:cs="宋体"/>
          <w:sz w:val="21"/>
          <w:lang w:val="en-US" w:eastAsia="zh-CN"/>
        </w:rPr>
      </w:pPr>
      <w:r>
        <w:rPr>
          <w:rFonts w:hint="eastAsia" w:cs="宋体"/>
          <w:sz w:val="21"/>
          <w:lang w:val="en-US" w:eastAsia="zh-CN"/>
        </w:rPr>
        <w:t>GB 4806.8  食品安全国家标准 食品接触用纸和纸板材料及制品</w:t>
      </w:r>
    </w:p>
    <w:p w14:paraId="389AED9F">
      <w:pPr>
        <w:autoSpaceDE w:val="0"/>
        <w:autoSpaceDN w:val="0"/>
        <w:ind w:firstLine="420" w:firstLineChars="200"/>
        <w:jc w:val="both"/>
        <w:rPr>
          <w:rFonts w:ascii="Verdana" w:hAnsi="Verdana" w:eastAsia="宋体" w:cs="Verdana"/>
          <w:i w:val="0"/>
          <w:iCs w:val="0"/>
          <w:caps w:val="0"/>
          <w:color w:val="333333"/>
          <w:spacing w:val="0"/>
          <w:sz w:val="20"/>
          <w:szCs w:val="20"/>
          <w:shd w:val="clear" w:fill="FFFFFF"/>
        </w:rPr>
      </w:pPr>
      <w:r>
        <w:rPr>
          <w:rFonts w:hint="eastAsia" w:ascii="宋体" w:hAnsi="Times New Roman" w:eastAsia="宋体" w:cs="Times New Roman"/>
          <w:sz w:val="21"/>
          <w:lang w:val="en-US" w:eastAsia="zh-CN" w:bidi="ar-SA"/>
        </w:rPr>
        <w:t xml:space="preserve">GB 5009.3  </w:t>
      </w:r>
      <w:r>
        <w:rPr>
          <w:rFonts w:ascii="Verdana" w:hAnsi="Verdana" w:eastAsia="宋体" w:cs="Verdana"/>
          <w:i w:val="0"/>
          <w:iCs w:val="0"/>
          <w:caps w:val="0"/>
          <w:color w:val="333333"/>
          <w:spacing w:val="0"/>
          <w:sz w:val="20"/>
          <w:szCs w:val="20"/>
          <w:shd w:val="clear" w:fill="FFFFFF"/>
        </w:rPr>
        <w:t>食品安全国家标准 食品中水分的测定</w:t>
      </w:r>
    </w:p>
    <w:p w14:paraId="06AFF078">
      <w:pPr>
        <w:autoSpaceDE w:val="0"/>
        <w:autoSpaceDN w:val="0"/>
        <w:ind w:firstLine="420" w:firstLineChars="200"/>
        <w:jc w:val="both"/>
        <w:rPr>
          <w:rFonts w:ascii="Verdana" w:hAnsi="Verdana" w:eastAsia="宋体" w:cs="Verdana"/>
          <w:i w:val="0"/>
          <w:iCs w:val="0"/>
          <w:caps w:val="0"/>
          <w:color w:val="333333"/>
          <w:spacing w:val="0"/>
          <w:sz w:val="20"/>
          <w:szCs w:val="20"/>
          <w:shd w:val="clear" w:fill="FFFFFF"/>
        </w:rPr>
      </w:pPr>
      <w:r>
        <w:rPr>
          <w:rFonts w:hint="eastAsia"/>
          <w:lang w:val="en-US" w:eastAsia="zh-CN"/>
        </w:rPr>
        <w:t xml:space="preserve">GB 5009.22  </w:t>
      </w:r>
      <w:r>
        <w:rPr>
          <w:rFonts w:ascii="Verdana" w:hAnsi="Verdana" w:eastAsia="宋体" w:cs="Verdana"/>
          <w:i w:val="0"/>
          <w:iCs w:val="0"/>
          <w:caps w:val="0"/>
          <w:color w:val="333333"/>
          <w:spacing w:val="0"/>
          <w:sz w:val="20"/>
          <w:szCs w:val="20"/>
          <w:shd w:val="clear" w:fill="FFFFFF"/>
        </w:rPr>
        <w:t>食品安全国家标准 食品中黄曲霉毒素B族和G族的测定</w:t>
      </w:r>
    </w:p>
    <w:p w14:paraId="00E5152D">
      <w:pPr>
        <w:autoSpaceDE w:val="0"/>
        <w:autoSpaceDN w:val="0"/>
        <w:ind w:firstLine="420" w:firstLineChars="200"/>
        <w:jc w:val="both"/>
        <w:rPr>
          <w:rFonts w:hint="default" w:ascii="Verdana" w:hAnsi="Verdana" w:eastAsia="宋体" w:cs="Verdana"/>
          <w:i w:val="0"/>
          <w:iCs w:val="0"/>
          <w:caps w:val="0"/>
          <w:color w:val="333333"/>
          <w:spacing w:val="0"/>
          <w:sz w:val="20"/>
          <w:szCs w:val="20"/>
          <w:shd w:val="clear" w:fill="FFFFFF"/>
          <w:lang w:val="en-US" w:eastAsia="zh-CN"/>
        </w:rPr>
      </w:pPr>
      <w:r>
        <w:rPr>
          <w:rFonts w:hint="eastAsia"/>
          <w:lang w:val="en-US" w:eastAsia="zh-CN"/>
        </w:rPr>
        <w:t xml:space="preserve">GB 5009.239  </w:t>
      </w:r>
      <w:r>
        <w:rPr>
          <w:rFonts w:ascii="Verdana" w:hAnsi="Verdana" w:eastAsia="宋体" w:cs="Verdana"/>
          <w:i w:val="0"/>
          <w:iCs w:val="0"/>
          <w:caps w:val="0"/>
          <w:color w:val="333333"/>
          <w:spacing w:val="0"/>
          <w:sz w:val="20"/>
          <w:szCs w:val="20"/>
          <w:shd w:val="clear" w:fill="FFFFFF"/>
        </w:rPr>
        <w:t>食品安全国家标准 食品酸度的测定</w:t>
      </w:r>
    </w:p>
    <w:p w14:paraId="42765E17">
      <w:pPr>
        <w:pStyle w:val="23"/>
        <w:bidi w:val="0"/>
        <w:rPr>
          <w:rFonts w:hint="eastAsia" w:cs="宋体"/>
          <w:sz w:val="21"/>
          <w:lang w:val="en-US" w:eastAsia="zh-CN"/>
        </w:rPr>
      </w:pPr>
      <w:r>
        <w:rPr>
          <w:rFonts w:hint="eastAsia" w:cs="宋体"/>
          <w:sz w:val="21"/>
          <w:lang w:val="en-US" w:eastAsia="zh-CN"/>
        </w:rPr>
        <w:t>GB/T 5737  食品塑料周转箱</w:t>
      </w:r>
    </w:p>
    <w:p w14:paraId="3BAF0605">
      <w:pPr>
        <w:pStyle w:val="23"/>
        <w:bidi w:val="0"/>
        <w:rPr>
          <w:rFonts w:hint="eastAsia" w:cs="宋体"/>
          <w:sz w:val="21"/>
          <w:lang w:val="en-US" w:eastAsia="zh-CN"/>
        </w:rPr>
      </w:pPr>
      <w:r>
        <w:rPr>
          <w:rFonts w:hint="eastAsia"/>
          <w:lang w:val="en-US" w:eastAsia="zh-CN"/>
        </w:rPr>
        <w:t xml:space="preserve">GB 5749  </w:t>
      </w:r>
      <w:r>
        <w:rPr>
          <w:rFonts w:ascii="Verdana" w:hAnsi="Verdana" w:eastAsia="宋体" w:cs="Verdana"/>
          <w:i w:val="0"/>
          <w:iCs w:val="0"/>
          <w:caps w:val="0"/>
          <w:color w:val="333333"/>
          <w:spacing w:val="0"/>
          <w:sz w:val="20"/>
          <w:szCs w:val="20"/>
          <w:shd w:val="clear" w:fill="FFFFFF"/>
        </w:rPr>
        <w:t>生活饮用水卫生标准</w:t>
      </w:r>
    </w:p>
    <w:p w14:paraId="6FB510E0">
      <w:pPr>
        <w:pStyle w:val="23"/>
        <w:bidi w:val="0"/>
        <w:rPr>
          <w:rFonts w:hint="eastAsia" w:ascii="宋体" w:hAnsi="Times New Roman" w:eastAsia="宋体" w:cs="宋体"/>
          <w:sz w:val="21"/>
          <w:lang w:val="en-US" w:eastAsia="zh-CN"/>
        </w:rPr>
      </w:pPr>
      <w:r>
        <w:rPr>
          <w:rFonts w:hint="eastAsia" w:cs="宋体"/>
          <w:sz w:val="21"/>
          <w:lang w:val="en-US" w:eastAsia="zh-CN"/>
        </w:rPr>
        <w:t>GB 7718  食品安全国家标准 预包装食品标签通则</w:t>
      </w:r>
    </w:p>
    <w:p w14:paraId="7EA6E036">
      <w:pPr>
        <w:pStyle w:val="23"/>
        <w:bidi w:val="0"/>
        <w:rPr>
          <w:rFonts w:ascii="Verdana" w:hAnsi="Verdana" w:eastAsia="宋体" w:cs="Verdana"/>
          <w:i w:val="0"/>
          <w:iCs w:val="0"/>
          <w:caps w:val="0"/>
          <w:color w:val="333333"/>
          <w:spacing w:val="0"/>
          <w:sz w:val="20"/>
          <w:szCs w:val="20"/>
          <w:shd w:val="clear" w:fill="FFFFFF"/>
        </w:rPr>
      </w:pPr>
      <w:r>
        <w:rPr>
          <w:rFonts w:hint="eastAsia" w:cs="宋体"/>
          <w:sz w:val="21"/>
          <w:lang w:val="en-US" w:eastAsia="zh-CN"/>
        </w:rPr>
        <w:t xml:space="preserve">GB/T 10004  </w:t>
      </w:r>
      <w:r>
        <w:rPr>
          <w:rFonts w:ascii="Verdana" w:hAnsi="Verdana" w:eastAsia="宋体" w:cs="Verdana"/>
          <w:i w:val="0"/>
          <w:iCs w:val="0"/>
          <w:caps w:val="0"/>
          <w:color w:val="333333"/>
          <w:spacing w:val="0"/>
          <w:sz w:val="20"/>
          <w:szCs w:val="20"/>
          <w:shd w:val="clear" w:fill="FFFFFF"/>
        </w:rPr>
        <w:t>包装用塑料复合膜、袋 干法复合、挤出复合</w:t>
      </w:r>
    </w:p>
    <w:p w14:paraId="126E0563">
      <w:pPr>
        <w:pStyle w:val="23"/>
        <w:bidi w:val="0"/>
        <w:rPr>
          <w:rFonts w:hint="eastAsia" w:ascii="Verdana" w:hAnsi="Verdana" w:eastAsia="宋体" w:cs="Verdana"/>
          <w:i w:val="0"/>
          <w:iCs w:val="0"/>
          <w:caps w:val="0"/>
          <w:color w:val="333333"/>
          <w:spacing w:val="0"/>
          <w:sz w:val="20"/>
          <w:szCs w:val="20"/>
          <w:shd w:val="clear" w:fill="FFFFFF"/>
          <w:lang w:val="en-US" w:eastAsia="zh-CN"/>
        </w:rPr>
      </w:pPr>
      <w:r>
        <w:rPr>
          <w:rFonts w:hint="eastAsia"/>
          <w:lang w:val="en-US" w:eastAsia="zh-CN"/>
        </w:rPr>
        <w:t xml:space="preserve">GB/T 24616  </w:t>
      </w:r>
      <w:r>
        <w:rPr>
          <w:rFonts w:hint="eastAsia" w:ascii="Verdana" w:hAnsi="Verdana" w:cs="Verdana"/>
          <w:i w:val="0"/>
          <w:iCs w:val="0"/>
          <w:caps w:val="0"/>
          <w:color w:val="333333"/>
          <w:spacing w:val="0"/>
          <w:sz w:val="20"/>
          <w:szCs w:val="20"/>
          <w:shd w:val="clear" w:fill="FFFFFF"/>
          <w:lang w:val="en-US" w:eastAsia="zh-CN"/>
        </w:rPr>
        <w:t>冷藏、冷冻食品物流包装、标志、运输和储存</w:t>
      </w:r>
    </w:p>
    <w:p w14:paraId="7DD719F3">
      <w:pPr>
        <w:pStyle w:val="23"/>
        <w:bidi w:val="0"/>
        <w:rPr>
          <w:rFonts w:hint="default" w:ascii="宋体" w:hAnsi="Times New Roman" w:eastAsia="宋体" w:cs="宋体"/>
          <w:sz w:val="21"/>
          <w:lang w:val="en-US" w:eastAsia="zh-CN"/>
        </w:rPr>
      </w:pPr>
      <w:r>
        <w:rPr>
          <w:rFonts w:hint="eastAsia" w:cs="宋体"/>
          <w:sz w:val="21"/>
          <w:lang w:val="en-US" w:eastAsia="zh-CN"/>
        </w:rPr>
        <w:t>GB 28050  食品安全国家标准 预包装食品营养标签通则</w:t>
      </w:r>
    </w:p>
    <w:p w14:paraId="22616C34">
      <w:pPr>
        <w:pStyle w:val="23"/>
        <w:bidi w:val="0"/>
        <w:rPr>
          <w:rFonts w:hint="default" w:ascii="宋体" w:hAnsi="Times New Roman" w:eastAsia="宋体" w:cs="宋体"/>
          <w:sz w:val="21"/>
          <w:lang w:val="en-US" w:eastAsia="zh-CN"/>
        </w:rPr>
      </w:pPr>
      <w:r>
        <w:rPr>
          <w:rFonts w:hint="eastAsia" w:cs="宋体"/>
          <w:sz w:val="21"/>
          <w:lang w:val="en-US" w:eastAsia="zh-CN"/>
        </w:rPr>
        <w:t>JJF 1070  定量包装商品净含量计量检验规则</w:t>
      </w:r>
    </w:p>
    <w:p w14:paraId="14C2CF3A">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国家市场监督管理总局令2023年第70号  定量包装商品计量监督管理办法</w:t>
      </w:r>
    </w:p>
    <w:p w14:paraId="547347CE">
      <w:pPr>
        <w:pStyle w:val="70"/>
        <w:bidi w:val="0"/>
        <w:rPr>
          <w:rFonts w:hint="eastAsia" w:ascii="宋体" w:hAnsi="Times New Roman" w:eastAsia="宋体" w:cs="宋体"/>
          <w:lang w:val="en-US" w:eastAsia="zh-CN"/>
        </w:rPr>
      </w:pPr>
      <w:bookmarkStart w:id="23" w:name="_Toc17023"/>
      <w:r>
        <w:rPr>
          <w:rFonts w:hint="eastAsia"/>
          <w:lang w:val="en-US" w:eastAsia="zh-CN"/>
        </w:rPr>
        <w:t>术语和定义</w:t>
      </w:r>
      <w:bookmarkEnd w:id="23"/>
    </w:p>
    <w:sdt>
      <w:sdtPr>
        <w:rPr>
          <w:rFonts w:hint="eastAsia" w:ascii="宋体" w:hAnsi="Times New Roman" w:eastAsia="宋体" w:cs="宋体"/>
          <w:sz w:val="21"/>
          <w:lang w:val="en-US" w:eastAsia="zh-CN"/>
        </w:rPr>
        <w:tag w:val="TermContent"/>
        <w:id w:val="147463457"/>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4E2FDC5C">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CA914A3">
      <w:pPr>
        <w:pStyle w:val="81"/>
        <w:bidi w:val="0"/>
        <w:spacing w:after="0" w:afterLines="0"/>
        <w:ind w:left="420" w:hanging="420" w:hangingChars="200"/>
        <w:rPr>
          <w:rFonts w:hint="eastAsia" w:ascii="黑体" w:hAnsi="黑体" w:eastAsia="黑体" w:cs="黑体"/>
          <w:lang w:val="en-US" w:eastAsia="zh-CN"/>
        </w:rPr>
      </w:pPr>
    </w:p>
    <w:p w14:paraId="560A448B">
      <w:pPr>
        <w:pStyle w:val="81"/>
        <w:numPr>
          <w:ilvl w:val="-1"/>
          <w:numId w:val="0"/>
        </w:numPr>
        <w:bidi w:val="0"/>
        <w:spacing w:after="0" w:afterLines="0"/>
        <w:ind w:left="-420" w:leftChars="-200" w:firstLine="840" w:firstLineChars="400"/>
        <w:rPr>
          <w:rFonts w:hint="eastAsia" w:ascii="黑体" w:hAnsi="黑体" w:eastAsia="黑体" w:cs="黑体"/>
          <w:lang w:val="en-US" w:eastAsia="zh-CN"/>
        </w:rPr>
      </w:pPr>
      <w:r>
        <w:rPr>
          <w:rFonts w:hint="eastAsia" w:cs="黑体"/>
          <w:lang w:val="en-US" w:eastAsia="zh-CN"/>
        </w:rPr>
        <w:t>黄元米果Huangyuan rice cake</w:t>
      </w:r>
    </w:p>
    <w:p w14:paraId="78819383">
      <w:pPr>
        <w:pStyle w:val="23"/>
        <w:rPr>
          <w:rFonts w:hint="eastAsia"/>
          <w:lang w:val="en-US" w:eastAsia="zh-CN"/>
        </w:rPr>
      </w:pPr>
      <w:r>
        <w:rPr>
          <w:rFonts w:hint="eastAsia"/>
          <w:lang w:val="en-US" w:eastAsia="zh-CN"/>
        </w:rPr>
        <w:t>以大米（大禾米、梗米）为主要原料，辅以槐米、槐花、栀子经浸泡、蒸煮、碾磨、捶打成膏、捏制成型、包装等工艺制成的大米点心；并经“井冈山®”商标持有人授权的黄元米果。</w:t>
      </w:r>
    </w:p>
    <w:p w14:paraId="65F9E6B4">
      <w:pPr>
        <w:pStyle w:val="23"/>
        <w:rPr>
          <w:rFonts w:hint="eastAsia"/>
          <w:lang w:val="en-US" w:eastAsia="zh-CN"/>
        </w:rPr>
      </w:pPr>
      <w:r>
        <w:rPr>
          <w:rFonts w:hint="eastAsia"/>
          <w:lang w:val="en-US" w:eastAsia="zh-CN"/>
        </w:rPr>
        <w:t>井冈山黄元米果生产区域范围见附录A。</w:t>
      </w:r>
    </w:p>
    <w:p w14:paraId="52767845">
      <w:pPr>
        <w:pStyle w:val="70"/>
        <w:bidi w:val="0"/>
        <w:rPr>
          <w:rFonts w:hint="eastAsia"/>
          <w:lang w:val="en-US" w:eastAsia="zh-CN"/>
        </w:rPr>
      </w:pPr>
      <w:bookmarkStart w:id="24" w:name="_Toc1476"/>
      <w:r>
        <w:rPr>
          <w:rFonts w:hint="eastAsia"/>
          <w:lang w:val="en-US" w:eastAsia="zh-CN"/>
        </w:rPr>
        <w:t>要求</w:t>
      </w:r>
      <w:bookmarkEnd w:id="24"/>
    </w:p>
    <w:p w14:paraId="10D4711D">
      <w:pPr>
        <w:pStyle w:val="71"/>
        <w:spacing w:before="120" w:after="120"/>
      </w:pPr>
      <w:r>
        <w:rPr>
          <w:rFonts w:hint="eastAsia"/>
          <w:lang w:val="en-US" w:eastAsia="zh-CN"/>
        </w:rPr>
        <w:t>原、辅料要求</w:t>
      </w:r>
    </w:p>
    <w:p w14:paraId="75A8E02B">
      <w:pPr>
        <w:pStyle w:val="71"/>
        <w:numPr>
          <w:ilvl w:val="-1"/>
          <w:numId w:val="0"/>
        </w:numPr>
        <w:spacing w:before="120" w:after="120"/>
      </w:pPr>
      <w:r>
        <w:rPr>
          <w:rFonts w:hint="eastAsia"/>
          <w:lang w:val="en-US" w:eastAsia="zh-CN"/>
        </w:rPr>
        <w:t>4.1.1 大米（大禾米、梗米）</w:t>
      </w:r>
    </w:p>
    <w:p w14:paraId="28A6C51B">
      <w:pPr>
        <w:pStyle w:val="23"/>
        <w:rPr>
          <w:rFonts w:hint="default"/>
          <w:lang w:val="en-US" w:eastAsia="zh-CN"/>
        </w:rPr>
      </w:pPr>
      <w:r>
        <w:rPr>
          <w:rFonts w:hint="eastAsia"/>
          <w:lang w:val="en-US" w:eastAsia="zh-CN"/>
        </w:rPr>
        <w:t>应符合GB 2715和GB/T 1354的规定。</w:t>
      </w:r>
    </w:p>
    <w:p w14:paraId="57F01C09">
      <w:pPr>
        <w:pStyle w:val="71"/>
        <w:numPr>
          <w:ilvl w:val="-1"/>
          <w:numId w:val="0"/>
        </w:numPr>
        <w:spacing w:before="120" w:after="120"/>
      </w:pPr>
      <w:r>
        <w:rPr>
          <w:rFonts w:hint="eastAsia"/>
          <w:lang w:val="en-US" w:eastAsia="zh-CN"/>
        </w:rPr>
        <w:t>4.1.2 槐米、槐花、栀子</w:t>
      </w:r>
    </w:p>
    <w:p w14:paraId="10C7B83F">
      <w:pPr>
        <w:pStyle w:val="23"/>
        <w:ind w:firstLine="960"/>
        <w:rPr>
          <w:rFonts w:hint="eastAsia"/>
          <w:lang w:val="en-US" w:eastAsia="zh-CN"/>
        </w:rPr>
      </w:pPr>
      <w:r>
        <w:rPr>
          <w:rFonts w:hint="eastAsia"/>
        </w:rPr>
        <w:t>应符合</w:t>
      </w:r>
      <w:bookmarkStart w:id="25" w:name="_Hlk103953316"/>
      <w:r>
        <w:rPr>
          <w:rFonts w:hint="eastAsia"/>
          <w:lang w:eastAsia="zh-CN"/>
        </w:rPr>
        <w:t>《</w:t>
      </w:r>
      <w:r>
        <w:rPr>
          <w:rFonts w:hint="eastAsia"/>
          <w:lang w:val="en-US" w:eastAsia="zh-CN"/>
        </w:rPr>
        <w:t>中华人民共和国药典》（2020年版）一部中相应品种项下的规定，其污染物限量和农药最大残留量限量分别应符合GB 2762和GB 2763的规定</w:t>
      </w:r>
      <w:bookmarkEnd w:id="25"/>
      <w:r>
        <w:rPr>
          <w:rFonts w:hint="eastAsia"/>
        </w:rPr>
        <w:t>。</w:t>
      </w:r>
    </w:p>
    <w:p w14:paraId="2734E912">
      <w:pPr>
        <w:pStyle w:val="71"/>
        <w:numPr>
          <w:ilvl w:val="-1"/>
          <w:numId w:val="0"/>
        </w:numPr>
        <w:spacing w:before="120" w:after="120"/>
      </w:pPr>
      <w:r>
        <w:rPr>
          <w:rFonts w:hint="eastAsia"/>
          <w:lang w:val="en-US" w:eastAsia="zh-CN"/>
        </w:rPr>
        <w:t>4.1.3 水</w:t>
      </w:r>
    </w:p>
    <w:p w14:paraId="4680BD32">
      <w:pPr>
        <w:pStyle w:val="23"/>
        <w:rPr>
          <w:rFonts w:hint="eastAsia"/>
        </w:rPr>
      </w:pPr>
      <w:r>
        <w:rPr>
          <w:rFonts w:hint="eastAsia"/>
          <w:lang w:val="en-US" w:eastAsia="zh-CN"/>
        </w:rPr>
        <w:t>应符合GB 5749的规定</w:t>
      </w:r>
      <w:r>
        <w:rPr>
          <w:rFonts w:hint="eastAsia"/>
        </w:rPr>
        <w:t>。</w:t>
      </w:r>
    </w:p>
    <w:p w14:paraId="23D74A8A">
      <w:pPr>
        <w:pStyle w:val="71"/>
        <w:bidi w:val="0"/>
        <w:rPr>
          <w:rFonts w:hint="default"/>
          <w:lang w:val="en-US" w:eastAsia="zh-CN"/>
        </w:rPr>
      </w:pPr>
      <w:r>
        <w:rPr>
          <w:rFonts w:hint="eastAsia"/>
        </w:rPr>
        <w:t>感官要求</w:t>
      </w:r>
    </w:p>
    <w:p w14:paraId="01DFE744">
      <w:pPr>
        <w:pStyle w:val="23"/>
        <w:ind w:firstLine="420"/>
        <w:rPr>
          <w:rFonts w:hint="eastAsia"/>
          <w:lang w:val="en-US" w:eastAsia="zh-CN"/>
        </w:rPr>
      </w:pPr>
      <w:r>
        <w:rPr>
          <w:rFonts w:hint="eastAsia"/>
          <w:lang w:val="en-US" w:eastAsia="zh-CN"/>
        </w:rPr>
        <w:t>应符合表1的规定</w:t>
      </w:r>
      <w:r>
        <w:rPr>
          <w:rFonts w:hint="eastAsia"/>
        </w:rPr>
        <w:t>。</w:t>
      </w:r>
    </w:p>
    <w:p w14:paraId="0F6A2812">
      <w:pPr>
        <w:pStyle w:val="111"/>
        <w:bidi w:val="0"/>
        <w:rPr>
          <w:rFonts w:hint="eastAsia"/>
          <w:lang w:val="en-US" w:eastAsia="zh-CN"/>
        </w:rPr>
      </w:pPr>
      <w:r>
        <w:rPr>
          <w:rFonts w:hint="eastAsia"/>
          <w:lang w:val="en-US" w:eastAsia="zh-CN"/>
        </w:rPr>
        <w:t>感官</w:t>
      </w:r>
      <w:r>
        <w:rPr>
          <w:rFonts w:hint="eastAsia"/>
          <w:color w:val="auto"/>
          <w:u w:val="none"/>
          <w:lang w:val="en-US" w:eastAsia="zh-CN"/>
        </w:rPr>
        <w:t>要求</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4285"/>
        <w:gridCol w:w="2886"/>
      </w:tblGrid>
      <w:tr w14:paraId="7F61A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9" w:type="pct"/>
            <w:vAlign w:val="center"/>
          </w:tcPr>
          <w:p w14:paraId="7F616156">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241" w:type="pct"/>
            <w:tcBorders>
              <w:bottom w:val="single" w:color="auto" w:sz="8" w:space="0"/>
            </w:tcBorders>
            <w:vAlign w:val="center"/>
          </w:tcPr>
          <w:p w14:paraId="362EAB5B">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要求</w:t>
            </w:r>
          </w:p>
        </w:tc>
        <w:tc>
          <w:tcPr>
            <w:tcW w:w="1509" w:type="pct"/>
            <w:vAlign w:val="center"/>
          </w:tcPr>
          <w:p w14:paraId="102896D5">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1C4B4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79D2F69A">
            <w:pPr>
              <w:pStyle w:val="109"/>
              <w:widowControl w:val="0"/>
              <w:bidi w:val="0"/>
              <w:ind w:left="0" w:leftChars="0" w:firstLine="0" w:firstLineChars="0"/>
              <w:jc w:val="center"/>
              <w:rPr>
                <w:rFonts w:hint="default"/>
                <w:lang w:val="en-US" w:eastAsia="zh-CN"/>
              </w:rPr>
            </w:pPr>
            <w:r>
              <w:rPr>
                <w:rFonts w:hint="eastAsia"/>
                <w:lang w:val="en-US" w:eastAsia="zh-CN"/>
              </w:rPr>
              <w:t>外观</w:t>
            </w:r>
          </w:p>
        </w:tc>
        <w:tc>
          <w:tcPr>
            <w:tcW w:w="2241" w:type="pct"/>
            <w:tcBorders>
              <w:top w:val="single" w:color="auto" w:sz="8" w:space="0"/>
            </w:tcBorders>
            <w:vAlign w:val="center"/>
          </w:tcPr>
          <w:p w14:paraId="1C39F3D5">
            <w:pPr>
              <w:widowControl/>
              <w:bidi w:val="0"/>
              <w:ind w:left="0" w:leftChars="0" w:firstLine="360" w:firstLineChars="200"/>
              <w:jc w:val="left"/>
              <w:rPr>
                <w:rFonts w:hint="default"/>
                <w:lang w:val="en-US" w:eastAsia="zh-CN"/>
              </w:rPr>
            </w:pPr>
            <w:r>
              <w:rPr>
                <w:rFonts w:hint="eastAsia" w:hAnsi="宋体" w:cs="宋体"/>
                <w:color w:val="000000"/>
                <w:kern w:val="0"/>
                <w:sz w:val="18"/>
                <w:szCs w:val="18"/>
                <w:lang w:val="en-US" w:eastAsia="zh-CN" w:bidi="ar"/>
              </w:rPr>
              <w:t>呈产品加工后应有的形态</w:t>
            </w:r>
            <w:r>
              <w:rPr>
                <w:rFonts w:hint="eastAsia"/>
                <w:sz w:val="18"/>
                <w:szCs w:val="18"/>
                <w:lang w:val="en-US" w:eastAsia="zh-CN"/>
              </w:rPr>
              <w:t>、块形完整、表面光滑、细腻、无霉变</w:t>
            </w:r>
          </w:p>
        </w:tc>
        <w:tc>
          <w:tcPr>
            <w:tcW w:w="1509" w:type="pct"/>
            <w:vMerge w:val="restart"/>
            <w:tcBorders>
              <w:top w:val="single" w:color="auto" w:sz="8" w:space="0"/>
            </w:tcBorders>
            <w:vAlign w:val="center"/>
          </w:tcPr>
          <w:p w14:paraId="6A2D9B94">
            <w:pPr>
              <w:pStyle w:val="109"/>
              <w:widowControl w:val="0"/>
              <w:bidi w:val="0"/>
              <w:ind w:left="0" w:leftChars="0" w:firstLine="0" w:firstLineChars="0"/>
              <w:jc w:val="center"/>
              <w:rPr>
                <w:rFonts w:hint="default"/>
                <w:lang w:val="en-US" w:eastAsia="zh-CN"/>
              </w:rPr>
            </w:pPr>
            <w:r>
              <w:rPr>
                <w:rFonts w:hint="eastAsia"/>
                <w:lang w:val="en-US" w:eastAsia="zh-CN"/>
              </w:rPr>
              <w:t>取适量试样，置于一清洁、干燥的器皿中，在自然光下目测其外观，色泽和杂质，鼻嗅其气味。</w:t>
            </w:r>
          </w:p>
        </w:tc>
      </w:tr>
      <w:tr w14:paraId="2F1B5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469062EE">
            <w:pPr>
              <w:pStyle w:val="109"/>
              <w:widowControl w:val="0"/>
              <w:bidi w:val="0"/>
              <w:ind w:left="0" w:leftChars="0" w:firstLine="0" w:firstLineChars="0"/>
              <w:jc w:val="center"/>
              <w:rPr>
                <w:rFonts w:hint="default"/>
                <w:lang w:val="en-US" w:eastAsia="zh-CN"/>
              </w:rPr>
            </w:pPr>
            <w:r>
              <w:rPr>
                <w:rFonts w:hint="eastAsia"/>
                <w:lang w:val="en-US" w:eastAsia="zh-CN"/>
              </w:rPr>
              <w:t>色泽</w:t>
            </w:r>
          </w:p>
        </w:tc>
        <w:tc>
          <w:tcPr>
            <w:tcW w:w="2241" w:type="pct"/>
            <w:vAlign w:val="center"/>
          </w:tcPr>
          <w:p w14:paraId="2FB0D3FB">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黄色或浅黄色</w:t>
            </w:r>
          </w:p>
        </w:tc>
        <w:tc>
          <w:tcPr>
            <w:tcW w:w="1509" w:type="pct"/>
            <w:vMerge w:val="continue"/>
            <w:vAlign w:val="center"/>
          </w:tcPr>
          <w:p w14:paraId="70A61A1B">
            <w:pPr>
              <w:pStyle w:val="109"/>
              <w:widowControl w:val="0"/>
              <w:bidi w:val="0"/>
              <w:ind w:left="0" w:leftChars="0" w:firstLine="0" w:firstLineChars="0"/>
              <w:jc w:val="center"/>
              <w:rPr>
                <w:rFonts w:hint="eastAsia"/>
                <w:lang w:val="en-US" w:eastAsia="zh-CN"/>
              </w:rPr>
            </w:pPr>
          </w:p>
        </w:tc>
      </w:tr>
      <w:tr w14:paraId="19ACB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36E96C75">
            <w:pPr>
              <w:pStyle w:val="109"/>
              <w:widowControl w:val="0"/>
              <w:bidi w:val="0"/>
              <w:ind w:left="0" w:leftChars="0" w:firstLine="0" w:firstLineChars="0"/>
              <w:jc w:val="center"/>
              <w:rPr>
                <w:rFonts w:hint="default"/>
                <w:lang w:val="en-US" w:eastAsia="zh-CN"/>
              </w:rPr>
            </w:pPr>
            <w:r>
              <w:rPr>
                <w:rFonts w:hint="eastAsia"/>
                <w:lang w:val="en-US" w:eastAsia="zh-CN"/>
              </w:rPr>
              <w:t>气味</w:t>
            </w:r>
          </w:p>
        </w:tc>
        <w:tc>
          <w:tcPr>
            <w:tcW w:w="2241" w:type="pct"/>
            <w:vAlign w:val="center"/>
          </w:tcPr>
          <w:p w14:paraId="6AF6D470">
            <w:pPr>
              <w:pStyle w:val="109"/>
              <w:widowControl w:val="0"/>
              <w:bidi w:val="0"/>
              <w:ind w:left="0" w:leftChars="0" w:firstLine="0" w:firstLineChars="0"/>
              <w:jc w:val="center"/>
              <w:rPr>
                <w:rFonts w:hint="eastAsia"/>
                <w:lang w:val="en-US" w:eastAsia="zh-CN"/>
              </w:rPr>
            </w:pPr>
            <w:r>
              <w:rPr>
                <w:rFonts w:hint="eastAsia"/>
                <w:lang w:val="en-US" w:eastAsia="zh-CN"/>
              </w:rPr>
              <w:t>具有原辅料固有的的滋味和气味，无霉味及其他异味</w:t>
            </w:r>
          </w:p>
        </w:tc>
        <w:tc>
          <w:tcPr>
            <w:tcW w:w="1509" w:type="pct"/>
            <w:vMerge w:val="continue"/>
            <w:vAlign w:val="center"/>
          </w:tcPr>
          <w:p w14:paraId="12908AFB">
            <w:pPr>
              <w:pStyle w:val="109"/>
              <w:widowControl w:val="0"/>
              <w:bidi w:val="0"/>
              <w:ind w:left="0" w:leftChars="0" w:firstLine="0" w:firstLineChars="0"/>
              <w:jc w:val="center"/>
              <w:rPr>
                <w:rFonts w:hint="eastAsia"/>
                <w:lang w:val="en-US" w:eastAsia="zh-CN"/>
              </w:rPr>
            </w:pPr>
          </w:p>
        </w:tc>
      </w:tr>
      <w:tr w14:paraId="263D7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49" w:type="pct"/>
            <w:vAlign w:val="center"/>
          </w:tcPr>
          <w:p w14:paraId="443B67FE">
            <w:pPr>
              <w:pStyle w:val="109"/>
              <w:widowControl w:val="0"/>
              <w:bidi w:val="0"/>
              <w:ind w:left="0" w:leftChars="0" w:firstLine="0" w:firstLineChars="0"/>
              <w:jc w:val="center"/>
              <w:rPr>
                <w:rFonts w:hint="default"/>
                <w:lang w:val="en-US" w:eastAsia="zh-CN"/>
              </w:rPr>
            </w:pPr>
            <w:r>
              <w:rPr>
                <w:rFonts w:hint="eastAsia"/>
                <w:lang w:val="en-US" w:eastAsia="zh-CN"/>
              </w:rPr>
              <w:t>杂质</w:t>
            </w:r>
          </w:p>
        </w:tc>
        <w:tc>
          <w:tcPr>
            <w:tcW w:w="2241" w:type="pct"/>
            <w:vAlign w:val="center"/>
          </w:tcPr>
          <w:p w14:paraId="6113AD9D">
            <w:pPr>
              <w:pStyle w:val="109"/>
              <w:widowControl w:val="0"/>
              <w:bidi w:val="0"/>
              <w:ind w:left="0" w:leftChars="0" w:firstLine="0" w:firstLineChars="0"/>
              <w:jc w:val="center"/>
              <w:rPr>
                <w:rFonts w:hint="default"/>
                <w:lang w:val="en-US" w:eastAsia="zh-CN"/>
              </w:rPr>
            </w:pPr>
            <w:r>
              <w:rPr>
                <w:rFonts w:hint="eastAsia"/>
                <w:lang w:val="en-US" w:eastAsia="zh-CN"/>
              </w:rPr>
              <w:t>无肉眼可见外来杂质</w:t>
            </w:r>
          </w:p>
        </w:tc>
        <w:tc>
          <w:tcPr>
            <w:tcW w:w="1509" w:type="pct"/>
            <w:vMerge w:val="continue"/>
            <w:vAlign w:val="center"/>
          </w:tcPr>
          <w:p w14:paraId="139CF5E0">
            <w:pPr>
              <w:pStyle w:val="109"/>
              <w:widowControl w:val="0"/>
              <w:bidi w:val="0"/>
              <w:ind w:left="0" w:leftChars="0" w:firstLine="0" w:firstLineChars="0"/>
              <w:jc w:val="center"/>
              <w:rPr>
                <w:rFonts w:hint="eastAsia"/>
                <w:lang w:val="en-US" w:eastAsia="zh-CN"/>
              </w:rPr>
            </w:pPr>
          </w:p>
        </w:tc>
      </w:tr>
    </w:tbl>
    <w:p w14:paraId="763505CB">
      <w:pPr>
        <w:pStyle w:val="23"/>
        <w:rPr>
          <w:rFonts w:hint="eastAsia"/>
          <w:lang w:eastAsia="zh-CN"/>
        </w:rPr>
      </w:pPr>
    </w:p>
    <w:p w14:paraId="30DED3B3">
      <w:pPr>
        <w:pStyle w:val="71"/>
        <w:bidi w:val="0"/>
        <w:rPr>
          <w:rFonts w:hint="default"/>
          <w:lang w:val="en-US" w:eastAsia="zh-CN"/>
        </w:rPr>
      </w:pPr>
      <w:r>
        <w:rPr>
          <w:rFonts w:hint="eastAsia"/>
          <w:lang w:val="en-US" w:eastAsia="zh-CN"/>
        </w:rPr>
        <w:t>理化指标</w:t>
      </w:r>
    </w:p>
    <w:p w14:paraId="682F1550">
      <w:pPr>
        <w:pStyle w:val="23"/>
        <w:ind w:firstLine="420"/>
        <w:rPr>
          <w:rFonts w:hint="eastAsia"/>
        </w:rPr>
      </w:pPr>
      <w:r>
        <w:rPr>
          <w:rFonts w:hint="eastAsia"/>
        </w:rPr>
        <w:t>应符合表</w:t>
      </w:r>
      <w:r>
        <w:rPr>
          <w:rFonts w:hint="eastAsia"/>
          <w:lang w:val="en-US" w:eastAsia="zh-CN"/>
        </w:rPr>
        <w:t>2</w:t>
      </w:r>
      <w:r>
        <w:rPr>
          <w:rFonts w:hint="eastAsia"/>
        </w:rPr>
        <w:t>的要求。</w:t>
      </w:r>
    </w:p>
    <w:p w14:paraId="41F38FFA">
      <w:pPr>
        <w:pStyle w:val="111"/>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4781"/>
        <w:gridCol w:w="2390"/>
      </w:tblGrid>
      <w:tr w14:paraId="50EC6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Align w:val="center"/>
          </w:tcPr>
          <w:p w14:paraId="27823E89">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tcBorders>
              <w:bottom w:val="single" w:color="auto" w:sz="8" w:space="0"/>
            </w:tcBorders>
            <w:vAlign w:val="center"/>
          </w:tcPr>
          <w:p w14:paraId="7729A62E">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Align w:val="center"/>
          </w:tcPr>
          <w:p w14:paraId="09967E8F">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7CC5F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05208224">
            <w:pPr>
              <w:pStyle w:val="109"/>
              <w:widowControl w:val="0"/>
              <w:bidi w:val="0"/>
              <w:ind w:left="0" w:leftChars="0" w:firstLine="0" w:firstLineChars="0"/>
              <w:jc w:val="center"/>
              <w:rPr>
                <w:rFonts w:hint="default"/>
                <w:lang w:val="en-US" w:eastAsia="zh-CN"/>
              </w:rPr>
            </w:pPr>
            <w:r>
              <w:rPr>
                <w:rFonts w:hint="eastAsia"/>
                <w:lang w:val="en-US" w:eastAsia="zh-CN"/>
              </w:rPr>
              <w:t>水分/（g/100g)</w:t>
            </w:r>
          </w:p>
        </w:tc>
        <w:tc>
          <w:tcPr>
            <w:tcW w:w="2500" w:type="pct"/>
            <w:tcBorders>
              <w:top w:val="single" w:color="auto" w:sz="8" w:space="0"/>
            </w:tcBorders>
            <w:vAlign w:val="center"/>
          </w:tcPr>
          <w:p w14:paraId="4CD7D715">
            <w:pPr>
              <w:pStyle w:val="109"/>
              <w:widowControl w:val="0"/>
              <w:bidi w:val="0"/>
              <w:ind w:left="0" w:leftChars="0" w:firstLine="0" w:firstLineChars="0"/>
              <w:jc w:val="center"/>
              <w:rPr>
                <w:rFonts w:hint="default"/>
                <w:b w:val="0"/>
                <w:bCs w:val="0"/>
                <w:highlight w:val="none"/>
                <w:lang w:val="en-US" w:eastAsia="zh-CN"/>
              </w:rPr>
            </w:pPr>
            <w:r>
              <w:rPr>
                <w:rFonts w:hint="eastAsia"/>
                <w:b w:val="0"/>
                <w:bCs w:val="0"/>
                <w:highlight w:val="none"/>
                <w:lang w:val="en-US" w:eastAsia="zh-CN"/>
              </w:rPr>
              <w:t>≤50</w:t>
            </w:r>
          </w:p>
        </w:tc>
        <w:tc>
          <w:tcPr>
            <w:tcW w:w="1250" w:type="pct"/>
            <w:tcBorders>
              <w:top w:val="single" w:color="auto" w:sz="8" w:space="0"/>
            </w:tcBorders>
            <w:vAlign w:val="center"/>
          </w:tcPr>
          <w:p w14:paraId="5574BDD3">
            <w:pPr>
              <w:pStyle w:val="109"/>
              <w:widowControl w:val="0"/>
              <w:bidi w:val="0"/>
              <w:ind w:left="0" w:leftChars="0" w:firstLine="0" w:firstLineChars="0"/>
              <w:jc w:val="center"/>
              <w:rPr>
                <w:rFonts w:hint="default"/>
                <w:lang w:val="en-US" w:eastAsia="zh-CN"/>
              </w:rPr>
            </w:pPr>
            <w:r>
              <w:rPr>
                <w:rFonts w:hint="eastAsia"/>
                <w:lang w:val="en-US" w:eastAsia="zh-CN"/>
              </w:rPr>
              <w:t>GB 5009.3</w:t>
            </w:r>
          </w:p>
        </w:tc>
      </w:tr>
      <w:tr w14:paraId="6A51E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5AD45578">
            <w:pPr>
              <w:pStyle w:val="109"/>
              <w:widowControl w:val="0"/>
              <w:bidi w:val="0"/>
              <w:ind w:left="0" w:leftChars="0" w:firstLine="0" w:firstLineChars="0"/>
              <w:jc w:val="center"/>
              <w:rPr>
                <w:rFonts w:hint="default"/>
                <w:lang w:val="en-US" w:eastAsia="zh-CN"/>
              </w:rPr>
            </w:pPr>
            <w:r>
              <w:rPr>
                <w:rFonts w:hint="eastAsia"/>
                <w:lang w:val="en-US" w:eastAsia="zh-CN"/>
              </w:rPr>
              <w:t>酸度/</w:t>
            </w:r>
            <w:r>
              <w:rPr>
                <w:rFonts w:hint="eastAsia"/>
                <w:vertAlign w:val="superscript"/>
                <w:lang w:val="en-US" w:eastAsia="zh-CN"/>
              </w:rPr>
              <w:t>0</w:t>
            </w:r>
            <w:r>
              <w:rPr>
                <w:rFonts w:hint="eastAsia"/>
                <w:lang w:val="en-US" w:eastAsia="zh-CN"/>
              </w:rPr>
              <w:t>T</w:t>
            </w:r>
          </w:p>
        </w:tc>
        <w:tc>
          <w:tcPr>
            <w:tcW w:w="2500" w:type="pct"/>
            <w:vAlign w:val="center"/>
          </w:tcPr>
          <w:p w14:paraId="608E408E">
            <w:pPr>
              <w:pStyle w:val="109"/>
              <w:widowControl w:val="0"/>
              <w:bidi w:val="0"/>
              <w:ind w:left="0" w:leftChars="0" w:firstLine="0" w:firstLineChars="0"/>
              <w:jc w:val="center"/>
              <w:rPr>
                <w:rFonts w:hint="default"/>
                <w:b w:val="0"/>
                <w:bCs w:val="0"/>
                <w:highlight w:val="none"/>
                <w:lang w:val="en-US" w:eastAsia="zh-CN"/>
              </w:rPr>
            </w:pPr>
            <w:r>
              <w:rPr>
                <w:rFonts w:hint="eastAsia"/>
                <w:b w:val="0"/>
                <w:bCs w:val="0"/>
                <w:highlight w:val="none"/>
                <w:lang w:val="en-US" w:eastAsia="zh-CN"/>
              </w:rPr>
              <w:t>≤2</w:t>
            </w:r>
          </w:p>
        </w:tc>
        <w:tc>
          <w:tcPr>
            <w:tcW w:w="1250" w:type="pct"/>
            <w:vAlign w:val="center"/>
          </w:tcPr>
          <w:p w14:paraId="4CFD8587">
            <w:pPr>
              <w:pStyle w:val="109"/>
              <w:widowControl w:val="0"/>
              <w:bidi w:val="0"/>
              <w:ind w:left="0" w:leftChars="0" w:firstLine="0" w:firstLineChars="0"/>
              <w:jc w:val="center"/>
              <w:rPr>
                <w:rFonts w:hint="default"/>
                <w:lang w:val="en-US" w:eastAsia="zh-CN"/>
              </w:rPr>
            </w:pPr>
            <w:r>
              <w:rPr>
                <w:rFonts w:hint="eastAsia"/>
                <w:lang w:val="en-US" w:eastAsia="zh-CN"/>
              </w:rPr>
              <w:t>GB 5009.53</w:t>
            </w:r>
          </w:p>
        </w:tc>
      </w:tr>
      <w:tr w14:paraId="59EC3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62AF61D2">
            <w:pPr>
              <w:pStyle w:val="109"/>
              <w:widowControl w:val="0"/>
              <w:bidi w:val="0"/>
              <w:ind w:left="0" w:leftChars="0" w:firstLine="0" w:firstLineChars="0"/>
              <w:jc w:val="center"/>
              <w:rPr>
                <w:rFonts w:hint="default"/>
                <w:lang w:val="en-US" w:eastAsia="zh-CN"/>
              </w:rPr>
            </w:pPr>
            <w:r>
              <w:rPr>
                <w:rFonts w:hint="eastAsia"/>
                <w:lang w:val="en-US" w:eastAsia="zh-CN"/>
              </w:rPr>
              <w:t>黄曲霉毒素B1/(</w:t>
            </w:r>
            <w:r>
              <w:rPr>
                <w:rFonts w:hint="default" w:ascii="Times New Roman" w:cs="Times New Roman"/>
                <w:lang w:val="en-US" w:eastAsia="zh-CN"/>
              </w:rPr>
              <w:t>μg/kg</w:t>
            </w:r>
            <w:r>
              <w:rPr>
                <w:rFonts w:hint="eastAsia"/>
                <w:lang w:val="en-US" w:eastAsia="zh-CN"/>
              </w:rPr>
              <w:t>）</w:t>
            </w:r>
          </w:p>
        </w:tc>
        <w:tc>
          <w:tcPr>
            <w:tcW w:w="2500" w:type="pct"/>
            <w:vAlign w:val="center"/>
          </w:tcPr>
          <w:p w14:paraId="632DF38F">
            <w:pPr>
              <w:pStyle w:val="109"/>
              <w:widowControl w:val="0"/>
              <w:bidi w:val="0"/>
              <w:ind w:left="0" w:leftChars="0" w:firstLine="0" w:firstLineChars="0"/>
              <w:jc w:val="center"/>
              <w:rPr>
                <w:rFonts w:hint="default"/>
                <w:b w:val="0"/>
                <w:bCs w:val="0"/>
                <w:highlight w:val="none"/>
                <w:lang w:val="en-US" w:eastAsia="zh-CN"/>
              </w:rPr>
            </w:pPr>
            <w:r>
              <w:rPr>
                <w:rFonts w:hint="eastAsia"/>
                <w:b w:val="0"/>
                <w:bCs w:val="0"/>
                <w:highlight w:val="none"/>
                <w:lang w:val="en-US" w:eastAsia="zh-CN"/>
              </w:rPr>
              <w:t>≤10</w:t>
            </w:r>
          </w:p>
        </w:tc>
        <w:tc>
          <w:tcPr>
            <w:tcW w:w="1250" w:type="pct"/>
            <w:vAlign w:val="center"/>
          </w:tcPr>
          <w:p w14:paraId="4ED2136A">
            <w:pPr>
              <w:pStyle w:val="109"/>
              <w:widowControl w:val="0"/>
              <w:bidi w:val="0"/>
              <w:ind w:left="0" w:leftChars="0" w:firstLine="0" w:firstLineChars="0"/>
              <w:jc w:val="center"/>
              <w:rPr>
                <w:rFonts w:hint="eastAsia"/>
                <w:lang w:val="en-US" w:eastAsia="zh-CN"/>
              </w:rPr>
            </w:pPr>
            <w:r>
              <w:rPr>
                <w:rFonts w:hint="eastAsia"/>
                <w:lang w:val="en-US" w:eastAsia="zh-CN"/>
              </w:rPr>
              <w:t>GB 5009.22</w:t>
            </w:r>
          </w:p>
        </w:tc>
      </w:tr>
    </w:tbl>
    <w:p w14:paraId="671A2C29">
      <w:pPr>
        <w:pStyle w:val="71"/>
        <w:bidi w:val="0"/>
      </w:pPr>
      <w:r>
        <w:rPr>
          <w:rFonts w:hint="eastAsia"/>
          <w:lang w:val="en-US" w:eastAsia="zh-CN"/>
        </w:rPr>
        <w:t>安全指标</w:t>
      </w:r>
    </w:p>
    <w:p w14:paraId="52B6FBDC">
      <w:pPr>
        <w:pStyle w:val="23"/>
        <w:ind w:firstLine="0" w:firstLineChars="0"/>
        <w:rPr>
          <w:rFonts w:hint="eastAsia"/>
        </w:rPr>
      </w:pPr>
      <w:r>
        <w:rPr>
          <w:rFonts w:hint="eastAsia"/>
          <w:lang w:val="en-US" w:eastAsia="zh-CN"/>
        </w:rPr>
        <w:t>4.4.1 微生物限量应符合表3的规定</w:t>
      </w:r>
      <w:r>
        <w:rPr>
          <w:rFonts w:hint="eastAsia"/>
        </w:rPr>
        <w:t>。</w:t>
      </w:r>
    </w:p>
    <w:p w14:paraId="658DE416">
      <w:pPr>
        <w:pStyle w:val="23"/>
        <w:ind w:firstLine="0" w:firstLineChars="0"/>
        <w:rPr>
          <w:rFonts w:hint="eastAsia"/>
          <w:lang w:val="en-US" w:eastAsia="zh-CN"/>
        </w:rPr>
      </w:pPr>
      <w:r>
        <w:rPr>
          <w:rFonts w:hint="eastAsia"/>
          <w:lang w:val="en-US" w:eastAsia="zh-CN"/>
        </w:rPr>
        <w:t>4.4.2 污染物限量应符合GB 2762的规定。</w:t>
      </w:r>
    </w:p>
    <w:p w14:paraId="0D90DAC8">
      <w:pPr>
        <w:pStyle w:val="23"/>
        <w:ind w:firstLine="0" w:firstLineChars="0"/>
        <w:rPr>
          <w:rFonts w:hint="eastAsia"/>
        </w:rPr>
      </w:pPr>
      <w:r>
        <w:rPr>
          <w:rFonts w:hint="eastAsia"/>
          <w:lang w:val="en-US" w:eastAsia="zh-CN"/>
        </w:rPr>
        <w:t>4.4.3 食品添加剂的品种和使用量应符合GB 2760及国家相关法律法规的规定。</w:t>
      </w:r>
    </w:p>
    <w:p w14:paraId="23360684">
      <w:pPr>
        <w:pStyle w:val="111"/>
        <w:bidi w:val="0"/>
        <w:rPr>
          <w:rFonts w:hint="eastAsia"/>
          <w:lang w:val="en-US" w:eastAsia="zh-CN"/>
        </w:rPr>
      </w:pPr>
      <w:r>
        <w:rPr>
          <w:rFonts w:hint="eastAsia"/>
          <w:lang w:val="en-US" w:eastAsia="zh-CN"/>
        </w:rPr>
        <w:t>微生物指标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769"/>
        <w:gridCol w:w="1239"/>
        <w:gridCol w:w="1468"/>
        <w:gridCol w:w="1304"/>
        <w:gridCol w:w="2392"/>
      </w:tblGrid>
      <w:tr w14:paraId="24CE0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249" w:type="pct"/>
            <w:vMerge w:val="restart"/>
            <w:vAlign w:val="center"/>
          </w:tcPr>
          <w:p w14:paraId="6939BBEC">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gridSpan w:val="4"/>
            <w:tcBorders>
              <w:bottom w:val="single" w:color="auto" w:sz="4" w:space="0"/>
            </w:tcBorders>
            <w:vAlign w:val="center"/>
          </w:tcPr>
          <w:p w14:paraId="46D40E92">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采样方案</w:t>
            </w:r>
            <w:r>
              <w:rPr>
                <w:rFonts w:hint="eastAsia"/>
                <w:vertAlign w:val="superscript"/>
                <w:lang w:val="en-US" w:eastAsia="zh-CN"/>
              </w:rPr>
              <w:t>a</w:t>
            </w:r>
            <w:r>
              <w:rPr>
                <w:rFonts w:hint="eastAsia"/>
                <w:lang w:val="en-US" w:eastAsia="zh-CN"/>
              </w:rPr>
              <w:t>及限量（若非指定，均以CFU/25g表示）</w:t>
            </w:r>
          </w:p>
        </w:tc>
        <w:tc>
          <w:tcPr>
            <w:tcW w:w="1250" w:type="pct"/>
            <w:vMerge w:val="restart"/>
            <w:vAlign w:val="center"/>
          </w:tcPr>
          <w:p w14:paraId="7899BE2F">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7777E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49" w:type="pct"/>
            <w:vMerge w:val="continue"/>
            <w:vAlign w:val="center"/>
          </w:tcPr>
          <w:p w14:paraId="52A243E2">
            <w:pPr>
              <w:pStyle w:val="109"/>
              <w:widowControl w:val="0"/>
              <w:bidi w:val="0"/>
              <w:ind w:left="0" w:leftChars="0" w:firstLine="0" w:firstLineChars="0"/>
              <w:jc w:val="center"/>
              <w:rPr>
                <w:rFonts w:hint="eastAsia"/>
                <w:lang w:val="en-US" w:eastAsia="zh-CN"/>
              </w:rPr>
            </w:pPr>
          </w:p>
        </w:tc>
        <w:tc>
          <w:tcPr>
            <w:tcW w:w="402" w:type="pct"/>
            <w:tcBorders>
              <w:bottom w:val="single" w:color="auto" w:sz="8" w:space="0"/>
            </w:tcBorders>
            <w:vAlign w:val="center"/>
          </w:tcPr>
          <w:p w14:paraId="6D3A1498">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n</w:t>
            </w:r>
          </w:p>
        </w:tc>
        <w:tc>
          <w:tcPr>
            <w:tcW w:w="648" w:type="pct"/>
            <w:tcBorders>
              <w:bottom w:val="single" w:color="auto" w:sz="8" w:space="0"/>
            </w:tcBorders>
            <w:vAlign w:val="center"/>
          </w:tcPr>
          <w:p w14:paraId="7BDA57D3">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c</w:t>
            </w:r>
          </w:p>
        </w:tc>
        <w:tc>
          <w:tcPr>
            <w:tcW w:w="768" w:type="pct"/>
            <w:tcBorders>
              <w:bottom w:val="single" w:color="auto" w:sz="8" w:space="0"/>
            </w:tcBorders>
            <w:vAlign w:val="center"/>
          </w:tcPr>
          <w:p w14:paraId="6C76745F">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m</w:t>
            </w:r>
          </w:p>
        </w:tc>
        <w:tc>
          <w:tcPr>
            <w:tcW w:w="682" w:type="pct"/>
            <w:tcBorders>
              <w:bottom w:val="single" w:color="auto" w:sz="8" w:space="0"/>
            </w:tcBorders>
            <w:vAlign w:val="center"/>
          </w:tcPr>
          <w:p w14:paraId="29CBA5CA">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M</w:t>
            </w:r>
          </w:p>
        </w:tc>
        <w:tc>
          <w:tcPr>
            <w:tcW w:w="1250" w:type="pct"/>
            <w:vMerge w:val="continue"/>
            <w:vAlign w:val="center"/>
          </w:tcPr>
          <w:p w14:paraId="5980D098">
            <w:pPr>
              <w:pStyle w:val="109"/>
              <w:widowControl w:val="0"/>
              <w:bidi w:val="0"/>
              <w:ind w:left="0" w:leftChars="0" w:firstLine="0" w:firstLineChars="0"/>
              <w:jc w:val="center"/>
              <w:rPr>
                <w:rFonts w:hint="eastAsia"/>
                <w:lang w:val="en-US" w:eastAsia="zh-CN"/>
              </w:rPr>
            </w:pPr>
          </w:p>
        </w:tc>
      </w:tr>
      <w:tr w14:paraId="776B4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7951BE59">
            <w:pPr>
              <w:pStyle w:val="109"/>
              <w:widowControl w:val="0"/>
              <w:bidi w:val="0"/>
              <w:ind w:left="0" w:leftChars="0" w:firstLine="0" w:firstLineChars="0"/>
              <w:jc w:val="center"/>
              <w:rPr>
                <w:rFonts w:hint="default"/>
                <w:lang w:val="en-US" w:eastAsia="zh-CN"/>
              </w:rPr>
            </w:pPr>
            <w:r>
              <w:rPr>
                <w:rFonts w:hint="eastAsia"/>
                <w:lang w:val="en-US" w:eastAsia="zh-CN"/>
              </w:rPr>
              <w:t>沙门氏菌</w:t>
            </w:r>
          </w:p>
        </w:tc>
        <w:tc>
          <w:tcPr>
            <w:tcW w:w="402" w:type="pct"/>
            <w:tcBorders>
              <w:top w:val="single" w:color="auto" w:sz="8" w:space="0"/>
            </w:tcBorders>
            <w:vAlign w:val="center"/>
          </w:tcPr>
          <w:p w14:paraId="0785F27C">
            <w:pPr>
              <w:pStyle w:val="109"/>
              <w:widowControl w:val="0"/>
              <w:bidi w:val="0"/>
              <w:ind w:left="0" w:leftChars="0" w:firstLine="0" w:firstLineChars="0"/>
              <w:jc w:val="center"/>
              <w:rPr>
                <w:rFonts w:hint="default"/>
                <w:lang w:val="en-US" w:eastAsia="zh-CN"/>
              </w:rPr>
            </w:pPr>
            <w:r>
              <w:rPr>
                <w:rFonts w:hint="eastAsia"/>
                <w:lang w:val="en-US" w:eastAsia="zh-CN"/>
              </w:rPr>
              <w:t>5</w:t>
            </w:r>
          </w:p>
        </w:tc>
        <w:tc>
          <w:tcPr>
            <w:tcW w:w="648" w:type="pct"/>
            <w:tcBorders>
              <w:top w:val="single" w:color="auto" w:sz="8" w:space="0"/>
            </w:tcBorders>
            <w:vAlign w:val="center"/>
          </w:tcPr>
          <w:p w14:paraId="32A01827">
            <w:pPr>
              <w:pStyle w:val="109"/>
              <w:widowControl w:val="0"/>
              <w:bidi w:val="0"/>
              <w:ind w:left="0" w:leftChars="0" w:firstLine="0" w:firstLineChars="0"/>
              <w:jc w:val="center"/>
              <w:rPr>
                <w:rFonts w:hint="default"/>
                <w:lang w:val="en-US" w:eastAsia="zh-CN"/>
              </w:rPr>
            </w:pPr>
            <w:r>
              <w:rPr>
                <w:rFonts w:hint="eastAsia"/>
                <w:lang w:val="en-US" w:eastAsia="zh-CN"/>
              </w:rPr>
              <w:t>0</w:t>
            </w:r>
          </w:p>
        </w:tc>
        <w:tc>
          <w:tcPr>
            <w:tcW w:w="768" w:type="pct"/>
            <w:tcBorders>
              <w:top w:val="single" w:color="auto" w:sz="8" w:space="0"/>
            </w:tcBorders>
            <w:vAlign w:val="center"/>
          </w:tcPr>
          <w:p w14:paraId="3452F683">
            <w:pPr>
              <w:pStyle w:val="109"/>
              <w:widowControl w:val="0"/>
              <w:bidi w:val="0"/>
              <w:ind w:left="0" w:leftChars="0" w:firstLine="0" w:firstLineChars="0"/>
              <w:jc w:val="center"/>
              <w:rPr>
                <w:rFonts w:hint="default"/>
                <w:lang w:val="en-US" w:eastAsia="zh-CN"/>
              </w:rPr>
            </w:pPr>
            <w:r>
              <w:rPr>
                <w:rFonts w:hint="eastAsia"/>
                <w:lang w:val="en-US" w:eastAsia="zh-CN"/>
              </w:rPr>
              <w:t>0/25g</w:t>
            </w:r>
          </w:p>
        </w:tc>
        <w:tc>
          <w:tcPr>
            <w:tcW w:w="682" w:type="pct"/>
            <w:tcBorders>
              <w:top w:val="single" w:color="auto" w:sz="8" w:space="0"/>
            </w:tcBorders>
            <w:vAlign w:val="center"/>
          </w:tcPr>
          <w:p w14:paraId="6188EA92">
            <w:pPr>
              <w:pStyle w:val="109"/>
              <w:widowControl w:val="0"/>
              <w:bidi w:val="0"/>
              <w:ind w:left="0" w:leftChars="0" w:firstLine="0" w:firstLineChars="0"/>
              <w:jc w:val="center"/>
              <w:rPr>
                <w:rFonts w:hint="default"/>
                <w:lang w:val="en-US" w:eastAsia="zh-CN"/>
              </w:rPr>
            </w:pPr>
            <w:r>
              <w:rPr>
                <w:rFonts w:hint="eastAsia"/>
                <w:lang w:val="en-US" w:eastAsia="zh-CN"/>
              </w:rPr>
              <w:t>—</w:t>
            </w:r>
          </w:p>
        </w:tc>
        <w:tc>
          <w:tcPr>
            <w:tcW w:w="1250" w:type="pct"/>
            <w:tcBorders>
              <w:top w:val="single" w:color="auto" w:sz="8" w:space="0"/>
            </w:tcBorders>
            <w:vAlign w:val="center"/>
          </w:tcPr>
          <w:p w14:paraId="225665ED">
            <w:pPr>
              <w:pStyle w:val="109"/>
              <w:widowControl w:val="0"/>
              <w:bidi w:val="0"/>
              <w:ind w:left="0" w:leftChars="0" w:firstLine="0" w:firstLineChars="0"/>
              <w:jc w:val="center"/>
              <w:rPr>
                <w:rFonts w:hint="default"/>
                <w:lang w:val="en-US" w:eastAsia="zh-CN"/>
              </w:rPr>
            </w:pPr>
            <w:r>
              <w:rPr>
                <w:rFonts w:hint="eastAsia"/>
                <w:lang w:val="en-US" w:eastAsia="zh-CN"/>
              </w:rPr>
              <w:t>GB 4789.4</w:t>
            </w:r>
          </w:p>
        </w:tc>
      </w:tr>
      <w:tr w14:paraId="4851A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5B3C0D52">
            <w:pPr>
              <w:pStyle w:val="109"/>
              <w:widowControl w:val="0"/>
              <w:bidi w:val="0"/>
              <w:ind w:left="0" w:leftChars="0" w:firstLine="0" w:firstLineChars="0"/>
              <w:jc w:val="center"/>
              <w:rPr>
                <w:rFonts w:hint="default"/>
                <w:lang w:val="en-US" w:eastAsia="zh-CN"/>
              </w:rPr>
            </w:pPr>
            <w:r>
              <w:rPr>
                <w:rFonts w:hint="eastAsia"/>
                <w:lang w:val="en-US" w:eastAsia="zh-CN"/>
              </w:rPr>
              <w:t>金黄色葡萄球菌/（CFU/g）</w:t>
            </w:r>
          </w:p>
        </w:tc>
        <w:tc>
          <w:tcPr>
            <w:tcW w:w="402" w:type="pct"/>
            <w:vAlign w:val="center"/>
          </w:tcPr>
          <w:p w14:paraId="2A748091">
            <w:pPr>
              <w:pStyle w:val="109"/>
              <w:widowControl w:val="0"/>
              <w:bidi w:val="0"/>
              <w:ind w:left="0" w:leftChars="0" w:firstLine="0" w:firstLineChars="0"/>
              <w:jc w:val="center"/>
              <w:rPr>
                <w:rFonts w:hint="default"/>
                <w:lang w:val="en-US" w:eastAsia="zh-CN"/>
              </w:rPr>
            </w:pPr>
            <w:r>
              <w:rPr>
                <w:rFonts w:hint="eastAsia"/>
                <w:lang w:val="en-US" w:eastAsia="zh-CN"/>
              </w:rPr>
              <w:t>5</w:t>
            </w:r>
          </w:p>
        </w:tc>
        <w:tc>
          <w:tcPr>
            <w:tcW w:w="648" w:type="pct"/>
            <w:vAlign w:val="center"/>
          </w:tcPr>
          <w:p w14:paraId="04799A3F">
            <w:pPr>
              <w:pStyle w:val="109"/>
              <w:widowControl w:val="0"/>
              <w:bidi w:val="0"/>
              <w:ind w:left="0" w:leftChars="0" w:firstLine="0" w:firstLineChars="0"/>
              <w:jc w:val="center"/>
              <w:rPr>
                <w:rFonts w:hint="default"/>
                <w:lang w:val="en-US" w:eastAsia="zh-CN"/>
              </w:rPr>
            </w:pPr>
            <w:r>
              <w:rPr>
                <w:rFonts w:hint="eastAsia"/>
                <w:lang w:val="en-US" w:eastAsia="zh-CN"/>
              </w:rPr>
              <w:t>1</w:t>
            </w:r>
          </w:p>
        </w:tc>
        <w:tc>
          <w:tcPr>
            <w:tcW w:w="768" w:type="pct"/>
            <w:vAlign w:val="center"/>
          </w:tcPr>
          <w:p w14:paraId="04F5C241">
            <w:pPr>
              <w:pStyle w:val="109"/>
              <w:widowControl w:val="0"/>
              <w:bidi w:val="0"/>
              <w:ind w:left="0" w:leftChars="0" w:firstLine="0" w:firstLineChars="0"/>
              <w:jc w:val="center"/>
              <w:rPr>
                <w:rFonts w:hint="default"/>
                <w:lang w:val="en-US" w:eastAsia="zh-CN"/>
              </w:rPr>
            </w:pPr>
            <w:r>
              <w:rPr>
                <w:rFonts w:hint="eastAsia"/>
                <w:lang w:val="en-US" w:eastAsia="zh-CN"/>
              </w:rPr>
              <w:t>100</w:t>
            </w:r>
          </w:p>
        </w:tc>
        <w:tc>
          <w:tcPr>
            <w:tcW w:w="682" w:type="pct"/>
            <w:vAlign w:val="center"/>
          </w:tcPr>
          <w:p w14:paraId="1CC9F29B">
            <w:pPr>
              <w:pStyle w:val="109"/>
              <w:widowControl w:val="0"/>
              <w:bidi w:val="0"/>
              <w:ind w:left="0" w:leftChars="0" w:firstLine="0" w:firstLineChars="0"/>
              <w:jc w:val="center"/>
              <w:rPr>
                <w:rFonts w:hint="default"/>
                <w:lang w:val="en-US" w:eastAsia="zh-CN"/>
              </w:rPr>
            </w:pPr>
            <w:r>
              <w:rPr>
                <w:rFonts w:hint="eastAsia"/>
                <w:lang w:val="en-US" w:eastAsia="zh-CN"/>
              </w:rPr>
              <w:t>1000</w:t>
            </w:r>
          </w:p>
        </w:tc>
        <w:tc>
          <w:tcPr>
            <w:tcW w:w="1250" w:type="pct"/>
            <w:vAlign w:val="center"/>
          </w:tcPr>
          <w:p w14:paraId="2C9AC08F">
            <w:pPr>
              <w:pStyle w:val="109"/>
              <w:widowControl w:val="0"/>
              <w:bidi w:val="0"/>
              <w:ind w:left="0" w:leftChars="0" w:firstLine="0" w:firstLineChars="0"/>
              <w:jc w:val="center"/>
              <w:rPr>
                <w:rFonts w:hint="default"/>
                <w:lang w:val="en-US" w:eastAsia="zh-CN"/>
              </w:rPr>
            </w:pPr>
            <w:r>
              <w:rPr>
                <w:rFonts w:hint="eastAsia"/>
                <w:lang w:val="en-US" w:eastAsia="zh-CN"/>
              </w:rPr>
              <w:t>GB 4789.10 第二法</w:t>
            </w:r>
          </w:p>
        </w:tc>
      </w:tr>
      <w:tr w14:paraId="64FE6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4FFBDCA5">
            <w:pPr>
              <w:pStyle w:val="109"/>
              <w:widowControl w:val="0"/>
              <w:bidi w:val="0"/>
              <w:ind w:left="0" w:leftChars="0" w:firstLine="0" w:firstLineChars="0"/>
              <w:jc w:val="center"/>
              <w:rPr>
                <w:rFonts w:hint="default"/>
                <w:lang w:val="en-US" w:eastAsia="zh-CN"/>
              </w:rPr>
            </w:pPr>
            <w:r>
              <w:rPr>
                <w:rFonts w:hint="eastAsia"/>
                <w:lang w:val="en-US" w:eastAsia="zh-CN"/>
              </w:rPr>
              <w:t>菌落总数/（CFU/g）</w:t>
            </w:r>
          </w:p>
        </w:tc>
        <w:tc>
          <w:tcPr>
            <w:tcW w:w="402" w:type="pct"/>
            <w:vAlign w:val="center"/>
          </w:tcPr>
          <w:p w14:paraId="27597781">
            <w:pPr>
              <w:pStyle w:val="109"/>
              <w:widowControl w:val="0"/>
              <w:bidi w:val="0"/>
              <w:ind w:left="0" w:leftChars="0" w:firstLine="0" w:firstLineChars="0"/>
              <w:jc w:val="center"/>
              <w:rPr>
                <w:rFonts w:hint="default"/>
                <w:lang w:val="en-US" w:eastAsia="zh-CN"/>
              </w:rPr>
            </w:pPr>
            <w:r>
              <w:rPr>
                <w:rFonts w:hint="eastAsia"/>
                <w:lang w:val="en-US" w:eastAsia="zh-CN"/>
              </w:rPr>
              <w:t>5</w:t>
            </w:r>
          </w:p>
        </w:tc>
        <w:tc>
          <w:tcPr>
            <w:tcW w:w="648" w:type="pct"/>
            <w:vAlign w:val="center"/>
          </w:tcPr>
          <w:p w14:paraId="4AB4C8D7">
            <w:pPr>
              <w:pStyle w:val="109"/>
              <w:widowControl w:val="0"/>
              <w:bidi w:val="0"/>
              <w:ind w:left="0" w:leftChars="0" w:firstLine="0" w:firstLineChars="0"/>
              <w:jc w:val="center"/>
              <w:rPr>
                <w:rFonts w:hint="default"/>
                <w:lang w:val="en-US" w:eastAsia="zh-CN"/>
              </w:rPr>
            </w:pPr>
            <w:r>
              <w:rPr>
                <w:rFonts w:hint="eastAsia"/>
                <w:lang w:val="en-US" w:eastAsia="zh-CN"/>
              </w:rPr>
              <w:t>1</w:t>
            </w:r>
          </w:p>
        </w:tc>
        <w:tc>
          <w:tcPr>
            <w:tcW w:w="768" w:type="pct"/>
            <w:vAlign w:val="center"/>
          </w:tcPr>
          <w:p w14:paraId="76714FA7">
            <w:pPr>
              <w:pStyle w:val="109"/>
              <w:widowControl w:val="0"/>
              <w:bidi w:val="0"/>
              <w:ind w:left="0" w:leftChars="0" w:firstLine="0" w:firstLineChars="0"/>
              <w:jc w:val="center"/>
              <w:rPr>
                <w:rFonts w:hint="default"/>
                <w:lang w:val="en-US" w:eastAsia="zh-CN"/>
              </w:rPr>
            </w:pPr>
            <w:r>
              <w:rPr>
                <w:rFonts w:hint="eastAsia"/>
                <w:lang w:val="en-US" w:eastAsia="zh-CN"/>
              </w:rPr>
              <w:t>10000</w:t>
            </w:r>
          </w:p>
        </w:tc>
        <w:tc>
          <w:tcPr>
            <w:tcW w:w="682" w:type="pct"/>
            <w:vAlign w:val="center"/>
          </w:tcPr>
          <w:p w14:paraId="5CA06BF4">
            <w:pPr>
              <w:pStyle w:val="109"/>
              <w:widowControl w:val="0"/>
              <w:bidi w:val="0"/>
              <w:ind w:left="0" w:leftChars="0" w:firstLine="0" w:firstLineChars="0"/>
              <w:jc w:val="center"/>
              <w:rPr>
                <w:rFonts w:hint="default"/>
                <w:lang w:val="en-US" w:eastAsia="zh-CN"/>
              </w:rPr>
            </w:pPr>
            <w:r>
              <w:rPr>
                <w:rFonts w:hint="eastAsia"/>
                <w:lang w:val="en-US" w:eastAsia="zh-CN"/>
              </w:rPr>
              <w:t>100000</w:t>
            </w:r>
          </w:p>
        </w:tc>
        <w:tc>
          <w:tcPr>
            <w:tcW w:w="1250" w:type="pct"/>
            <w:vAlign w:val="center"/>
          </w:tcPr>
          <w:p w14:paraId="4B0CABA6">
            <w:pPr>
              <w:pStyle w:val="109"/>
              <w:widowControl w:val="0"/>
              <w:bidi w:val="0"/>
              <w:ind w:left="0" w:leftChars="0" w:firstLine="0" w:firstLineChars="0"/>
              <w:jc w:val="center"/>
              <w:rPr>
                <w:rFonts w:hint="default"/>
                <w:lang w:val="en-US" w:eastAsia="zh-CN"/>
              </w:rPr>
            </w:pPr>
            <w:r>
              <w:rPr>
                <w:rFonts w:hint="eastAsia"/>
                <w:lang w:val="en-US" w:eastAsia="zh-CN"/>
              </w:rPr>
              <w:t>GB 4789.2</w:t>
            </w:r>
          </w:p>
        </w:tc>
      </w:tr>
      <w:tr w14:paraId="53FD8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6067BC1B">
            <w:pPr>
              <w:pStyle w:val="109"/>
              <w:widowControl w:val="0"/>
              <w:bidi w:val="0"/>
              <w:ind w:left="0" w:leftChars="0" w:firstLine="0" w:firstLineChars="0"/>
              <w:jc w:val="center"/>
              <w:rPr>
                <w:rFonts w:hint="default"/>
                <w:lang w:val="en-US" w:eastAsia="zh-CN"/>
              </w:rPr>
            </w:pPr>
            <w:r>
              <w:rPr>
                <w:rFonts w:hint="eastAsia"/>
                <w:lang w:val="en-US" w:eastAsia="zh-CN"/>
              </w:rPr>
              <w:t>大肠菌群/（CFU/g）</w:t>
            </w:r>
          </w:p>
        </w:tc>
        <w:tc>
          <w:tcPr>
            <w:tcW w:w="402" w:type="pct"/>
            <w:vAlign w:val="center"/>
          </w:tcPr>
          <w:p w14:paraId="45AC8158">
            <w:pPr>
              <w:pStyle w:val="109"/>
              <w:widowControl w:val="0"/>
              <w:bidi w:val="0"/>
              <w:ind w:left="0" w:leftChars="0" w:firstLine="0" w:firstLineChars="0"/>
              <w:jc w:val="center"/>
              <w:rPr>
                <w:rFonts w:hint="default"/>
                <w:lang w:val="en-US" w:eastAsia="zh-CN"/>
              </w:rPr>
            </w:pPr>
            <w:r>
              <w:rPr>
                <w:rFonts w:hint="eastAsia"/>
                <w:lang w:val="en-US" w:eastAsia="zh-CN"/>
              </w:rPr>
              <w:t>5</w:t>
            </w:r>
            <w:bookmarkStart w:id="86" w:name="_GoBack"/>
            <w:bookmarkEnd w:id="86"/>
          </w:p>
        </w:tc>
        <w:tc>
          <w:tcPr>
            <w:tcW w:w="648" w:type="pct"/>
            <w:vAlign w:val="center"/>
          </w:tcPr>
          <w:p w14:paraId="4518EB75">
            <w:pPr>
              <w:pStyle w:val="109"/>
              <w:widowControl w:val="0"/>
              <w:bidi w:val="0"/>
              <w:ind w:left="0" w:leftChars="0" w:firstLine="0" w:firstLineChars="0"/>
              <w:jc w:val="center"/>
              <w:rPr>
                <w:rFonts w:hint="default"/>
                <w:lang w:val="en-US" w:eastAsia="zh-CN"/>
              </w:rPr>
            </w:pPr>
            <w:r>
              <w:rPr>
                <w:rFonts w:hint="eastAsia"/>
                <w:lang w:val="en-US" w:eastAsia="zh-CN"/>
              </w:rPr>
              <w:t>2</w:t>
            </w:r>
          </w:p>
        </w:tc>
        <w:tc>
          <w:tcPr>
            <w:tcW w:w="768" w:type="pct"/>
            <w:vAlign w:val="center"/>
          </w:tcPr>
          <w:p w14:paraId="6793EA25">
            <w:pPr>
              <w:pStyle w:val="109"/>
              <w:widowControl w:val="0"/>
              <w:bidi w:val="0"/>
              <w:ind w:left="0" w:leftChars="0" w:firstLine="0" w:firstLineChars="0"/>
              <w:jc w:val="center"/>
              <w:rPr>
                <w:rFonts w:hint="default"/>
                <w:lang w:val="en-US" w:eastAsia="zh-CN"/>
              </w:rPr>
            </w:pPr>
            <w:r>
              <w:rPr>
                <w:rFonts w:hint="eastAsia"/>
                <w:lang w:val="en-US" w:eastAsia="zh-CN"/>
              </w:rPr>
              <w:t>10</w:t>
            </w:r>
          </w:p>
        </w:tc>
        <w:tc>
          <w:tcPr>
            <w:tcW w:w="682" w:type="pct"/>
            <w:vAlign w:val="center"/>
          </w:tcPr>
          <w:p w14:paraId="739BB795">
            <w:pPr>
              <w:pStyle w:val="109"/>
              <w:widowControl w:val="0"/>
              <w:bidi w:val="0"/>
              <w:ind w:left="0" w:leftChars="0" w:firstLine="0" w:firstLineChars="0"/>
              <w:jc w:val="center"/>
              <w:rPr>
                <w:rFonts w:hint="default"/>
                <w:lang w:val="en-US" w:eastAsia="zh-CN"/>
              </w:rPr>
            </w:pPr>
            <w:r>
              <w:rPr>
                <w:rFonts w:hint="eastAsia"/>
                <w:lang w:val="en-US" w:eastAsia="zh-CN"/>
              </w:rPr>
              <w:t>100</w:t>
            </w:r>
          </w:p>
        </w:tc>
        <w:tc>
          <w:tcPr>
            <w:tcW w:w="1250" w:type="pct"/>
            <w:vAlign w:val="center"/>
          </w:tcPr>
          <w:p w14:paraId="5CD8618E">
            <w:pPr>
              <w:pStyle w:val="109"/>
              <w:widowControl w:val="0"/>
              <w:bidi w:val="0"/>
              <w:ind w:left="0" w:leftChars="0" w:firstLine="0" w:firstLineChars="0"/>
              <w:jc w:val="center"/>
              <w:rPr>
                <w:rFonts w:hint="default"/>
                <w:lang w:val="en-US" w:eastAsia="zh-CN"/>
              </w:rPr>
            </w:pPr>
            <w:r>
              <w:rPr>
                <w:rFonts w:hint="eastAsia"/>
                <w:lang w:val="en-US" w:eastAsia="zh-CN"/>
              </w:rPr>
              <w:t>GB 4789.3 第二法</w:t>
            </w:r>
          </w:p>
        </w:tc>
      </w:tr>
      <w:tr w14:paraId="35E03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1209928B">
            <w:pPr>
              <w:pStyle w:val="109"/>
              <w:widowControl w:val="0"/>
              <w:bidi w:val="0"/>
              <w:ind w:left="0" w:leftChars="0" w:firstLine="0" w:firstLineChars="0"/>
              <w:jc w:val="left"/>
              <w:rPr>
                <w:rFonts w:hint="default"/>
                <w:lang w:val="en-US" w:eastAsia="zh-CN"/>
              </w:rPr>
            </w:pPr>
            <w:r>
              <w:rPr>
                <w:rFonts w:hint="eastAsia"/>
                <w:vertAlign w:val="superscript"/>
                <w:lang w:val="en-US" w:eastAsia="zh-CN"/>
              </w:rPr>
              <w:t>a</w:t>
            </w:r>
            <w:r>
              <w:rPr>
                <w:rFonts w:hint="eastAsia"/>
                <w:lang w:val="en-US" w:eastAsia="zh-CN"/>
              </w:rPr>
              <w:t>样品的采用及处理按GB 4789.1执行</w:t>
            </w:r>
          </w:p>
        </w:tc>
      </w:tr>
    </w:tbl>
    <w:p w14:paraId="5C938E48">
      <w:pPr>
        <w:pStyle w:val="23"/>
        <w:ind w:firstLine="0" w:firstLineChars="0"/>
        <w:rPr>
          <w:rFonts w:hint="eastAsia"/>
        </w:rPr>
      </w:pPr>
    </w:p>
    <w:p w14:paraId="352EC857">
      <w:pPr>
        <w:pStyle w:val="71"/>
        <w:bidi w:val="0"/>
      </w:pPr>
      <w:r>
        <w:rPr>
          <w:rFonts w:hint="eastAsia"/>
        </w:rPr>
        <w:t>净含量</w:t>
      </w:r>
    </w:p>
    <w:p w14:paraId="7D867176">
      <w:pPr>
        <w:pStyle w:val="23"/>
        <w:ind w:firstLine="420"/>
        <w:rPr>
          <w:rFonts w:hint="eastAsia"/>
        </w:rPr>
      </w:pPr>
      <w:r>
        <w:rPr>
          <w:rFonts w:hint="eastAsia"/>
        </w:rPr>
        <w:t>应符合《定量包装商品计量监督管理办法》的要求，检验方法按照J</w:t>
      </w:r>
      <w:r>
        <w:t>JF 1070</w:t>
      </w:r>
      <w:r>
        <w:rPr>
          <w:rFonts w:hint="eastAsia"/>
        </w:rPr>
        <w:t>规定执行。</w:t>
      </w:r>
    </w:p>
    <w:p w14:paraId="1596DB4E">
      <w:pPr>
        <w:pStyle w:val="70"/>
        <w:bidi w:val="0"/>
      </w:pPr>
      <w:bookmarkStart w:id="26" w:name="_Toc103848253"/>
      <w:bookmarkStart w:id="27" w:name="_Toc141363102"/>
      <w:bookmarkStart w:id="28" w:name="_Toc141040835"/>
      <w:bookmarkStart w:id="29" w:name="_Toc147777293"/>
      <w:bookmarkStart w:id="30" w:name="_Toc144670743"/>
      <w:bookmarkStart w:id="31" w:name="_Toc143288146"/>
      <w:bookmarkStart w:id="32" w:name="_Toc147761913"/>
      <w:bookmarkStart w:id="33" w:name="_Toc103848005"/>
      <w:bookmarkStart w:id="34" w:name="_Toc147843901"/>
      <w:bookmarkStart w:id="35" w:name="_Toc141026233"/>
      <w:bookmarkStart w:id="36" w:name="_Toc111488254"/>
      <w:bookmarkStart w:id="37" w:name="_Toc150196311"/>
      <w:bookmarkStart w:id="38" w:name="_Toc149643651"/>
      <w:bookmarkStart w:id="39" w:name="_Toc15014"/>
      <w:bookmarkStart w:id="40" w:name="_Toc141189597"/>
      <w:bookmarkStart w:id="41" w:name="_Toc143955922"/>
      <w:bookmarkStart w:id="42" w:name="_Toc144479682"/>
      <w:bookmarkStart w:id="43" w:name="_Toc104058753"/>
      <w:r>
        <w:rPr>
          <w:rFonts w:hint="eastAsia"/>
        </w:rPr>
        <w:t>检验规则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5A0F69A">
      <w:pPr>
        <w:pStyle w:val="71"/>
        <w:spacing w:before="120" w:after="120"/>
      </w:pPr>
      <w:r>
        <w:rPr>
          <w:rFonts w:hint="eastAsia"/>
        </w:rPr>
        <w:t>组批</w:t>
      </w:r>
    </w:p>
    <w:p w14:paraId="48440CF0">
      <w:pPr>
        <w:pStyle w:val="23"/>
        <w:ind w:firstLine="420"/>
      </w:pPr>
      <w:r>
        <w:rPr>
          <w:rFonts w:hint="eastAsia"/>
        </w:rPr>
        <w:t>同一</w:t>
      </w:r>
      <w:r>
        <w:rPr>
          <w:rFonts w:hint="eastAsia"/>
          <w:lang w:val="en-US" w:eastAsia="zh-CN"/>
        </w:rPr>
        <w:t>次投料、</w:t>
      </w:r>
      <w:r>
        <w:rPr>
          <w:rFonts w:hint="eastAsia"/>
        </w:rPr>
        <w:t>同一</w:t>
      </w:r>
      <w:r>
        <w:rPr>
          <w:rFonts w:hint="eastAsia"/>
          <w:lang w:val="en-US" w:eastAsia="zh-CN"/>
        </w:rPr>
        <w:t>班次</w:t>
      </w:r>
      <w:r>
        <w:rPr>
          <w:rFonts w:hint="eastAsia"/>
          <w:lang w:eastAsia="zh-CN"/>
        </w:rPr>
        <w:t>、</w:t>
      </w:r>
      <w:r>
        <w:rPr>
          <w:rFonts w:hint="eastAsia"/>
          <w:lang w:val="en-US" w:eastAsia="zh-CN"/>
        </w:rPr>
        <w:t>同一生产线生产的同一规定包装完好的产品为</w:t>
      </w:r>
      <w:r>
        <w:rPr>
          <w:rFonts w:hint="eastAsia"/>
        </w:rPr>
        <w:t>一个检验批次。</w:t>
      </w:r>
    </w:p>
    <w:p w14:paraId="5F48EC32">
      <w:pPr>
        <w:pStyle w:val="71"/>
        <w:spacing w:before="120" w:after="120"/>
      </w:pPr>
      <w:r>
        <w:rPr>
          <w:rFonts w:hint="eastAsia"/>
        </w:rPr>
        <w:t>抽样方法</w:t>
      </w:r>
    </w:p>
    <w:p w14:paraId="365CAB58">
      <w:pPr>
        <w:pStyle w:val="23"/>
        <w:ind w:firstLine="420"/>
        <w:rPr>
          <w:rFonts w:hint="eastAsia"/>
        </w:rPr>
      </w:pPr>
      <w:r>
        <w:rPr>
          <w:rFonts w:hint="eastAsia"/>
          <w:lang w:val="en-US" w:eastAsia="zh-CN"/>
        </w:rPr>
        <w:t>同批次产品随机抽取，抽样量应为检验所需量的3倍，作为检验及留样。</w:t>
      </w:r>
    </w:p>
    <w:p w14:paraId="39AB4D12">
      <w:pPr>
        <w:pStyle w:val="71"/>
        <w:spacing w:before="120" w:after="120"/>
      </w:pPr>
      <w:r>
        <w:rPr>
          <w:rFonts w:hint="eastAsia"/>
        </w:rPr>
        <w:t>检验分类</w:t>
      </w:r>
    </w:p>
    <w:p w14:paraId="4A2CCCD0">
      <w:pPr>
        <w:pStyle w:val="72"/>
        <w:spacing w:before="120" w:after="120"/>
      </w:pPr>
      <w:r>
        <w:rPr>
          <w:rFonts w:hint="eastAsia"/>
          <w:lang w:val="en-US" w:eastAsia="zh-CN"/>
        </w:rPr>
        <w:t>交付</w:t>
      </w:r>
      <w:r>
        <w:rPr>
          <w:rFonts w:hint="eastAsia"/>
        </w:rPr>
        <w:t>检验</w:t>
      </w:r>
    </w:p>
    <w:p w14:paraId="4E6E9C36">
      <w:pPr>
        <w:pStyle w:val="23"/>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lang w:val="en-US" w:eastAsia="zh-CN"/>
        </w:rPr>
        <w:t>交付</w:t>
      </w:r>
      <w:r>
        <w:rPr>
          <w:rFonts w:hint="eastAsia"/>
        </w:rPr>
        <w:t>检验项目为感官指标。</w:t>
      </w:r>
    </w:p>
    <w:p w14:paraId="1DAF9C66">
      <w:pPr>
        <w:pStyle w:val="72"/>
        <w:spacing w:before="120" w:after="120"/>
      </w:pPr>
      <w:r>
        <w:rPr>
          <w:rFonts w:hint="eastAsia"/>
        </w:rPr>
        <w:t>型式检验</w:t>
      </w:r>
    </w:p>
    <w:p w14:paraId="6883B4F0">
      <w:pPr>
        <w:pStyle w:val="78"/>
        <w:spacing w:before="0" w:beforeLines="0" w:after="0" w:afterLines="0"/>
      </w:pPr>
      <w:r>
        <w:rPr>
          <w:rFonts w:hint="eastAsia"/>
          <w:lang w:val="en-US" w:eastAsia="zh-CN"/>
        </w:rPr>
        <w:t>正常情况为每半年进行一次，发生下列情况之一时也应进行：</w:t>
      </w:r>
    </w:p>
    <w:p w14:paraId="4BAA14EE">
      <w:pPr>
        <w:pStyle w:val="55"/>
      </w:pPr>
      <w:r>
        <w:rPr>
          <w:rFonts w:hint="eastAsia"/>
          <w:lang w:val="en-US" w:eastAsia="zh-CN"/>
        </w:rPr>
        <w:t>停产3个月以上再恢复生产时</w:t>
      </w:r>
      <w:r>
        <w:rPr>
          <w:rFonts w:hint="eastAsia"/>
        </w:rPr>
        <w:t>；</w:t>
      </w:r>
    </w:p>
    <w:p w14:paraId="4380F2B4">
      <w:pPr>
        <w:pStyle w:val="55"/>
        <w:ind w:left="851" w:hanging="426"/>
      </w:pPr>
      <w:r>
        <w:rPr>
          <w:rFonts w:hint="eastAsia"/>
          <w:color w:val="auto"/>
          <w:highlight w:val="none"/>
          <w:lang w:val="en-US" w:eastAsia="zh-CN"/>
        </w:rPr>
        <w:t>原、辅料来源发生变化时</w:t>
      </w:r>
      <w:r>
        <w:rPr>
          <w:rFonts w:hint="eastAsia"/>
        </w:rPr>
        <w:t>；</w:t>
      </w:r>
    </w:p>
    <w:p w14:paraId="44613084">
      <w:pPr>
        <w:pStyle w:val="55"/>
      </w:pPr>
      <w:r>
        <w:rPr>
          <w:rFonts w:hint="eastAsia"/>
          <w:lang w:val="en-US" w:eastAsia="zh-CN"/>
        </w:rPr>
        <w:t>本次检验结果与上次检验结果发生较大差异时</w:t>
      </w:r>
      <w:r>
        <w:rPr>
          <w:rFonts w:hint="eastAsia"/>
          <w:lang w:eastAsia="zh-CN"/>
        </w:rPr>
        <w:t>：</w:t>
      </w:r>
    </w:p>
    <w:p w14:paraId="4FBB57C9">
      <w:pPr>
        <w:pStyle w:val="55"/>
        <w:ind w:left="851" w:hanging="426"/>
      </w:pPr>
      <w:r>
        <w:rPr>
          <w:rFonts w:hint="eastAsia"/>
          <w:lang w:val="en-US" w:eastAsia="zh-CN"/>
        </w:rPr>
        <w:t>更换主要生产设备时。</w:t>
      </w:r>
    </w:p>
    <w:p w14:paraId="1CBAD64E">
      <w:pPr>
        <w:pStyle w:val="78"/>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4.2</w:t>
      </w:r>
      <w:r>
        <w:rPr>
          <w:rFonts w:hint="eastAsia"/>
          <w:highlight w:val="none"/>
        </w:rPr>
        <w:t>～</w:t>
      </w:r>
      <w:r>
        <w:rPr>
          <w:rFonts w:hint="eastAsia"/>
          <w:highlight w:val="none"/>
          <w:lang w:val="en-US" w:eastAsia="zh-CN"/>
        </w:rPr>
        <w:t>4.5</w:t>
      </w:r>
      <w:r>
        <w:rPr>
          <w:rFonts w:hint="eastAsia"/>
          <w:highlight w:val="none"/>
        </w:rPr>
        <w:t>规</w:t>
      </w:r>
      <w:r>
        <w:rPr>
          <w:rFonts w:hint="eastAsia"/>
        </w:rPr>
        <w:t>定的所有项目。</w:t>
      </w:r>
    </w:p>
    <w:p w14:paraId="16EA0AE3">
      <w:pPr>
        <w:pStyle w:val="71"/>
        <w:spacing w:before="120" w:after="120"/>
      </w:pPr>
      <w:r>
        <w:rPr>
          <w:rFonts w:hint="eastAsia"/>
        </w:rPr>
        <w:t>判定规则</w:t>
      </w:r>
    </w:p>
    <w:p w14:paraId="006454DB">
      <w:pPr>
        <w:pStyle w:val="77"/>
        <w:spacing w:before="0" w:beforeLines="0" w:after="0" w:afterLines="0"/>
      </w:pPr>
      <w:r>
        <w:rPr>
          <w:rFonts w:hint="eastAsia"/>
        </w:rPr>
        <w:t>所有指标全部符合本文件要求时判该批产品合格。</w:t>
      </w:r>
    </w:p>
    <w:p w14:paraId="264E98C6">
      <w:pPr>
        <w:pStyle w:val="77"/>
        <w:spacing w:before="0" w:beforeLines="0" w:after="0" w:afterLines="0"/>
      </w:pPr>
      <w:r>
        <w:rPr>
          <w:rFonts w:hint="eastAsia"/>
        </w:rPr>
        <w:t>有一项不合格时，可在同批产品中抽取两倍量样品进行复验，以复验结果为准。</w:t>
      </w:r>
    </w:p>
    <w:p w14:paraId="477E994B">
      <w:pPr>
        <w:pStyle w:val="70"/>
        <w:bidi w:val="0"/>
      </w:pPr>
      <w:bookmarkStart w:id="44" w:name="_Toc103848006"/>
      <w:bookmarkStart w:id="45" w:name="_Toc147777294"/>
      <w:bookmarkStart w:id="46" w:name="_Toc141189598"/>
      <w:bookmarkStart w:id="47" w:name="_Toc143955923"/>
      <w:bookmarkStart w:id="48" w:name="_Toc141040836"/>
      <w:bookmarkStart w:id="49" w:name="_Toc147843902"/>
      <w:bookmarkStart w:id="50" w:name="_Toc149643652"/>
      <w:bookmarkStart w:id="51" w:name="_Toc147761914"/>
      <w:bookmarkStart w:id="52" w:name="_Toc144479683"/>
      <w:bookmarkStart w:id="53" w:name="_Toc141026234"/>
      <w:bookmarkStart w:id="54" w:name="_Toc143288147"/>
      <w:bookmarkStart w:id="55" w:name="_Toc150196312"/>
      <w:bookmarkStart w:id="56" w:name="_Toc103848254"/>
      <w:bookmarkStart w:id="57" w:name="_Toc30562"/>
      <w:bookmarkStart w:id="58" w:name="_Toc144670744"/>
      <w:bookmarkStart w:id="59" w:name="_Toc111488255"/>
      <w:bookmarkStart w:id="60" w:name="_Toc104058754"/>
      <w:bookmarkStart w:id="61" w:name="_Toc141363103"/>
      <w:r>
        <w:rPr>
          <w:rFonts w:hint="eastAsia"/>
        </w:rPr>
        <w:t>包装、标签</w:t>
      </w:r>
      <w:bookmarkEnd w:id="44"/>
      <w:r>
        <w:rPr>
          <w:rFonts w:hint="eastAsia"/>
        </w:rPr>
        <w:t>与标志</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4784573">
      <w:pPr>
        <w:pStyle w:val="71"/>
        <w:spacing w:before="120" w:after="120"/>
      </w:pPr>
      <w:r>
        <w:rPr>
          <w:rFonts w:hint="eastAsia"/>
        </w:rPr>
        <w:t>包装</w:t>
      </w:r>
    </w:p>
    <w:p w14:paraId="21CD6AEB">
      <w:pPr>
        <w:pStyle w:val="77"/>
        <w:bidi w:val="0"/>
        <w:spacing w:before="0" w:beforeLines="0" w:after="0" w:afterLines="0"/>
        <w:rPr>
          <w:rFonts w:hint="eastAsia"/>
        </w:rPr>
      </w:pPr>
      <w:r>
        <w:rPr>
          <w:rFonts w:hint="eastAsia"/>
        </w:rPr>
        <w:t>包装材料应分别符合</w:t>
      </w:r>
      <w:bookmarkStart w:id="62" w:name="_Hlk111486485"/>
      <w:bookmarkStart w:id="63" w:name="_Hlk111488105"/>
      <w:r>
        <w:t>GB 4806.1</w:t>
      </w:r>
      <w:r>
        <w:rPr>
          <w:rFonts w:hint="eastAsia"/>
        </w:rPr>
        <w:t>、</w:t>
      </w:r>
      <w:r>
        <w:rPr>
          <w:rFonts w:hint="eastAsia" w:ascii="宋体" w:hAnsi="Times New Roman" w:eastAsia="宋体" w:cs="宋体"/>
          <w:sz w:val="21"/>
          <w:lang w:val="en-US" w:eastAsia="zh-CN"/>
        </w:rPr>
        <w:t>GB</w:t>
      </w:r>
      <w:r>
        <w:rPr>
          <w:rFonts w:hint="eastAsia" w:cs="宋体"/>
          <w:sz w:val="21"/>
          <w:lang w:val="en-US" w:eastAsia="zh-CN"/>
        </w:rPr>
        <w:t xml:space="preserve"> </w:t>
      </w:r>
      <w:r>
        <w:rPr>
          <w:rFonts w:hint="eastAsia" w:ascii="宋体" w:hAnsi="Times New Roman" w:eastAsia="宋体" w:cs="宋体"/>
          <w:color w:val="auto"/>
          <w:kern w:val="0"/>
          <w:sz w:val="21"/>
          <w:szCs w:val="20"/>
          <w:lang w:val="en-US" w:eastAsia="zh-CN" w:bidi="ar"/>
        </w:rPr>
        <w:t>4806.6</w:t>
      </w:r>
      <w:r>
        <w:rPr>
          <w:rFonts w:hint="eastAsia" w:hAnsi="Times New Roman" w:cs="宋体"/>
          <w:color w:val="auto"/>
          <w:kern w:val="0"/>
          <w:sz w:val="21"/>
          <w:szCs w:val="20"/>
          <w:lang w:val="en-US" w:eastAsia="zh-CN" w:bidi="ar"/>
        </w:rPr>
        <w:t>、</w:t>
      </w:r>
      <w:r>
        <w:rPr>
          <w:rFonts w:hint="eastAsia"/>
        </w:rPr>
        <w:t>GB 4806.7</w:t>
      </w:r>
      <w:bookmarkEnd w:id="62"/>
      <w:r>
        <w:rPr>
          <w:rFonts w:hint="eastAsia"/>
        </w:rPr>
        <w:t>、</w:t>
      </w:r>
      <w:r>
        <w:t>GB 4806.8</w:t>
      </w:r>
      <w:bookmarkEnd w:id="63"/>
      <w:r>
        <w:rPr>
          <w:rFonts w:hint="eastAsia"/>
          <w:lang w:eastAsia="zh-CN"/>
        </w:rPr>
        <w:t>、</w:t>
      </w:r>
      <w:r>
        <w:rPr>
          <w:rFonts w:hint="eastAsia"/>
          <w:lang w:val="en-US" w:eastAsia="zh-CN"/>
        </w:rPr>
        <w:t>GB/T 10004</w:t>
      </w:r>
      <w:r>
        <w:rPr>
          <w:rFonts w:hint="eastAsia"/>
        </w:rPr>
        <w:t>的规定。</w:t>
      </w:r>
    </w:p>
    <w:p w14:paraId="72474020">
      <w:pPr>
        <w:pStyle w:val="77"/>
        <w:bidi w:val="0"/>
        <w:spacing w:before="0" w:beforeLines="0" w:after="0" w:afterLines="0"/>
        <w:rPr>
          <w:rFonts w:hint="eastAsia"/>
        </w:rPr>
      </w:pPr>
      <w:r>
        <w:rPr>
          <w:rFonts w:hint="eastAsia"/>
        </w:rPr>
        <w:t>塑料包装容器应符合GB/T 5737的要求。</w:t>
      </w:r>
    </w:p>
    <w:p w14:paraId="0C723DBE">
      <w:pPr>
        <w:pStyle w:val="71"/>
        <w:spacing w:before="120" w:after="120"/>
      </w:pPr>
      <w:r>
        <w:rPr>
          <w:rFonts w:hint="eastAsia"/>
        </w:rPr>
        <w:t>标签与标志</w:t>
      </w:r>
    </w:p>
    <w:p w14:paraId="453CE552">
      <w:pPr>
        <w:pStyle w:val="77"/>
        <w:bidi w:val="0"/>
        <w:spacing w:before="0" w:beforeLines="0" w:after="0" w:afterLines="0"/>
        <w:rPr>
          <w:rFonts w:hint="eastAsia"/>
        </w:rPr>
      </w:pPr>
      <w:bookmarkStart w:id="64" w:name="_Hlk103955000"/>
      <w:r>
        <w:rPr>
          <w:rFonts w:hint="eastAsia"/>
        </w:rPr>
        <w:t>包装上应标明品名、规格、产地、批号、生产或包装日期、净含量、产品执行标准号、生产单位名称和地址等，并附有质量合格的标志。包装储运图示标志应符合</w:t>
      </w:r>
      <w:bookmarkStart w:id="65" w:name="_Hlk103848491"/>
      <w:r>
        <w:rPr>
          <w:rFonts w:hint="eastAsia"/>
        </w:rPr>
        <w:t>GB/T 191</w:t>
      </w:r>
      <w:bookmarkEnd w:id="65"/>
      <w:r>
        <w:rPr>
          <w:rFonts w:hint="eastAsia"/>
        </w:rPr>
        <w:t>的规定。</w:t>
      </w:r>
    </w:p>
    <w:p w14:paraId="1E7E593B">
      <w:pPr>
        <w:pStyle w:val="77"/>
        <w:bidi w:val="0"/>
        <w:spacing w:before="0" w:beforeLines="0" w:after="0" w:afterLines="0"/>
        <w:rPr>
          <w:rFonts w:hint="eastAsia"/>
          <w:lang w:val="en-US" w:eastAsia="zh-CN"/>
        </w:rPr>
      </w:pPr>
      <w:r>
        <w:rPr>
          <w:rFonts w:hint="eastAsia"/>
        </w:rPr>
        <w:t>产品标签应符合GB</w:t>
      </w:r>
      <w:r>
        <w:rPr>
          <w:rFonts w:hint="eastAsia"/>
          <w:lang w:val="en-US" w:eastAsia="zh-CN"/>
        </w:rPr>
        <w:t xml:space="preserve"> 7718、GB 28050</w:t>
      </w:r>
      <w:r>
        <w:rPr>
          <w:rFonts w:hint="eastAsia"/>
        </w:rPr>
        <w:t>的要求</w:t>
      </w:r>
      <w:r>
        <w:rPr>
          <w:rFonts w:hint="eastAsia"/>
          <w:lang w:eastAsia="zh-CN"/>
        </w:rPr>
        <w:t>。</w:t>
      </w:r>
    </w:p>
    <w:bookmarkEnd w:id="64"/>
    <w:p w14:paraId="4B0A65D0">
      <w:pPr>
        <w:pStyle w:val="70"/>
        <w:spacing w:before="240" w:after="240"/>
      </w:pPr>
      <w:bookmarkStart w:id="66" w:name="_Toc147843903"/>
      <w:bookmarkStart w:id="67" w:name="_Toc147777295"/>
      <w:bookmarkStart w:id="68" w:name="_Toc143288148"/>
      <w:bookmarkStart w:id="69" w:name="_Toc150196313"/>
      <w:bookmarkStart w:id="70" w:name="_Toc141040837"/>
      <w:bookmarkStart w:id="71" w:name="_Toc141026235"/>
      <w:bookmarkStart w:id="72" w:name="_Toc147761915"/>
      <w:bookmarkStart w:id="73" w:name="_Toc143955924"/>
      <w:bookmarkStart w:id="74" w:name="_Toc104058755"/>
      <w:bookmarkStart w:id="75" w:name="_Toc103848007"/>
      <w:bookmarkStart w:id="76" w:name="_Toc26806"/>
      <w:bookmarkStart w:id="77" w:name="_Toc149643653"/>
      <w:bookmarkStart w:id="78" w:name="_Toc141363104"/>
      <w:bookmarkStart w:id="79" w:name="_Toc111488256"/>
      <w:bookmarkStart w:id="80" w:name="_Toc141189599"/>
      <w:bookmarkStart w:id="81" w:name="_Toc144479684"/>
      <w:bookmarkStart w:id="82" w:name="_Toc103848255"/>
      <w:bookmarkStart w:id="83" w:name="_Toc144670745"/>
      <w:r>
        <w:rPr>
          <w:rFonts w:hint="eastAsia"/>
        </w:rPr>
        <w:t>运输与贮存</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7F5DEF4">
      <w:pPr>
        <w:pStyle w:val="71"/>
        <w:spacing w:before="120" w:after="120"/>
      </w:pPr>
      <w:r>
        <w:rPr>
          <w:rFonts w:hint="eastAsia"/>
        </w:rPr>
        <w:t>运输</w:t>
      </w:r>
    </w:p>
    <w:p w14:paraId="41E8946D">
      <w:pPr>
        <w:pStyle w:val="23"/>
        <w:ind w:firstLine="420"/>
      </w:pPr>
      <w:bookmarkStart w:id="84" w:name="_Hlk111489198"/>
      <w:r>
        <w:rPr>
          <w:rFonts w:hint="eastAsia"/>
        </w:rPr>
        <w:t>运输工具应具有清洁、卫生、干燥、无异味，不得与有毒有害物品混运。运输途中应防雨、防潮、防暴晒、防污染。</w:t>
      </w:r>
    </w:p>
    <w:bookmarkEnd w:id="84"/>
    <w:p w14:paraId="46DA4A65">
      <w:pPr>
        <w:pStyle w:val="71"/>
        <w:spacing w:before="120" w:after="120"/>
      </w:pPr>
      <w:r>
        <w:rPr>
          <w:rFonts w:hint="eastAsia"/>
        </w:rPr>
        <w:t>贮存</w:t>
      </w:r>
    </w:p>
    <w:p w14:paraId="2C0D9C75">
      <w:pPr>
        <w:pStyle w:val="77"/>
        <w:numPr>
          <w:ilvl w:val="0"/>
          <w:numId w:val="0"/>
        </w:numPr>
        <w:spacing w:before="0" w:beforeLines="0" w:after="0" w:afterLines="0"/>
        <w:ind w:firstLine="420" w:firstLineChars="200"/>
      </w:pPr>
      <w:r>
        <w:rPr>
          <w:rFonts w:hint="eastAsia"/>
          <w:highlight w:val="none"/>
          <w:lang w:val="en-US" w:eastAsia="zh-CN"/>
        </w:rPr>
        <w:t>产品存储条件及控制应符合GB/T 24616的规定</w:t>
      </w:r>
      <w:r>
        <w:rPr>
          <w:rFonts w:hint="eastAsia"/>
        </w:rPr>
        <w:t>。</w:t>
      </w:r>
    </w:p>
    <w:p w14:paraId="42C8E393">
      <w:pPr>
        <w:pStyle w:val="23"/>
        <w:rPr>
          <w:rFonts w:hint="default"/>
          <w:lang w:val="en-US" w:eastAsia="zh-CN"/>
        </w:rPr>
      </w:pPr>
    </w:p>
    <w:p w14:paraId="6FB5EE61">
      <w:pPr>
        <w:pStyle w:val="23"/>
        <w:rPr>
          <w:rFonts w:hint="default"/>
          <w:lang w:val="en-US" w:eastAsia="zh-CN"/>
        </w:rPr>
      </w:pPr>
    </w:p>
    <w:p w14:paraId="14090EF8">
      <w:pPr>
        <w:pStyle w:val="23"/>
        <w:rPr>
          <w:rFonts w:hint="default"/>
          <w:lang w:val="en-US" w:eastAsia="zh-CN"/>
        </w:rPr>
      </w:pPr>
    </w:p>
    <w:p w14:paraId="04A01CBF">
      <w:pPr>
        <w:pStyle w:val="23"/>
        <w:rPr>
          <w:rFonts w:hint="default"/>
          <w:lang w:val="en-US" w:eastAsia="zh-CN"/>
        </w:rPr>
      </w:pPr>
    </w:p>
    <w:p w14:paraId="6121C929">
      <w:pPr>
        <w:pStyle w:val="23"/>
        <w:rPr>
          <w:rFonts w:hint="default"/>
          <w:lang w:val="en-US" w:eastAsia="zh-CN"/>
        </w:rPr>
      </w:pPr>
    </w:p>
    <w:p w14:paraId="6767AB0F">
      <w:pPr>
        <w:pStyle w:val="23"/>
        <w:rPr>
          <w:rFonts w:hint="default"/>
          <w:lang w:val="en-US" w:eastAsia="zh-CN"/>
        </w:rPr>
      </w:pPr>
    </w:p>
    <w:p w14:paraId="3A6C17DD">
      <w:pPr>
        <w:pStyle w:val="23"/>
        <w:rPr>
          <w:rFonts w:hint="default"/>
          <w:lang w:val="en-US" w:eastAsia="zh-CN"/>
        </w:rPr>
      </w:pPr>
    </w:p>
    <w:p w14:paraId="50A225B1">
      <w:pPr>
        <w:pStyle w:val="23"/>
        <w:rPr>
          <w:rFonts w:hint="default"/>
          <w:lang w:val="en-US" w:eastAsia="zh-CN"/>
        </w:rPr>
      </w:pPr>
    </w:p>
    <w:p w14:paraId="400B5EC8">
      <w:pPr>
        <w:pStyle w:val="23"/>
        <w:rPr>
          <w:rFonts w:hint="default"/>
          <w:lang w:val="en-US" w:eastAsia="zh-CN"/>
        </w:rPr>
      </w:pPr>
    </w:p>
    <w:p w14:paraId="14416F9C">
      <w:pPr>
        <w:pStyle w:val="23"/>
        <w:rPr>
          <w:rFonts w:hint="default"/>
          <w:lang w:val="en-US" w:eastAsia="zh-CN"/>
        </w:rPr>
      </w:pPr>
    </w:p>
    <w:p w14:paraId="59EABCFA">
      <w:pPr>
        <w:pStyle w:val="23"/>
        <w:rPr>
          <w:rFonts w:hint="default"/>
          <w:lang w:val="en-US" w:eastAsia="zh-CN"/>
        </w:rPr>
      </w:pPr>
    </w:p>
    <w:p w14:paraId="64F646B4">
      <w:pPr>
        <w:pStyle w:val="23"/>
        <w:rPr>
          <w:rFonts w:hint="default"/>
          <w:lang w:val="en-US" w:eastAsia="zh-CN"/>
        </w:rPr>
      </w:pPr>
    </w:p>
    <w:p w14:paraId="63A0831C">
      <w:pPr>
        <w:rPr>
          <w:rFonts w:hint="default"/>
          <w:lang w:val="en-US" w:eastAsia="zh-CN"/>
        </w:rPr>
      </w:pPr>
      <w:r>
        <w:rPr>
          <w:rFonts w:hint="default"/>
          <w:lang w:val="en-US" w:eastAsia="zh-CN"/>
        </w:rPr>
        <w:br w:type="page"/>
      </w:r>
    </w:p>
    <w:p w14:paraId="61F42C51">
      <w:pPr>
        <w:pStyle w:val="97"/>
        <w:bidi w:val="0"/>
        <w:rPr>
          <w:rFonts w:hint="eastAsia"/>
          <w:lang w:val="en-US" w:eastAsia="zh-CN"/>
        </w:rPr>
      </w:pPr>
    </w:p>
    <w:p w14:paraId="22B2F10F">
      <w:pPr>
        <w:pStyle w:val="99"/>
        <w:bidi w:val="0"/>
        <w:rPr>
          <w:rFonts w:hint="eastAsia"/>
          <w:lang w:val="en-US" w:eastAsia="zh-CN"/>
        </w:rPr>
      </w:pPr>
    </w:p>
    <w:p w14:paraId="3EF5AEF9">
      <w:pPr>
        <w:pStyle w:val="86"/>
        <w:bidi w:val="0"/>
        <w:rPr>
          <w:rFonts w:hint="eastAsia"/>
          <w:lang w:val="en-US" w:eastAsia="zh-CN"/>
        </w:rPr>
      </w:pPr>
      <w:bookmarkStart w:id="85" w:name="_Toc12561"/>
    </w:p>
    <w:p w14:paraId="7F810120">
      <w:pPr>
        <w:pStyle w:val="86"/>
        <w:numPr>
          <w:ilvl w:val="-1"/>
          <w:numId w:val="0"/>
        </w:numPr>
        <w:bidi w:val="0"/>
        <w:jc w:val="center"/>
        <w:rPr>
          <w:rFonts w:hint="eastAsia"/>
          <w:lang w:val="en-US" w:eastAsia="zh-CN"/>
        </w:rPr>
      </w:pPr>
      <w:r>
        <w:rPr>
          <w:rFonts w:hint="eastAsia"/>
          <w:lang w:val="en-US" w:eastAsia="zh-CN"/>
        </w:rPr>
        <w:t>（规范性）</w:t>
      </w:r>
    </w:p>
    <w:p w14:paraId="1A9691F9">
      <w:pPr>
        <w:pStyle w:val="86"/>
        <w:numPr>
          <w:ilvl w:val="-1"/>
          <w:numId w:val="0"/>
        </w:numPr>
        <w:bidi w:val="0"/>
        <w:jc w:val="center"/>
        <w:rPr>
          <w:rFonts w:hint="eastAsia"/>
          <w:lang w:val="en-US" w:eastAsia="zh-CN"/>
        </w:rPr>
      </w:pPr>
      <w:r>
        <w:rPr>
          <w:rFonts w:hint="eastAsia"/>
          <w:lang w:val="en-US" w:eastAsia="zh-CN"/>
        </w:rPr>
        <w:t>井冈山黄元米果生产区域范围图</w:t>
      </w:r>
      <w:bookmarkEnd w:id="85"/>
    </w:p>
    <w:p w14:paraId="298FDF13">
      <w:pPr>
        <w:pStyle w:val="23"/>
        <w:rPr>
          <w:rFonts w:hint="eastAsia"/>
          <w:lang w:val="en-US" w:eastAsia="zh-CN"/>
        </w:rPr>
      </w:pPr>
    </w:p>
    <w:p w14:paraId="3C73EF7C">
      <w:pPr>
        <w:pStyle w:val="23"/>
        <w:rPr>
          <w:rFonts w:hint="default"/>
          <w:lang w:val="en-US" w:eastAsia="zh-CN"/>
        </w:rPr>
      </w:pPr>
      <w:r>
        <w:rPr>
          <w:rFonts w:hint="eastAsia"/>
          <w:lang w:val="en-US" w:eastAsia="zh-CN"/>
        </w:rPr>
        <w:t>井冈山黄元米果生产区域范围见图A.1。</w:t>
      </w:r>
    </w:p>
    <w:p w14:paraId="01A5D974">
      <w:pPr>
        <w:pStyle w:val="23"/>
        <w:ind w:firstLine="0" w:firstLineChars="0"/>
        <w:jc w:val="center"/>
        <w:rPr>
          <w:rFonts w:hint="eastAsia" w:eastAsia="宋体"/>
          <w:lang w:eastAsia="zh-CN"/>
        </w:rPr>
      </w:pPr>
      <w:r>
        <w:rPr>
          <w:rFonts w:hint="eastAsia" w:eastAsia="宋体"/>
          <w:lang w:eastAsia="zh-CN"/>
        </w:rPr>
        <w:drawing>
          <wp:inline distT="0" distB="0" distL="114300" distR="114300">
            <wp:extent cx="3607435" cy="5097780"/>
            <wp:effectExtent l="0" t="0" r="12065" b="7620"/>
            <wp:docPr id="1" name="图片 1" descr="0a31e11a43363ee575067b8fc67d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31e11a43363ee575067b8fc67def3"/>
                    <pic:cNvPicPr>
                      <a:picLocks noChangeAspect="1"/>
                    </pic:cNvPicPr>
                  </pic:nvPicPr>
                  <pic:blipFill>
                    <a:blip r:embed="rId6"/>
                    <a:stretch>
                      <a:fillRect/>
                    </a:stretch>
                  </pic:blipFill>
                  <pic:spPr>
                    <a:xfrm>
                      <a:off x="0" y="0"/>
                      <a:ext cx="3607435" cy="5097780"/>
                    </a:xfrm>
                    <a:prstGeom prst="rect">
                      <a:avLst/>
                    </a:prstGeom>
                  </pic:spPr>
                </pic:pic>
              </a:graphicData>
            </a:graphic>
          </wp:inline>
        </w:drawing>
      </w:r>
    </w:p>
    <w:p w14:paraId="7A6F4F48">
      <w:pPr>
        <w:pStyle w:val="112"/>
        <w:numPr>
          <w:ilvl w:val="0"/>
          <w:numId w:val="0"/>
        </w:numPr>
        <w:bidi w:val="0"/>
        <w:ind w:leftChars="0"/>
        <w:jc w:val="center"/>
        <w:rPr>
          <w:rFonts w:hint="eastAsia"/>
          <w:lang w:val="en-US" w:eastAsia="zh-CN"/>
        </w:rPr>
      </w:pPr>
      <w:r>
        <w:rPr>
          <w:rFonts w:hint="eastAsia"/>
          <w:lang w:val="en-US" w:eastAsia="zh-CN"/>
        </w:rPr>
        <w:t>图A.1 井冈山黄元米果生产区域范围图</w:t>
      </w:r>
    </w:p>
    <w:p w14:paraId="682ABEC8">
      <w:pPr>
        <w:pStyle w:val="23"/>
        <w:numPr>
          <w:ilvl w:val="-1"/>
          <w:numId w:val="0"/>
        </w:numPr>
        <w:ind w:firstLine="0" w:firstLineChars="0"/>
        <w:jc w:val="both"/>
      </w:pPr>
    </w:p>
    <w:p w14:paraId="60D89835">
      <w:pPr>
        <w:pStyle w:val="110"/>
        <w:bidi w:val="0"/>
        <w:rPr>
          <w:rFonts w:hint="default"/>
          <w:lang w:val="en-US" w:eastAsia="zh-CN"/>
        </w:rPr>
      </w:pPr>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FBD1">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0321">
    <w:pPr>
      <w:pStyle w:val="30"/>
      <w:bidi w:val="0"/>
      <w:rPr>
        <w:rFonts w:hint="eastAsia" w:eastAsia="黑体"/>
        <w:lang w:eastAsia="zh-CN"/>
      </w:rPr>
    </w:pPr>
    <w:r>
      <w:rPr>
        <w:rFonts w:hint="eastAsia"/>
        <w:lang w:eastAsia="zh-CN"/>
      </w:rPr>
      <w:t>T/JALNCP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7787"/>
    <w:multiLevelType w:val="multilevel"/>
    <w:tmpl w:val="8B4E778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A1986273"/>
    <w:multiLevelType w:val="multilevel"/>
    <w:tmpl w:val="A1986273"/>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573FCA0"/>
    <w:multiLevelType w:val="multilevel"/>
    <w:tmpl w:val="B573FCA0"/>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C8AD354"/>
    <w:multiLevelType w:val="multilevel"/>
    <w:tmpl w:val="EC8AD354"/>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0136F18"/>
    <w:multiLevelType w:val="multilevel"/>
    <w:tmpl w:val="F0136F18"/>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764C4D"/>
    <w:multiLevelType w:val="multilevel"/>
    <w:tmpl w:val="F8764C4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42BE165"/>
    <w:multiLevelType w:val="multilevel"/>
    <w:tmpl w:val="042BE165"/>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D82C9C"/>
    <w:multiLevelType w:val="multilevel"/>
    <w:tmpl w:val="0AD82C9C"/>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AF25FD9"/>
    <w:multiLevelType w:val="multilevel"/>
    <w:tmpl w:val="1AF25FD9"/>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2173D9F1"/>
    <w:multiLevelType w:val="multilevel"/>
    <w:tmpl w:val="2173D9F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E34FD65"/>
    <w:multiLevelType w:val="multilevel"/>
    <w:tmpl w:val="2E34FD6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222B981"/>
    <w:multiLevelType w:val="multilevel"/>
    <w:tmpl w:val="3222B981"/>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17328A"/>
    <w:multiLevelType w:val="multilevel"/>
    <w:tmpl w:val="3617328A"/>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8D1385B"/>
    <w:multiLevelType w:val="multilevel"/>
    <w:tmpl w:val="38D1385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3B12D4D2"/>
    <w:multiLevelType w:val="multilevel"/>
    <w:tmpl w:val="3B12D4D2"/>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1DEBFF6"/>
    <w:multiLevelType w:val="multilevel"/>
    <w:tmpl w:val="71DEBFF6"/>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33389A6"/>
    <w:multiLevelType w:val="multilevel"/>
    <w:tmpl w:val="733389A6"/>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14"/>
  </w:num>
  <w:num w:numId="3">
    <w:abstractNumId w:val="11"/>
  </w:num>
  <w:num w:numId="4">
    <w:abstractNumId w:val="17"/>
  </w:num>
  <w:num w:numId="5">
    <w:abstractNumId w:val="15"/>
  </w:num>
  <w:num w:numId="6">
    <w:abstractNumId w:val="1"/>
  </w:num>
  <w:num w:numId="7">
    <w:abstractNumId w:val="7"/>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2"/>
  </w:num>
  <w:num w:numId="15">
    <w:abstractNumId w:val="3"/>
  </w:num>
  <w:num w:numId="16">
    <w:abstractNumId w:val="6"/>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22A65372"/>
    <w:rsid w:val="015D5672"/>
    <w:rsid w:val="01E44FDB"/>
    <w:rsid w:val="02CE2CB2"/>
    <w:rsid w:val="03D35910"/>
    <w:rsid w:val="048E4B7A"/>
    <w:rsid w:val="04C968F4"/>
    <w:rsid w:val="05281FDD"/>
    <w:rsid w:val="05D133B5"/>
    <w:rsid w:val="06ED2AFE"/>
    <w:rsid w:val="096820FA"/>
    <w:rsid w:val="0A382368"/>
    <w:rsid w:val="0C8E7E33"/>
    <w:rsid w:val="0D54274B"/>
    <w:rsid w:val="0D5D3E94"/>
    <w:rsid w:val="0E2854C2"/>
    <w:rsid w:val="0E4B0190"/>
    <w:rsid w:val="0FFA3C1C"/>
    <w:rsid w:val="103E71E0"/>
    <w:rsid w:val="10FB396F"/>
    <w:rsid w:val="11531BD8"/>
    <w:rsid w:val="1257050D"/>
    <w:rsid w:val="16D2144F"/>
    <w:rsid w:val="174736BE"/>
    <w:rsid w:val="1A9E7AF2"/>
    <w:rsid w:val="1B8E1496"/>
    <w:rsid w:val="1BA06543"/>
    <w:rsid w:val="1D57438E"/>
    <w:rsid w:val="1EBB0A1A"/>
    <w:rsid w:val="206F3F8C"/>
    <w:rsid w:val="22A65372"/>
    <w:rsid w:val="22BB4CC0"/>
    <w:rsid w:val="258921ED"/>
    <w:rsid w:val="29015BC3"/>
    <w:rsid w:val="29671BBB"/>
    <w:rsid w:val="2A60375D"/>
    <w:rsid w:val="317561A9"/>
    <w:rsid w:val="324E5613"/>
    <w:rsid w:val="330864CC"/>
    <w:rsid w:val="34256C0A"/>
    <w:rsid w:val="34F62354"/>
    <w:rsid w:val="3510196C"/>
    <w:rsid w:val="35D23F20"/>
    <w:rsid w:val="36DA7652"/>
    <w:rsid w:val="36EA7C97"/>
    <w:rsid w:val="38BD1A5F"/>
    <w:rsid w:val="38CF5396"/>
    <w:rsid w:val="3CBE1AE5"/>
    <w:rsid w:val="3CFC402E"/>
    <w:rsid w:val="40030292"/>
    <w:rsid w:val="403A64B2"/>
    <w:rsid w:val="410C109C"/>
    <w:rsid w:val="417D0AC2"/>
    <w:rsid w:val="421A5B5D"/>
    <w:rsid w:val="425002F5"/>
    <w:rsid w:val="47997CE8"/>
    <w:rsid w:val="49CB0459"/>
    <w:rsid w:val="4D950505"/>
    <w:rsid w:val="4EE56A56"/>
    <w:rsid w:val="4F0B73E5"/>
    <w:rsid w:val="50B145A5"/>
    <w:rsid w:val="53CE6585"/>
    <w:rsid w:val="53F73CC7"/>
    <w:rsid w:val="57BA0341"/>
    <w:rsid w:val="582308C8"/>
    <w:rsid w:val="5C8559C5"/>
    <w:rsid w:val="5D6B597F"/>
    <w:rsid w:val="5E2C229D"/>
    <w:rsid w:val="5EC91604"/>
    <w:rsid w:val="5F286FD6"/>
    <w:rsid w:val="5FDC037C"/>
    <w:rsid w:val="60C62FD2"/>
    <w:rsid w:val="63A27173"/>
    <w:rsid w:val="672E5DC5"/>
    <w:rsid w:val="679B072E"/>
    <w:rsid w:val="69D26D40"/>
    <w:rsid w:val="6C5E0930"/>
    <w:rsid w:val="6EAE5472"/>
    <w:rsid w:val="6FA348AB"/>
    <w:rsid w:val="6FAE259E"/>
    <w:rsid w:val="6FBB4290"/>
    <w:rsid w:val="701F78B8"/>
    <w:rsid w:val="730D7117"/>
    <w:rsid w:val="73E21E46"/>
    <w:rsid w:val="75916036"/>
    <w:rsid w:val="75B951A6"/>
    <w:rsid w:val="76791307"/>
    <w:rsid w:val="78E25ED3"/>
    <w:rsid w:val="7A9D0921"/>
    <w:rsid w:val="7C0A2C05"/>
    <w:rsid w:val="7C9537CE"/>
    <w:rsid w:val="7D032264"/>
    <w:rsid w:val="7DAA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int="eastAsia" w:ascii="宋体" w:hAnsi="Times New Roman" w:eastAsia="宋体" w:cs="Times New Roman"/>
      <w:sz w:val="21"/>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425"/>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425"/>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注：（正文）"/>
    <w:basedOn w:val="121"/>
    <w:next w:val="119"/>
    <w:qFormat/>
    <w:uiPriority w:val="0"/>
    <w:pPr>
      <w:numPr>
        <w:ilvl w:val="0"/>
        <w:numId w:val="18"/>
      </w:numPr>
    </w:pPr>
  </w:style>
  <w:style w:type="paragraph" w:customStyle="1" w:styleId="121">
    <w:name w:val="注："/>
    <w:next w:val="119"/>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5C11C5FF">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3C5BF8E7">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7B5DDC7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2222</Words>
  <Characters>2765</Characters>
  <Lines>0</Lines>
  <Paragraphs>0</Paragraphs>
  <TotalTime>6</TotalTime>
  <ScaleCrop>false</ScaleCrop>
  <LinksUpToDate>false</LinksUpToDate>
  <CharactersWithSpaces>2972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青春</cp:lastModifiedBy>
  <dcterms:modified xsi:type="dcterms:W3CDTF">2024-09-19T01:26:00Z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5E05600BEBBE4FFCA955E001E0A3029D_13</vt:lpwstr>
  </property>
</Properties>
</file>