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13AF1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14:paraId="0BE77B5C">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11581C7F">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lang w:val="en-US" w:eastAsia="zh-CN"/>
              </w:rPr>
              <w:t>67.140.10</w:t>
            </w:r>
            <w:r>
              <w:rPr>
                <w:rFonts w:ascii="黑体" w:hAnsi="黑体" w:eastAsia="黑体"/>
                <w:sz w:val="21"/>
                <w:szCs w:val="21"/>
              </w:rPr>
              <w:fldChar w:fldCharType="end"/>
            </w:r>
            <w:bookmarkEnd w:id="0"/>
          </w:p>
        </w:tc>
      </w:tr>
      <w:tr w14:paraId="727CB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04273250">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157D0EAD">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1343DE62">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lang w:eastAsia="zh-CN"/>
                    </w:rPr>
                    <w:t>J</w:t>
                  </w:r>
                  <w:r>
                    <w:rPr>
                      <w:rFonts w:hint="eastAsia"/>
                      <w:lang w:val="en-US" w:eastAsia="zh-CN"/>
                    </w:rPr>
                    <w:t>ALNCP</w:t>
                  </w:r>
                  <w:r>
                    <w:fldChar w:fldCharType="end"/>
                  </w:r>
                  <w:bookmarkEnd w:id="1"/>
                </w:p>
              </w:tc>
            </w:tr>
          </w:tbl>
          <w:p w14:paraId="66B4D157">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lang w:val="en-US" w:eastAsia="zh-CN"/>
              </w:rPr>
              <w:t>X 55</w:t>
            </w:r>
            <w:r>
              <w:rPr>
                <w:rFonts w:ascii="黑体" w:hAnsi="黑体" w:eastAsia="黑体"/>
                <w:sz w:val="21"/>
                <w:szCs w:val="21"/>
              </w:rPr>
              <w:fldChar w:fldCharType="end"/>
            </w:r>
            <w:bookmarkEnd w:id="2"/>
          </w:p>
        </w:tc>
      </w:tr>
    </w:tbl>
    <w:p w14:paraId="060563C3">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lang w:eastAsia="zh-CN"/>
        </w:rPr>
        <w:t>吉安市绿色农产品促进会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4500FE9B">
      <w:pPr>
        <w:pStyle w:val="195"/>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rPr>
          <w:rFonts w:hint="eastAsia"/>
          <w:lang w:eastAsia="zh-CN"/>
        </w:rPr>
        <w:t>J</w:t>
      </w:r>
      <w:r>
        <w:rPr>
          <w:rFonts w:hint="eastAsia"/>
          <w:lang w:val="en-US" w:eastAsia="zh-CN"/>
        </w:rPr>
        <w:t>ALNCP</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rPr>
          <w:rFonts w:hint="eastAsia"/>
          <w:lang w:eastAsia="zh-CN"/>
        </w:rPr>
        <w:t>2</w:t>
      </w:r>
      <w:r>
        <w:rPr>
          <w:rFonts w:hint="eastAsia"/>
          <w:lang w:val="en-US" w:eastAsia="zh-CN"/>
        </w:rPr>
        <w:t>024</w:t>
      </w:r>
      <w:r>
        <w:fldChar w:fldCharType="end"/>
      </w:r>
      <w:bookmarkEnd w:id="7"/>
    </w:p>
    <w:p w14:paraId="5FE182E0">
      <w:pPr>
        <w:pStyle w:val="19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009C2402">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6F38998A">
      <w:pPr>
        <w:pStyle w:val="50"/>
        <w:framePr w:w="9639" w:h="6976" w:hRule="exact" w:hSpace="0" w:vSpace="0" w:wrap="around" w:hAnchor="page" w:y="6408"/>
        <w:jc w:val="center"/>
        <w:rPr>
          <w:rFonts w:ascii="黑体" w:hAnsi="黑体" w:eastAsia="黑体"/>
          <w:b w:val="0"/>
          <w:bCs w:val="0"/>
          <w:w w:val="100"/>
        </w:rPr>
      </w:pPr>
    </w:p>
    <w:p w14:paraId="0AEC2ED7">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lang w:eastAsia="zh-CN"/>
        </w:rPr>
        <w:t>井冈山</w:t>
      </w:r>
      <w:r>
        <w:rPr>
          <w:rFonts w:hint="eastAsia"/>
          <w:lang w:val="en-US" w:eastAsia="zh-CN"/>
        </w:rPr>
        <w:t>黄金芽（绿茶）</w:t>
      </w:r>
      <w:r>
        <w:fldChar w:fldCharType="end"/>
      </w:r>
      <w:bookmarkEnd w:id="9"/>
    </w:p>
    <w:p w14:paraId="754DE6AA">
      <w:pPr>
        <w:framePr w:w="9639" w:h="6974" w:hRule="exact" w:wrap="around" w:vAnchor="page" w:hAnchor="page" w:x="1419" w:y="6408" w:anchorLock="1"/>
        <w:ind w:left="-1418"/>
      </w:pPr>
    </w:p>
    <w:p w14:paraId="1C7D783D">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lang w:eastAsia="zh-CN"/>
        </w:rPr>
        <w:t>J</w:t>
      </w:r>
      <w:r>
        <w:rPr>
          <w:rFonts w:hint="eastAsia" w:eastAsia="黑体"/>
          <w:szCs w:val="28"/>
          <w:lang w:val="en-US" w:eastAsia="zh-CN"/>
        </w:rPr>
        <w:t>inggangshan Green Tea with golden shoots</w:t>
      </w:r>
      <w:r>
        <w:rPr>
          <w:rFonts w:eastAsia="黑体"/>
          <w:szCs w:val="28"/>
        </w:rPr>
        <w:fldChar w:fldCharType="end"/>
      </w:r>
      <w:bookmarkEnd w:id="10"/>
    </w:p>
    <w:p w14:paraId="607D5335">
      <w:pPr>
        <w:framePr w:w="9639" w:h="6974" w:hRule="exact" w:wrap="around" w:vAnchor="page" w:hAnchor="page" w:x="1419" w:y="6408" w:anchorLock="1"/>
        <w:spacing w:line="760" w:lineRule="exact"/>
        <w:ind w:left="-1418"/>
      </w:pPr>
    </w:p>
    <w:p w14:paraId="478C814F">
      <w:pPr>
        <w:pStyle w:val="125"/>
        <w:framePr w:w="9639" w:h="6974" w:hRule="exact" w:wrap="around" w:vAnchor="page" w:hAnchor="page" w:x="1419" w:y="6408" w:anchorLock="1"/>
        <w:textAlignment w:val="bottom"/>
        <w:rPr>
          <w:rFonts w:eastAsia="黑体"/>
          <w:szCs w:val="28"/>
        </w:rPr>
      </w:pPr>
    </w:p>
    <w:p w14:paraId="3E818183">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2D6C728C">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3943483C">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1F2FE5B3">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hint="eastAsia" w:ascii="黑体"/>
          <w:lang w:eastAsia="zh-CN"/>
        </w:rPr>
        <w:t>2</w:t>
      </w:r>
      <w:r>
        <w:rPr>
          <w:rFonts w:hint="eastAsia" w:ascii="黑体"/>
          <w:lang w:val="en-US" w:eastAsia="zh-CN"/>
        </w:rPr>
        <w:t>024</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36EB3365">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hint="eastAsia" w:ascii="黑体"/>
          <w:lang w:eastAsia="zh-CN"/>
        </w:rPr>
        <w:t>2</w:t>
      </w:r>
      <w:r>
        <w:rPr>
          <w:rFonts w:hint="eastAsia" w:ascii="黑体"/>
          <w:lang w:val="en-US" w:eastAsia="zh-CN"/>
        </w:rPr>
        <w:t>024</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41A5839C">
      <w:pPr>
        <w:pStyle w:val="15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lang w:eastAsia="zh-CN"/>
        </w:rPr>
        <w:t>吉安市绿色农产品促进会</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197B406D">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5D7C9FB7">
      <w:pPr>
        <w:pStyle w:val="89"/>
        <w:spacing w:before="900" w:after="360"/>
      </w:pPr>
      <w:bookmarkStart w:id="21" w:name="BookMark2"/>
      <w:r>
        <w:rPr>
          <w:rFonts w:hint="eastAsia"/>
          <w:lang w:eastAsia="zh-CN"/>
        </w:rPr>
        <w:t>目</w:t>
      </w:r>
      <w:r>
        <w:rPr>
          <w:rFonts w:hint="eastAsia"/>
          <w:lang w:val="en-US" w:eastAsia="zh-CN"/>
        </w:rPr>
        <w:t xml:space="preserve">   </w:t>
      </w:r>
      <w:r>
        <w:rPr>
          <w:rFonts w:hint="eastAsia"/>
          <w:lang w:eastAsia="zh-CN"/>
        </w:rPr>
        <w:t>次</w:t>
      </w:r>
    </w:p>
    <w:p w14:paraId="704480D0">
      <w:pPr>
        <w:pStyle w:val="19"/>
        <w:tabs>
          <w:tab w:val="right" w:leader="dot" w:pos="9344"/>
        </w:tabs>
        <w:rPr>
          <w:rFonts w:asciiTheme="minorHAnsi" w:hAnsiTheme="minorHAnsi" w:eastAsiaTheme="minorEastAsia" w:cstheme="minorBidi"/>
          <w:szCs w:val="22"/>
        </w:rPr>
      </w:pPr>
      <w:r>
        <w:fldChar w:fldCharType="begin"/>
      </w:r>
      <w:r>
        <w:instrText xml:space="preserve"> HYPERLINK \l "_Toc149814112" </w:instrText>
      </w:r>
      <w:r>
        <w:fldChar w:fldCharType="separate"/>
      </w:r>
      <w:r>
        <w:rPr>
          <w:rStyle w:val="32"/>
          <w:rFonts w:hint="eastAsia"/>
        </w:rPr>
        <w:t>前言</w:t>
      </w:r>
      <w:r>
        <w:tab/>
      </w:r>
      <w:r>
        <w:fldChar w:fldCharType="begin"/>
      </w:r>
      <w:r>
        <w:instrText xml:space="preserve"> PAGEREF _Toc149814112 \h </w:instrText>
      </w:r>
      <w:r>
        <w:fldChar w:fldCharType="separate"/>
      </w:r>
      <w:r>
        <w:t>II</w:t>
      </w:r>
      <w:r>
        <w:fldChar w:fldCharType="end"/>
      </w:r>
      <w:r>
        <w:fldChar w:fldCharType="end"/>
      </w:r>
    </w:p>
    <w:p w14:paraId="5AD44F80">
      <w:pPr>
        <w:pStyle w:val="19"/>
        <w:tabs>
          <w:tab w:val="right" w:leader="dot" w:pos="9344"/>
        </w:tabs>
        <w:rPr>
          <w:rFonts w:asciiTheme="minorHAnsi" w:hAnsiTheme="minorHAnsi" w:eastAsiaTheme="minorEastAsia" w:cstheme="minorBidi"/>
          <w:szCs w:val="22"/>
        </w:rPr>
      </w:pPr>
      <w:r>
        <w:fldChar w:fldCharType="begin"/>
      </w:r>
      <w:r>
        <w:instrText xml:space="preserve"> HYPERLINK \l "_Toc149814113" </w:instrText>
      </w:r>
      <w:r>
        <w:fldChar w:fldCharType="separate"/>
      </w:r>
      <w:r>
        <w:rPr>
          <w:rStyle w:val="32"/>
        </w:rPr>
        <w:t xml:space="preserve">1 </w:t>
      </w:r>
      <w:r>
        <w:rPr>
          <w:rStyle w:val="32"/>
          <w:rFonts w:hint="eastAsia"/>
        </w:rPr>
        <w:t xml:space="preserve"> 范围</w:t>
      </w:r>
      <w:r>
        <w:tab/>
      </w:r>
      <w:r>
        <w:fldChar w:fldCharType="begin"/>
      </w:r>
      <w:r>
        <w:instrText xml:space="preserve"> PAGEREF _Toc149814113 \h </w:instrText>
      </w:r>
      <w:r>
        <w:fldChar w:fldCharType="separate"/>
      </w:r>
      <w:r>
        <w:t>1</w:t>
      </w:r>
      <w:r>
        <w:fldChar w:fldCharType="end"/>
      </w:r>
      <w:r>
        <w:fldChar w:fldCharType="end"/>
      </w:r>
    </w:p>
    <w:p w14:paraId="75D670BD">
      <w:pPr>
        <w:pStyle w:val="19"/>
        <w:tabs>
          <w:tab w:val="right" w:leader="dot" w:pos="9344"/>
        </w:tabs>
        <w:rPr>
          <w:rFonts w:asciiTheme="minorHAnsi" w:hAnsiTheme="minorHAnsi" w:eastAsiaTheme="minorEastAsia" w:cstheme="minorBidi"/>
          <w:szCs w:val="22"/>
        </w:rPr>
      </w:pPr>
      <w:r>
        <w:fldChar w:fldCharType="begin"/>
      </w:r>
      <w:r>
        <w:instrText xml:space="preserve"> HYPERLINK \l "_Toc149814114" </w:instrText>
      </w:r>
      <w:r>
        <w:fldChar w:fldCharType="separate"/>
      </w:r>
      <w:r>
        <w:rPr>
          <w:rStyle w:val="32"/>
        </w:rPr>
        <w:t xml:space="preserve">2 </w:t>
      </w:r>
      <w:r>
        <w:rPr>
          <w:rStyle w:val="32"/>
          <w:rFonts w:hint="eastAsia"/>
        </w:rPr>
        <w:t xml:space="preserve"> 规范性引用文件</w:t>
      </w:r>
      <w:r>
        <w:tab/>
      </w:r>
      <w:r>
        <w:fldChar w:fldCharType="begin"/>
      </w:r>
      <w:r>
        <w:instrText xml:space="preserve"> PAGEREF _Toc149814114 \h </w:instrText>
      </w:r>
      <w:r>
        <w:fldChar w:fldCharType="separate"/>
      </w:r>
      <w:r>
        <w:t>1</w:t>
      </w:r>
      <w:r>
        <w:fldChar w:fldCharType="end"/>
      </w:r>
      <w:r>
        <w:fldChar w:fldCharType="end"/>
      </w:r>
    </w:p>
    <w:p w14:paraId="2FA6F83E">
      <w:pPr>
        <w:pStyle w:val="19"/>
        <w:tabs>
          <w:tab w:val="right" w:leader="dot" w:pos="9344"/>
        </w:tabs>
        <w:rPr>
          <w:rFonts w:asciiTheme="minorHAnsi" w:hAnsiTheme="minorHAnsi" w:eastAsiaTheme="minorEastAsia" w:cstheme="minorBidi"/>
          <w:szCs w:val="22"/>
        </w:rPr>
      </w:pPr>
      <w:r>
        <w:fldChar w:fldCharType="begin"/>
      </w:r>
      <w:r>
        <w:instrText xml:space="preserve"> HYPERLINK \l "_Toc149814115" </w:instrText>
      </w:r>
      <w:r>
        <w:fldChar w:fldCharType="separate"/>
      </w:r>
      <w:r>
        <w:rPr>
          <w:rStyle w:val="32"/>
        </w:rPr>
        <w:t xml:space="preserve">3 </w:t>
      </w:r>
      <w:r>
        <w:rPr>
          <w:rStyle w:val="32"/>
          <w:rFonts w:hint="eastAsia"/>
        </w:rPr>
        <w:t xml:space="preserve"> 术语和定义</w:t>
      </w:r>
      <w:r>
        <w:tab/>
      </w:r>
      <w:r>
        <w:rPr>
          <w:rFonts w:hint="eastAsia"/>
          <w:lang w:val="en-US" w:eastAsia="zh-CN"/>
        </w:rPr>
        <w:t>2</w:t>
      </w:r>
      <w:r>
        <w:fldChar w:fldCharType="end"/>
      </w:r>
    </w:p>
    <w:p w14:paraId="313232E5">
      <w:pPr>
        <w:pStyle w:val="19"/>
        <w:tabs>
          <w:tab w:val="right" w:leader="dot" w:pos="9344"/>
        </w:tabs>
        <w:rPr>
          <w:rFonts w:asciiTheme="minorHAnsi" w:hAnsiTheme="minorHAnsi" w:eastAsiaTheme="minorEastAsia" w:cstheme="minorBidi"/>
          <w:szCs w:val="22"/>
        </w:rPr>
      </w:pPr>
      <w:r>
        <w:fldChar w:fldCharType="begin"/>
      </w:r>
      <w:r>
        <w:instrText xml:space="preserve"> HYPERLINK \l "_Toc149814116" </w:instrText>
      </w:r>
      <w:r>
        <w:fldChar w:fldCharType="separate"/>
      </w:r>
      <w:r>
        <w:rPr>
          <w:rStyle w:val="32"/>
        </w:rPr>
        <w:t xml:space="preserve">4 </w:t>
      </w:r>
      <w:r>
        <w:rPr>
          <w:rStyle w:val="32"/>
          <w:rFonts w:hint="eastAsia"/>
        </w:rPr>
        <w:t xml:space="preserve"> 要求</w:t>
      </w:r>
      <w:r>
        <w:tab/>
      </w:r>
      <w:r>
        <w:rPr>
          <w:rFonts w:hint="eastAsia"/>
          <w:lang w:val="en-US" w:eastAsia="zh-CN"/>
        </w:rPr>
        <w:t>2</w:t>
      </w:r>
      <w:r>
        <w:fldChar w:fldCharType="end"/>
      </w:r>
    </w:p>
    <w:p w14:paraId="09C9641E">
      <w:pPr>
        <w:pStyle w:val="19"/>
        <w:tabs>
          <w:tab w:val="right" w:leader="dot" w:pos="9344"/>
        </w:tabs>
        <w:rPr>
          <w:rFonts w:asciiTheme="minorHAnsi" w:hAnsiTheme="minorHAnsi" w:eastAsiaTheme="minorEastAsia" w:cstheme="minorBidi"/>
          <w:szCs w:val="22"/>
        </w:rPr>
      </w:pPr>
      <w:r>
        <w:fldChar w:fldCharType="begin"/>
      </w:r>
      <w:r>
        <w:instrText xml:space="preserve"> HYPERLINK \l "_Toc149814117" </w:instrText>
      </w:r>
      <w:r>
        <w:fldChar w:fldCharType="separate"/>
      </w:r>
      <w:r>
        <w:rPr>
          <w:rStyle w:val="32"/>
        </w:rPr>
        <w:t xml:space="preserve">5 </w:t>
      </w:r>
      <w:r>
        <w:rPr>
          <w:rStyle w:val="32"/>
          <w:rFonts w:hint="eastAsia"/>
        </w:rPr>
        <w:t xml:space="preserve"> </w:t>
      </w:r>
      <w:r>
        <w:rPr>
          <w:rStyle w:val="32"/>
          <w:rFonts w:hint="eastAsia"/>
          <w:lang w:eastAsia="zh-CN"/>
        </w:rPr>
        <w:t>检验</w:t>
      </w:r>
      <w:r>
        <w:rPr>
          <w:rStyle w:val="32"/>
          <w:rFonts w:hint="eastAsia"/>
        </w:rPr>
        <w:t>方法</w:t>
      </w:r>
      <w:r>
        <w:tab/>
      </w:r>
      <w:r>
        <w:rPr>
          <w:rFonts w:hint="eastAsia"/>
          <w:lang w:val="en-US" w:eastAsia="zh-CN"/>
        </w:rPr>
        <w:t>3</w:t>
      </w:r>
      <w:r>
        <w:fldChar w:fldCharType="end"/>
      </w:r>
    </w:p>
    <w:p w14:paraId="5C4011F8">
      <w:pPr>
        <w:pStyle w:val="19"/>
        <w:tabs>
          <w:tab w:val="right" w:leader="dot" w:pos="9344"/>
        </w:tabs>
        <w:rPr>
          <w:rFonts w:asciiTheme="minorHAnsi" w:hAnsiTheme="minorHAnsi" w:eastAsiaTheme="minorEastAsia" w:cstheme="minorBidi"/>
          <w:szCs w:val="22"/>
        </w:rPr>
      </w:pPr>
      <w:r>
        <w:fldChar w:fldCharType="begin"/>
      </w:r>
      <w:r>
        <w:instrText xml:space="preserve"> HYPERLINK \l "_Toc149814118" </w:instrText>
      </w:r>
      <w:r>
        <w:fldChar w:fldCharType="separate"/>
      </w:r>
      <w:r>
        <w:rPr>
          <w:rStyle w:val="32"/>
        </w:rPr>
        <w:t xml:space="preserve">6 </w:t>
      </w:r>
      <w:r>
        <w:rPr>
          <w:rStyle w:val="32"/>
          <w:rFonts w:hint="eastAsia"/>
        </w:rPr>
        <w:t xml:space="preserve"> 检验规则</w:t>
      </w:r>
      <w:r>
        <w:tab/>
      </w:r>
      <w:r>
        <w:fldChar w:fldCharType="begin"/>
      </w:r>
      <w:r>
        <w:instrText xml:space="preserve"> PAGEREF _Toc149814118 \h </w:instrText>
      </w:r>
      <w:r>
        <w:fldChar w:fldCharType="separate"/>
      </w:r>
      <w:r>
        <w:t>3</w:t>
      </w:r>
      <w:r>
        <w:fldChar w:fldCharType="end"/>
      </w:r>
      <w:r>
        <w:fldChar w:fldCharType="end"/>
      </w:r>
    </w:p>
    <w:p w14:paraId="55E33B91">
      <w:pPr>
        <w:pStyle w:val="19"/>
        <w:tabs>
          <w:tab w:val="right" w:leader="dot" w:pos="9344"/>
        </w:tabs>
        <w:rPr>
          <w:rFonts w:asciiTheme="minorHAnsi" w:hAnsiTheme="minorHAnsi" w:eastAsiaTheme="minorEastAsia" w:cstheme="minorBidi"/>
          <w:szCs w:val="22"/>
        </w:rPr>
      </w:pPr>
      <w:r>
        <w:fldChar w:fldCharType="begin"/>
      </w:r>
      <w:r>
        <w:instrText xml:space="preserve"> HYPERLINK \l "_Toc149814119" </w:instrText>
      </w:r>
      <w:r>
        <w:fldChar w:fldCharType="separate"/>
      </w:r>
      <w:r>
        <w:rPr>
          <w:rStyle w:val="32"/>
        </w:rPr>
        <w:t xml:space="preserve">7 </w:t>
      </w:r>
      <w:r>
        <w:rPr>
          <w:rStyle w:val="32"/>
          <w:rFonts w:hint="eastAsia"/>
        </w:rPr>
        <w:t xml:space="preserve"> 标签标志、包装、运输和贮存</w:t>
      </w:r>
      <w:r>
        <w:tab/>
      </w:r>
      <w:r>
        <w:rPr>
          <w:rFonts w:hint="eastAsia"/>
          <w:lang w:val="en-US" w:eastAsia="zh-CN"/>
        </w:rPr>
        <w:t>4</w:t>
      </w:r>
      <w:r>
        <w:fldChar w:fldCharType="end"/>
      </w:r>
    </w:p>
    <w:p w14:paraId="520EC79E">
      <w:pPr>
        <w:pStyle w:val="19"/>
        <w:tabs>
          <w:tab w:val="right" w:leader="dot" w:pos="9344"/>
        </w:tabs>
        <w:rPr>
          <w:rFonts w:asciiTheme="minorHAnsi" w:hAnsiTheme="minorHAnsi" w:eastAsiaTheme="minorEastAsia" w:cstheme="minorBidi"/>
          <w:szCs w:val="22"/>
        </w:rPr>
      </w:pPr>
      <w:r>
        <w:fldChar w:fldCharType="begin"/>
      </w:r>
      <w:r>
        <w:instrText xml:space="preserve"> HYPERLINK \l "_Toc149814120" </w:instrText>
      </w:r>
      <w:r>
        <w:fldChar w:fldCharType="separate"/>
      </w:r>
      <w:r>
        <w:rPr>
          <w:rStyle w:val="32"/>
          <w:rFonts w:hint="eastAsia"/>
        </w:rPr>
        <w:t>附录A（规范性）井冈</w:t>
      </w:r>
      <w:r>
        <w:rPr>
          <w:rStyle w:val="32"/>
          <w:rFonts w:hint="eastAsia"/>
          <w:lang w:eastAsia="zh-CN"/>
        </w:rPr>
        <w:t>山白茶</w:t>
      </w:r>
      <w:r>
        <w:rPr>
          <w:rStyle w:val="32"/>
          <w:rFonts w:hint="eastAsia"/>
        </w:rPr>
        <w:t>生产区域范围图</w:t>
      </w:r>
      <w:r>
        <w:tab/>
      </w:r>
      <w:r>
        <w:rPr>
          <w:rFonts w:hint="eastAsia"/>
          <w:lang w:val="en-US" w:eastAsia="zh-CN"/>
        </w:rPr>
        <w:t>5</w:t>
      </w:r>
      <w:r>
        <w:fldChar w:fldCharType="end"/>
      </w:r>
    </w:p>
    <w:p w14:paraId="668F53D5">
      <w:pPr>
        <w:rPr>
          <w:rFonts w:hint="eastAsia"/>
          <w:lang w:eastAsia="zh-CN"/>
        </w:rPr>
      </w:pPr>
    </w:p>
    <w:p w14:paraId="22042071">
      <w:pPr>
        <w:pStyle w:val="89"/>
        <w:spacing w:before="900" w:after="360"/>
      </w:pPr>
    </w:p>
    <w:p w14:paraId="6E73163A">
      <w:pPr>
        <w:pStyle w:val="89"/>
        <w:spacing w:before="900" w:after="360"/>
      </w:pPr>
    </w:p>
    <w:p w14:paraId="681BA0E3">
      <w:pPr>
        <w:pStyle w:val="89"/>
        <w:spacing w:before="900" w:after="360"/>
      </w:pPr>
    </w:p>
    <w:p w14:paraId="2AFDEA68">
      <w:pPr>
        <w:pStyle w:val="89"/>
        <w:spacing w:before="900" w:after="360"/>
      </w:pPr>
    </w:p>
    <w:p w14:paraId="23198BB3">
      <w:pPr>
        <w:pStyle w:val="89"/>
        <w:numPr>
          <w:ilvl w:val="0"/>
          <w:numId w:val="0"/>
        </w:numPr>
        <w:spacing w:before="900" w:after="360"/>
        <w:ind w:leftChars="0"/>
        <w:jc w:val="both"/>
      </w:pPr>
    </w:p>
    <w:p w14:paraId="1F11290F">
      <w:pPr>
        <w:pStyle w:val="89"/>
        <w:spacing w:before="900" w:after="360"/>
      </w:pPr>
      <w:r>
        <w:rPr>
          <w:spacing w:val="320"/>
        </w:rPr>
        <w:t>前</w:t>
      </w:r>
      <w:r>
        <w:t>言</w:t>
      </w:r>
    </w:p>
    <w:p w14:paraId="5AA02C98">
      <w:pPr>
        <w:pStyle w:val="56"/>
        <w:ind w:firstLine="420"/>
      </w:pPr>
      <w:r>
        <w:rPr>
          <w:rFonts w:hint="eastAsia"/>
        </w:rPr>
        <w:t>本</w:t>
      </w:r>
      <w:r>
        <w:rPr>
          <w:rFonts w:hint="eastAsia"/>
          <w:lang w:eastAsia="zh-CN"/>
        </w:rPr>
        <w:t>文件</w:t>
      </w:r>
      <w:r>
        <w:rPr>
          <w:rFonts w:hint="eastAsia"/>
        </w:rPr>
        <w:t>按照T</w:t>
      </w:r>
      <w:r>
        <w:rPr>
          <w:rFonts w:hint="eastAsia"/>
          <w:lang w:val="en-US" w:eastAsia="zh-CN"/>
        </w:rPr>
        <w:t xml:space="preserve">/CAS </w:t>
      </w:r>
      <w:r>
        <w:rPr>
          <w:rFonts w:hint="eastAsia"/>
        </w:rPr>
        <w:t>1.1—20</w:t>
      </w:r>
      <w:r>
        <w:rPr>
          <w:rFonts w:hint="eastAsia"/>
          <w:lang w:val="en-US" w:eastAsia="zh-CN"/>
        </w:rPr>
        <w:t>17</w:t>
      </w:r>
      <w:r>
        <w:rPr>
          <w:rFonts w:hint="eastAsia"/>
        </w:rPr>
        <w:t>《</w:t>
      </w:r>
      <w:r>
        <w:rPr>
          <w:rFonts w:hint="eastAsia"/>
          <w:lang w:eastAsia="zh-CN"/>
        </w:rPr>
        <w:t>团体标准的结构和编写指南</w:t>
      </w:r>
      <w:r>
        <w:rPr>
          <w:rFonts w:hint="eastAsia"/>
        </w:rPr>
        <w:t>》</w:t>
      </w:r>
      <w:r>
        <w:rPr>
          <w:rFonts w:hint="eastAsia"/>
          <w:lang w:eastAsia="zh-CN"/>
        </w:rPr>
        <w:t>给出</w:t>
      </w:r>
      <w:r>
        <w:rPr>
          <w:rFonts w:hint="eastAsia"/>
        </w:rPr>
        <w:t>的</w:t>
      </w:r>
      <w:r>
        <w:rPr>
          <w:rFonts w:hint="eastAsia"/>
          <w:lang w:eastAsia="zh-CN"/>
        </w:rPr>
        <w:t>规则</w:t>
      </w:r>
      <w:r>
        <w:rPr>
          <w:rFonts w:hint="eastAsia"/>
        </w:rPr>
        <w:t>起草。</w:t>
      </w:r>
    </w:p>
    <w:p w14:paraId="699319E2">
      <w:pPr>
        <w:pStyle w:val="56"/>
        <w:ind w:firstLine="420"/>
      </w:pPr>
      <w:r>
        <w:rPr>
          <w:rFonts w:hint="eastAsia"/>
          <w:lang w:eastAsia="zh-CN"/>
        </w:rPr>
        <w:t>请注意本文件的某些内容可能涉及专利。本文件的发布机构不承担识别专利的责任。</w:t>
      </w:r>
    </w:p>
    <w:p w14:paraId="55CA94C9">
      <w:pPr>
        <w:pStyle w:val="56"/>
        <w:ind w:firstLine="420"/>
        <w:rPr>
          <w:rFonts w:hint="eastAsia"/>
        </w:rPr>
      </w:pPr>
      <w:r>
        <w:rPr>
          <w:rFonts w:hint="eastAsia"/>
        </w:rPr>
        <w:t>本文件由</w:t>
      </w:r>
      <w:r>
        <w:rPr>
          <w:rFonts w:hint="eastAsia"/>
          <w:lang w:eastAsia="zh-CN"/>
        </w:rPr>
        <w:t>吉安市绿色农产品促进会</w:t>
      </w:r>
      <w:r>
        <w:rPr>
          <w:rFonts w:hint="eastAsia"/>
        </w:rPr>
        <w:t>提出</w:t>
      </w:r>
      <w:r>
        <w:rPr>
          <w:rFonts w:hint="eastAsia"/>
          <w:lang w:eastAsia="zh-CN"/>
        </w:rPr>
        <w:t>并归口</w:t>
      </w:r>
      <w:r>
        <w:rPr>
          <w:rFonts w:hint="eastAsia"/>
        </w:rPr>
        <w:t>。</w:t>
      </w:r>
    </w:p>
    <w:p w14:paraId="630C5928">
      <w:pPr>
        <w:pStyle w:val="56"/>
        <w:ind w:firstLine="420"/>
        <w:rPr>
          <w:rFonts w:hint="eastAsia"/>
        </w:rPr>
      </w:pPr>
      <w:r>
        <w:rPr>
          <w:rFonts w:hint="eastAsia"/>
        </w:rPr>
        <w:t>本文件起草单位：</w:t>
      </w:r>
    </w:p>
    <w:p w14:paraId="425D8DC9">
      <w:pPr>
        <w:pStyle w:val="56"/>
        <w:ind w:firstLine="420"/>
        <w:rPr>
          <w:rFonts w:hint="eastAsia"/>
        </w:rPr>
      </w:pPr>
      <w:r>
        <w:rPr>
          <w:rFonts w:hint="eastAsia"/>
        </w:rPr>
        <w:t>本文件主要起草人：</w:t>
      </w:r>
    </w:p>
    <w:p w14:paraId="51AACE81">
      <w:pPr>
        <w:pStyle w:val="56"/>
        <w:ind w:firstLine="420"/>
      </w:pPr>
    </w:p>
    <w:p w14:paraId="46DC5A3B">
      <w:pPr>
        <w:pStyle w:val="56"/>
        <w:ind w:firstLine="42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p>
    <w:bookmarkEnd w:id="21"/>
    <w:p w14:paraId="102713C3">
      <w:pPr>
        <w:spacing w:line="20" w:lineRule="exact"/>
        <w:jc w:val="center"/>
        <w:rPr>
          <w:rFonts w:ascii="黑体" w:hAnsi="黑体" w:eastAsia="黑体"/>
          <w:sz w:val="32"/>
          <w:szCs w:val="32"/>
        </w:rPr>
      </w:pPr>
      <w:bookmarkStart w:id="22" w:name="BookMark4"/>
    </w:p>
    <w:p w14:paraId="5C4865AF">
      <w:pPr>
        <w:spacing w:line="20" w:lineRule="exact"/>
        <w:jc w:val="center"/>
        <w:rPr>
          <w:rFonts w:ascii="黑体" w:hAnsi="黑体" w:eastAsia="黑体"/>
          <w:sz w:val="32"/>
          <w:szCs w:val="32"/>
        </w:rPr>
      </w:pPr>
    </w:p>
    <w:sdt>
      <w:sdtPr>
        <w:tag w:val="NEW_STAND_NAME"/>
        <w:id w:val="595910757"/>
        <w:lock w:val="sdtLocked"/>
        <w:placeholder>
          <w:docPart w:val="DF37FAD6B03E451AA4F6A539FD9169FF"/>
        </w:placeholder>
      </w:sdtPr>
      <w:sdtContent>
        <w:p w14:paraId="6D3597D6">
          <w:pPr>
            <w:pStyle w:val="177"/>
          </w:pPr>
          <w:bookmarkStart w:id="23" w:name="NEW_STAND_NAME"/>
          <w:r>
            <w:rPr>
              <w:rFonts w:hint="eastAsia"/>
              <w:lang w:eastAsia="zh-CN"/>
            </w:rPr>
            <w:t>井冈山黄金芽（绿茶）</w:t>
          </w:r>
        </w:p>
      </w:sdtContent>
    </w:sdt>
    <w:bookmarkEnd w:id="23"/>
    <w:p w14:paraId="58135CDF">
      <w:pPr>
        <w:pStyle w:val="104"/>
        <w:spacing w:before="240" w:after="240"/>
      </w:pPr>
      <w:bookmarkStart w:id="24" w:name="_Toc24884211"/>
      <w:bookmarkStart w:id="25" w:name="_Toc26648465"/>
      <w:bookmarkStart w:id="26" w:name="_Toc26986530"/>
      <w:bookmarkStart w:id="27" w:name="_Toc97192964"/>
      <w:bookmarkStart w:id="28" w:name="_Toc24884218"/>
      <w:bookmarkStart w:id="29" w:name="_Toc17233333"/>
      <w:bookmarkStart w:id="30" w:name="_Toc17233325"/>
      <w:bookmarkStart w:id="31" w:name="_Toc26718930"/>
      <w:bookmarkStart w:id="32" w:name="_Toc26986771"/>
      <w:r>
        <w:rPr>
          <w:rFonts w:hint="eastAsia"/>
        </w:rPr>
        <w:t>范围</w:t>
      </w:r>
      <w:bookmarkEnd w:id="24"/>
      <w:bookmarkEnd w:id="25"/>
      <w:bookmarkEnd w:id="26"/>
      <w:bookmarkEnd w:id="27"/>
      <w:bookmarkEnd w:id="28"/>
      <w:bookmarkEnd w:id="29"/>
      <w:bookmarkEnd w:id="30"/>
      <w:bookmarkEnd w:id="31"/>
      <w:bookmarkEnd w:id="32"/>
    </w:p>
    <w:p w14:paraId="1928C885">
      <w:pPr>
        <w:pStyle w:val="56"/>
        <w:ind w:firstLine="420"/>
        <w:rPr>
          <w:rFonts w:hAnsi="宋体"/>
        </w:rPr>
      </w:pPr>
      <w:bookmarkStart w:id="33" w:name="_Toc17233334"/>
      <w:bookmarkStart w:id="34" w:name="_Toc17233326"/>
      <w:bookmarkStart w:id="35" w:name="_Toc24884212"/>
      <w:bookmarkStart w:id="36" w:name="_Toc24884219"/>
      <w:bookmarkStart w:id="37" w:name="_Toc26648466"/>
      <w:r>
        <w:rPr>
          <w:rFonts w:hint="eastAsia"/>
          <w:lang w:eastAsia="zh-CN"/>
        </w:rPr>
        <w:t>本文件规定了井冈山黄金芽的</w:t>
      </w:r>
      <w:r>
        <w:rPr>
          <w:rFonts w:hint="eastAsia" w:hAnsi="宋体"/>
        </w:rPr>
        <w:t>术语和定义、要求、</w:t>
      </w:r>
      <w:r>
        <w:rPr>
          <w:rFonts w:hint="eastAsia" w:hAnsi="宋体"/>
          <w:lang w:eastAsia="zh-CN"/>
        </w:rPr>
        <w:t>检</w:t>
      </w:r>
      <w:r>
        <w:rPr>
          <w:rFonts w:hint="eastAsia" w:hAnsi="宋体"/>
        </w:rPr>
        <w:t>验方法、检验规则、标签</w:t>
      </w:r>
      <w:r>
        <w:rPr>
          <w:rFonts w:hint="eastAsia" w:hAnsi="宋体"/>
          <w:lang w:eastAsia="zh-CN"/>
        </w:rPr>
        <w:t>标志</w:t>
      </w:r>
      <w:r>
        <w:rPr>
          <w:rFonts w:hint="eastAsia" w:hAnsi="宋体"/>
        </w:rPr>
        <w:t>、包装、运输</w:t>
      </w:r>
      <w:r>
        <w:rPr>
          <w:rFonts w:hint="eastAsia" w:hAnsi="宋体"/>
          <w:lang w:eastAsia="zh-CN"/>
        </w:rPr>
        <w:t>与</w:t>
      </w:r>
      <w:r>
        <w:rPr>
          <w:rFonts w:hint="eastAsia" w:hAnsi="宋体"/>
        </w:rPr>
        <w:t>贮存。</w:t>
      </w:r>
    </w:p>
    <w:p w14:paraId="7A3A8ED2">
      <w:pPr>
        <w:keepNext w:val="0"/>
        <w:keepLines w:val="0"/>
        <w:widowControl/>
        <w:suppressLineNumbers w:val="0"/>
        <w:ind w:left="0" w:leftChars="0" w:firstLine="420" w:firstLineChars="200"/>
        <w:jc w:val="left"/>
        <w:rPr>
          <w:rFonts w:hint="eastAsia"/>
          <w:sz w:val="21"/>
          <w:szCs w:val="21"/>
          <w:lang w:eastAsia="zh-CN"/>
        </w:rPr>
      </w:pPr>
      <w:r>
        <w:rPr>
          <w:rFonts w:hint="eastAsia"/>
          <w:sz w:val="21"/>
          <w:szCs w:val="21"/>
          <w:lang w:eastAsia="zh-CN"/>
        </w:rPr>
        <w:t>本文件适用于以吉安市行政区域范围内种植的</w:t>
      </w:r>
      <w:r>
        <w:rPr>
          <w:rFonts w:hint="eastAsia" w:ascii="宋体" w:hAnsi="宋体" w:cs="宋体"/>
          <w:color w:val="000000"/>
          <w:kern w:val="0"/>
          <w:sz w:val="21"/>
          <w:szCs w:val="21"/>
          <w:lang w:val="en-US" w:eastAsia="zh-CN" w:bidi="ar"/>
        </w:rPr>
        <w:t>中小叶种</w:t>
      </w:r>
      <w:r>
        <w:rPr>
          <w:rFonts w:hint="eastAsia" w:ascii="宋体" w:hAnsi="宋体" w:eastAsia="宋体" w:cs="宋体"/>
          <w:i w:val="0"/>
          <w:iCs w:val="0"/>
          <w:caps w:val="0"/>
          <w:color w:val="FF0000"/>
          <w:spacing w:val="0"/>
          <w:sz w:val="21"/>
          <w:szCs w:val="21"/>
          <w:shd w:val="clear" w:fill="FFFFFF"/>
        </w:rPr>
        <w:t>白化</w:t>
      </w:r>
      <w:r>
        <w:rPr>
          <w:rFonts w:hint="eastAsia" w:ascii="宋体" w:hAnsi="宋体" w:eastAsia="宋体" w:cs="宋体"/>
          <w:i w:val="0"/>
          <w:iCs w:val="0"/>
          <w:caps w:val="0"/>
          <w:color w:val="FF0000"/>
          <w:spacing w:val="0"/>
          <w:sz w:val="21"/>
          <w:szCs w:val="21"/>
          <w:shd w:val="clear" w:fill="FFFFFF"/>
          <w:lang w:eastAsia="zh-CN"/>
        </w:rPr>
        <w:t>黄色系</w:t>
      </w:r>
      <w:r>
        <w:rPr>
          <w:rFonts w:hint="eastAsia" w:ascii="宋体" w:hAnsi="宋体" w:eastAsia="宋体" w:cs="宋体"/>
          <w:color w:val="000000"/>
          <w:kern w:val="0"/>
          <w:sz w:val="21"/>
          <w:szCs w:val="21"/>
          <w:lang w:val="en-US" w:eastAsia="zh-CN" w:bidi="ar"/>
        </w:rPr>
        <w:t>茶树的</w:t>
      </w:r>
      <w:r>
        <w:rPr>
          <w:rFonts w:hint="eastAsia" w:ascii="宋体" w:hAnsi="宋体" w:cs="宋体"/>
          <w:color w:val="000000"/>
          <w:kern w:val="0"/>
          <w:sz w:val="21"/>
          <w:szCs w:val="21"/>
          <w:lang w:val="en-US" w:eastAsia="zh-CN" w:bidi="ar"/>
        </w:rPr>
        <w:t>芽、叶、嫩茎</w:t>
      </w:r>
      <w:r>
        <w:rPr>
          <w:rFonts w:hint="eastAsia" w:ascii="宋体" w:hAnsi="宋体" w:eastAsia="宋体" w:cs="宋体"/>
          <w:color w:val="000000"/>
          <w:kern w:val="0"/>
          <w:sz w:val="21"/>
          <w:szCs w:val="21"/>
          <w:lang w:val="en-US" w:eastAsia="zh-CN" w:bidi="ar"/>
        </w:rPr>
        <w:t>为原料，经</w:t>
      </w:r>
      <w:r>
        <w:rPr>
          <w:rFonts w:hint="eastAsia" w:ascii="宋体" w:hAnsi="宋体" w:cs="宋体"/>
          <w:color w:val="000000"/>
          <w:kern w:val="0"/>
          <w:sz w:val="21"/>
          <w:szCs w:val="21"/>
          <w:lang w:val="en-US" w:eastAsia="zh-CN" w:bidi="ar"/>
        </w:rPr>
        <w:t>特定</w:t>
      </w:r>
      <w:r>
        <w:rPr>
          <w:rFonts w:hint="eastAsia" w:ascii="宋体" w:hAnsi="宋体" w:eastAsia="宋体" w:cs="宋体"/>
          <w:color w:val="000000"/>
          <w:kern w:val="0"/>
          <w:sz w:val="21"/>
          <w:szCs w:val="21"/>
          <w:lang w:val="en-US" w:eastAsia="zh-CN" w:bidi="ar"/>
        </w:rPr>
        <w:t>工艺制成的</w:t>
      </w:r>
      <w:r>
        <w:rPr>
          <w:rFonts w:hint="eastAsia" w:ascii="宋体" w:hAnsi="宋体" w:cs="宋体"/>
          <w:color w:val="000000"/>
          <w:kern w:val="0"/>
          <w:sz w:val="21"/>
          <w:szCs w:val="21"/>
          <w:lang w:val="en-US" w:eastAsia="zh-CN" w:bidi="ar"/>
        </w:rPr>
        <w:t>绿茶</w:t>
      </w:r>
      <w:r>
        <w:rPr>
          <w:rFonts w:hint="eastAsia" w:ascii="宋体" w:hAnsi="宋体" w:eastAsia="宋体" w:cs="宋体"/>
          <w:color w:val="000000"/>
          <w:kern w:val="0"/>
          <w:sz w:val="21"/>
          <w:szCs w:val="21"/>
          <w:lang w:val="en-US" w:eastAsia="zh-CN" w:bidi="ar"/>
        </w:rPr>
        <w:t>。</w:t>
      </w:r>
    </w:p>
    <w:p w14:paraId="55D2B7F5">
      <w:pPr>
        <w:pStyle w:val="104"/>
        <w:spacing w:before="240" w:after="240"/>
      </w:pPr>
      <w:bookmarkStart w:id="38" w:name="_Toc26718931"/>
      <w:bookmarkStart w:id="39" w:name="_Toc26986772"/>
      <w:bookmarkStart w:id="40" w:name="_Toc26986531"/>
      <w:bookmarkStart w:id="41" w:name="_Toc97192965"/>
      <w:r>
        <w:rPr>
          <w:rFonts w:hint="eastAsia"/>
        </w:rPr>
        <w:t>规范性引用文件</w:t>
      </w:r>
      <w:bookmarkEnd w:id="33"/>
      <w:bookmarkEnd w:id="34"/>
      <w:bookmarkEnd w:id="35"/>
      <w:bookmarkEnd w:id="36"/>
      <w:bookmarkEnd w:id="37"/>
      <w:bookmarkEnd w:id="38"/>
      <w:bookmarkEnd w:id="39"/>
      <w:bookmarkEnd w:id="40"/>
      <w:bookmarkEnd w:id="41"/>
    </w:p>
    <w:sdt>
      <w:sdtPr>
        <w:rPr>
          <w:rFonts w:hint="eastAsia"/>
        </w:rPr>
        <w:id w:val="715848253"/>
        <w:placeholder>
          <w:docPart w:val="E20214479D9946F9ACCFB85993E9493E"/>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330C33C1">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CD176DF">
      <w:pPr>
        <w:keepNext w:val="0"/>
        <w:keepLines w:val="0"/>
        <w:widowControl/>
        <w:suppressLineNumbers w:val="0"/>
        <w:ind w:left="0" w:leftChars="0" w:firstLine="420" w:firstLineChars="200"/>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 xml:space="preserve">GB/T191 包装储运图示标志 </w:t>
      </w:r>
    </w:p>
    <w:p w14:paraId="524C360B">
      <w:pPr>
        <w:keepNext w:val="0"/>
        <w:keepLines w:val="0"/>
        <w:widowControl/>
        <w:suppressLineNumbers w:val="0"/>
        <w:ind w:left="0" w:leftChars="0" w:firstLine="420" w:firstLineChars="200"/>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GB 2762 食品安全国家标准  食品中污染物限量</w:t>
      </w:r>
    </w:p>
    <w:p w14:paraId="68076A2C">
      <w:pPr>
        <w:keepNext w:val="0"/>
        <w:keepLines w:val="0"/>
        <w:widowControl/>
        <w:suppressLineNumbers w:val="0"/>
        <w:ind w:left="0" w:leftChars="0" w:firstLine="420" w:firstLineChars="200"/>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GB 2763 食品安全国家标准  食品中农药最大残留限量</w:t>
      </w:r>
    </w:p>
    <w:p w14:paraId="76648E2D">
      <w:pPr>
        <w:keepNext w:val="0"/>
        <w:keepLines w:val="0"/>
        <w:widowControl/>
        <w:suppressLineNumbers w:val="0"/>
        <w:ind w:left="0" w:leftChars="0" w:firstLine="420" w:firstLineChars="20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GB 5009.3食品安全国家标准食品中水分的测定 </w:t>
      </w:r>
    </w:p>
    <w:p w14:paraId="4157C31F">
      <w:pPr>
        <w:keepNext w:val="0"/>
        <w:keepLines w:val="0"/>
        <w:widowControl/>
        <w:suppressLineNumbers w:val="0"/>
        <w:ind w:left="0" w:leftChars="0" w:firstLine="420" w:firstLineChars="20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GB 5009.4 食品安全国家标准 食品中灰分的测定 </w:t>
      </w:r>
    </w:p>
    <w:p w14:paraId="5422192D">
      <w:pPr>
        <w:keepNext w:val="0"/>
        <w:keepLines w:val="0"/>
        <w:widowControl/>
        <w:suppressLineNumbers w:val="0"/>
        <w:ind w:left="0" w:leftChars="0" w:firstLine="420" w:firstLineChars="20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GB 7718 食品安全国家标准 预包装食品标签通则 </w:t>
      </w:r>
    </w:p>
    <w:p w14:paraId="5F94E5AA">
      <w:pPr>
        <w:keepNext w:val="0"/>
        <w:keepLines w:val="0"/>
        <w:widowControl/>
        <w:suppressLineNumbers w:val="0"/>
        <w:ind w:left="0" w:leftChars="0" w:firstLine="420" w:firstLineChars="20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GB/T 8302 茶 取样 </w:t>
      </w:r>
    </w:p>
    <w:p w14:paraId="41CAC17E">
      <w:pPr>
        <w:keepNext w:val="0"/>
        <w:keepLines w:val="0"/>
        <w:widowControl/>
        <w:suppressLineNumbers w:val="0"/>
        <w:ind w:left="0" w:leftChars="0" w:firstLine="420" w:firstLineChars="200"/>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 xml:space="preserve">GB/T 8305 茶 水浸出物测定 </w:t>
      </w:r>
    </w:p>
    <w:p w14:paraId="4ADC3F24">
      <w:pPr>
        <w:keepNext w:val="0"/>
        <w:keepLines w:val="0"/>
        <w:widowControl/>
        <w:suppressLineNumbers w:val="0"/>
        <w:ind w:left="0" w:leftChars="0" w:firstLine="420" w:firstLineChars="200"/>
        <w:jc w:val="left"/>
        <w:rPr>
          <w:rFonts w:hint="eastAsia"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rPr>
        <w:t>GB/T 831</w:t>
      </w:r>
      <w:r>
        <w:rPr>
          <w:rFonts w:hint="eastAsia" w:ascii="宋体" w:hAnsi="宋体" w:eastAsia="宋体" w:cs="宋体"/>
          <w:i w:val="0"/>
          <w:iCs w:val="0"/>
          <w:caps w:val="0"/>
          <w:color w:val="auto"/>
          <w:spacing w:val="0"/>
          <w:sz w:val="21"/>
          <w:szCs w:val="21"/>
          <w:shd w:val="clear" w:fill="FFFFFF"/>
          <w:lang w:val="en-US" w:eastAsia="zh-CN"/>
        </w:rPr>
        <w:t>0 茶 粗纤维测定</w:t>
      </w:r>
    </w:p>
    <w:p w14:paraId="648719B2">
      <w:pPr>
        <w:keepNext w:val="0"/>
        <w:keepLines w:val="0"/>
        <w:widowControl/>
        <w:suppressLineNumbers w:val="0"/>
        <w:ind w:left="0" w:leftChars="0" w:firstLine="420" w:firstLineChars="200"/>
        <w:jc w:val="left"/>
        <w:rPr>
          <w:rFonts w:hint="eastAsia"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333333"/>
          <w:spacing w:val="0"/>
          <w:sz w:val="21"/>
          <w:szCs w:val="21"/>
          <w:shd w:val="clear" w:fill="FFFFFF"/>
        </w:rPr>
        <w:t>GB/T 8311</w:t>
      </w:r>
      <w:r>
        <w:rPr>
          <w:rFonts w:hint="eastAsia" w:ascii="宋体" w:hAnsi="宋体" w:cs="宋体"/>
          <w:i w:val="0"/>
          <w:iCs w:val="0"/>
          <w:caps w:val="0"/>
          <w:color w:val="333333"/>
          <w:spacing w:val="0"/>
          <w:sz w:val="21"/>
          <w:szCs w:val="21"/>
          <w:shd w:val="clear" w:fill="FFFFFF"/>
          <w:lang w:val="en-US" w:eastAsia="zh-CN"/>
        </w:rPr>
        <w:t xml:space="preserve"> 茶 粉末和碎茶含量测定</w:t>
      </w:r>
    </w:p>
    <w:p w14:paraId="292C1F9D">
      <w:pPr>
        <w:keepNext w:val="0"/>
        <w:keepLines w:val="0"/>
        <w:widowControl/>
        <w:suppressLineNumbers w:val="0"/>
        <w:ind w:left="0" w:leftChars="0" w:firstLine="420" w:firstLineChars="200"/>
        <w:jc w:val="left"/>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color w:val="auto"/>
          <w:kern w:val="0"/>
          <w:sz w:val="21"/>
          <w:szCs w:val="21"/>
          <w:lang w:val="en-US" w:eastAsia="zh-CN" w:bidi="ar"/>
        </w:rPr>
        <w:t xml:space="preserve">GB/T 8314 茶 </w:t>
      </w:r>
      <w:r>
        <w:rPr>
          <w:rFonts w:hint="eastAsia" w:ascii="宋体" w:hAnsi="宋体" w:eastAsia="宋体" w:cs="宋体"/>
          <w:i w:val="0"/>
          <w:iCs w:val="0"/>
          <w:caps w:val="0"/>
          <w:color w:val="auto"/>
          <w:spacing w:val="0"/>
          <w:sz w:val="21"/>
          <w:szCs w:val="21"/>
          <w:shd w:val="clear" w:fill="FFFFFF"/>
        </w:rPr>
        <w:t>游离氨基酸总量的测定</w:t>
      </w:r>
    </w:p>
    <w:p w14:paraId="04C25675">
      <w:pPr>
        <w:keepNext w:val="0"/>
        <w:keepLines w:val="0"/>
        <w:widowControl/>
        <w:suppressLineNumbers w:val="0"/>
        <w:ind w:left="0" w:leftChars="0" w:firstLine="420" w:firstLineChars="200"/>
        <w:jc w:val="left"/>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lang w:val="en-US" w:eastAsia="zh-CN"/>
        </w:rPr>
        <w:t>GB/T 14487 茶叶感官审评术语</w:t>
      </w:r>
    </w:p>
    <w:p w14:paraId="52E1CE10">
      <w:pPr>
        <w:keepNext w:val="0"/>
        <w:keepLines w:val="0"/>
        <w:widowControl/>
        <w:suppressLineNumbers w:val="0"/>
        <w:ind w:left="0" w:leftChars="0"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GB/T 19630  有机产品  生产、加工、标识与管理体系要求</w:t>
      </w:r>
    </w:p>
    <w:p w14:paraId="20E36CD5">
      <w:pPr>
        <w:keepNext w:val="0"/>
        <w:keepLines w:val="0"/>
        <w:widowControl/>
        <w:suppressLineNumbers w:val="0"/>
        <w:ind w:left="0" w:leftChars="0" w:firstLine="420" w:firstLineChars="200"/>
        <w:jc w:val="left"/>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GB 23350 限制商品过度包装要求 食品和化妆品（含第1、2号修改单）</w:t>
      </w:r>
    </w:p>
    <w:p w14:paraId="09B81C27">
      <w:pPr>
        <w:keepNext w:val="0"/>
        <w:keepLines w:val="0"/>
        <w:widowControl/>
        <w:suppressLineNumbers w:val="0"/>
        <w:ind w:left="0" w:leftChars="0" w:firstLine="420" w:firstLineChars="200"/>
        <w:jc w:val="left"/>
        <w:rPr>
          <w:rFonts w:hint="eastAsia" w:ascii="宋体" w:hAnsi="宋体" w:eastAsia="宋体" w:cs="宋体"/>
          <w:i w:val="0"/>
          <w:iCs w:val="0"/>
          <w:caps w:val="0"/>
          <w:color w:val="auto"/>
          <w:spacing w:val="0"/>
          <w:sz w:val="21"/>
          <w:szCs w:val="21"/>
          <w:shd w:val="clear" w:fill="FFFFFF"/>
        </w:rPr>
      </w:pPr>
      <w:r>
        <w:rPr>
          <w:rFonts w:hint="eastAsia" w:ascii="宋体" w:hAnsi="宋体" w:cs="宋体"/>
          <w:i w:val="0"/>
          <w:iCs w:val="0"/>
          <w:caps w:val="0"/>
          <w:color w:val="auto"/>
          <w:spacing w:val="0"/>
          <w:sz w:val="21"/>
          <w:szCs w:val="21"/>
          <w:shd w:val="clear" w:fill="FFFFFF"/>
          <w:lang w:val="en-US" w:eastAsia="zh-CN"/>
        </w:rPr>
        <w:t>GB/T 23776 茶叶感官审评办法</w:t>
      </w:r>
    </w:p>
    <w:p w14:paraId="33519850">
      <w:pPr>
        <w:keepNext w:val="0"/>
        <w:keepLines w:val="0"/>
        <w:widowControl/>
        <w:suppressLineNumbers w:val="0"/>
        <w:ind w:left="0" w:leftChars="0" w:firstLine="420" w:firstLineChars="200"/>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 xml:space="preserve">GH/T 1070 茶叶包装通则 </w:t>
      </w:r>
    </w:p>
    <w:p w14:paraId="58E66DF1">
      <w:pPr>
        <w:keepNext w:val="0"/>
        <w:keepLines w:val="0"/>
        <w:widowControl/>
        <w:suppressLineNumbers w:val="0"/>
        <w:ind w:left="0" w:leftChars="0" w:firstLine="420" w:firstLineChars="200"/>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 xml:space="preserve">JJF1070 定量包装商品净含量计量检验规则 </w:t>
      </w:r>
    </w:p>
    <w:p w14:paraId="37A0730D">
      <w:pPr>
        <w:keepNext w:val="0"/>
        <w:keepLines w:val="0"/>
        <w:widowControl/>
        <w:suppressLineNumbers w:val="0"/>
        <w:ind w:left="0" w:leftChars="0" w:firstLine="420" w:firstLineChars="20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NY/T 391  </w:t>
      </w:r>
      <w:r>
        <w:rPr>
          <w:rFonts w:hint="eastAsia" w:ascii="宋体" w:hAnsi="宋体" w:eastAsia="宋体" w:cs="宋体"/>
          <w:color w:val="auto"/>
          <w:sz w:val="21"/>
          <w:szCs w:val="21"/>
        </w:rPr>
        <w:t>绿色食品 产地环境质量</w:t>
      </w:r>
    </w:p>
    <w:p w14:paraId="08E69096">
      <w:pPr>
        <w:keepNext w:val="0"/>
        <w:keepLines w:val="0"/>
        <w:widowControl/>
        <w:suppressLineNumbers w:val="0"/>
        <w:ind w:left="0" w:leftChars="0"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NY/T 393  绿色食品</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农药使用准则</w:t>
      </w:r>
    </w:p>
    <w:p w14:paraId="5D8951CD">
      <w:pPr>
        <w:keepNext w:val="0"/>
        <w:keepLines w:val="0"/>
        <w:widowControl/>
        <w:suppressLineNumbers w:val="0"/>
        <w:ind w:left="0" w:leftChars="0"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NY/T 394  绿色食品 肥料使用准则</w:t>
      </w:r>
    </w:p>
    <w:p w14:paraId="02C976E0">
      <w:pPr>
        <w:keepNext w:val="0"/>
        <w:keepLines w:val="0"/>
        <w:widowControl/>
        <w:suppressLineNumbers w:val="0"/>
        <w:ind w:left="0" w:leftChars="0"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kern w:val="0"/>
          <w:sz w:val="21"/>
          <w:szCs w:val="21"/>
          <w:lang w:val="en-US" w:eastAsia="zh-CN" w:bidi="ar"/>
        </w:rPr>
        <w:t>定量包装商品计量监督管理办法（国家市场监督管理总局令[2023]第70号）</w:t>
      </w:r>
    </w:p>
    <w:p w14:paraId="44F1E1BA">
      <w:pPr>
        <w:pStyle w:val="104"/>
        <w:keepNext w:val="0"/>
        <w:keepLines w:val="0"/>
        <w:pageBreakBefore w:val="0"/>
        <w:kinsoku/>
        <w:wordWrap/>
        <w:overflowPunct/>
        <w:topLinePunct w:val="0"/>
        <w:bidi w:val="0"/>
        <w:snapToGrid/>
        <w:spacing w:before="240" w:after="240" w:line="240" w:lineRule="auto"/>
        <w:textAlignment w:val="auto"/>
      </w:pPr>
      <w:bookmarkStart w:id="42" w:name="_Toc97192966"/>
      <w:r>
        <w:rPr>
          <w:rFonts w:hint="eastAsia"/>
          <w:szCs w:val="21"/>
        </w:rPr>
        <w:t>术语和定义</w:t>
      </w:r>
      <w:bookmarkEnd w:id="42"/>
    </w:p>
    <w:p w14:paraId="4F61322D">
      <w:pPr>
        <w:pStyle w:val="56"/>
        <w:keepNext w:val="0"/>
        <w:keepLines w:val="0"/>
        <w:pageBreakBefore w:val="0"/>
        <w:kinsoku/>
        <w:wordWrap/>
        <w:overflowPunct/>
        <w:topLinePunct w:val="0"/>
        <w:bidi w:val="0"/>
        <w:snapToGrid/>
        <w:spacing w:line="240" w:lineRule="auto"/>
        <w:ind w:firstLine="420"/>
        <w:textAlignment w:val="auto"/>
        <w:rPr>
          <w:rFonts w:hint="eastAsia"/>
        </w:rPr>
      </w:pPr>
      <w:r>
        <w:rPr>
          <w:rFonts w:hint="eastAsia"/>
          <w:lang w:val="en-US" w:eastAsia="zh-CN"/>
        </w:rPr>
        <w:t>GB/T 14487 界定的以及</w:t>
      </w:r>
      <w:sdt>
        <w:sdtPr>
          <w:id w:val="-1909835108"/>
          <w:placeholder>
            <w:docPart w:val="254700745DDB40F9AB715A099C88D3B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bookmarkStart w:id="43" w:name="_Toc26986532"/>
          <w:bookmarkEnd w:id="43"/>
          <w:r>
            <w:rPr>
              <w:rFonts w:ascii="宋体" w:hAnsi="Times New Roman" w:eastAsia="宋体" w:cs="Times New Roman"/>
              <w:sz w:val="21"/>
              <w:lang w:val="en-US" w:eastAsia="zh-CN" w:bidi="ar-SA"/>
            </w:rPr>
            <w:t>下列术语和定义适用于本文件。</w:t>
          </w:r>
        </w:sdtContent>
      </w:sdt>
    </w:p>
    <w:p w14:paraId="5189EB0B">
      <w:pPr>
        <w:pStyle w:val="223"/>
        <w:keepNext w:val="0"/>
        <w:keepLines w:val="0"/>
        <w:pageBreakBefore w:val="0"/>
        <w:numPr>
          <w:ilvl w:val="2"/>
          <w:numId w:val="0"/>
        </w:numPr>
        <w:kinsoku/>
        <w:wordWrap/>
        <w:overflowPunct/>
        <w:topLinePunct w:val="0"/>
        <w:bidi w:val="0"/>
        <w:snapToGrid/>
        <w:spacing w:line="240" w:lineRule="auto"/>
        <w:textAlignment w:val="auto"/>
        <w:rPr>
          <w:rFonts w:hint="eastAsia" w:ascii="黑体" w:hAnsi="黑体" w:eastAsia="黑体"/>
          <w:lang w:eastAsia="zh-CN"/>
        </w:rPr>
      </w:pPr>
    </w:p>
    <w:p w14:paraId="7EF3AEBF">
      <w:pPr>
        <w:pStyle w:val="223"/>
        <w:keepNext w:val="0"/>
        <w:keepLines w:val="0"/>
        <w:pageBreakBefore w:val="0"/>
        <w:numPr>
          <w:ilvl w:val="2"/>
          <w:numId w:val="0"/>
        </w:numPr>
        <w:kinsoku/>
        <w:wordWrap/>
        <w:overflowPunct/>
        <w:topLinePunct w:val="0"/>
        <w:bidi w:val="0"/>
        <w:snapToGrid/>
        <w:spacing w:line="240" w:lineRule="auto"/>
        <w:textAlignment w:val="auto"/>
        <w:rPr>
          <w:rFonts w:ascii="黑体" w:hAnsi="黑体" w:eastAsia="黑体"/>
        </w:rPr>
      </w:pPr>
      <w:r>
        <w:rPr>
          <w:rFonts w:hint="eastAsia" w:ascii="黑体" w:hAnsi="黑体" w:eastAsia="黑体"/>
          <w:lang w:val="en-US" w:eastAsia="zh-CN"/>
        </w:rPr>
        <w:t xml:space="preserve">3.1 黄金芽（绿茶）  </w:t>
      </w:r>
      <w:r>
        <w:rPr>
          <w:rFonts w:hint="eastAsia" w:ascii="黑体" w:hAnsi="黑体" w:eastAsia="黑体" w:cs="黑体"/>
          <w:szCs w:val="28"/>
          <w:lang w:val="en-US" w:eastAsia="zh-CN"/>
        </w:rPr>
        <w:t>Tea with golden shoots</w:t>
      </w:r>
      <w:r>
        <w:rPr>
          <w:rFonts w:ascii="黑体" w:hAnsi="黑体" w:eastAsia="黑体"/>
        </w:rPr>
        <w:br w:type="textWrapping"/>
      </w:r>
    </w:p>
    <w:p w14:paraId="19F04B51">
      <w:pPr>
        <w:pStyle w:val="223"/>
        <w:keepNext w:val="0"/>
        <w:keepLines w:val="0"/>
        <w:pageBreakBefore w:val="0"/>
        <w:widowControl/>
        <w:numPr>
          <w:ilvl w:val="2"/>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绿茶的一种，以</w:t>
      </w:r>
      <w:r>
        <w:rPr>
          <w:rFonts w:hint="eastAsia" w:ascii="宋体" w:hAnsi="宋体" w:eastAsia="宋体" w:cs="宋体"/>
          <w:color w:val="FF0000"/>
          <w:sz w:val="21"/>
          <w:szCs w:val="21"/>
          <w:lang w:eastAsia="zh-CN"/>
        </w:rPr>
        <w:t>中小叶种</w:t>
      </w:r>
      <w:r>
        <w:rPr>
          <w:rFonts w:hint="eastAsia" w:ascii="宋体" w:hAnsi="宋体" w:eastAsia="宋体" w:cs="宋体"/>
          <w:i w:val="0"/>
          <w:iCs w:val="0"/>
          <w:caps w:val="0"/>
          <w:color w:val="FF0000"/>
          <w:spacing w:val="0"/>
          <w:sz w:val="21"/>
          <w:szCs w:val="21"/>
          <w:shd w:val="clear" w:fill="FFFFFF"/>
        </w:rPr>
        <w:t>白化</w:t>
      </w:r>
      <w:r>
        <w:rPr>
          <w:rFonts w:hint="eastAsia" w:ascii="宋体" w:hAnsi="宋体" w:eastAsia="宋体" w:cs="宋体"/>
          <w:i w:val="0"/>
          <w:iCs w:val="0"/>
          <w:caps w:val="0"/>
          <w:color w:val="FF0000"/>
          <w:spacing w:val="0"/>
          <w:sz w:val="21"/>
          <w:szCs w:val="21"/>
          <w:shd w:val="clear" w:fill="FFFFFF"/>
          <w:lang w:eastAsia="zh-CN"/>
        </w:rPr>
        <w:t>黄色系</w:t>
      </w:r>
      <w:r>
        <w:rPr>
          <w:rFonts w:hint="eastAsia" w:ascii="宋体" w:hAnsi="宋体" w:eastAsia="宋体" w:cs="宋体"/>
          <w:sz w:val="21"/>
          <w:szCs w:val="21"/>
          <w:lang w:eastAsia="zh-CN"/>
        </w:rPr>
        <w:t>茶树的芽、叶、嫩茎为原料，经</w:t>
      </w:r>
      <w:r>
        <w:rPr>
          <w:rFonts w:hint="eastAsia" w:ascii="宋体" w:hAnsi="宋体" w:eastAsia="宋体" w:cs="宋体"/>
          <w:i w:val="0"/>
          <w:iCs w:val="0"/>
          <w:caps w:val="0"/>
          <w:color w:val="333333"/>
          <w:spacing w:val="0"/>
          <w:sz w:val="21"/>
          <w:szCs w:val="21"/>
          <w:shd w:val="clear" w:fill="FFFFFF"/>
        </w:rPr>
        <w:t>采摘、鲜叶摊放、杀青、摊凉、理条、回潮、再次理条、回潮、整型压扁、摊凉、烘焙、筛分</w:t>
      </w:r>
      <w:r>
        <w:rPr>
          <w:rFonts w:hint="eastAsia" w:ascii="宋体" w:hAnsi="宋体" w:eastAsia="宋体" w:cs="宋体"/>
          <w:sz w:val="21"/>
          <w:szCs w:val="21"/>
          <w:lang w:eastAsia="zh-CN"/>
        </w:rPr>
        <w:t>等工艺制成。</w:t>
      </w:r>
    </w:p>
    <w:p w14:paraId="3112C0B0">
      <w:pPr>
        <w:pStyle w:val="56"/>
        <w:keepNext w:val="0"/>
        <w:keepLines w:val="0"/>
        <w:pageBreakBefore w:val="0"/>
        <w:kinsoku/>
        <w:wordWrap/>
        <w:overflowPunct/>
        <w:topLinePunct w:val="0"/>
        <w:bidi w:val="0"/>
        <w:snapToGrid/>
        <w:spacing w:line="240" w:lineRule="auto"/>
        <w:textAlignment w:val="auto"/>
        <w:rPr>
          <w:rFonts w:hint="eastAsia"/>
        </w:rPr>
      </w:pPr>
    </w:p>
    <w:p w14:paraId="733FDC62">
      <w:pPr>
        <w:pStyle w:val="223"/>
        <w:keepNext w:val="0"/>
        <w:keepLines w:val="0"/>
        <w:pageBreakBefore w:val="0"/>
        <w:numPr>
          <w:ilvl w:val="2"/>
          <w:numId w:val="0"/>
        </w:numPr>
        <w:kinsoku/>
        <w:wordWrap/>
        <w:overflowPunct/>
        <w:topLinePunct w:val="0"/>
        <w:bidi w:val="0"/>
        <w:snapToGrid/>
        <w:spacing w:line="240" w:lineRule="auto"/>
        <w:ind w:leftChars="-200" w:firstLine="420" w:firstLineChars="200"/>
        <w:textAlignment w:val="auto"/>
        <w:rPr>
          <w:rFonts w:hint="eastAsia" w:ascii="黑体" w:hAnsi="黑体" w:eastAsia="黑体"/>
        </w:rPr>
      </w:pPr>
      <w:r>
        <w:rPr>
          <w:rFonts w:hint="eastAsia" w:ascii="黑体" w:hAnsi="黑体" w:eastAsia="黑体"/>
          <w:lang w:val="en-US" w:eastAsia="zh-CN"/>
        </w:rPr>
        <w:t xml:space="preserve">3.2 </w:t>
      </w:r>
      <w:r>
        <w:rPr>
          <w:rFonts w:hint="eastAsia" w:ascii="黑体" w:hAnsi="黑体" w:eastAsia="黑体"/>
          <w:lang w:eastAsia="zh-CN"/>
        </w:rPr>
        <w:t>井冈山黄金芽（绿茶）</w:t>
      </w:r>
      <w:r>
        <w:rPr>
          <w:rFonts w:hint="eastAsia" w:ascii="黑体" w:hAnsi="黑体" w:eastAsia="黑体" w:cs="黑体"/>
          <w:lang w:val="en-US" w:eastAsia="zh-CN"/>
        </w:rPr>
        <w:t xml:space="preserve"> </w:t>
      </w:r>
      <w:r>
        <w:rPr>
          <w:rFonts w:hint="eastAsia" w:ascii="黑体" w:hAnsi="黑体" w:eastAsia="黑体" w:cs="黑体"/>
          <w:szCs w:val="28"/>
          <w:lang w:val="en-US" w:eastAsia="zh-CN"/>
        </w:rPr>
        <w:t>jinggangshan Tea with golden shoots</w:t>
      </w:r>
    </w:p>
    <w:p w14:paraId="7196293B">
      <w:pPr>
        <w:pStyle w:val="56"/>
        <w:keepNext w:val="0"/>
        <w:keepLines w:val="0"/>
        <w:pageBreakBefore w:val="0"/>
        <w:kinsoku/>
        <w:wordWrap/>
        <w:overflowPunct/>
        <w:topLinePunct w:val="0"/>
        <w:bidi w:val="0"/>
        <w:snapToGrid/>
        <w:spacing w:line="240" w:lineRule="auto"/>
        <w:textAlignment w:val="auto"/>
        <w:rPr>
          <w:rFonts w:hint="eastAsia"/>
        </w:rPr>
      </w:pPr>
    </w:p>
    <w:p w14:paraId="0BFCE104">
      <w:pPr>
        <w:pStyle w:val="56"/>
        <w:keepNext w:val="0"/>
        <w:keepLines w:val="0"/>
        <w:pageBreakBefore w:val="0"/>
        <w:kinsoku/>
        <w:wordWrap/>
        <w:overflowPunct/>
        <w:topLinePunct w:val="0"/>
        <w:autoSpaceDE w:val="0"/>
        <w:autoSpaceDN w:val="0"/>
        <w:bidi w:val="0"/>
        <w:adjustRightInd/>
        <w:snapToGrid/>
        <w:spacing w:line="360" w:lineRule="auto"/>
        <w:ind w:firstLine="420"/>
        <w:textAlignment w:val="auto"/>
        <w:rPr>
          <w:rFonts w:hint="eastAsia" w:ascii="宋体" w:hAnsi="宋体" w:eastAsia="宋体" w:cs="宋体"/>
          <w:color w:val="000000"/>
          <w:kern w:val="0"/>
          <w:sz w:val="21"/>
          <w:szCs w:val="21"/>
          <w:lang w:val="en-US" w:eastAsia="zh-CN" w:bidi="ar"/>
        </w:rPr>
      </w:pPr>
      <w:r>
        <w:rPr>
          <w:rFonts w:hint="eastAsia" w:hAnsi="宋体" w:cs="宋体"/>
          <w:color w:val="000000"/>
          <w:kern w:val="0"/>
          <w:sz w:val="21"/>
          <w:szCs w:val="21"/>
          <w:lang w:val="en-US" w:eastAsia="zh-CN" w:bidi="ar"/>
        </w:rPr>
        <w:t>以</w:t>
      </w:r>
      <w:r>
        <w:rPr>
          <w:rFonts w:hint="eastAsia" w:ascii="宋体" w:hAnsi="宋体" w:eastAsia="宋体" w:cs="宋体"/>
          <w:color w:val="000000"/>
          <w:kern w:val="0"/>
          <w:sz w:val="21"/>
          <w:szCs w:val="21"/>
          <w:lang w:val="en-US" w:eastAsia="zh-CN" w:bidi="ar"/>
        </w:rPr>
        <w:t>吉安</w:t>
      </w:r>
      <w:r>
        <w:rPr>
          <w:rFonts w:hint="eastAsia"/>
          <w:sz w:val="21"/>
          <w:szCs w:val="21"/>
          <w:lang w:eastAsia="zh-CN"/>
        </w:rPr>
        <w:t>市行政区域范围内</w:t>
      </w:r>
      <w:r>
        <w:rPr>
          <w:rFonts w:hint="eastAsia" w:ascii="宋体" w:hAnsi="宋体" w:eastAsia="宋体" w:cs="宋体"/>
          <w:color w:val="000000"/>
          <w:kern w:val="0"/>
          <w:sz w:val="21"/>
          <w:szCs w:val="21"/>
          <w:lang w:val="en-US" w:eastAsia="zh-CN" w:bidi="ar"/>
        </w:rPr>
        <w:t>种植</w:t>
      </w:r>
      <w:r>
        <w:rPr>
          <w:rFonts w:hint="eastAsia" w:hAnsi="宋体" w:cs="宋体"/>
          <w:color w:val="000000"/>
          <w:kern w:val="0"/>
          <w:sz w:val="21"/>
          <w:szCs w:val="21"/>
          <w:lang w:val="en-US" w:eastAsia="zh-CN" w:bidi="ar"/>
        </w:rPr>
        <w:t>的</w:t>
      </w:r>
      <w:r>
        <w:rPr>
          <w:rFonts w:hint="eastAsia" w:ascii="宋体" w:hAnsi="宋体" w:eastAsia="宋体" w:cs="宋体"/>
          <w:color w:val="000000"/>
          <w:kern w:val="0"/>
          <w:sz w:val="21"/>
          <w:szCs w:val="21"/>
          <w:lang w:val="en-US" w:eastAsia="zh-CN" w:bidi="ar"/>
        </w:rPr>
        <w:t>茶树的芽、叶、嫩茎为原料，按照</w:t>
      </w:r>
      <w:r>
        <w:rPr>
          <w:rFonts w:hint="eastAsia" w:hAnsi="宋体" w:cs="宋体"/>
          <w:color w:val="000000"/>
          <w:kern w:val="0"/>
          <w:sz w:val="21"/>
          <w:szCs w:val="21"/>
          <w:lang w:val="en-US" w:eastAsia="zh-CN" w:bidi="ar"/>
        </w:rPr>
        <w:t>特定</w:t>
      </w:r>
      <w:r>
        <w:rPr>
          <w:rFonts w:hint="eastAsia" w:ascii="宋体" w:hAnsi="宋体" w:eastAsia="宋体" w:cs="宋体"/>
          <w:color w:val="000000"/>
          <w:kern w:val="0"/>
          <w:sz w:val="21"/>
          <w:szCs w:val="21"/>
          <w:lang w:val="en-US" w:eastAsia="zh-CN" w:bidi="ar"/>
        </w:rPr>
        <w:t>加工工艺制作而成，</w:t>
      </w:r>
      <w:r>
        <w:rPr>
          <w:rFonts w:hint="eastAsia" w:ascii="宋体" w:hAnsi="宋体" w:eastAsia="宋体" w:cs="宋体"/>
          <w:sz w:val="21"/>
          <w:szCs w:val="21"/>
        </w:rPr>
        <w:t>符合本文件要求，并经“井冈山</w:t>
      </w:r>
      <w:r>
        <w:rPr>
          <w:rFonts w:hint="eastAsia" w:ascii="宋体" w:hAnsi="宋体" w:eastAsia="宋体" w:cs="宋体"/>
          <w:sz w:val="21"/>
          <w:szCs w:val="21"/>
          <w:vertAlign w:val="superscript"/>
        </w:rPr>
        <w:t>®</w:t>
      </w:r>
      <w:r>
        <w:rPr>
          <w:rFonts w:hint="eastAsia" w:ascii="宋体" w:hAnsi="宋体" w:eastAsia="宋体" w:cs="宋体"/>
          <w:sz w:val="21"/>
          <w:szCs w:val="21"/>
        </w:rPr>
        <w:t>”商标持有人授权的</w:t>
      </w:r>
      <w:r>
        <w:rPr>
          <w:rFonts w:hint="eastAsia" w:hAnsi="宋体" w:cs="宋体"/>
          <w:sz w:val="21"/>
          <w:szCs w:val="21"/>
          <w:lang w:eastAsia="zh-CN"/>
        </w:rPr>
        <w:t>黄金芽</w:t>
      </w:r>
      <w:r>
        <w:rPr>
          <w:rFonts w:hint="eastAsia" w:ascii="宋体" w:hAnsi="宋体" w:eastAsia="宋体" w:cs="宋体"/>
          <w:color w:val="000000"/>
          <w:kern w:val="0"/>
          <w:sz w:val="21"/>
          <w:szCs w:val="21"/>
          <w:lang w:val="en-US" w:eastAsia="zh-CN" w:bidi="ar"/>
        </w:rPr>
        <w:t>。</w:t>
      </w:r>
    </w:p>
    <w:p w14:paraId="6F54AB17">
      <w:pPr>
        <w:pStyle w:val="179"/>
        <w:keepNext w:val="0"/>
        <w:keepLines w:val="0"/>
        <w:pageBreakBefore w:val="0"/>
        <w:kinsoku/>
        <w:wordWrap/>
        <w:overflowPunct/>
        <w:topLinePunct w:val="0"/>
        <w:autoSpaceDE w:val="0"/>
        <w:autoSpaceDN w:val="0"/>
        <w:bidi w:val="0"/>
        <w:adjustRightInd/>
        <w:snapToGrid/>
        <w:spacing w:line="360" w:lineRule="auto"/>
        <w:textAlignment w:val="auto"/>
        <w:rPr>
          <w:rFonts w:hint="eastAsia" w:ascii="黑体" w:hAnsi="黑体" w:eastAsia="黑体"/>
        </w:rPr>
      </w:pPr>
      <w:r>
        <w:rPr>
          <w:rFonts w:hint="eastAsia"/>
        </w:rPr>
        <w:t>井冈山</w:t>
      </w:r>
      <w:r>
        <w:rPr>
          <w:rFonts w:hint="eastAsia"/>
          <w:lang w:eastAsia="zh-CN"/>
        </w:rPr>
        <w:t>黄金芽（绿茶）</w:t>
      </w:r>
      <w:r>
        <w:rPr>
          <w:rFonts w:hint="eastAsia"/>
        </w:rPr>
        <w:t>生产区域范围见附录A。</w:t>
      </w:r>
    </w:p>
    <w:p w14:paraId="4E93E885">
      <w:pPr>
        <w:pStyle w:val="104"/>
        <w:keepNext w:val="0"/>
        <w:keepLines w:val="0"/>
        <w:pageBreakBefore w:val="0"/>
        <w:kinsoku/>
        <w:wordWrap/>
        <w:overflowPunct/>
        <w:topLinePunct w:val="0"/>
        <w:bidi w:val="0"/>
        <w:snapToGrid/>
        <w:spacing w:before="240" w:after="240" w:line="240" w:lineRule="auto"/>
        <w:textAlignment w:val="auto"/>
        <w:rPr>
          <w:rFonts w:hint="eastAsia"/>
        </w:rPr>
      </w:pPr>
      <w:r>
        <w:t>要求</w:t>
      </w:r>
    </w:p>
    <w:p w14:paraId="11145B41">
      <w:pPr>
        <w:pStyle w:val="105"/>
        <w:keepNext w:val="0"/>
        <w:keepLines w:val="0"/>
        <w:pageBreakBefore w:val="0"/>
        <w:widowControl/>
        <w:kinsoku/>
        <w:wordWrap/>
        <w:overflowPunct/>
        <w:topLinePunct w:val="0"/>
        <w:bidi w:val="0"/>
        <w:adjustRightInd/>
        <w:snapToGrid/>
        <w:spacing w:before="120" w:after="120" w:line="360" w:lineRule="auto"/>
        <w:textAlignment w:val="auto"/>
        <w:rPr>
          <w:rFonts w:hint="eastAsia"/>
        </w:rPr>
      </w:pPr>
      <w:r>
        <w:rPr>
          <w:rFonts w:hint="eastAsia"/>
          <w:lang w:eastAsia="zh-CN"/>
        </w:rPr>
        <w:t>品种</w:t>
      </w:r>
    </w:p>
    <w:p w14:paraId="7F0A3F7C">
      <w:pPr>
        <w:pStyle w:val="56"/>
        <w:keepNext w:val="0"/>
        <w:keepLines w:val="0"/>
        <w:pageBreakBefore w:val="0"/>
        <w:widowControl/>
        <w:kinsoku/>
        <w:wordWrap/>
        <w:overflowPunct/>
        <w:topLinePunct w:val="0"/>
        <w:bidi w:val="0"/>
        <w:adjustRightInd/>
        <w:snapToGrid/>
        <w:spacing w:line="360" w:lineRule="auto"/>
        <w:textAlignment w:val="auto"/>
        <w:rPr>
          <w:rFonts w:hint="eastAsia" w:ascii="宋体" w:hAnsi="宋体" w:eastAsia="宋体" w:cs="宋体"/>
          <w:color w:val="FF0000"/>
          <w:sz w:val="21"/>
          <w:szCs w:val="21"/>
          <w:lang w:eastAsia="zh-CN"/>
        </w:rPr>
      </w:pPr>
      <w:r>
        <w:rPr>
          <w:rFonts w:hint="eastAsia" w:ascii="宋体" w:hAnsi="宋体" w:eastAsia="宋体" w:cs="宋体"/>
          <w:color w:val="FF0000"/>
          <w:sz w:val="21"/>
          <w:szCs w:val="21"/>
          <w:lang w:eastAsia="zh-CN"/>
        </w:rPr>
        <w:t>中小叶种</w:t>
      </w:r>
      <w:r>
        <w:rPr>
          <w:rFonts w:hint="eastAsia" w:ascii="宋体" w:hAnsi="宋体" w:eastAsia="宋体" w:cs="宋体"/>
          <w:i w:val="0"/>
          <w:iCs w:val="0"/>
          <w:caps w:val="0"/>
          <w:color w:val="FF0000"/>
          <w:spacing w:val="0"/>
          <w:sz w:val="21"/>
          <w:szCs w:val="21"/>
          <w:shd w:val="clear" w:fill="FFFFFF"/>
        </w:rPr>
        <w:t>白化</w:t>
      </w:r>
      <w:r>
        <w:rPr>
          <w:rFonts w:hint="eastAsia" w:ascii="宋体" w:hAnsi="宋体" w:eastAsia="宋体" w:cs="宋体"/>
          <w:i w:val="0"/>
          <w:iCs w:val="0"/>
          <w:caps w:val="0"/>
          <w:color w:val="FF0000"/>
          <w:spacing w:val="0"/>
          <w:sz w:val="21"/>
          <w:szCs w:val="21"/>
          <w:shd w:val="clear" w:fill="FFFFFF"/>
          <w:lang w:eastAsia="zh-CN"/>
        </w:rPr>
        <w:t>黄色系</w:t>
      </w:r>
      <w:r>
        <w:rPr>
          <w:rFonts w:hint="eastAsia" w:ascii="宋体" w:hAnsi="宋体" w:eastAsia="宋体" w:cs="宋体"/>
          <w:color w:val="FF0000"/>
          <w:sz w:val="21"/>
          <w:szCs w:val="21"/>
          <w:lang w:eastAsia="zh-CN"/>
        </w:rPr>
        <w:t>茶。</w:t>
      </w:r>
    </w:p>
    <w:p w14:paraId="6F71B2A0">
      <w:pPr>
        <w:pStyle w:val="105"/>
        <w:keepNext w:val="0"/>
        <w:keepLines w:val="0"/>
        <w:pageBreakBefore w:val="0"/>
        <w:widowControl/>
        <w:kinsoku/>
        <w:wordWrap/>
        <w:overflowPunct/>
        <w:topLinePunct w:val="0"/>
        <w:bidi w:val="0"/>
        <w:adjustRightInd/>
        <w:snapToGrid/>
        <w:spacing w:before="120" w:after="120" w:line="360" w:lineRule="auto"/>
        <w:textAlignment w:val="auto"/>
        <w:rPr>
          <w:rFonts w:hint="eastAsia" w:ascii="宋体" w:hAnsi="宋体" w:eastAsia="宋体"/>
        </w:rPr>
      </w:pPr>
      <w:r>
        <w:rPr>
          <w:rFonts w:hint="eastAsia"/>
          <w:lang w:eastAsia="zh-CN"/>
        </w:rPr>
        <w:t>产地环境</w:t>
      </w:r>
    </w:p>
    <w:p w14:paraId="26490B64">
      <w:pPr>
        <w:pStyle w:val="105"/>
        <w:keepNext w:val="0"/>
        <w:keepLines w:val="0"/>
        <w:pageBreakBefore w:val="0"/>
        <w:widowControl/>
        <w:numPr>
          <w:ilvl w:val="2"/>
          <w:numId w:val="0"/>
        </w:numPr>
        <w:kinsoku/>
        <w:wordWrap/>
        <w:overflowPunct/>
        <w:topLinePunct w:val="0"/>
        <w:bidi w:val="0"/>
        <w:adjustRightInd/>
        <w:snapToGrid/>
        <w:spacing w:before="120" w:after="120" w:line="360" w:lineRule="auto"/>
        <w:ind w:leftChars="0" w:firstLine="420" w:firstLineChars="200"/>
        <w:textAlignment w:val="auto"/>
        <w:rPr>
          <w:rFonts w:hint="eastAsia" w:ascii="宋体" w:hAnsi="宋体" w:eastAsia="宋体"/>
        </w:rPr>
      </w:pPr>
      <w:r>
        <w:rPr>
          <w:rFonts w:hint="eastAsia" w:ascii="宋体" w:hAnsi="宋体" w:eastAsia="宋体"/>
        </w:rPr>
        <w:t>应符合</w:t>
      </w:r>
      <w:bookmarkStart w:id="44" w:name="_Hlk103953316"/>
      <w:r>
        <w:rPr>
          <w:rFonts w:ascii="宋体" w:hAnsi="宋体" w:eastAsia="宋体"/>
        </w:rPr>
        <w:t>NY/T 391</w:t>
      </w:r>
      <w:bookmarkEnd w:id="44"/>
      <w:r>
        <w:rPr>
          <w:rFonts w:hint="eastAsia" w:ascii="宋体" w:hAnsi="宋体" w:eastAsia="宋体"/>
        </w:rPr>
        <w:t>的要求。</w:t>
      </w:r>
    </w:p>
    <w:p w14:paraId="43275D68">
      <w:pPr>
        <w:keepNext w:val="0"/>
        <w:keepLines w:val="0"/>
        <w:pageBreakBefore w:val="0"/>
        <w:kinsoku/>
        <w:wordWrap/>
        <w:overflowPunct/>
        <w:topLinePunct w:val="0"/>
        <w:bidi w:val="0"/>
        <w:snapToGrid/>
        <w:spacing w:line="360" w:lineRule="auto"/>
        <w:textAlignment w:val="auto"/>
        <w:rPr>
          <w:rFonts w:hint="eastAsia" w:ascii="黑体" w:hAnsi="黑体" w:eastAsia="黑体" w:cs="黑体"/>
          <w:lang w:val="en-US" w:eastAsia="zh-CN"/>
        </w:rPr>
      </w:pPr>
      <w:r>
        <w:rPr>
          <w:rFonts w:hint="eastAsia" w:ascii="黑体" w:hAnsi="黑体" w:eastAsia="黑体" w:cs="黑体"/>
          <w:lang w:val="en-US" w:eastAsia="zh-CN"/>
        </w:rPr>
        <w:t>4.3  种植与生产</w:t>
      </w:r>
    </w:p>
    <w:p w14:paraId="7BB3E17B">
      <w:pPr>
        <w:pStyle w:val="56"/>
        <w:keepNext w:val="0"/>
        <w:keepLines w:val="0"/>
        <w:pageBreakBefore w:val="0"/>
        <w:kinsoku/>
        <w:wordWrap/>
        <w:overflowPunct/>
        <w:topLinePunct w:val="0"/>
        <w:bidi w:val="0"/>
        <w:snapToGrid/>
        <w:spacing w:line="360" w:lineRule="auto"/>
        <w:ind w:firstLine="420"/>
        <w:textAlignment w:val="auto"/>
        <w:rPr>
          <w:rFonts w:hint="eastAsia"/>
        </w:rPr>
      </w:pPr>
      <w:r>
        <w:rPr>
          <w:rFonts w:hint="eastAsia"/>
        </w:rPr>
        <w:t>生产有机产品投入品应符合GB/T</w:t>
      </w:r>
      <w:r>
        <w:rPr>
          <w:rFonts w:hint="eastAsia"/>
          <w:lang w:val="en-US" w:eastAsia="zh-CN"/>
        </w:rPr>
        <w:t xml:space="preserve"> </w:t>
      </w:r>
      <w:r>
        <w:rPr>
          <w:rFonts w:hint="eastAsia"/>
        </w:rPr>
        <w:t>19630 的要求</w:t>
      </w:r>
      <w:r>
        <w:rPr>
          <w:rFonts w:hint="eastAsia"/>
          <w:lang w:eastAsia="zh-CN"/>
        </w:rPr>
        <w:t>；</w:t>
      </w:r>
      <w:r>
        <w:rPr>
          <w:rFonts w:hint="eastAsia"/>
        </w:rPr>
        <w:t>其它投入品使用应遵守</w:t>
      </w:r>
      <w:bookmarkStart w:id="45" w:name="_Hlk111472201"/>
      <w:r>
        <w:rPr>
          <w:rFonts w:hint="eastAsia"/>
        </w:rPr>
        <w:t>NY/T</w:t>
      </w:r>
      <w:bookmarkEnd w:id="45"/>
      <w:r>
        <w:rPr>
          <w:rFonts w:hint="eastAsia"/>
        </w:rPr>
        <w:t xml:space="preserve"> 393、NY/T 394 的要求。</w:t>
      </w:r>
    </w:p>
    <w:p w14:paraId="0D61284F">
      <w:pPr>
        <w:pStyle w:val="56"/>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textAlignment w:val="auto"/>
        <w:rPr>
          <w:rFonts w:hint="eastAsia"/>
          <w:lang w:val="en-US" w:eastAsia="zh-CN"/>
        </w:rPr>
      </w:pPr>
      <w:r>
        <w:rPr>
          <w:rFonts w:hint="eastAsia" w:ascii="黑体" w:hAnsi="黑体" w:eastAsia="黑体" w:cs="黑体"/>
          <w:lang w:val="en-US" w:eastAsia="zh-CN"/>
        </w:rPr>
        <w:t>4.4  产品分级</w:t>
      </w:r>
    </w:p>
    <w:p w14:paraId="6C1EC971">
      <w:pPr>
        <w:pStyle w:val="56"/>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0"/>
        <w:textAlignment w:val="auto"/>
        <w:rPr>
          <w:rFonts w:hint="eastAsia"/>
          <w:lang w:val="en-US" w:eastAsia="zh-CN"/>
        </w:rPr>
      </w:pPr>
      <w:r>
        <w:rPr>
          <w:rFonts w:hint="eastAsia"/>
          <w:lang w:val="en-US" w:eastAsia="zh-CN"/>
        </w:rPr>
        <w:t>产品分为</w:t>
      </w:r>
      <w:r>
        <w:rPr>
          <w:rFonts w:hint="eastAsia"/>
          <w:color w:val="FF0000"/>
          <w:lang w:val="en-US" w:eastAsia="zh-CN"/>
        </w:rPr>
        <w:t>特级、一级、二级共三个质量等级</w:t>
      </w:r>
      <w:r>
        <w:rPr>
          <w:rFonts w:hint="eastAsia"/>
          <w:lang w:val="en-US" w:eastAsia="zh-CN"/>
        </w:rPr>
        <w:t>。</w:t>
      </w:r>
    </w:p>
    <w:p w14:paraId="1347CAE7">
      <w:pPr>
        <w:pStyle w:val="56"/>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textAlignment w:val="auto"/>
        <w:rPr>
          <w:rFonts w:hint="eastAsia"/>
          <w:lang w:val="en-US" w:eastAsia="zh-CN"/>
        </w:rPr>
      </w:pPr>
      <w:r>
        <w:rPr>
          <w:rFonts w:hint="eastAsia" w:ascii="黑体" w:hAnsi="黑体" w:eastAsia="黑体" w:cs="黑体"/>
          <w:lang w:val="en-US" w:eastAsia="zh-CN"/>
        </w:rPr>
        <w:t>4.5  感官指标</w:t>
      </w:r>
    </w:p>
    <w:p w14:paraId="42EBCF1A">
      <w:pPr>
        <w:pStyle w:val="56"/>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200"/>
        <w:textAlignment w:val="auto"/>
        <w:rPr>
          <w:rFonts w:hint="eastAsia"/>
          <w:lang w:val="en-US" w:eastAsia="zh-CN"/>
        </w:rPr>
      </w:pPr>
      <w:r>
        <w:rPr>
          <w:rFonts w:hint="eastAsia"/>
          <w:lang w:val="en-US" w:eastAsia="zh-CN"/>
        </w:rPr>
        <w:t>应符合表1的规定。</w:t>
      </w:r>
    </w:p>
    <w:p w14:paraId="37A15A3D">
      <w:pPr>
        <w:pStyle w:val="56"/>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jc w:val="center"/>
        <w:textAlignment w:val="auto"/>
        <w:rPr>
          <w:rFonts w:hint="eastAsia" w:ascii="黑体" w:hAnsi="黑体" w:eastAsia="黑体" w:cs="黑体"/>
          <w:lang w:val="en-US" w:eastAsia="zh-CN"/>
        </w:rPr>
      </w:pPr>
      <w:r>
        <w:rPr>
          <w:rFonts w:hint="eastAsia" w:ascii="黑体" w:hAnsi="黑体" w:eastAsia="黑体" w:cs="黑体"/>
          <w:lang w:val="en-US" w:eastAsia="zh-CN"/>
        </w:rPr>
        <w:t>表1 感官指标</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2730"/>
        <w:gridCol w:w="1320"/>
        <w:gridCol w:w="1410"/>
        <w:gridCol w:w="1170"/>
        <w:gridCol w:w="2151"/>
      </w:tblGrid>
      <w:tr w14:paraId="44DAB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Pr>
          <w:p w14:paraId="291B18C2">
            <w:pPr>
              <w:pStyle w:val="56"/>
              <w:ind w:left="0" w:leftChars="0" w:firstLine="0" w:firstLineChars="0"/>
              <w:jc w:val="center"/>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等级</w:t>
            </w:r>
          </w:p>
        </w:tc>
        <w:tc>
          <w:tcPr>
            <w:tcW w:w="2730" w:type="dxa"/>
          </w:tcPr>
          <w:p w14:paraId="6F6A13DC">
            <w:pPr>
              <w:pStyle w:val="56"/>
              <w:ind w:left="0" w:leftChars="0" w:firstLine="0" w:firstLineChars="0"/>
              <w:jc w:val="center"/>
              <w:rPr>
                <w:rFonts w:hint="eastAsia" w:ascii="黑体" w:hAnsi="黑体" w:eastAsia="黑体" w:cs="黑体"/>
                <w:color w:val="auto"/>
                <w:vertAlign w:val="baseline"/>
                <w:lang w:val="en-US" w:eastAsia="zh-CN"/>
              </w:rPr>
            </w:pPr>
            <w:r>
              <w:rPr>
                <w:rFonts w:hint="eastAsia" w:ascii="黑体" w:hAnsi="黑体" w:eastAsia="黑体" w:cs="黑体"/>
                <w:color w:val="auto"/>
                <w:vertAlign w:val="baseline"/>
                <w:lang w:val="en-US" w:eastAsia="zh-CN"/>
              </w:rPr>
              <w:t>外形</w:t>
            </w:r>
          </w:p>
        </w:tc>
        <w:tc>
          <w:tcPr>
            <w:tcW w:w="1320" w:type="dxa"/>
          </w:tcPr>
          <w:p w14:paraId="5F7C0B30">
            <w:pPr>
              <w:pStyle w:val="56"/>
              <w:ind w:left="0" w:leftChars="0" w:firstLine="0" w:firstLineChars="0"/>
              <w:jc w:val="center"/>
              <w:rPr>
                <w:rFonts w:hint="eastAsia" w:ascii="黑体" w:hAnsi="黑体" w:eastAsia="黑体" w:cs="黑体"/>
                <w:color w:val="auto"/>
                <w:vertAlign w:val="baseline"/>
                <w:lang w:val="en-US" w:eastAsia="zh-CN"/>
              </w:rPr>
            </w:pPr>
            <w:r>
              <w:rPr>
                <w:rFonts w:hint="eastAsia" w:ascii="黑体" w:hAnsi="黑体" w:eastAsia="黑体" w:cs="黑体"/>
                <w:color w:val="auto"/>
                <w:vertAlign w:val="baseline"/>
                <w:lang w:val="en-US" w:eastAsia="zh-CN"/>
              </w:rPr>
              <w:t>汤色</w:t>
            </w:r>
          </w:p>
        </w:tc>
        <w:tc>
          <w:tcPr>
            <w:tcW w:w="1410" w:type="dxa"/>
          </w:tcPr>
          <w:p w14:paraId="0F0DC1F7">
            <w:pPr>
              <w:pStyle w:val="56"/>
              <w:ind w:left="0" w:leftChars="0" w:firstLine="0" w:firstLineChars="0"/>
              <w:jc w:val="center"/>
              <w:rPr>
                <w:rFonts w:hint="eastAsia" w:ascii="黑体" w:hAnsi="黑体" w:eastAsia="黑体" w:cs="黑体"/>
                <w:color w:val="auto"/>
                <w:vertAlign w:val="baseline"/>
                <w:lang w:val="en-US" w:eastAsia="zh-CN"/>
              </w:rPr>
            </w:pPr>
            <w:r>
              <w:rPr>
                <w:rFonts w:hint="eastAsia" w:ascii="黑体" w:hAnsi="黑体" w:eastAsia="黑体" w:cs="黑体"/>
                <w:color w:val="auto"/>
                <w:vertAlign w:val="baseline"/>
                <w:lang w:val="en-US" w:eastAsia="zh-CN"/>
              </w:rPr>
              <w:t>香气</w:t>
            </w:r>
          </w:p>
        </w:tc>
        <w:tc>
          <w:tcPr>
            <w:tcW w:w="1170" w:type="dxa"/>
          </w:tcPr>
          <w:p w14:paraId="786BE831">
            <w:pPr>
              <w:pStyle w:val="56"/>
              <w:ind w:left="0" w:leftChars="0" w:firstLine="0" w:firstLineChars="0"/>
              <w:jc w:val="center"/>
              <w:rPr>
                <w:rFonts w:hint="eastAsia" w:ascii="黑体" w:hAnsi="黑体" w:eastAsia="黑体" w:cs="黑体"/>
                <w:color w:val="auto"/>
                <w:vertAlign w:val="baseline"/>
                <w:lang w:val="en-US" w:eastAsia="zh-CN"/>
              </w:rPr>
            </w:pPr>
            <w:r>
              <w:rPr>
                <w:rFonts w:hint="eastAsia" w:ascii="黑体" w:hAnsi="黑体" w:eastAsia="黑体" w:cs="黑体"/>
                <w:color w:val="auto"/>
                <w:vertAlign w:val="baseline"/>
                <w:lang w:val="en-US" w:eastAsia="zh-CN"/>
              </w:rPr>
              <w:t>滋味</w:t>
            </w:r>
          </w:p>
        </w:tc>
        <w:tc>
          <w:tcPr>
            <w:tcW w:w="2151" w:type="dxa"/>
          </w:tcPr>
          <w:p w14:paraId="19188C39">
            <w:pPr>
              <w:pStyle w:val="56"/>
              <w:ind w:left="0" w:leftChars="0" w:firstLine="0" w:firstLineChars="0"/>
              <w:jc w:val="center"/>
              <w:rPr>
                <w:rFonts w:hint="eastAsia" w:ascii="黑体" w:hAnsi="黑体" w:eastAsia="黑体" w:cs="黑体"/>
                <w:color w:val="auto"/>
                <w:vertAlign w:val="baseline"/>
                <w:lang w:val="en-US" w:eastAsia="zh-CN"/>
              </w:rPr>
            </w:pPr>
            <w:r>
              <w:rPr>
                <w:rFonts w:hint="eastAsia" w:ascii="黑体" w:hAnsi="黑体" w:eastAsia="黑体" w:cs="黑体"/>
                <w:color w:val="auto"/>
                <w:vertAlign w:val="baseline"/>
                <w:lang w:val="en-US" w:eastAsia="zh-CN"/>
              </w:rPr>
              <w:t>叶底</w:t>
            </w:r>
          </w:p>
        </w:tc>
      </w:tr>
      <w:tr w14:paraId="61129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14:paraId="7A585FA6">
            <w:pPr>
              <w:pStyle w:val="56"/>
              <w:ind w:left="0" w:leftChars="0" w:firstLine="0" w:firstLineChars="0"/>
              <w:jc w:val="both"/>
              <w:rPr>
                <w:rFonts w:hint="eastAsia" w:ascii="宋体" w:hAnsi="宋体" w:eastAsia="宋体" w:cs="宋体"/>
                <w:color w:val="FF0000"/>
                <w:sz w:val="21"/>
                <w:szCs w:val="21"/>
                <w:vertAlign w:val="baseline"/>
                <w:lang w:val="en-US" w:eastAsia="zh-CN"/>
              </w:rPr>
            </w:pPr>
            <w:r>
              <w:rPr>
                <w:rFonts w:hint="eastAsia" w:ascii="宋体" w:hAnsi="宋体" w:eastAsia="宋体" w:cs="宋体"/>
                <w:color w:val="FF0000"/>
                <w:sz w:val="21"/>
                <w:szCs w:val="21"/>
                <w:vertAlign w:val="baseline"/>
                <w:lang w:val="en-US" w:eastAsia="zh-CN"/>
              </w:rPr>
              <w:t>特级</w:t>
            </w:r>
          </w:p>
        </w:tc>
        <w:tc>
          <w:tcPr>
            <w:tcW w:w="2730" w:type="dxa"/>
            <w:vAlign w:val="center"/>
          </w:tcPr>
          <w:p w14:paraId="5B520444">
            <w:pPr>
              <w:pStyle w:val="56"/>
              <w:ind w:left="0" w:leftChars="0" w:firstLine="0" w:firstLineChars="0"/>
              <w:jc w:val="center"/>
              <w:rPr>
                <w:rFonts w:hint="eastAsia" w:ascii="宋体" w:hAnsi="宋体" w:eastAsia="宋体" w:cs="宋体"/>
                <w:color w:val="FF0000"/>
                <w:sz w:val="21"/>
                <w:szCs w:val="21"/>
                <w:vertAlign w:val="baseline"/>
                <w:lang w:val="en-US" w:eastAsia="zh-CN"/>
              </w:rPr>
            </w:pPr>
            <w:r>
              <w:rPr>
                <w:rFonts w:hint="eastAsia" w:hAnsi="宋体" w:cs="宋体"/>
                <w:color w:val="FF0000"/>
                <w:sz w:val="21"/>
                <w:szCs w:val="21"/>
                <w:vertAlign w:val="baseline"/>
                <w:lang w:val="en-US" w:eastAsia="zh-CN"/>
              </w:rPr>
              <w:t>条直显芽，芽头壮实、匀齐，色泽金黄润亮</w:t>
            </w:r>
          </w:p>
        </w:tc>
        <w:tc>
          <w:tcPr>
            <w:tcW w:w="1320" w:type="dxa"/>
            <w:vAlign w:val="center"/>
          </w:tcPr>
          <w:p w14:paraId="0774F8AE">
            <w:pPr>
              <w:pStyle w:val="56"/>
              <w:ind w:left="0" w:leftChars="0" w:firstLine="0" w:firstLineChars="0"/>
              <w:jc w:val="center"/>
              <w:rPr>
                <w:rFonts w:hint="eastAsia" w:ascii="宋体" w:hAnsi="宋体" w:eastAsia="宋体" w:cs="宋体"/>
                <w:color w:val="FF0000"/>
                <w:sz w:val="21"/>
                <w:szCs w:val="21"/>
                <w:vertAlign w:val="baseline"/>
                <w:lang w:val="en-US" w:eastAsia="zh-CN"/>
              </w:rPr>
            </w:pPr>
            <w:r>
              <w:rPr>
                <w:rFonts w:hint="eastAsia" w:hAnsi="宋体" w:cs="宋体"/>
                <w:color w:val="FF0000"/>
                <w:sz w:val="21"/>
                <w:szCs w:val="21"/>
                <w:vertAlign w:val="baseline"/>
                <w:lang w:val="en-US" w:eastAsia="zh-CN"/>
              </w:rPr>
              <w:t>嫩黄明亮</w:t>
            </w:r>
          </w:p>
        </w:tc>
        <w:tc>
          <w:tcPr>
            <w:tcW w:w="1410" w:type="dxa"/>
            <w:vAlign w:val="center"/>
          </w:tcPr>
          <w:p w14:paraId="48DB2ADF">
            <w:pPr>
              <w:pStyle w:val="56"/>
              <w:ind w:left="0" w:leftChars="0" w:firstLine="0" w:firstLineChars="0"/>
              <w:jc w:val="center"/>
              <w:rPr>
                <w:rFonts w:hint="eastAsia" w:ascii="宋体" w:hAnsi="宋体" w:eastAsia="宋体" w:cs="宋体"/>
                <w:color w:val="FF0000"/>
                <w:sz w:val="21"/>
                <w:szCs w:val="21"/>
                <w:vertAlign w:val="baseline"/>
                <w:lang w:val="en-US" w:eastAsia="zh-CN"/>
              </w:rPr>
            </w:pPr>
            <w:r>
              <w:rPr>
                <w:rFonts w:hint="eastAsia" w:hAnsi="宋体" w:cs="宋体"/>
                <w:color w:val="FF0000"/>
                <w:sz w:val="21"/>
                <w:szCs w:val="21"/>
                <w:vertAlign w:val="baseline"/>
                <w:lang w:val="en-US" w:eastAsia="zh-CN"/>
              </w:rPr>
              <w:t>鲜嫩清香</w:t>
            </w:r>
          </w:p>
        </w:tc>
        <w:tc>
          <w:tcPr>
            <w:tcW w:w="1170" w:type="dxa"/>
            <w:vAlign w:val="center"/>
          </w:tcPr>
          <w:p w14:paraId="2B465068">
            <w:pPr>
              <w:pStyle w:val="56"/>
              <w:ind w:left="0" w:leftChars="0" w:firstLine="0" w:firstLineChars="0"/>
              <w:jc w:val="center"/>
              <w:rPr>
                <w:rFonts w:hint="eastAsia" w:ascii="宋体" w:hAnsi="宋体" w:eastAsia="宋体" w:cs="宋体"/>
                <w:color w:val="FF0000"/>
                <w:sz w:val="21"/>
                <w:szCs w:val="21"/>
                <w:vertAlign w:val="baseline"/>
                <w:lang w:val="en-US" w:eastAsia="zh-CN"/>
              </w:rPr>
            </w:pPr>
            <w:r>
              <w:rPr>
                <w:rFonts w:hint="eastAsia" w:hAnsi="宋体" w:cs="宋体"/>
                <w:color w:val="FF0000"/>
                <w:sz w:val="21"/>
                <w:szCs w:val="21"/>
                <w:vertAlign w:val="baseline"/>
                <w:lang w:val="en-US" w:eastAsia="zh-CN"/>
              </w:rPr>
              <w:t>鲜爽回甘</w:t>
            </w:r>
          </w:p>
        </w:tc>
        <w:tc>
          <w:tcPr>
            <w:tcW w:w="2151" w:type="dxa"/>
            <w:vAlign w:val="center"/>
          </w:tcPr>
          <w:p w14:paraId="49F4B737">
            <w:pPr>
              <w:pStyle w:val="56"/>
              <w:ind w:left="0" w:leftChars="0" w:firstLine="0" w:firstLineChars="0"/>
              <w:jc w:val="center"/>
              <w:rPr>
                <w:rFonts w:hint="eastAsia" w:ascii="宋体" w:hAnsi="宋体" w:eastAsia="宋体" w:cs="宋体"/>
                <w:color w:val="FF0000"/>
                <w:sz w:val="21"/>
                <w:szCs w:val="21"/>
                <w:vertAlign w:val="baseline"/>
                <w:lang w:val="en-US" w:eastAsia="zh-CN"/>
              </w:rPr>
            </w:pPr>
            <w:r>
              <w:rPr>
                <w:rFonts w:hint="eastAsia" w:hAnsi="宋体" w:cs="宋体"/>
                <w:color w:val="FF0000"/>
                <w:sz w:val="21"/>
                <w:szCs w:val="21"/>
                <w:vertAlign w:val="baseline"/>
                <w:lang w:val="en-US" w:eastAsia="zh-CN"/>
              </w:rPr>
              <w:t>芽叶嫩匀，色泽黄亮</w:t>
            </w:r>
          </w:p>
        </w:tc>
      </w:tr>
      <w:tr w14:paraId="55494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14:paraId="203AEC2E">
            <w:pPr>
              <w:pStyle w:val="56"/>
              <w:ind w:left="0" w:leftChars="0" w:firstLine="0" w:firstLineChars="0"/>
              <w:jc w:val="both"/>
              <w:rPr>
                <w:rFonts w:hint="eastAsia" w:ascii="宋体" w:hAnsi="宋体" w:eastAsia="宋体" w:cs="宋体"/>
                <w:color w:val="FF0000"/>
                <w:vertAlign w:val="baseline"/>
                <w:lang w:val="en-US" w:eastAsia="zh-CN"/>
              </w:rPr>
            </w:pPr>
            <w:r>
              <w:rPr>
                <w:rFonts w:hint="eastAsia" w:ascii="宋体" w:hAnsi="宋体" w:eastAsia="宋体" w:cs="宋体"/>
                <w:color w:val="FF0000"/>
                <w:vertAlign w:val="baseline"/>
                <w:lang w:val="en-US" w:eastAsia="zh-CN"/>
              </w:rPr>
              <w:t>一级</w:t>
            </w:r>
          </w:p>
        </w:tc>
        <w:tc>
          <w:tcPr>
            <w:tcW w:w="2730" w:type="dxa"/>
            <w:vAlign w:val="center"/>
          </w:tcPr>
          <w:p w14:paraId="12B454C0">
            <w:pPr>
              <w:pStyle w:val="56"/>
              <w:ind w:left="0" w:leftChars="0" w:firstLine="0" w:firstLineChars="0"/>
              <w:jc w:val="center"/>
              <w:rPr>
                <w:rFonts w:hint="eastAsia" w:ascii="宋体" w:hAnsi="宋体" w:eastAsia="宋体" w:cs="宋体"/>
                <w:color w:val="FF0000"/>
                <w:vertAlign w:val="baseline"/>
                <w:lang w:val="en-US" w:eastAsia="zh-CN"/>
              </w:rPr>
            </w:pPr>
            <w:r>
              <w:rPr>
                <w:rFonts w:hint="eastAsia" w:hAnsi="宋体" w:cs="宋体"/>
                <w:color w:val="FF0000"/>
                <w:vertAlign w:val="baseline"/>
                <w:lang w:val="en-US" w:eastAsia="zh-CN"/>
              </w:rPr>
              <w:t>条直有芽，芽头匀整，色泽金黄润</w:t>
            </w:r>
          </w:p>
        </w:tc>
        <w:tc>
          <w:tcPr>
            <w:tcW w:w="1320" w:type="dxa"/>
            <w:shd w:val="clear" w:color="auto" w:fill="auto"/>
            <w:vAlign w:val="center"/>
          </w:tcPr>
          <w:p w14:paraId="5E521F0C">
            <w:pPr>
              <w:pStyle w:val="56"/>
              <w:ind w:left="0" w:leftChars="0" w:firstLine="0" w:firstLineChars="0"/>
              <w:jc w:val="center"/>
              <w:rPr>
                <w:rFonts w:hint="eastAsia" w:ascii="宋体" w:hAnsi="宋体" w:eastAsia="宋体" w:cs="宋体"/>
                <w:color w:val="FF0000"/>
                <w:sz w:val="21"/>
                <w:szCs w:val="21"/>
                <w:vertAlign w:val="baseline"/>
                <w:lang w:val="en-US" w:eastAsia="zh-CN" w:bidi="ar-SA"/>
              </w:rPr>
            </w:pPr>
            <w:r>
              <w:rPr>
                <w:rFonts w:hint="eastAsia" w:hAnsi="宋体" w:cs="宋体"/>
                <w:color w:val="FF0000"/>
                <w:sz w:val="21"/>
                <w:szCs w:val="21"/>
                <w:vertAlign w:val="baseline"/>
                <w:lang w:val="en-US" w:eastAsia="zh-CN" w:bidi="ar-SA"/>
              </w:rPr>
              <w:t>嫩黄明亮</w:t>
            </w:r>
          </w:p>
        </w:tc>
        <w:tc>
          <w:tcPr>
            <w:tcW w:w="1410" w:type="dxa"/>
            <w:vAlign w:val="center"/>
          </w:tcPr>
          <w:p w14:paraId="5E74C059">
            <w:pPr>
              <w:pStyle w:val="56"/>
              <w:ind w:left="0" w:leftChars="0" w:firstLine="0" w:firstLineChars="0"/>
              <w:jc w:val="center"/>
              <w:rPr>
                <w:rFonts w:hint="eastAsia" w:ascii="宋体" w:hAnsi="宋体" w:eastAsia="宋体" w:cs="宋体"/>
                <w:color w:val="FF0000"/>
                <w:vertAlign w:val="baseline"/>
                <w:lang w:val="en-US" w:eastAsia="zh-CN"/>
              </w:rPr>
            </w:pPr>
            <w:r>
              <w:rPr>
                <w:rFonts w:hint="eastAsia" w:hAnsi="宋体" w:cs="宋体"/>
                <w:color w:val="FF0000"/>
                <w:sz w:val="21"/>
                <w:szCs w:val="21"/>
                <w:vertAlign w:val="baseline"/>
                <w:lang w:val="en-US" w:eastAsia="zh-CN"/>
              </w:rPr>
              <w:t>鲜嫩清香</w:t>
            </w:r>
          </w:p>
        </w:tc>
        <w:tc>
          <w:tcPr>
            <w:tcW w:w="1170" w:type="dxa"/>
            <w:shd w:val="clear" w:color="auto" w:fill="auto"/>
            <w:vAlign w:val="center"/>
          </w:tcPr>
          <w:p w14:paraId="6ECFEF4A">
            <w:pPr>
              <w:pStyle w:val="56"/>
              <w:ind w:left="0" w:leftChars="0" w:firstLine="0" w:firstLineChars="0"/>
              <w:jc w:val="center"/>
              <w:rPr>
                <w:rFonts w:hint="eastAsia" w:ascii="宋体" w:hAnsi="宋体" w:eastAsia="宋体" w:cs="宋体"/>
                <w:color w:val="FF0000"/>
                <w:sz w:val="21"/>
                <w:szCs w:val="21"/>
                <w:vertAlign w:val="baseline"/>
                <w:lang w:val="en-US" w:eastAsia="zh-CN" w:bidi="ar-SA"/>
              </w:rPr>
            </w:pPr>
            <w:r>
              <w:rPr>
                <w:rFonts w:hint="eastAsia" w:hAnsi="宋体" w:cs="宋体"/>
                <w:color w:val="FF0000"/>
                <w:sz w:val="21"/>
                <w:szCs w:val="21"/>
                <w:vertAlign w:val="baseline"/>
                <w:lang w:val="en-US" w:eastAsia="zh-CN"/>
              </w:rPr>
              <w:t>鲜爽回甘</w:t>
            </w:r>
          </w:p>
        </w:tc>
        <w:tc>
          <w:tcPr>
            <w:tcW w:w="2151" w:type="dxa"/>
            <w:shd w:val="clear" w:color="auto" w:fill="auto"/>
            <w:vAlign w:val="center"/>
          </w:tcPr>
          <w:p w14:paraId="3D7B2FE2">
            <w:pPr>
              <w:pStyle w:val="56"/>
              <w:ind w:left="0" w:leftChars="0" w:firstLine="0" w:firstLineChars="0"/>
              <w:jc w:val="center"/>
              <w:rPr>
                <w:rFonts w:hint="eastAsia" w:ascii="宋体" w:hAnsi="宋体" w:eastAsia="宋体" w:cs="宋体"/>
                <w:color w:val="FF0000"/>
                <w:sz w:val="21"/>
                <w:szCs w:val="21"/>
                <w:vertAlign w:val="baseline"/>
                <w:lang w:val="en-US" w:eastAsia="zh-CN" w:bidi="ar-SA"/>
              </w:rPr>
            </w:pPr>
            <w:r>
              <w:rPr>
                <w:rFonts w:hint="eastAsia" w:hAnsi="宋体" w:cs="宋体"/>
                <w:color w:val="FF0000"/>
                <w:sz w:val="21"/>
                <w:szCs w:val="21"/>
                <w:vertAlign w:val="baseline"/>
                <w:lang w:val="en-US" w:eastAsia="zh-CN"/>
              </w:rPr>
              <w:t>芽叶嫩匀，色泽黄亮</w:t>
            </w:r>
          </w:p>
        </w:tc>
      </w:tr>
      <w:tr w14:paraId="3F8CF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14:paraId="160A1B27">
            <w:pPr>
              <w:pStyle w:val="56"/>
              <w:ind w:left="0" w:leftChars="0" w:firstLine="0" w:firstLineChars="0"/>
              <w:jc w:val="both"/>
              <w:rPr>
                <w:rFonts w:hint="eastAsia" w:ascii="宋体" w:hAnsi="宋体" w:eastAsia="宋体" w:cs="宋体"/>
                <w:color w:val="FF0000"/>
                <w:vertAlign w:val="baseline"/>
                <w:lang w:val="en-US" w:eastAsia="zh-CN"/>
              </w:rPr>
            </w:pPr>
            <w:r>
              <w:rPr>
                <w:rFonts w:hint="eastAsia" w:ascii="宋体" w:hAnsi="宋体" w:eastAsia="宋体" w:cs="宋体"/>
                <w:color w:val="FF0000"/>
                <w:vertAlign w:val="baseline"/>
                <w:lang w:val="en-US" w:eastAsia="zh-CN"/>
              </w:rPr>
              <w:t>二级</w:t>
            </w:r>
          </w:p>
        </w:tc>
        <w:tc>
          <w:tcPr>
            <w:tcW w:w="2730" w:type="dxa"/>
            <w:vAlign w:val="center"/>
          </w:tcPr>
          <w:p w14:paraId="1A635EE5">
            <w:pPr>
              <w:pStyle w:val="56"/>
              <w:ind w:left="0" w:leftChars="0" w:firstLine="0" w:firstLineChars="0"/>
              <w:jc w:val="center"/>
              <w:rPr>
                <w:rFonts w:hint="eastAsia" w:ascii="宋体" w:hAnsi="宋体" w:eastAsia="宋体" w:cs="宋体"/>
                <w:color w:val="FF0000"/>
                <w:vertAlign w:val="baseline"/>
                <w:lang w:val="en-US" w:eastAsia="zh-CN"/>
              </w:rPr>
            </w:pPr>
            <w:r>
              <w:rPr>
                <w:rFonts w:hint="eastAsia" w:hAnsi="宋体" w:cs="宋体"/>
                <w:color w:val="FF0000"/>
                <w:vertAlign w:val="baseline"/>
                <w:lang w:val="en-US" w:eastAsia="zh-CN"/>
              </w:rPr>
              <w:t>条直有芽，色泽金黄</w:t>
            </w:r>
          </w:p>
        </w:tc>
        <w:tc>
          <w:tcPr>
            <w:tcW w:w="1320" w:type="dxa"/>
            <w:shd w:val="clear" w:color="auto" w:fill="auto"/>
            <w:vAlign w:val="center"/>
          </w:tcPr>
          <w:p w14:paraId="7A618866">
            <w:pPr>
              <w:pStyle w:val="56"/>
              <w:ind w:left="0" w:leftChars="0" w:firstLine="0" w:firstLineChars="0"/>
              <w:jc w:val="center"/>
              <w:rPr>
                <w:rFonts w:hint="eastAsia" w:ascii="宋体" w:hAnsi="宋体" w:eastAsia="宋体" w:cs="宋体"/>
                <w:color w:val="FF0000"/>
                <w:sz w:val="21"/>
                <w:szCs w:val="21"/>
                <w:vertAlign w:val="baseline"/>
                <w:lang w:val="en-US" w:eastAsia="zh-CN" w:bidi="ar-SA"/>
              </w:rPr>
            </w:pPr>
            <w:r>
              <w:rPr>
                <w:rFonts w:hint="eastAsia" w:hAnsi="宋体" w:cs="宋体"/>
                <w:color w:val="FF0000"/>
                <w:sz w:val="21"/>
                <w:szCs w:val="21"/>
                <w:vertAlign w:val="baseline"/>
                <w:lang w:val="en-US" w:eastAsia="zh-CN" w:bidi="ar-SA"/>
              </w:rPr>
              <w:t>浅黄明亮</w:t>
            </w:r>
          </w:p>
        </w:tc>
        <w:tc>
          <w:tcPr>
            <w:tcW w:w="1410" w:type="dxa"/>
            <w:vAlign w:val="center"/>
          </w:tcPr>
          <w:p w14:paraId="6FB4D521">
            <w:pPr>
              <w:pStyle w:val="56"/>
              <w:ind w:left="0" w:leftChars="0" w:firstLine="0" w:firstLineChars="0"/>
              <w:jc w:val="center"/>
              <w:rPr>
                <w:rFonts w:hint="default" w:ascii="宋体" w:hAnsi="宋体" w:eastAsia="宋体" w:cs="宋体"/>
                <w:color w:val="FF0000"/>
                <w:vertAlign w:val="baseline"/>
                <w:lang w:val="en-US" w:eastAsia="zh-CN"/>
              </w:rPr>
            </w:pPr>
            <w:r>
              <w:rPr>
                <w:rFonts w:hint="eastAsia" w:hAnsi="宋体" w:cs="宋体"/>
                <w:color w:val="FF0000"/>
                <w:vertAlign w:val="baseline"/>
                <w:lang w:val="en-US" w:eastAsia="zh-CN"/>
              </w:rPr>
              <w:t>清香持久</w:t>
            </w:r>
          </w:p>
        </w:tc>
        <w:tc>
          <w:tcPr>
            <w:tcW w:w="1170" w:type="dxa"/>
            <w:vAlign w:val="center"/>
          </w:tcPr>
          <w:p w14:paraId="179AAAC4">
            <w:pPr>
              <w:pStyle w:val="56"/>
              <w:ind w:left="0" w:leftChars="0" w:firstLine="0" w:firstLineChars="0"/>
              <w:jc w:val="center"/>
              <w:rPr>
                <w:rFonts w:hint="eastAsia" w:ascii="宋体" w:hAnsi="宋体" w:eastAsia="宋体" w:cs="宋体"/>
                <w:color w:val="FF0000"/>
                <w:vertAlign w:val="baseline"/>
                <w:lang w:val="en-US" w:eastAsia="zh-CN"/>
              </w:rPr>
            </w:pPr>
            <w:r>
              <w:rPr>
                <w:rFonts w:hint="eastAsia" w:hAnsi="宋体" w:cs="宋体"/>
                <w:color w:val="FF0000"/>
                <w:vertAlign w:val="baseline"/>
                <w:lang w:val="en-US" w:eastAsia="zh-CN"/>
              </w:rPr>
              <w:t>鲜爽</w:t>
            </w:r>
          </w:p>
        </w:tc>
        <w:tc>
          <w:tcPr>
            <w:tcW w:w="2151" w:type="dxa"/>
            <w:vAlign w:val="center"/>
          </w:tcPr>
          <w:p w14:paraId="55D43608">
            <w:pPr>
              <w:pStyle w:val="56"/>
              <w:ind w:left="0" w:leftChars="0" w:firstLine="0" w:firstLineChars="0"/>
              <w:jc w:val="center"/>
              <w:rPr>
                <w:rFonts w:hint="eastAsia" w:ascii="宋体" w:hAnsi="宋体" w:eastAsia="宋体" w:cs="宋体"/>
                <w:color w:val="FF0000"/>
                <w:vertAlign w:val="baseline"/>
                <w:lang w:val="en-US" w:eastAsia="zh-CN"/>
              </w:rPr>
            </w:pPr>
            <w:r>
              <w:rPr>
                <w:rFonts w:hint="eastAsia" w:hAnsi="宋体" w:cs="宋体"/>
                <w:color w:val="FF0000"/>
                <w:vertAlign w:val="baseline"/>
                <w:lang w:val="en-US" w:eastAsia="zh-CN"/>
              </w:rPr>
              <w:t>芽叶柔嫩，色泽黄亮</w:t>
            </w:r>
          </w:p>
        </w:tc>
      </w:tr>
    </w:tbl>
    <w:p w14:paraId="203567B5">
      <w:pPr>
        <w:pStyle w:val="56"/>
        <w:ind w:left="0" w:leftChars="0" w:firstLine="0" w:firstLineChars="0"/>
        <w:rPr>
          <w:rFonts w:hint="eastAsia"/>
          <w:lang w:val="en-US" w:eastAsia="zh-CN"/>
        </w:rPr>
      </w:pPr>
    </w:p>
    <w:p w14:paraId="44BBB67A">
      <w:pPr>
        <w:pStyle w:val="56"/>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textAlignment w:val="auto"/>
        <w:rPr>
          <w:rFonts w:hint="eastAsia" w:ascii="黑体" w:hAnsi="黑体" w:eastAsia="黑体" w:cs="黑体"/>
          <w:lang w:val="en-US" w:eastAsia="zh-CN"/>
        </w:rPr>
      </w:pPr>
      <w:r>
        <w:rPr>
          <w:rFonts w:hint="eastAsia" w:ascii="黑体" w:hAnsi="黑体" w:eastAsia="黑体" w:cs="黑体"/>
          <w:lang w:val="en-US" w:eastAsia="zh-CN"/>
        </w:rPr>
        <w:t>4.5  理化指标</w:t>
      </w:r>
    </w:p>
    <w:p w14:paraId="294C1F1F">
      <w:pPr>
        <w:pStyle w:val="56"/>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200"/>
        <w:textAlignment w:val="auto"/>
        <w:rPr>
          <w:rFonts w:hint="eastAsia"/>
          <w:lang w:val="en-US" w:eastAsia="zh-CN"/>
        </w:rPr>
      </w:pPr>
      <w:r>
        <w:rPr>
          <w:rFonts w:hint="eastAsia"/>
          <w:lang w:val="en-US" w:eastAsia="zh-CN"/>
        </w:rPr>
        <w:t>应符合表2 的规定。</w:t>
      </w:r>
      <w:bookmarkStart w:id="49" w:name="_GoBack"/>
      <w:bookmarkEnd w:id="49"/>
    </w:p>
    <w:p w14:paraId="069DB3A7">
      <w:pPr>
        <w:pStyle w:val="56"/>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jc w:val="center"/>
        <w:textAlignment w:val="auto"/>
        <w:rPr>
          <w:rFonts w:hint="eastAsia" w:ascii="黑体" w:hAnsi="黑体" w:eastAsia="黑体" w:cs="黑体"/>
          <w:lang w:val="en-US" w:eastAsia="zh-CN"/>
        </w:rPr>
      </w:pPr>
      <w:r>
        <w:rPr>
          <w:rFonts w:hint="eastAsia" w:ascii="黑体" w:hAnsi="黑体" w:eastAsia="黑体" w:cs="黑体"/>
          <w:lang w:val="en-US" w:eastAsia="zh-CN"/>
        </w:rPr>
        <w:t>表2  理化指标</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5"/>
        <w:gridCol w:w="4785"/>
      </w:tblGrid>
      <w:tr w14:paraId="2F3BC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04620791">
            <w:pPr>
              <w:pStyle w:val="56"/>
              <w:jc w:val="center"/>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项  目</w:t>
            </w:r>
          </w:p>
        </w:tc>
        <w:tc>
          <w:tcPr>
            <w:tcW w:w="4785" w:type="dxa"/>
          </w:tcPr>
          <w:p w14:paraId="7F5ACACB">
            <w:pPr>
              <w:pStyle w:val="56"/>
              <w:jc w:val="center"/>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指  标</w:t>
            </w:r>
          </w:p>
        </w:tc>
      </w:tr>
      <w:tr w14:paraId="1044E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6530D6EC">
            <w:pPr>
              <w:pStyle w:val="56"/>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水分（%）                         ≤</w:t>
            </w:r>
          </w:p>
        </w:tc>
        <w:tc>
          <w:tcPr>
            <w:tcW w:w="4785" w:type="dxa"/>
          </w:tcPr>
          <w:p w14:paraId="6A374FC6">
            <w:pPr>
              <w:pStyle w:val="56"/>
              <w:jc w:val="center"/>
              <w:rPr>
                <w:rFonts w:hint="default" w:ascii="宋体" w:hAnsi="宋体" w:eastAsia="宋体" w:cs="宋体"/>
                <w:color w:val="FF0000"/>
                <w:vertAlign w:val="baseline"/>
                <w:lang w:val="en-US" w:eastAsia="zh-CN"/>
              </w:rPr>
            </w:pPr>
            <w:r>
              <w:rPr>
                <w:rFonts w:hint="eastAsia" w:hAnsi="宋体" w:cs="宋体"/>
                <w:color w:val="FF0000"/>
                <w:vertAlign w:val="baseline"/>
                <w:lang w:val="en-US" w:eastAsia="zh-CN"/>
              </w:rPr>
              <w:t>7.0</w:t>
            </w:r>
          </w:p>
        </w:tc>
      </w:tr>
      <w:tr w14:paraId="1F8A1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4785" w:type="dxa"/>
          </w:tcPr>
          <w:p w14:paraId="7F8C27FC">
            <w:pPr>
              <w:pStyle w:val="56"/>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碎末与碎茶（%）                   ≤</w:t>
            </w:r>
          </w:p>
        </w:tc>
        <w:tc>
          <w:tcPr>
            <w:tcW w:w="4785" w:type="dxa"/>
          </w:tcPr>
          <w:p w14:paraId="1A7E5727">
            <w:pPr>
              <w:pStyle w:val="56"/>
              <w:jc w:val="center"/>
              <w:rPr>
                <w:rFonts w:hint="default" w:ascii="宋体" w:hAnsi="宋体" w:eastAsia="宋体" w:cs="宋体"/>
                <w:color w:val="FF0000"/>
                <w:vertAlign w:val="baseline"/>
                <w:lang w:val="en-US" w:eastAsia="zh-CN"/>
              </w:rPr>
            </w:pPr>
            <w:r>
              <w:rPr>
                <w:rFonts w:hint="eastAsia" w:hAnsi="宋体" w:cs="宋体"/>
                <w:color w:val="FF0000"/>
                <w:vertAlign w:val="baseline"/>
                <w:lang w:val="en-US" w:eastAsia="zh-CN"/>
              </w:rPr>
              <w:t>1.2</w:t>
            </w:r>
          </w:p>
        </w:tc>
      </w:tr>
      <w:tr w14:paraId="3243D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474817AA">
            <w:pPr>
              <w:pStyle w:val="56"/>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总灰分（%）                       ≤</w:t>
            </w:r>
          </w:p>
        </w:tc>
        <w:tc>
          <w:tcPr>
            <w:tcW w:w="4785" w:type="dxa"/>
          </w:tcPr>
          <w:p w14:paraId="3C3A3CE1">
            <w:pPr>
              <w:pStyle w:val="56"/>
              <w:jc w:val="center"/>
              <w:rPr>
                <w:rFonts w:hint="default" w:ascii="宋体" w:hAnsi="宋体" w:eastAsia="宋体" w:cs="宋体"/>
                <w:color w:val="FF0000"/>
                <w:vertAlign w:val="baseline"/>
                <w:lang w:val="en-US" w:eastAsia="zh-CN"/>
              </w:rPr>
            </w:pPr>
            <w:r>
              <w:rPr>
                <w:rFonts w:hint="eastAsia" w:hAnsi="宋体" w:cs="宋体"/>
                <w:color w:val="FF0000"/>
                <w:vertAlign w:val="baseline"/>
                <w:lang w:val="en-US" w:eastAsia="zh-CN"/>
              </w:rPr>
              <w:t>6.5</w:t>
            </w:r>
          </w:p>
        </w:tc>
      </w:tr>
      <w:tr w14:paraId="63DBF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5D858533">
            <w:pPr>
              <w:pStyle w:val="56"/>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粗纤维（%）                       ≤</w:t>
            </w:r>
          </w:p>
        </w:tc>
        <w:tc>
          <w:tcPr>
            <w:tcW w:w="4785" w:type="dxa"/>
          </w:tcPr>
          <w:p w14:paraId="241C233E">
            <w:pPr>
              <w:pStyle w:val="56"/>
              <w:jc w:val="center"/>
              <w:rPr>
                <w:rFonts w:hint="default" w:ascii="宋体" w:hAnsi="宋体" w:eastAsia="宋体" w:cs="宋体"/>
                <w:color w:val="FF0000"/>
                <w:vertAlign w:val="baseline"/>
                <w:lang w:val="en-US" w:eastAsia="zh-CN"/>
              </w:rPr>
            </w:pPr>
            <w:r>
              <w:rPr>
                <w:rFonts w:hint="eastAsia" w:hAnsi="宋体" w:cs="宋体"/>
                <w:color w:val="FF0000"/>
                <w:vertAlign w:val="baseline"/>
                <w:lang w:val="en-US" w:eastAsia="zh-CN"/>
              </w:rPr>
              <w:t>10.5</w:t>
            </w:r>
          </w:p>
        </w:tc>
      </w:tr>
      <w:tr w14:paraId="76094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0D6090A1">
            <w:pPr>
              <w:pStyle w:val="56"/>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 xml:space="preserve">水浸出物（%）                    </w:t>
            </w:r>
            <w:r>
              <w:rPr>
                <w:rFonts w:hint="eastAsia" w:hAnsi="宋体" w:cs="宋体"/>
                <w:color w:val="auto"/>
                <w:vertAlign w:val="baseline"/>
                <w:lang w:val="en-US" w:eastAsia="zh-CN"/>
              </w:rPr>
              <w:t xml:space="preserve"> </w:t>
            </w:r>
            <w:r>
              <w:rPr>
                <w:rFonts w:hint="eastAsia" w:ascii="宋体" w:hAnsi="宋体" w:eastAsia="宋体" w:cs="宋体"/>
                <w:color w:val="auto"/>
                <w:vertAlign w:val="baseline"/>
                <w:lang w:val="en-US" w:eastAsia="zh-CN"/>
              </w:rPr>
              <w:t>≥</w:t>
            </w:r>
          </w:p>
        </w:tc>
        <w:tc>
          <w:tcPr>
            <w:tcW w:w="4785" w:type="dxa"/>
          </w:tcPr>
          <w:p w14:paraId="5A1B490D">
            <w:pPr>
              <w:pStyle w:val="56"/>
              <w:jc w:val="center"/>
              <w:rPr>
                <w:rFonts w:hint="default" w:ascii="宋体" w:hAnsi="宋体" w:eastAsia="宋体" w:cs="宋体"/>
                <w:color w:val="FF0000"/>
                <w:vertAlign w:val="baseline"/>
                <w:lang w:val="en-US" w:eastAsia="zh-CN"/>
              </w:rPr>
            </w:pPr>
            <w:r>
              <w:rPr>
                <w:rFonts w:hint="eastAsia" w:hAnsi="宋体" w:cs="宋体"/>
                <w:color w:val="FF0000"/>
                <w:vertAlign w:val="baseline"/>
                <w:lang w:val="en-US" w:eastAsia="zh-CN"/>
              </w:rPr>
              <w:t>32.0</w:t>
            </w:r>
          </w:p>
        </w:tc>
      </w:tr>
      <w:tr w14:paraId="44606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22C180B9">
            <w:pPr>
              <w:pStyle w:val="56"/>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游离氨基酸总量（以谷氨酸计）（%）</w:t>
            </w:r>
            <w:r>
              <w:rPr>
                <w:rFonts w:hint="eastAsia" w:hAnsi="宋体" w:cs="宋体"/>
                <w:color w:val="auto"/>
                <w:vertAlign w:val="baseline"/>
                <w:lang w:val="en-US" w:eastAsia="zh-CN"/>
              </w:rPr>
              <w:t xml:space="preserve"> </w:t>
            </w:r>
            <w:r>
              <w:rPr>
                <w:rFonts w:hint="eastAsia" w:ascii="宋体" w:hAnsi="宋体" w:eastAsia="宋体" w:cs="宋体"/>
                <w:color w:val="auto"/>
                <w:vertAlign w:val="baseline"/>
                <w:lang w:val="en-US" w:eastAsia="zh-CN"/>
              </w:rPr>
              <w:t>≥</w:t>
            </w:r>
          </w:p>
        </w:tc>
        <w:tc>
          <w:tcPr>
            <w:tcW w:w="4785" w:type="dxa"/>
          </w:tcPr>
          <w:p w14:paraId="7025EA42">
            <w:pPr>
              <w:pStyle w:val="56"/>
              <w:jc w:val="center"/>
              <w:rPr>
                <w:rFonts w:hint="default" w:ascii="宋体" w:hAnsi="宋体" w:eastAsia="宋体" w:cs="宋体"/>
                <w:color w:val="FF0000"/>
                <w:vertAlign w:val="baseline"/>
                <w:lang w:val="en-US" w:eastAsia="zh-CN"/>
              </w:rPr>
            </w:pPr>
            <w:r>
              <w:rPr>
                <w:rFonts w:hint="eastAsia" w:hAnsi="宋体" w:cs="宋体"/>
                <w:color w:val="FF0000"/>
                <w:vertAlign w:val="baseline"/>
                <w:lang w:val="en-US" w:eastAsia="zh-CN"/>
              </w:rPr>
              <w:t>9.0</w:t>
            </w:r>
          </w:p>
        </w:tc>
      </w:tr>
    </w:tbl>
    <w:p w14:paraId="6691DC5D">
      <w:pPr>
        <w:pStyle w:val="56"/>
        <w:ind w:left="0" w:leftChars="0" w:firstLine="0" w:firstLineChars="0"/>
        <w:rPr>
          <w:rFonts w:hint="eastAsia"/>
          <w:lang w:val="en-US" w:eastAsia="zh-CN"/>
        </w:rPr>
      </w:pPr>
    </w:p>
    <w:p w14:paraId="3D7F0DBE">
      <w:pPr>
        <w:pStyle w:val="56"/>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textAlignment w:val="auto"/>
        <w:rPr>
          <w:rFonts w:hint="eastAsia"/>
          <w:lang w:val="en-US" w:eastAsia="zh-CN"/>
        </w:rPr>
      </w:pPr>
      <w:r>
        <w:rPr>
          <w:rFonts w:hint="eastAsia" w:ascii="黑体" w:hAnsi="黑体" w:eastAsia="黑体" w:cs="黑体"/>
          <w:lang w:val="en-US" w:eastAsia="zh-CN"/>
        </w:rPr>
        <w:t>4.6  安全指标</w:t>
      </w:r>
    </w:p>
    <w:p w14:paraId="21D55A33">
      <w:pPr>
        <w:pStyle w:val="56"/>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200"/>
        <w:textAlignment w:val="auto"/>
        <w:rPr>
          <w:rFonts w:hint="eastAsia" w:ascii="黑体" w:hAnsi="黑体" w:eastAsia="黑体" w:cs="黑体"/>
          <w:lang w:val="en-US" w:eastAsia="zh-CN"/>
        </w:rPr>
      </w:pPr>
      <w:r>
        <w:rPr>
          <w:rFonts w:hint="eastAsia"/>
        </w:rPr>
        <w:t>应符合</w:t>
      </w:r>
      <w:r>
        <w:t>GB 276</w:t>
      </w:r>
      <w:r>
        <w:rPr>
          <w:rFonts w:hint="eastAsia"/>
        </w:rPr>
        <w:t>2、GB 2763 的规定。</w:t>
      </w:r>
    </w:p>
    <w:p w14:paraId="45008472">
      <w:pPr>
        <w:pStyle w:val="56"/>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textAlignment w:val="auto"/>
        <w:rPr>
          <w:rFonts w:hint="eastAsia"/>
          <w:lang w:val="en-US" w:eastAsia="zh-CN"/>
        </w:rPr>
      </w:pPr>
      <w:r>
        <w:rPr>
          <w:rFonts w:hint="eastAsia" w:ascii="黑体" w:hAnsi="黑体" w:eastAsia="黑体" w:cs="黑体"/>
          <w:lang w:val="en-US" w:eastAsia="zh-CN"/>
        </w:rPr>
        <w:t>4.7  净含量</w:t>
      </w:r>
    </w:p>
    <w:p w14:paraId="6B5ABF0F">
      <w:pPr>
        <w:pStyle w:val="231"/>
        <w:keepNext w:val="0"/>
        <w:keepLines w:val="0"/>
        <w:pageBreakBefore w:val="0"/>
        <w:widowControl/>
        <w:kinsoku/>
        <w:wordWrap/>
        <w:overflowPunct/>
        <w:topLinePunct w:val="0"/>
        <w:autoSpaceDE w:val="0"/>
        <w:autoSpaceDN w:val="0"/>
        <w:bidi w:val="0"/>
        <w:adjustRightInd/>
        <w:snapToGrid/>
        <w:spacing w:line="240" w:lineRule="auto"/>
        <w:ind w:left="0" w:leftChars="0" w:firstLine="420" w:firstLineChars="200"/>
        <w:textAlignment w:val="auto"/>
        <w:rPr>
          <w:rFonts w:hint="default"/>
          <w:lang w:val="en-US" w:eastAsia="zh-CN"/>
        </w:rPr>
      </w:pPr>
      <w:r>
        <w:rPr>
          <w:rFonts w:hint="eastAsia"/>
          <w:lang w:val="en-US" w:eastAsia="zh-CN"/>
        </w:rPr>
        <w:t>应符合《定量包装商品计量监督管理办法》的规定。</w:t>
      </w:r>
    </w:p>
    <w:p w14:paraId="6870EC9C">
      <w:pPr>
        <w:pStyle w:val="104"/>
        <w:keepNext w:val="0"/>
        <w:keepLines w:val="0"/>
        <w:pageBreakBefore w:val="0"/>
        <w:widowControl/>
        <w:kinsoku/>
        <w:wordWrap/>
        <w:overflowPunct/>
        <w:topLinePunct w:val="0"/>
        <w:bidi w:val="0"/>
        <w:adjustRightInd/>
        <w:snapToGrid/>
        <w:spacing w:before="240" w:after="240" w:line="240" w:lineRule="auto"/>
        <w:textAlignment w:val="auto"/>
        <w:rPr>
          <w:rFonts w:hint="eastAsia"/>
        </w:rPr>
      </w:pPr>
      <w:r>
        <w:rPr>
          <w:rFonts w:hint="eastAsia"/>
          <w:lang w:eastAsia="zh-CN"/>
        </w:rPr>
        <w:t>检验方法</w:t>
      </w:r>
    </w:p>
    <w:p w14:paraId="3A370AE8">
      <w:pPr>
        <w:pStyle w:val="105"/>
        <w:keepNext w:val="0"/>
        <w:keepLines w:val="0"/>
        <w:pageBreakBefore w:val="0"/>
        <w:widowControl/>
        <w:kinsoku/>
        <w:wordWrap/>
        <w:overflowPunct/>
        <w:topLinePunct w:val="0"/>
        <w:bidi w:val="0"/>
        <w:adjustRightInd/>
        <w:snapToGrid/>
        <w:spacing w:before="120" w:after="120" w:line="360" w:lineRule="auto"/>
        <w:textAlignment w:val="auto"/>
        <w:rPr>
          <w:rFonts w:hint="eastAsia"/>
        </w:rPr>
      </w:pPr>
      <w:r>
        <w:rPr>
          <w:rFonts w:hint="eastAsia"/>
          <w:lang w:eastAsia="zh-CN"/>
        </w:rPr>
        <w:t>感官指标</w:t>
      </w:r>
    </w:p>
    <w:p w14:paraId="35BC2BB8">
      <w:pPr>
        <w:pStyle w:val="56"/>
        <w:keepNext w:val="0"/>
        <w:keepLines w:val="0"/>
        <w:pageBreakBefore w:val="0"/>
        <w:widowControl/>
        <w:kinsoku/>
        <w:wordWrap/>
        <w:overflowPunct/>
        <w:topLinePunct w:val="0"/>
        <w:bidi w:val="0"/>
        <w:adjustRightInd/>
        <w:snapToGrid/>
        <w:spacing w:line="360" w:lineRule="auto"/>
        <w:textAlignment w:val="auto"/>
        <w:rPr>
          <w:rFonts w:hint="eastAsia"/>
          <w:lang w:val="en-US" w:eastAsia="zh-CN"/>
        </w:rPr>
      </w:pPr>
      <w:r>
        <w:rPr>
          <w:rFonts w:hint="eastAsia"/>
          <w:lang w:eastAsia="zh-CN"/>
        </w:rPr>
        <w:t>按</w:t>
      </w:r>
      <w:r>
        <w:rPr>
          <w:rFonts w:hint="eastAsia"/>
          <w:lang w:val="en-US" w:eastAsia="zh-CN"/>
        </w:rPr>
        <w:t>GB/T 23776 的规定执行。</w:t>
      </w:r>
    </w:p>
    <w:p w14:paraId="6FFBD8FD">
      <w:pPr>
        <w:pStyle w:val="56"/>
        <w:keepNext w:val="0"/>
        <w:keepLines w:val="0"/>
        <w:pageBreakBefore w:val="0"/>
        <w:widowControl/>
        <w:kinsoku/>
        <w:wordWrap/>
        <w:overflowPunct/>
        <w:topLinePunct w:val="0"/>
        <w:bidi w:val="0"/>
        <w:adjustRightInd/>
        <w:snapToGrid/>
        <w:spacing w:line="360" w:lineRule="auto"/>
        <w:ind w:left="0" w:leftChars="0" w:firstLine="0" w:firstLineChars="0"/>
        <w:textAlignment w:val="auto"/>
        <w:rPr>
          <w:rFonts w:hint="eastAsia"/>
          <w:lang w:val="en-US" w:eastAsia="zh-CN"/>
        </w:rPr>
      </w:pPr>
      <w:r>
        <w:rPr>
          <w:rFonts w:hint="eastAsia" w:ascii="黑体" w:hAnsi="黑体" w:eastAsia="黑体" w:cs="黑体"/>
          <w:lang w:val="en-US" w:eastAsia="zh-CN"/>
        </w:rPr>
        <w:t>5.2  理化指标</w:t>
      </w:r>
    </w:p>
    <w:p w14:paraId="418FF5AA">
      <w:pPr>
        <w:pStyle w:val="56"/>
        <w:keepNext w:val="0"/>
        <w:keepLines w:val="0"/>
        <w:pageBreakBefore w:val="0"/>
        <w:widowControl/>
        <w:kinsoku/>
        <w:wordWrap/>
        <w:overflowPunct/>
        <w:topLinePunct w:val="0"/>
        <w:bidi w:val="0"/>
        <w:adjustRightInd/>
        <w:snapToGrid/>
        <w:spacing w:line="360" w:lineRule="auto"/>
        <w:ind w:left="0" w:leftChars="0" w:firstLine="0" w:firstLineChars="0"/>
        <w:textAlignment w:val="auto"/>
        <w:rPr>
          <w:rFonts w:hint="eastAsia"/>
          <w:lang w:val="en-US" w:eastAsia="zh-CN"/>
        </w:rPr>
      </w:pPr>
      <w:r>
        <w:rPr>
          <w:rFonts w:hint="eastAsia" w:ascii="黑体" w:hAnsi="黑体" w:eastAsia="黑体" w:cs="黑体"/>
          <w:lang w:val="en-US" w:eastAsia="zh-CN"/>
        </w:rPr>
        <w:t>5.2.1  水分</w:t>
      </w:r>
    </w:p>
    <w:p w14:paraId="1564A22E">
      <w:pPr>
        <w:pStyle w:val="56"/>
        <w:keepNext w:val="0"/>
        <w:keepLines w:val="0"/>
        <w:pageBreakBefore w:val="0"/>
        <w:widowControl/>
        <w:kinsoku/>
        <w:wordWrap/>
        <w:overflowPunct/>
        <w:topLinePunct w:val="0"/>
        <w:bidi w:val="0"/>
        <w:adjustRightInd/>
        <w:snapToGrid/>
        <w:spacing w:line="360" w:lineRule="auto"/>
        <w:ind w:left="0" w:leftChars="0" w:firstLine="420" w:firstLineChars="200"/>
        <w:textAlignment w:val="auto"/>
        <w:rPr>
          <w:rFonts w:hint="eastAsia"/>
          <w:lang w:val="en-US" w:eastAsia="zh-CN"/>
        </w:rPr>
      </w:pPr>
      <w:r>
        <w:rPr>
          <w:rFonts w:hint="eastAsia"/>
          <w:lang w:val="en-US" w:eastAsia="zh-CN"/>
        </w:rPr>
        <w:t>按GB 5009.3 的规定执行。</w:t>
      </w:r>
    </w:p>
    <w:p w14:paraId="313D396A">
      <w:pPr>
        <w:pStyle w:val="56"/>
        <w:keepNext w:val="0"/>
        <w:keepLines w:val="0"/>
        <w:pageBreakBefore w:val="0"/>
        <w:widowControl/>
        <w:kinsoku/>
        <w:wordWrap/>
        <w:overflowPunct/>
        <w:topLinePunct w:val="0"/>
        <w:bidi w:val="0"/>
        <w:adjustRightInd/>
        <w:snapToGrid/>
        <w:spacing w:line="360" w:lineRule="auto"/>
        <w:ind w:left="0" w:leftChars="0" w:firstLine="0" w:firstLineChars="0"/>
        <w:textAlignment w:val="auto"/>
        <w:rPr>
          <w:rFonts w:hint="eastAsia"/>
          <w:lang w:val="en-US" w:eastAsia="zh-CN"/>
        </w:rPr>
      </w:pPr>
      <w:r>
        <w:rPr>
          <w:rFonts w:hint="eastAsia" w:ascii="黑体" w:hAnsi="黑体" w:eastAsia="黑体" w:cs="黑体"/>
          <w:lang w:val="en-US" w:eastAsia="zh-CN"/>
        </w:rPr>
        <w:t>5.2.2  碎末与碎茶</w:t>
      </w:r>
    </w:p>
    <w:p w14:paraId="416E98EE">
      <w:pPr>
        <w:pStyle w:val="56"/>
        <w:keepNext w:val="0"/>
        <w:keepLines w:val="0"/>
        <w:pageBreakBefore w:val="0"/>
        <w:widowControl/>
        <w:kinsoku/>
        <w:wordWrap/>
        <w:overflowPunct/>
        <w:topLinePunct w:val="0"/>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按</w:t>
      </w:r>
      <w:r>
        <w:rPr>
          <w:rFonts w:hint="eastAsia" w:ascii="宋体" w:hAnsi="宋体" w:eastAsia="宋体" w:cs="宋体"/>
          <w:i w:val="0"/>
          <w:iCs w:val="0"/>
          <w:caps w:val="0"/>
          <w:color w:val="333333"/>
          <w:spacing w:val="0"/>
          <w:sz w:val="21"/>
          <w:szCs w:val="21"/>
          <w:shd w:val="clear" w:fill="FFFFFF"/>
        </w:rPr>
        <w:t>GB/T 8311</w:t>
      </w:r>
      <w:r>
        <w:rPr>
          <w:rFonts w:hint="eastAsia" w:ascii="宋体" w:hAnsi="宋体" w:eastAsia="宋体" w:cs="宋体"/>
          <w:i w:val="0"/>
          <w:iCs w:val="0"/>
          <w:caps w:val="0"/>
          <w:color w:val="333333"/>
          <w:spacing w:val="0"/>
          <w:sz w:val="21"/>
          <w:szCs w:val="21"/>
          <w:shd w:val="clear" w:fill="FFFFFF"/>
          <w:lang w:val="en-US" w:eastAsia="zh-CN"/>
        </w:rPr>
        <w:t xml:space="preserve"> </w:t>
      </w:r>
      <w:r>
        <w:rPr>
          <w:rFonts w:hint="eastAsia" w:hAnsi="宋体" w:cs="宋体"/>
          <w:i w:val="0"/>
          <w:iCs w:val="0"/>
          <w:caps w:val="0"/>
          <w:color w:val="333333"/>
          <w:spacing w:val="0"/>
          <w:sz w:val="21"/>
          <w:szCs w:val="21"/>
          <w:shd w:val="clear" w:fill="FFFFFF"/>
          <w:lang w:val="en-US" w:eastAsia="zh-CN"/>
        </w:rPr>
        <w:t>的规定</w:t>
      </w:r>
      <w:r>
        <w:rPr>
          <w:rFonts w:hint="eastAsia" w:ascii="宋体" w:hAnsi="宋体" w:eastAsia="宋体" w:cs="宋体"/>
          <w:i w:val="0"/>
          <w:iCs w:val="0"/>
          <w:caps w:val="0"/>
          <w:color w:val="333333"/>
          <w:spacing w:val="0"/>
          <w:sz w:val="21"/>
          <w:szCs w:val="21"/>
          <w:shd w:val="clear" w:fill="FFFFFF"/>
          <w:lang w:val="en-US" w:eastAsia="zh-CN"/>
        </w:rPr>
        <w:t>执行。</w:t>
      </w:r>
      <w:r>
        <w:rPr>
          <w:rFonts w:hint="eastAsia" w:ascii="宋体" w:hAnsi="宋体" w:eastAsia="宋体" w:cs="宋体"/>
          <w:sz w:val="21"/>
          <w:szCs w:val="21"/>
          <w:lang w:val="en-US" w:eastAsia="zh-CN"/>
        </w:rPr>
        <w:t xml:space="preserve"> </w:t>
      </w:r>
    </w:p>
    <w:p w14:paraId="443AFBEC">
      <w:pPr>
        <w:pStyle w:val="56"/>
        <w:keepNext w:val="0"/>
        <w:keepLines w:val="0"/>
        <w:pageBreakBefore w:val="0"/>
        <w:widowControl/>
        <w:kinsoku/>
        <w:wordWrap/>
        <w:overflowPunct/>
        <w:topLinePunct w:val="0"/>
        <w:bidi w:val="0"/>
        <w:adjustRightInd/>
        <w:snapToGrid/>
        <w:spacing w:line="360" w:lineRule="auto"/>
        <w:ind w:left="0" w:leftChars="0" w:firstLine="0" w:firstLineChars="0"/>
        <w:textAlignment w:val="auto"/>
        <w:rPr>
          <w:rFonts w:hint="eastAsia" w:hAnsi="宋体" w:cs="宋体"/>
          <w:color w:val="00B050"/>
          <w:kern w:val="0"/>
          <w:sz w:val="20"/>
          <w:szCs w:val="20"/>
          <w:lang w:val="en-US" w:eastAsia="zh-CN" w:bidi="ar"/>
        </w:rPr>
      </w:pPr>
      <w:r>
        <w:rPr>
          <w:rFonts w:hint="eastAsia" w:ascii="黑体" w:hAnsi="黑体" w:eastAsia="黑体" w:cs="黑体"/>
          <w:sz w:val="21"/>
          <w:szCs w:val="21"/>
          <w:lang w:val="en-US" w:eastAsia="zh-CN"/>
        </w:rPr>
        <w:t>5.2.3  总灰分</w:t>
      </w:r>
    </w:p>
    <w:p w14:paraId="5AC0989D">
      <w:pPr>
        <w:pStyle w:val="56"/>
        <w:keepNext w:val="0"/>
        <w:keepLines w:val="0"/>
        <w:pageBreakBefore w:val="0"/>
        <w:widowControl/>
        <w:kinsoku/>
        <w:wordWrap/>
        <w:overflowPunct/>
        <w:topLinePunct w:val="0"/>
        <w:bidi w:val="0"/>
        <w:adjustRightInd/>
        <w:snapToGrid/>
        <w:spacing w:line="360" w:lineRule="auto"/>
        <w:ind w:left="0" w:leftChars="0" w:firstLine="400" w:firstLineChars="200"/>
        <w:textAlignment w:val="auto"/>
        <w:rPr>
          <w:rFonts w:hint="eastAsia" w:hAnsi="宋体" w:cs="宋体"/>
          <w:color w:val="auto"/>
          <w:kern w:val="0"/>
          <w:sz w:val="20"/>
          <w:szCs w:val="20"/>
          <w:lang w:val="en-US" w:eastAsia="zh-CN" w:bidi="ar"/>
        </w:rPr>
      </w:pPr>
      <w:r>
        <w:rPr>
          <w:rFonts w:hint="eastAsia" w:hAnsi="宋体" w:cs="宋体"/>
          <w:color w:val="auto"/>
          <w:kern w:val="0"/>
          <w:sz w:val="20"/>
          <w:szCs w:val="20"/>
          <w:lang w:val="en-US" w:eastAsia="zh-CN" w:bidi="ar"/>
        </w:rPr>
        <w:t>按</w:t>
      </w:r>
      <w:r>
        <w:rPr>
          <w:rFonts w:hint="eastAsia" w:ascii="宋体" w:hAnsi="宋体" w:eastAsia="宋体" w:cs="宋体"/>
          <w:color w:val="auto"/>
          <w:kern w:val="0"/>
          <w:sz w:val="20"/>
          <w:szCs w:val="20"/>
          <w:lang w:val="en-US" w:eastAsia="zh-CN" w:bidi="ar"/>
        </w:rPr>
        <w:t xml:space="preserve">GB 5009.4 </w:t>
      </w:r>
      <w:r>
        <w:rPr>
          <w:rFonts w:hint="eastAsia" w:hAnsi="宋体" w:cs="宋体"/>
          <w:color w:val="auto"/>
          <w:kern w:val="0"/>
          <w:sz w:val="20"/>
          <w:szCs w:val="20"/>
          <w:lang w:val="en-US" w:eastAsia="zh-CN" w:bidi="ar"/>
        </w:rPr>
        <w:t>的规定执行。</w:t>
      </w:r>
    </w:p>
    <w:p w14:paraId="43322899">
      <w:pPr>
        <w:pStyle w:val="56"/>
        <w:keepNext w:val="0"/>
        <w:keepLines w:val="0"/>
        <w:pageBreakBefore w:val="0"/>
        <w:widowControl/>
        <w:kinsoku/>
        <w:wordWrap/>
        <w:overflowPunct/>
        <w:topLinePunct w:val="0"/>
        <w:bidi w:val="0"/>
        <w:adjustRightInd/>
        <w:snapToGrid/>
        <w:spacing w:line="360" w:lineRule="auto"/>
        <w:ind w:left="0" w:leftChars="0" w:firstLine="0" w:firstLineChars="0"/>
        <w:textAlignment w:val="auto"/>
        <w:rPr>
          <w:rFonts w:hint="eastAsia" w:hAnsi="宋体" w:cs="宋体"/>
          <w:color w:val="auto"/>
          <w:kern w:val="0"/>
          <w:sz w:val="20"/>
          <w:szCs w:val="20"/>
          <w:lang w:val="en-US" w:eastAsia="zh-CN" w:bidi="ar"/>
        </w:rPr>
      </w:pPr>
      <w:r>
        <w:rPr>
          <w:rFonts w:hint="eastAsia" w:ascii="黑体" w:hAnsi="黑体" w:eastAsia="黑体" w:cs="黑体"/>
          <w:color w:val="auto"/>
          <w:kern w:val="0"/>
          <w:sz w:val="21"/>
          <w:szCs w:val="21"/>
          <w:lang w:val="en-US" w:eastAsia="zh-CN" w:bidi="ar"/>
        </w:rPr>
        <w:t>5.2.4  粗纤维</w:t>
      </w:r>
    </w:p>
    <w:p w14:paraId="3EFA4342">
      <w:pPr>
        <w:pStyle w:val="56"/>
        <w:keepNext w:val="0"/>
        <w:keepLines w:val="0"/>
        <w:pageBreakBefore w:val="0"/>
        <w:widowControl/>
        <w:kinsoku/>
        <w:wordWrap/>
        <w:overflowPunct/>
        <w:topLinePunct w:val="0"/>
        <w:bidi w:val="0"/>
        <w:adjustRightInd/>
        <w:snapToGrid/>
        <w:spacing w:line="360" w:lineRule="auto"/>
        <w:ind w:left="0" w:leftChars="0" w:firstLine="400" w:firstLineChars="0"/>
        <w:textAlignment w:val="auto"/>
        <w:rPr>
          <w:rFonts w:hint="default" w:ascii="宋体" w:hAnsi="宋体" w:eastAsia="宋体" w:cs="宋体"/>
          <w:i w:val="0"/>
          <w:iCs w:val="0"/>
          <w:caps w:val="0"/>
          <w:color w:val="333333"/>
          <w:spacing w:val="0"/>
          <w:sz w:val="21"/>
          <w:szCs w:val="21"/>
          <w:shd w:val="clear" w:fill="FFFFFF"/>
          <w:lang w:val="en-US" w:eastAsia="zh-CN"/>
        </w:rPr>
      </w:pPr>
      <w:r>
        <w:rPr>
          <w:rFonts w:hint="eastAsia" w:hAnsi="宋体" w:cs="宋体"/>
          <w:color w:val="auto"/>
          <w:kern w:val="0"/>
          <w:sz w:val="20"/>
          <w:szCs w:val="20"/>
          <w:lang w:val="en-US" w:eastAsia="zh-CN" w:bidi="ar"/>
        </w:rPr>
        <w:t>按</w:t>
      </w:r>
      <w:r>
        <w:rPr>
          <w:rFonts w:hint="eastAsia" w:ascii="宋体" w:hAnsi="宋体" w:eastAsia="宋体" w:cs="宋体"/>
          <w:i w:val="0"/>
          <w:iCs w:val="0"/>
          <w:caps w:val="0"/>
          <w:color w:val="333333"/>
          <w:spacing w:val="0"/>
          <w:sz w:val="21"/>
          <w:szCs w:val="21"/>
          <w:shd w:val="clear" w:fill="FFFFFF"/>
        </w:rPr>
        <w:t>GB/T 831</w:t>
      </w:r>
      <w:r>
        <w:rPr>
          <w:rFonts w:hint="eastAsia" w:hAnsi="宋体" w:cs="宋体"/>
          <w:i w:val="0"/>
          <w:iCs w:val="0"/>
          <w:caps w:val="0"/>
          <w:color w:val="333333"/>
          <w:spacing w:val="0"/>
          <w:sz w:val="21"/>
          <w:szCs w:val="21"/>
          <w:shd w:val="clear" w:fill="FFFFFF"/>
          <w:lang w:val="en-US" w:eastAsia="zh-CN"/>
        </w:rPr>
        <w:t>0</w:t>
      </w:r>
      <w:r>
        <w:rPr>
          <w:rFonts w:hint="eastAsia" w:ascii="宋体" w:hAnsi="宋体" w:eastAsia="宋体" w:cs="宋体"/>
          <w:i w:val="0"/>
          <w:iCs w:val="0"/>
          <w:caps w:val="0"/>
          <w:color w:val="333333"/>
          <w:spacing w:val="0"/>
          <w:sz w:val="21"/>
          <w:szCs w:val="21"/>
          <w:shd w:val="clear" w:fill="FFFFFF"/>
          <w:lang w:val="en-US" w:eastAsia="zh-CN"/>
        </w:rPr>
        <w:t xml:space="preserve"> </w:t>
      </w:r>
      <w:r>
        <w:rPr>
          <w:rFonts w:hint="eastAsia" w:hAnsi="宋体" w:cs="宋体"/>
          <w:i w:val="0"/>
          <w:iCs w:val="0"/>
          <w:caps w:val="0"/>
          <w:color w:val="333333"/>
          <w:spacing w:val="0"/>
          <w:sz w:val="21"/>
          <w:szCs w:val="21"/>
          <w:shd w:val="clear" w:fill="FFFFFF"/>
          <w:lang w:val="en-US" w:eastAsia="zh-CN"/>
        </w:rPr>
        <w:t>的规定</w:t>
      </w:r>
      <w:r>
        <w:rPr>
          <w:rFonts w:hint="eastAsia" w:ascii="宋体" w:hAnsi="宋体" w:eastAsia="宋体" w:cs="宋体"/>
          <w:i w:val="0"/>
          <w:iCs w:val="0"/>
          <w:caps w:val="0"/>
          <w:color w:val="333333"/>
          <w:spacing w:val="0"/>
          <w:sz w:val="21"/>
          <w:szCs w:val="21"/>
          <w:shd w:val="clear" w:fill="FFFFFF"/>
          <w:lang w:val="en-US" w:eastAsia="zh-CN"/>
        </w:rPr>
        <w:t>执行。</w:t>
      </w:r>
    </w:p>
    <w:p w14:paraId="1F501D53">
      <w:pPr>
        <w:pStyle w:val="56"/>
        <w:keepNext w:val="0"/>
        <w:keepLines w:val="0"/>
        <w:pageBreakBefore w:val="0"/>
        <w:widowControl/>
        <w:kinsoku/>
        <w:wordWrap/>
        <w:overflowPunct/>
        <w:topLinePunct w:val="0"/>
        <w:bidi w:val="0"/>
        <w:adjustRightInd/>
        <w:snapToGrid/>
        <w:spacing w:line="360" w:lineRule="auto"/>
        <w:ind w:left="0" w:leftChars="0" w:firstLine="0" w:firstLineChars="0"/>
        <w:textAlignment w:val="auto"/>
        <w:rPr>
          <w:rFonts w:hint="eastAsia" w:hAnsi="宋体" w:cs="宋体"/>
          <w:i w:val="0"/>
          <w:iCs w:val="0"/>
          <w:caps w:val="0"/>
          <w:color w:val="333333"/>
          <w:spacing w:val="0"/>
          <w:sz w:val="21"/>
          <w:szCs w:val="21"/>
          <w:shd w:val="clear" w:fill="FFFFFF"/>
          <w:lang w:val="en-US" w:eastAsia="zh-CN"/>
        </w:rPr>
      </w:pPr>
      <w:r>
        <w:rPr>
          <w:rFonts w:hint="eastAsia" w:ascii="黑体" w:hAnsi="黑体" w:eastAsia="黑体" w:cs="黑体"/>
          <w:i w:val="0"/>
          <w:iCs w:val="0"/>
          <w:caps w:val="0"/>
          <w:color w:val="333333"/>
          <w:spacing w:val="0"/>
          <w:sz w:val="21"/>
          <w:szCs w:val="21"/>
          <w:shd w:val="clear" w:fill="FFFFFF"/>
          <w:lang w:val="en-US" w:eastAsia="zh-CN"/>
        </w:rPr>
        <w:t>5.2.5  水浸出物</w:t>
      </w:r>
    </w:p>
    <w:p w14:paraId="2301A23F">
      <w:pPr>
        <w:pStyle w:val="56"/>
        <w:keepNext w:val="0"/>
        <w:keepLines w:val="0"/>
        <w:pageBreakBefore w:val="0"/>
        <w:widowControl/>
        <w:kinsoku/>
        <w:wordWrap/>
        <w:overflowPunct/>
        <w:topLinePunct w:val="0"/>
        <w:bidi w:val="0"/>
        <w:adjustRightInd/>
        <w:snapToGrid/>
        <w:spacing w:line="360" w:lineRule="auto"/>
        <w:ind w:left="0" w:leftChars="0" w:firstLine="420" w:firstLineChars="200"/>
        <w:textAlignment w:val="auto"/>
        <w:rPr>
          <w:rFonts w:hint="eastAsia" w:hAnsi="宋体" w:cs="宋体"/>
          <w:i w:val="0"/>
          <w:iCs w:val="0"/>
          <w:caps w:val="0"/>
          <w:color w:val="333333"/>
          <w:spacing w:val="0"/>
          <w:sz w:val="21"/>
          <w:szCs w:val="21"/>
          <w:shd w:val="clear" w:fill="FFFFFF"/>
          <w:lang w:val="en-US" w:eastAsia="zh-CN"/>
        </w:rPr>
      </w:pPr>
      <w:r>
        <w:rPr>
          <w:rFonts w:hint="eastAsia" w:hAnsi="宋体" w:cs="宋体"/>
          <w:i w:val="0"/>
          <w:iCs w:val="0"/>
          <w:caps w:val="0"/>
          <w:color w:val="333333"/>
          <w:spacing w:val="0"/>
          <w:sz w:val="21"/>
          <w:szCs w:val="21"/>
          <w:shd w:val="clear" w:fill="FFFFFF"/>
          <w:lang w:val="en-US" w:eastAsia="zh-CN"/>
        </w:rPr>
        <w:t>按GB/T 8305 的规定执行。</w:t>
      </w:r>
    </w:p>
    <w:p w14:paraId="513872F5">
      <w:pPr>
        <w:pStyle w:val="56"/>
        <w:keepNext w:val="0"/>
        <w:keepLines w:val="0"/>
        <w:pageBreakBefore w:val="0"/>
        <w:widowControl/>
        <w:kinsoku/>
        <w:wordWrap/>
        <w:overflowPunct/>
        <w:topLinePunct w:val="0"/>
        <w:bidi w:val="0"/>
        <w:adjustRightInd/>
        <w:snapToGrid/>
        <w:spacing w:line="360" w:lineRule="auto"/>
        <w:ind w:left="0" w:leftChars="0" w:firstLine="0" w:firstLineChars="0"/>
        <w:textAlignment w:val="auto"/>
        <w:rPr>
          <w:rFonts w:hint="eastAsia" w:ascii="宋体" w:hAnsi="宋体" w:eastAsia="宋体" w:cs="宋体"/>
          <w:color w:val="auto"/>
          <w:vertAlign w:val="baseline"/>
          <w:lang w:val="en-US" w:eastAsia="zh-CN"/>
        </w:rPr>
      </w:pPr>
      <w:r>
        <w:rPr>
          <w:rFonts w:hint="eastAsia" w:ascii="黑体" w:hAnsi="黑体" w:eastAsia="黑体" w:cs="黑体"/>
          <w:i w:val="0"/>
          <w:iCs w:val="0"/>
          <w:caps w:val="0"/>
          <w:color w:val="333333"/>
          <w:spacing w:val="0"/>
          <w:sz w:val="21"/>
          <w:szCs w:val="21"/>
          <w:shd w:val="clear" w:fill="FFFFFF"/>
          <w:lang w:val="en-US" w:eastAsia="zh-CN"/>
        </w:rPr>
        <w:t xml:space="preserve">5.2.6  </w:t>
      </w:r>
      <w:r>
        <w:rPr>
          <w:rFonts w:hint="eastAsia" w:ascii="黑体" w:hAnsi="黑体" w:eastAsia="黑体" w:cs="黑体"/>
          <w:color w:val="auto"/>
          <w:vertAlign w:val="baseline"/>
          <w:lang w:val="en-US" w:eastAsia="zh-CN"/>
        </w:rPr>
        <w:t>游离氨基酸总量</w:t>
      </w:r>
    </w:p>
    <w:p w14:paraId="45BD6766">
      <w:pPr>
        <w:pStyle w:val="56"/>
        <w:keepNext w:val="0"/>
        <w:keepLines w:val="0"/>
        <w:pageBreakBefore w:val="0"/>
        <w:widowControl/>
        <w:kinsoku/>
        <w:wordWrap/>
        <w:overflowPunct/>
        <w:topLinePunct w:val="0"/>
        <w:bidi w:val="0"/>
        <w:adjustRightInd/>
        <w:snapToGrid/>
        <w:spacing w:line="360" w:lineRule="auto"/>
        <w:ind w:left="0" w:leftChars="0" w:firstLine="420" w:firstLineChars="200"/>
        <w:textAlignment w:val="auto"/>
        <w:rPr>
          <w:rFonts w:hint="default" w:hAnsi="宋体" w:cs="宋体"/>
          <w:i w:val="0"/>
          <w:iCs w:val="0"/>
          <w:caps w:val="0"/>
          <w:color w:val="333333"/>
          <w:spacing w:val="0"/>
          <w:sz w:val="21"/>
          <w:szCs w:val="21"/>
          <w:shd w:val="clear" w:fill="FFFFFF"/>
          <w:lang w:val="en-US" w:eastAsia="zh-CN"/>
        </w:rPr>
      </w:pPr>
      <w:r>
        <w:rPr>
          <w:rFonts w:hint="eastAsia" w:hAnsi="宋体" w:cs="宋体"/>
          <w:color w:val="auto"/>
          <w:vertAlign w:val="baseline"/>
          <w:lang w:val="en-US" w:eastAsia="zh-CN"/>
        </w:rPr>
        <w:t>按</w:t>
      </w:r>
      <w:r>
        <w:rPr>
          <w:rFonts w:hint="eastAsia" w:hAnsi="宋体" w:cs="宋体"/>
          <w:i w:val="0"/>
          <w:iCs w:val="0"/>
          <w:caps w:val="0"/>
          <w:color w:val="333333"/>
          <w:spacing w:val="0"/>
          <w:sz w:val="21"/>
          <w:szCs w:val="21"/>
          <w:shd w:val="clear" w:fill="FFFFFF"/>
          <w:lang w:val="en-US" w:eastAsia="zh-CN"/>
        </w:rPr>
        <w:t>GB/T 8314 的规定执行。</w:t>
      </w:r>
    </w:p>
    <w:p w14:paraId="3BD413CA">
      <w:pPr>
        <w:pStyle w:val="56"/>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cs="宋体"/>
          <w:color w:val="auto"/>
          <w:kern w:val="0"/>
          <w:sz w:val="20"/>
          <w:szCs w:val="20"/>
          <w:lang w:val="en-US" w:eastAsia="zh-CN" w:bidi="ar"/>
        </w:rPr>
      </w:pPr>
      <w:r>
        <w:rPr>
          <w:rFonts w:hint="eastAsia" w:ascii="黑体" w:hAnsi="黑体" w:eastAsia="黑体" w:cs="黑体"/>
          <w:color w:val="auto"/>
          <w:kern w:val="0"/>
          <w:sz w:val="21"/>
          <w:szCs w:val="21"/>
          <w:lang w:val="en-US" w:eastAsia="zh-CN" w:bidi="ar"/>
        </w:rPr>
        <w:t>5.3  安全指标</w:t>
      </w:r>
    </w:p>
    <w:p w14:paraId="4C760D55">
      <w:pPr>
        <w:pStyle w:val="56"/>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200"/>
        <w:textAlignment w:val="auto"/>
        <w:rPr>
          <w:rFonts w:hint="eastAsia"/>
          <w:sz w:val="21"/>
          <w:szCs w:val="21"/>
          <w:lang w:eastAsia="zh-CN"/>
        </w:rPr>
      </w:pPr>
      <w:r>
        <w:rPr>
          <w:rFonts w:hint="eastAsia" w:hAnsi="宋体" w:cs="宋体"/>
          <w:color w:val="auto"/>
          <w:kern w:val="0"/>
          <w:sz w:val="21"/>
          <w:szCs w:val="21"/>
          <w:lang w:val="en-US" w:eastAsia="zh-CN" w:bidi="ar"/>
        </w:rPr>
        <w:t>按</w:t>
      </w:r>
      <w:r>
        <w:rPr>
          <w:sz w:val="21"/>
          <w:szCs w:val="21"/>
        </w:rPr>
        <w:t>GB 276</w:t>
      </w:r>
      <w:r>
        <w:rPr>
          <w:rFonts w:hint="eastAsia"/>
          <w:sz w:val="21"/>
          <w:szCs w:val="21"/>
        </w:rPr>
        <w:t xml:space="preserve">2、GB 2763 </w:t>
      </w:r>
      <w:r>
        <w:rPr>
          <w:rFonts w:hint="eastAsia"/>
          <w:sz w:val="21"/>
          <w:szCs w:val="21"/>
          <w:lang w:eastAsia="zh-CN"/>
        </w:rPr>
        <w:t>的</w:t>
      </w:r>
      <w:r>
        <w:rPr>
          <w:rFonts w:hint="eastAsia"/>
          <w:sz w:val="21"/>
          <w:szCs w:val="21"/>
        </w:rPr>
        <w:t>规定</w:t>
      </w:r>
      <w:r>
        <w:rPr>
          <w:rFonts w:hint="eastAsia"/>
          <w:sz w:val="21"/>
          <w:szCs w:val="21"/>
          <w:lang w:eastAsia="zh-CN"/>
        </w:rPr>
        <w:t>执行。</w:t>
      </w:r>
    </w:p>
    <w:p w14:paraId="22BE3EEE">
      <w:pPr>
        <w:pStyle w:val="56"/>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textAlignment w:val="auto"/>
        <w:rPr>
          <w:rFonts w:hint="eastAsia" w:ascii="黑体" w:hAnsi="黑体" w:eastAsia="黑体" w:cs="黑体"/>
          <w:lang w:val="en-US" w:eastAsia="zh-CN"/>
        </w:rPr>
      </w:pPr>
      <w:r>
        <w:rPr>
          <w:rFonts w:hint="eastAsia" w:ascii="黑体" w:hAnsi="黑体" w:eastAsia="黑体" w:cs="黑体"/>
          <w:sz w:val="21"/>
          <w:szCs w:val="21"/>
          <w:lang w:val="en-US" w:eastAsia="zh-CN"/>
        </w:rPr>
        <w:t>5.4  净含量</w:t>
      </w:r>
    </w:p>
    <w:p w14:paraId="0D785F56">
      <w:pPr>
        <w:pStyle w:val="56"/>
        <w:keepNext w:val="0"/>
        <w:keepLines w:val="0"/>
        <w:pageBreakBefore w:val="0"/>
        <w:widowControl/>
        <w:kinsoku/>
        <w:wordWrap/>
        <w:overflowPunct/>
        <w:topLinePunct w:val="0"/>
        <w:autoSpaceDE w:val="0"/>
        <w:autoSpaceDN w:val="0"/>
        <w:bidi w:val="0"/>
        <w:adjustRightInd/>
        <w:snapToGrid/>
        <w:spacing w:line="360" w:lineRule="auto"/>
        <w:textAlignment w:val="auto"/>
        <w:rPr>
          <w:rFonts w:hint="default"/>
          <w:sz w:val="21"/>
          <w:szCs w:val="21"/>
          <w:lang w:val="en-US" w:eastAsia="zh-CN"/>
        </w:rPr>
      </w:pPr>
      <w:r>
        <w:rPr>
          <w:rFonts w:hint="eastAsia"/>
          <w:lang w:val="en-US" w:eastAsia="zh-CN"/>
        </w:rPr>
        <w:t>按JJF 1070 的规定执行。</w:t>
      </w:r>
    </w:p>
    <w:p w14:paraId="02EFD3DD">
      <w:pPr>
        <w:pStyle w:val="104"/>
        <w:spacing w:before="240" w:after="240"/>
        <w:rPr>
          <w:rFonts w:hint="eastAsia"/>
        </w:rPr>
      </w:pPr>
      <w:r>
        <w:rPr>
          <w:rFonts w:hint="eastAsia"/>
          <w:lang w:eastAsia="zh-CN"/>
        </w:rPr>
        <w:t>检验规则</w:t>
      </w:r>
    </w:p>
    <w:p w14:paraId="70A4C348">
      <w:pPr>
        <w:pStyle w:val="105"/>
        <w:spacing w:before="120" w:after="120"/>
        <w:rPr>
          <w:rFonts w:hint="eastAsia"/>
        </w:rPr>
      </w:pPr>
      <w:r>
        <w:rPr>
          <w:rFonts w:hint="eastAsia"/>
          <w:lang w:eastAsia="zh-CN"/>
        </w:rPr>
        <w:t>组批</w:t>
      </w:r>
    </w:p>
    <w:p w14:paraId="6F67EC72">
      <w:pPr>
        <w:pStyle w:val="231"/>
        <w:keepNext w:val="0"/>
        <w:keepLines w:val="0"/>
        <w:pageBreakBefore w:val="0"/>
        <w:widowControl/>
        <w:kinsoku/>
        <w:wordWrap/>
        <w:overflowPunct/>
        <w:topLinePunct w:val="0"/>
        <w:autoSpaceDE w:val="0"/>
        <w:autoSpaceDN w:val="0"/>
        <w:bidi w:val="0"/>
        <w:adjustRightInd/>
        <w:snapToGrid/>
        <w:spacing w:line="360" w:lineRule="auto"/>
        <w:textAlignment w:val="auto"/>
        <w:rPr>
          <w:rFonts w:hint="eastAsia"/>
          <w:color w:val="auto"/>
        </w:rPr>
      </w:pPr>
      <w:r>
        <w:rPr>
          <w:rFonts w:hint="eastAsia"/>
          <w:color w:val="auto"/>
        </w:rPr>
        <w:t>同一</w:t>
      </w:r>
      <w:r>
        <w:rPr>
          <w:rFonts w:hint="eastAsia"/>
          <w:color w:val="auto"/>
          <w:lang w:eastAsia="zh-CN"/>
        </w:rPr>
        <w:t>生产批、</w:t>
      </w:r>
      <w:r>
        <w:rPr>
          <w:rFonts w:hint="eastAsia"/>
          <w:color w:val="auto"/>
        </w:rPr>
        <w:t>同一</w:t>
      </w:r>
      <w:r>
        <w:rPr>
          <w:rFonts w:hint="eastAsia"/>
          <w:color w:val="auto"/>
          <w:lang w:eastAsia="zh-CN"/>
        </w:rPr>
        <w:t>等级</w:t>
      </w:r>
      <w:r>
        <w:rPr>
          <w:rFonts w:hint="eastAsia"/>
          <w:color w:val="auto"/>
        </w:rPr>
        <w:t>为一个检验批次。</w:t>
      </w:r>
    </w:p>
    <w:p w14:paraId="21135518">
      <w:pPr>
        <w:pStyle w:val="231"/>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textAlignment w:val="auto"/>
        <w:rPr>
          <w:rFonts w:hint="eastAsia" w:ascii="黑体" w:hAnsi="黑体" w:eastAsia="黑体" w:cs="黑体"/>
          <w:color w:val="auto"/>
          <w:lang w:val="en-US" w:eastAsia="zh-CN"/>
        </w:rPr>
      </w:pPr>
      <w:r>
        <w:rPr>
          <w:rFonts w:hint="eastAsia" w:ascii="黑体" w:hAnsi="黑体" w:eastAsia="黑体" w:cs="黑体"/>
          <w:color w:val="auto"/>
          <w:lang w:val="en-US" w:eastAsia="zh-CN"/>
        </w:rPr>
        <w:t>6.2  抽样</w:t>
      </w:r>
    </w:p>
    <w:p w14:paraId="34DAB665">
      <w:pPr>
        <w:pStyle w:val="231"/>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0"/>
        <w:textAlignment w:val="auto"/>
        <w:rPr>
          <w:rFonts w:hint="eastAsia" w:ascii="宋体" w:hAnsi="宋体" w:eastAsia="宋体" w:cs="宋体"/>
          <w:i w:val="0"/>
          <w:iCs w:val="0"/>
          <w:caps w:val="0"/>
          <w:color w:val="333333"/>
          <w:spacing w:val="0"/>
          <w:sz w:val="21"/>
          <w:szCs w:val="21"/>
          <w:shd w:val="clear" w:fill="FFFFFF"/>
          <w:lang w:val="en-US" w:eastAsia="zh-CN"/>
        </w:rPr>
      </w:pPr>
      <w:r>
        <w:rPr>
          <w:rFonts w:hint="eastAsia" w:ascii="宋体" w:hAnsi="宋体" w:eastAsia="宋体" w:cs="宋体"/>
          <w:color w:val="auto"/>
          <w:sz w:val="21"/>
          <w:szCs w:val="21"/>
          <w:lang w:val="en-US" w:eastAsia="zh-CN"/>
        </w:rPr>
        <w:t>按</w:t>
      </w:r>
      <w:r>
        <w:rPr>
          <w:rFonts w:hint="eastAsia" w:ascii="宋体" w:hAnsi="宋体" w:eastAsia="宋体" w:cs="宋体"/>
          <w:i w:val="0"/>
          <w:iCs w:val="0"/>
          <w:caps w:val="0"/>
          <w:color w:val="333333"/>
          <w:spacing w:val="0"/>
          <w:sz w:val="21"/>
          <w:szCs w:val="21"/>
          <w:shd w:val="clear" w:fill="FFFFFF"/>
        </w:rPr>
        <w:t>GB/T 8302</w:t>
      </w:r>
      <w:r>
        <w:rPr>
          <w:rFonts w:hint="eastAsia" w:ascii="宋体" w:hAnsi="宋体" w:eastAsia="宋体" w:cs="宋体"/>
          <w:i w:val="0"/>
          <w:iCs w:val="0"/>
          <w:caps w:val="0"/>
          <w:color w:val="333333"/>
          <w:spacing w:val="0"/>
          <w:sz w:val="21"/>
          <w:szCs w:val="21"/>
          <w:shd w:val="clear" w:fill="FFFFFF"/>
          <w:lang w:val="en-US" w:eastAsia="zh-CN"/>
        </w:rPr>
        <w:t xml:space="preserve"> 的规定执行。</w:t>
      </w:r>
    </w:p>
    <w:p w14:paraId="0519AE71">
      <w:pPr>
        <w:pStyle w:val="231"/>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textAlignment w:val="auto"/>
        <w:rPr>
          <w:rFonts w:hint="eastAsia" w:ascii="黑体" w:hAnsi="黑体" w:eastAsia="黑体" w:cs="黑体"/>
          <w:i w:val="0"/>
          <w:iCs w:val="0"/>
          <w:caps w:val="0"/>
          <w:color w:val="333333"/>
          <w:spacing w:val="0"/>
          <w:sz w:val="21"/>
          <w:szCs w:val="21"/>
          <w:shd w:val="clear" w:fill="FFFFFF"/>
          <w:lang w:val="en-US" w:eastAsia="zh-CN"/>
        </w:rPr>
      </w:pPr>
      <w:r>
        <w:rPr>
          <w:rFonts w:hint="eastAsia" w:ascii="黑体" w:hAnsi="黑体" w:eastAsia="黑体" w:cs="黑体"/>
          <w:i w:val="0"/>
          <w:iCs w:val="0"/>
          <w:caps w:val="0"/>
          <w:color w:val="333333"/>
          <w:spacing w:val="0"/>
          <w:sz w:val="21"/>
          <w:szCs w:val="21"/>
          <w:shd w:val="clear" w:fill="FFFFFF"/>
          <w:lang w:val="en-US" w:eastAsia="zh-CN"/>
        </w:rPr>
        <w:t>6.3  交收（出厂）检验</w:t>
      </w:r>
    </w:p>
    <w:p w14:paraId="0A92B3E6">
      <w:pPr>
        <w:pStyle w:val="231"/>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cs="宋体"/>
          <w:i w:val="0"/>
          <w:iCs w:val="0"/>
          <w:caps w:val="0"/>
          <w:color w:val="333333"/>
          <w:spacing w:val="0"/>
          <w:sz w:val="21"/>
          <w:szCs w:val="21"/>
          <w:shd w:val="clear" w:fill="FFFFFF"/>
          <w:lang w:val="en-US" w:eastAsia="zh-CN"/>
        </w:rPr>
      </w:pPr>
      <w:r>
        <w:rPr>
          <w:rFonts w:hint="eastAsia" w:ascii="黑体" w:hAnsi="黑体" w:eastAsia="黑体" w:cs="黑体"/>
          <w:i w:val="0"/>
          <w:iCs w:val="0"/>
          <w:caps w:val="0"/>
          <w:color w:val="333333"/>
          <w:spacing w:val="0"/>
          <w:sz w:val="21"/>
          <w:szCs w:val="21"/>
          <w:shd w:val="clear" w:fill="FFFFFF"/>
          <w:lang w:val="en-US" w:eastAsia="zh-CN"/>
        </w:rPr>
        <w:t xml:space="preserve">6.3.1 </w:t>
      </w:r>
      <w:r>
        <w:rPr>
          <w:rFonts w:hint="eastAsia" w:hAnsi="宋体" w:cs="宋体"/>
          <w:i w:val="0"/>
          <w:iCs w:val="0"/>
          <w:caps w:val="0"/>
          <w:color w:val="333333"/>
          <w:spacing w:val="0"/>
          <w:sz w:val="21"/>
          <w:szCs w:val="21"/>
          <w:shd w:val="clear" w:fill="FFFFFF"/>
          <w:lang w:val="en-US" w:eastAsia="zh-CN"/>
        </w:rPr>
        <w:t xml:space="preserve"> 每批产品交收（出厂）前，生产单位应进行检验，检验合格并附有合格证的产品方可交收（出厂）。</w:t>
      </w:r>
    </w:p>
    <w:p w14:paraId="2ADDF664">
      <w:pPr>
        <w:pStyle w:val="231"/>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cs="宋体"/>
          <w:i w:val="0"/>
          <w:iCs w:val="0"/>
          <w:caps w:val="0"/>
          <w:color w:val="333333"/>
          <w:spacing w:val="0"/>
          <w:sz w:val="21"/>
          <w:szCs w:val="21"/>
          <w:shd w:val="clear" w:fill="FFFFFF"/>
          <w:lang w:val="en-US" w:eastAsia="zh-CN"/>
        </w:rPr>
      </w:pPr>
      <w:r>
        <w:rPr>
          <w:rFonts w:hint="eastAsia" w:ascii="黑体" w:hAnsi="黑体" w:eastAsia="黑体" w:cs="黑体"/>
          <w:i w:val="0"/>
          <w:iCs w:val="0"/>
          <w:caps w:val="0"/>
          <w:color w:val="333333"/>
          <w:spacing w:val="0"/>
          <w:sz w:val="21"/>
          <w:szCs w:val="21"/>
          <w:shd w:val="clear" w:fill="FFFFFF"/>
          <w:lang w:val="en-US" w:eastAsia="zh-CN"/>
        </w:rPr>
        <w:t xml:space="preserve">6.3.2 </w:t>
      </w:r>
      <w:r>
        <w:rPr>
          <w:rFonts w:hint="eastAsia" w:hAnsi="宋体" w:cs="宋体"/>
          <w:i w:val="0"/>
          <w:iCs w:val="0"/>
          <w:caps w:val="0"/>
          <w:color w:val="333333"/>
          <w:spacing w:val="0"/>
          <w:sz w:val="21"/>
          <w:szCs w:val="21"/>
          <w:shd w:val="clear" w:fill="FFFFFF"/>
          <w:lang w:val="en-US" w:eastAsia="zh-CN"/>
        </w:rPr>
        <w:t xml:space="preserve"> 交收（出厂）检验的项目为感官指标、水分、净含量和包装标签。</w:t>
      </w:r>
    </w:p>
    <w:p w14:paraId="06BAF0EF">
      <w:pPr>
        <w:pStyle w:val="231"/>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textAlignment w:val="auto"/>
        <w:rPr>
          <w:rFonts w:hint="eastAsia" w:ascii="黑体" w:hAnsi="黑体" w:eastAsia="黑体" w:cs="黑体"/>
          <w:i w:val="0"/>
          <w:iCs w:val="0"/>
          <w:caps w:val="0"/>
          <w:color w:val="333333"/>
          <w:spacing w:val="0"/>
          <w:sz w:val="21"/>
          <w:szCs w:val="21"/>
          <w:shd w:val="clear" w:fill="FFFFFF"/>
          <w:lang w:val="en-US" w:eastAsia="zh-CN"/>
        </w:rPr>
      </w:pPr>
      <w:r>
        <w:rPr>
          <w:rFonts w:hint="eastAsia" w:ascii="黑体" w:hAnsi="黑体" w:eastAsia="黑体" w:cs="黑体"/>
          <w:i w:val="0"/>
          <w:iCs w:val="0"/>
          <w:caps w:val="0"/>
          <w:color w:val="333333"/>
          <w:spacing w:val="0"/>
          <w:sz w:val="21"/>
          <w:szCs w:val="21"/>
          <w:shd w:val="clear" w:fill="FFFFFF"/>
          <w:lang w:val="en-US" w:eastAsia="zh-CN"/>
        </w:rPr>
        <w:t>6.4  型式检验</w:t>
      </w:r>
    </w:p>
    <w:p w14:paraId="4E97784A">
      <w:pPr>
        <w:pStyle w:val="231"/>
        <w:keepNext w:val="0"/>
        <w:keepLines w:val="0"/>
        <w:pageBreakBefore w:val="0"/>
        <w:widowControl/>
        <w:kinsoku/>
        <w:wordWrap/>
        <w:overflowPunct/>
        <w:topLinePunct w:val="0"/>
        <w:bidi w:val="0"/>
        <w:adjustRightInd/>
        <w:snapToGrid/>
        <w:spacing w:line="360" w:lineRule="auto"/>
        <w:ind w:left="0" w:leftChars="0" w:firstLine="0" w:firstLineChars="0"/>
        <w:textAlignment w:val="auto"/>
        <w:rPr>
          <w:rFonts w:hint="eastAsia"/>
        </w:rPr>
      </w:pPr>
      <w:r>
        <w:rPr>
          <w:rFonts w:hint="eastAsia" w:ascii="黑体" w:hAnsi="黑体" w:eastAsia="黑体" w:cs="黑体"/>
          <w:lang w:val="en-US" w:eastAsia="zh-CN"/>
        </w:rPr>
        <w:t xml:space="preserve">6.4.1 </w:t>
      </w:r>
      <w:r>
        <w:rPr>
          <w:rFonts w:hint="eastAsia"/>
          <w:lang w:val="en-US" w:eastAsia="zh-CN"/>
        </w:rPr>
        <w:t xml:space="preserve"> </w:t>
      </w:r>
      <w:r>
        <w:rPr>
          <w:rFonts w:hint="eastAsia"/>
        </w:rPr>
        <w:t>型式检验</w:t>
      </w:r>
      <w:r>
        <w:rPr>
          <w:rFonts w:hint="eastAsia"/>
          <w:lang w:eastAsia="zh-CN"/>
        </w:rPr>
        <w:t>项目为第</w:t>
      </w:r>
      <w:r>
        <w:rPr>
          <w:rFonts w:hint="eastAsia"/>
          <w:lang w:val="en-US" w:eastAsia="zh-CN"/>
        </w:rPr>
        <w:t>4章</w:t>
      </w:r>
      <w:r>
        <w:rPr>
          <w:rFonts w:hint="eastAsia"/>
        </w:rPr>
        <w:t>规定</w:t>
      </w:r>
      <w:r>
        <w:rPr>
          <w:rFonts w:hint="eastAsia"/>
          <w:lang w:eastAsia="zh-CN"/>
        </w:rPr>
        <w:t>的全部检验项目</w:t>
      </w:r>
      <w:r>
        <w:rPr>
          <w:rFonts w:hint="eastAsia"/>
        </w:rPr>
        <w:t>。</w:t>
      </w:r>
    </w:p>
    <w:p w14:paraId="4BBED93C">
      <w:pPr>
        <w:pStyle w:val="231"/>
        <w:keepNext w:val="0"/>
        <w:keepLines w:val="0"/>
        <w:pageBreakBefore w:val="0"/>
        <w:widowControl/>
        <w:kinsoku/>
        <w:wordWrap/>
        <w:overflowPunct/>
        <w:topLinePunct w:val="0"/>
        <w:bidi w:val="0"/>
        <w:adjustRightInd/>
        <w:snapToGrid/>
        <w:spacing w:line="360" w:lineRule="auto"/>
        <w:ind w:left="0" w:leftChars="0" w:firstLine="0" w:firstLineChars="0"/>
        <w:textAlignment w:val="auto"/>
      </w:pPr>
      <w:r>
        <w:rPr>
          <w:rFonts w:hint="eastAsia" w:ascii="黑体" w:hAnsi="黑体" w:eastAsia="黑体" w:cs="黑体"/>
          <w:lang w:val="en-US" w:eastAsia="zh-CN"/>
        </w:rPr>
        <w:t>6.4.2</w:t>
      </w:r>
      <w:r>
        <w:rPr>
          <w:rFonts w:hint="eastAsia"/>
          <w:lang w:val="en-US" w:eastAsia="zh-CN"/>
        </w:rPr>
        <w:t xml:space="preserve">  </w:t>
      </w:r>
      <w:r>
        <w:rPr>
          <w:rFonts w:hint="eastAsia"/>
        </w:rPr>
        <w:t>有下列情形之一者应进行型式检验：</w:t>
      </w:r>
    </w:p>
    <w:p w14:paraId="71161F4A">
      <w:pPr>
        <w:pStyle w:val="132"/>
        <w:keepNext w:val="0"/>
        <w:keepLines w:val="0"/>
        <w:pageBreakBefore w:val="0"/>
        <w:widowControl/>
        <w:kinsoku/>
        <w:wordWrap/>
        <w:overflowPunct/>
        <w:topLinePunct w:val="0"/>
        <w:bidi w:val="0"/>
        <w:adjustRightInd/>
        <w:snapToGrid/>
        <w:spacing w:line="360" w:lineRule="auto"/>
        <w:textAlignment w:val="auto"/>
      </w:pPr>
      <w:r>
        <w:rPr>
          <w:rFonts w:hint="eastAsia"/>
          <w:lang w:eastAsia="zh-CN"/>
        </w:rPr>
        <w:t>正常生产情况下每年进行一次；</w:t>
      </w:r>
    </w:p>
    <w:p w14:paraId="67412793">
      <w:pPr>
        <w:pStyle w:val="132"/>
        <w:keepNext w:val="0"/>
        <w:keepLines w:val="0"/>
        <w:pageBreakBefore w:val="0"/>
        <w:widowControl/>
        <w:kinsoku/>
        <w:wordWrap/>
        <w:overflowPunct/>
        <w:topLinePunct w:val="0"/>
        <w:bidi w:val="0"/>
        <w:adjustRightInd/>
        <w:snapToGrid/>
        <w:spacing w:line="360" w:lineRule="auto"/>
        <w:textAlignment w:val="auto"/>
      </w:pPr>
      <w:r>
        <w:rPr>
          <w:rFonts w:hint="eastAsia"/>
        </w:rPr>
        <w:t>人为或自然因素使</w:t>
      </w:r>
      <w:r>
        <w:rPr>
          <w:rFonts w:hint="eastAsia"/>
          <w:lang w:eastAsia="zh-CN"/>
        </w:rPr>
        <w:t>原材料或</w:t>
      </w:r>
      <w:r>
        <w:rPr>
          <w:rFonts w:hint="eastAsia"/>
        </w:rPr>
        <w:t>生产环境发生较大变化</w:t>
      </w:r>
      <w:r>
        <w:rPr>
          <w:rFonts w:hint="eastAsia"/>
          <w:lang w:eastAsia="zh-CN"/>
        </w:rPr>
        <w:t>时</w:t>
      </w:r>
      <w:r>
        <w:rPr>
          <w:rFonts w:hint="eastAsia"/>
        </w:rPr>
        <w:t>；</w:t>
      </w:r>
    </w:p>
    <w:p w14:paraId="027A6D82">
      <w:pPr>
        <w:pStyle w:val="132"/>
        <w:keepNext w:val="0"/>
        <w:keepLines w:val="0"/>
        <w:pageBreakBefore w:val="0"/>
        <w:widowControl/>
        <w:kinsoku/>
        <w:wordWrap/>
        <w:overflowPunct/>
        <w:topLinePunct w:val="0"/>
        <w:bidi w:val="0"/>
        <w:adjustRightInd/>
        <w:snapToGrid/>
        <w:spacing w:line="360" w:lineRule="auto"/>
        <w:textAlignment w:val="auto"/>
        <w:rPr>
          <w:rFonts w:hint="default" w:hAnsi="宋体" w:cs="宋体"/>
          <w:i w:val="0"/>
          <w:iCs w:val="0"/>
          <w:caps w:val="0"/>
          <w:color w:val="333333"/>
          <w:spacing w:val="0"/>
          <w:sz w:val="21"/>
          <w:szCs w:val="21"/>
          <w:shd w:val="clear" w:fill="FFFFFF"/>
          <w:lang w:val="en-US" w:eastAsia="zh-CN"/>
        </w:rPr>
      </w:pPr>
      <w:r>
        <w:rPr>
          <w:rFonts w:hint="eastAsia"/>
        </w:rPr>
        <w:t>国家</w:t>
      </w:r>
      <w:r>
        <w:rPr>
          <w:rFonts w:hint="eastAsia"/>
          <w:lang w:eastAsia="zh-CN"/>
        </w:rPr>
        <w:t>有关</w:t>
      </w:r>
      <w:r>
        <w:rPr>
          <w:rFonts w:hint="eastAsia"/>
        </w:rPr>
        <w:t>监管</w:t>
      </w:r>
      <w:r>
        <w:rPr>
          <w:rFonts w:hint="eastAsia"/>
          <w:lang w:eastAsia="zh-CN"/>
        </w:rPr>
        <w:t>机构、行业协会</w:t>
      </w:r>
      <w:r>
        <w:rPr>
          <w:rFonts w:hint="eastAsia"/>
        </w:rPr>
        <w:t>提出型式检验要求</w:t>
      </w:r>
      <w:r>
        <w:rPr>
          <w:rFonts w:hint="eastAsia"/>
          <w:lang w:eastAsia="zh-CN"/>
        </w:rPr>
        <w:t>时</w:t>
      </w:r>
      <w:r>
        <w:rPr>
          <w:rFonts w:hint="eastAsia"/>
        </w:rPr>
        <w:t>。</w:t>
      </w:r>
    </w:p>
    <w:p w14:paraId="2F4E34E3">
      <w:pPr>
        <w:pStyle w:val="132"/>
        <w:keepNext w:val="0"/>
        <w:keepLines w:val="0"/>
        <w:pageBreakBefore w:val="0"/>
        <w:widowControl/>
        <w:numPr>
          <w:ilvl w:val="0"/>
          <w:numId w:val="0"/>
        </w:numPr>
        <w:kinsoku/>
        <w:wordWrap/>
        <w:overflowPunct/>
        <w:topLinePunct w:val="0"/>
        <w:bidi w:val="0"/>
        <w:adjustRightInd/>
        <w:snapToGrid/>
        <w:spacing w:line="360" w:lineRule="auto"/>
        <w:textAlignment w:val="auto"/>
        <w:rPr>
          <w:rFonts w:hint="eastAsia" w:ascii="黑体" w:hAnsi="黑体" w:eastAsia="黑体" w:cs="黑体"/>
          <w:lang w:val="en-US" w:eastAsia="zh-CN"/>
        </w:rPr>
      </w:pPr>
      <w:r>
        <w:rPr>
          <w:rFonts w:hint="eastAsia" w:ascii="黑体" w:hAnsi="黑体" w:eastAsia="黑体" w:cs="黑体"/>
          <w:lang w:val="en-US" w:eastAsia="zh-CN"/>
        </w:rPr>
        <w:t>6.5  判定规则</w:t>
      </w:r>
    </w:p>
    <w:p w14:paraId="5B1B6632">
      <w:pPr>
        <w:pStyle w:val="132"/>
        <w:keepNext w:val="0"/>
        <w:keepLines w:val="0"/>
        <w:pageBreakBefore w:val="0"/>
        <w:widowControl/>
        <w:numPr>
          <w:ilvl w:val="0"/>
          <w:numId w:val="0"/>
        </w:numPr>
        <w:kinsoku/>
        <w:wordWrap/>
        <w:overflowPunct/>
        <w:topLinePunct w:val="0"/>
        <w:bidi w:val="0"/>
        <w:adjustRightInd/>
        <w:snapToGrid/>
        <w:spacing w:line="360" w:lineRule="auto"/>
        <w:textAlignment w:val="auto"/>
        <w:rPr>
          <w:rFonts w:hint="eastAsia"/>
          <w:lang w:val="en-US" w:eastAsia="zh-CN"/>
        </w:rPr>
      </w:pPr>
      <w:r>
        <w:rPr>
          <w:rFonts w:hint="eastAsia" w:ascii="黑体" w:hAnsi="黑体" w:eastAsia="黑体" w:cs="黑体"/>
          <w:lang w:val="en-US" w:eastAsia="zh-CN"/>
        </w:rPr>
        <w:t xml:space="preserve">6.5.1 </w:t>
      </w:r>
      <w:r>
        <w:rPr>
          <w:rFonts w:hint="eastAsia"/>
          <w:lang w:val="en-US" w:eastAsia="zh-CN"/>
        </w:rPr>
        <w:t xml:space="preserve"> 产品检验结果全部符合本文件规定的技术要求，则判定该批次产品合格。</w:t>
      </w:r>
    </w:p>
    <w:p w14:paraId="1801A60D">
      <w:pPr>
        <w:pStyle w:val="132"/>
        <w:keepNext w:val="0"/>
        <w:keepLines w:val="0"/>
        <w:pageBreakBefore w:val="0"/>
        <w:widowControl/>
        <w:numPr>
          <w:ilvl w:val="0"/>
          <w:numId w:val="0"/>
        </w:numPr>
        <w:kinsoku/>
        <w:wordWrap/>
        <w:overflowPunct/>
        <w:topLinePunct w:val="0"/>
        <w:bidi w:val="0"/>
        <w:adjustRightInd/>
        <w:snapToGrid/>
        <w:spacing w:line="360" w:lineRule="auto"/>
        <w:textAlignment w:val="auto"/>
        <w:rPr>
          <w:rFonts w:hint="eastAsia"/>
          <w:lang w:val="en-US" w:eastAsia="zh-CN"/>
        </w:rPr>
      </w:pPr>
      <w:r>
        <w:rPr>
          <w:rFonts w:hint="eastAsia" w:ascii="黑体" w:hAnsi="黑体" w:eastAsia="黑体" w:cs="黑体"/>
          <w:lang w:val="en-US" w:eastAsia="zh-CN"/>
        </w:rPr>
        <w:t xml:space="preserve">6.5.2 </w:t>
      </w:r>
      <w:r>
        <w:rPr>
          <w:rFonts w:hint="eastAsia"/>
          <w:lang w:val="en-US" w:eastAsia="zh-CN"/>
        </w:rPr>
        <w:t xml:space="preserve"> 凡变质、有污染、有添加或安全指标中有一项不符合本文件技术要求，则判定该批次产品不合格。</w:t>
      </w:r>
    </w:p>
    <w:p w14:paraId="1661A87F">
      <w:pPr>
        <w:pStyle w:val="132"/>
        <w:keepNext w:val="0"/>
        <w:keepLines w:val="0"/>
        <w:pageBreakBefore w:val="0"/>
        <w:widowControl/>
        <w:numPr>
          <w:ilvl w:val="0"/>
          <w:numId w:val="0"/>
        </w:numPr>
        <w:kinsoku/>
        <w:wordWrap/>
        <w:overflowPunct/>
        <w:topLinePunct w:val="0"/>
        <w:bidi w:val="0"/>
        <w:adjustRightInd/>
        <w:snapToGrid/>
        <w:spacing w:line="360" w:lineRule="auto"/>
        <w:textAlignment w:val="auto"/>
        <w:rPr>
          <w:rFonts w:hint="default"/>
          <w:lang w:val="en-US" w:eastAsia="zh-CN"/>
        </w:rPr>
      </w:pPr>
      <w:r>
        <w:rPr>
          <w:rFonts w:hint="eastAsia" w:ascii="黑体" w:hAnsi="黑体" w:eastAsia="黑体" w:cs="黑体"/>
          <w:lang w:val="en-US" w:eastAsia="zh-CN"/>
        </w:rPr>
        <w:t>6.5.3</w:t>
      </w:r>
      <w:r>
        <w:rPr>
          <w:rFonts w:hint="eastAsia"/>
          <w:lang w:val="en-US" w:eastAsia="zh-CN"/>
        </w:rPr>
        <w:t xml:space="preserve">  感官指标、理化指标、净含量中仅有一项不符合本文件技术要求时，可用留样对不符合项目进行复检。若留存样复检结果符合要求，则判定该批次产品合格。若留存样复检仍不符合要求，判定该批次产品不合格。</w:t>
      </w:r>
    </w:p>
    <w:p w14:paraId="069C283D">
      <w:pPr>
        <w:pStyle w:val="104"/>
        <w:spacing w:before="240" w:after="240"/>
        <w:rPr>
          <w:rFonts w:hint="eastAsia"/>
        </w:rPr>
      </w:pPr>
      <w:r>
        <w:rPr>
          <w:rFonts w:hint="eastAsia"/>
          <w:lang w:eastAsia="zh-CN"/>
        </w:rPr>
        <w:t>标签标志、包装、运输与贮存</w:t>
      </w:r>
    </w:p>
    <w:p w14:paraId="4B2960BE">
      <w:pPr>
        <w:pStyle w:val="105"/>
        <w:spacing w:before="120" w:after="120"/>
        <w:rPr>
          <w:rFonts w:hint="eastAsia"/>
        </w:rPr>
      </w:pPr>
      <w:r>
        <w:rPr>
          <w:rFonts w:hint="eastAsia"/>
          <w:lang w:eastAsia="zh-CN"/>
        </w:rPr>
        <w:t>标签标志</w:t>
      </w:r>
    </w:p>
    <w:p w14:paraId="08005961">
      <w:pPr>
        <w:pStyle w:val="56"/>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200"/>
        <w:textAlignment w:val="auto"/>
        <w:rPr>
          <w:rFonts w:hint="eastAsia"/>
        </w:rPr>
      </w:pPr>
      <w:bookmarkStart w:id="46" w:name="_Hlk103955000"/>
      <w:r>
        <w:rPr>
          <w:rFonts w:hint="eastAsia"/>
        </w:rPr>
        <w:t>产品</w:t>
      </w:r>
      <w:r>
        <w:rPr>
          <w:rFonts w:hint="eastAsia"/>
          <w:lang w:eastAsia="zh-CN"/>
        </w:rPr>
        <w:t>预包装</w:t>
      </w:r>
      <w:r>
        <w:rPr>
          <w:rFonts w:hint="eastAsia"/>
        </w:rPr>
        <w:t>标签应</w:t>
      </w:r>
      <w:r>
        <w:rPr>
          <w:rFonts w:hint="eastAsia"/>
          <w:lang w:eastAsia="zh-CN"/>
        </w:rPr>
        <w:t>符合</w:t>
      </w:r>
      <w:r>
        <w:rPr>
          <w:rFonts w:hint="eastAsia"/>
          <w:lang w:val="en-US" w:eastAsia="zh-CN"/>
        </w:rPr>
        <w:t>GB 7718</w:t>
      </w:r>
      <w:r>
        <w:rPr>
          <w:rFonts w:hint="eastAsia"/>
          <w:lang w:eastAsia="zh-CN"/>
        </w:rPr>
        <w:t>的规定</w:t>
      </w:r>
      <w:r>
        <w:rPr>
          <w:rFonts w:hint="eastAsia"/>
        </w:rPr>
        <w:t>。包装储运标志应符合</w:t>
      </w:r>
      <w:bookmarkStart w:id="47" w:name="_Hlk103848491"/>
      <w:r>
        <w:rPr>
          <w:rFonts w:hint="eastAsia"/>
        </w:rPr>
        <w:t xml:space="preserve">GB/T 191 </w:t>
      </w:r>
      <w:bookmarkEnd w:id="47"/>
      <w:r>
        <w:rPr>
          <w:rFonts w:hint="eastAsia"/>
        </w:rPr>
        <w:t>的规定。</w:t>
      </w:r>
    </w:p>
    <w:p w14:paraId="7452CD88">
      <w:pPr>
        <w:pStyle w:val="56"/>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textAlignment w:val="auto"/>
        <w:rPr>
          <w:rFonts w:hint="eastAsia" w:ascii="黑体" w:hAnsi="黑体" w:eastAsia="黑体" w:cs="黑体"/>
          <w:lang w:val="en-US" w:eastAsia="zh-CN"/>
        </w:rPr>
      </w:pPr>
      <w:r>
        <w:rPr>
          <w:rFonts w:hint="eastAsia" w:ascii="黑体" w:hAnsi="黑体" w:eastAsia="黑体" w:cs="黑体"/>
          <w:lang w:val="en-US" w:eastAsia="zh-CN"/>
        </w:rPr>
        <w:t>7.2  包装</w:t>
      </w:r>
    </w:p>
    <w:p w14:paraId="05D415BF">
      <w:pPr>
        <w:pStyle w:val="56"/>
        <w:keepNext w:val="0"/>
        <w:keepLines w:val="0"/>
        <w:pageBreakBefore w:val="0"/>
        <w:widowControl/>
        <w:kinsoku/>
        <w:wordWrap/>
        <w:overflowPunct/>
        <w:topLinePunct w:val="0"/>
        <w:autoSpaceDE w:val="0"/>
        <w:autoSpaceDN w:val="0"/>
        <w:bidi w:val="0"/>
        <w:adjustRightInd/>
        <w:snapToGrid/>
        <w:spacing w:line="360" w:lineRule="auto"/>
        <w:textAlignment w:val="auto"/>
        <w:rPr>
          <w:rFonts w:hint="eastAsia"/>
          <w:lang w:val="en-US" w:eastAsia="zh-CN"/>
        </w:rPr>
      </w:pPr>
      <w:r>
        <w:rPr>
          <w:rFonts w:hint="eastAsia"/>
          <w:lang w:val="en-US" w:eastAsia="zh-CN"/>
        </w:rPr>
        <w:t>应符合GH/T 1070 的规定，</w:t>
      </w:r>
      <w:r>
        <w:rPr>
          <w:rFonts w:hint="eastAsia"/>
          <w:lang w:eastAsia="zh-CN"/>
        </w:rPr>
        <w:t>还应符合</w:t>
      </w:r>
      <w:r>
        <w:rPr>
          <w:rFonts w:hint="eastAsia"/>
          <w:lang w:val="en-US" w:eastAsia="zh-CN"/>
        </w:rPr>
        <w:t>GB 23350 的规定。</w:t>
      </w:r>
      <w:bookmarkEnd w:id="46"/>
    </w:p>
    <w:p w14:paraId="6D79982E">
      <w:pPr>
        <w:pStyle w:val="56"/>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textAlignment w:val="auto"/>
        <w:rPr>
          <w:rFonts w:hint="eastAsia" w:ascii="黑体" w:hAnsi="黑体" w:eastAsia="黑体" w:cs="黑体"/>
          <w:lang w:val="en-US" w:eastAsia="zh-CN"/>
        </w:rPr>
      </w:pPr>
      <w:r>
        <w:rPr>
          <w:rFonts w:hint="eastAsia" w:ascii="黑体" w:hAnsi="黑体" w:eastAsia="黑体" w:cs="黑体"/>
          <w:lang w:val="en-US" w:eastAsia="zh-CN"/>
        </w:rPr>
        <w:t>7.3  运输</w:t>
      </w:r>
    </w:p>
    <w:p w14:paraId="5B81B651">
      <w:pPr>
        <w:pStyle w:val="56"/>
        <w:keepNext w:val="0"/>
        <w:keepLines w:val="0"/>
        <w:pageBreakBefore w:val="0"/>
        <w:widowControl/>
        <w:kinsoku/>
        <w:wordWrap/>
        <w:overflowPunct/>
        <w:topLinePunct w:val="0"/>
        <w:autoSpaceDE w:val="0"/>
        <w:autoSpaceDN w:val="0"/>
        <w:bidi w:val="0"/>
        <w:adjustRightInd/>
        <w:snapToGrid/>
        <w:spacing w:line="360" w:lineRule="auto"/>
        <w:ind w:firstLine="420"/>
        <w:textAlignment w:val="auto"/>
        <w:rPr>
          <w:rFonts w:hint="eastAsia"/>
          <w:lang w:eastAsia="zh-CN"/>
        </w:rPr>
      </w:pPr>
      <w:r>
        <w:rPr>
          <w:rFonts w:hint="eastAsia"/>
          <w:lang w:eastAsia="zh-CN"/>
        </w:rPr>
        <w:t>运输工具应清洁、干燥，无异味、无污染。运输时应防潮、防</w:t>
      </w:r>
      <w:r>
        <w:rPr>
          <w:rFonts w:hint="eastAsia"/>
        </w:rPr>
        <w:t>雨</w:t>
      </w:r>
      <w:r>
        <w:rPr>
          <w:rFonts w:hint="eastAsia"/>
          <w:lang w:eastAsia="zh-CN"/>
        </w:rPr>
        <w:t>、防曝晒</w:t>
      </w:r>
      <w:r>
        <w:rPr>
          <w:rFonts w:hint="eastAsia"/>
        </w:rPr>
        <w:t>，</w:t>
      </w:r>
      <w:r>
        <w:rPr>
          <w:rFonts w:hint="eastAsia"/>
          <w:lang w:eastAsia="zh-CN"/>
        </w:rPr>
        <w:t>并不得与有毒、有异味、易污染的物品混运</w:t>
      </w:r>
      <w:r>
        <w:rPr>
          <w:rFonts w:hint="eastAsia"/>
        </w:rPr>
        <w:t>。运输</w:t>
      </w:r>
      <w:r>
        <w:rPr>
          <w:rFonts w:hint="eastAsia"/>
          <w:lang w:eastAsia="zh-CN"/>
        </w:rPr>
        <w:t>过程中</w:t>
      </w:r>
      <w:r>
        <w:rPr>
          <w:rFonts w:hint="eastAsia"/>
        </w:rPr>
        <w:t>应轻装轻卸，防</w:t>
      </w:r>
      <w:r>
        <w:rPr>
          <w:rFonts w:hint="eastAsia"/>
          <w:lang w:eastAsia="zh-CN"/>
        </w:rPr>
        <w:t>重压、防碰撞。</w:t>
      </w:r>
    </w:p>
    <w:p w14:paraId="6BDF3674">
      <w:pPr>
        <w:pStyle w:val="56"/>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textAlignment w:val="auto"/>
        <w:rPr>
          <w:rFonts w:hint="eastAsia" w:ascii="黑体" w:hAnsi="黑体" w:eastAsia="黑体" w:cs="黑体"/>
          <w:lang w:val="en-US" w:eastAsia="zh-CN"/>
        </w:rPr>
      </w:pPr>
      <w:r>
        <w:rPr>
          <w:rFonts w:hint="eastAsia" w:ascii="黑体" w:hAnsi="黑体" w:eastAsia="黑体" w:cs="黑体"/>
          <w:lang w:val="en-US" w:eastAsia="zh-CN"/>
        </w:rPr>
        <w:t>7.4  贮存</w:t>
      </w:r>
    </w:p>
    <w:p w14:paraId="5B74ED69">
      <w:pPr>
        <w:pStyle w:val="187"/>
        <w:numPr>
          <w:ilvl w:val="1"/>
          <w:numId w:val="0"/>
        </w:numPr>
        <w:bidi w:val="0"/>
        <w:ind w:firstLine="420" w:firstLineChars="200"/>
      </w:pPr>
      <w:r>
        <w:rPr>
          <w:rFonts w:hint="eastAsia"/>
          <w:lang w:val="en-US" w:eastAsia="zh-CN"/>
        </w:rPr>
        <w:t>产品应贮存于清洁、干燥、阴凉、无异味的专用仓库中冷藏。库房温度5</w:t>
      </w:r>
      <w:r>
        <w:rPr>
          <w:rFonts w:hint="eastAsia" w:ascii="宋体" w:hAnsi="宋体" w:eastAsia="宋体" w:cs="宋体"/>
          <w:lang w:val="en-US" w:eastAsia="zh-CN"/>
        </w:rPr>
        <w:t>℃~</w:t>
      </w:r>
      <w:r>
        <w:rPr>
          <w:rFonts w:hint="eastAsia"/>
          <w:lang w:val="en-US" w:eastAsia="zh-CN"/>
        </w:rPr>
        <w:t>8</w:t>
      </w:r>
      <w:r>
        <w:rPr>
          <w:rFonts w:hint="eastAsia" w:ascii="宋体" w:hAnsi="宋体" w:eastAsia="宋体" w:cs="宋体"/>
          <w:lang w:val="en-US" w:eastAsia="zh-CN"/>
        </w:rPr>
        <w:t>℃</w:t>
      </w:r>
      <w:r>
        <w:rPr>
          <w:rFonts w:hint="eastAsia"/>
          <w:lang w:val="en-US" w:eastAsia="zh-CN"/>
        </w:rPr>
        <w:t>为宜，仓库周围应无异味污染。</w:t>
      </w:r>
    </w:p>
    <w:p w14:paraId="7B1CD360">
      <w:pPr>
        <w:pStyle w:val="56"/>
        <w:ind w:left="0" w:leftChars="0" w:firstLine="0" w:firstLineChars="0"/>
      </w:pPr>
    </w:p>
    <w:p w14:paraId="0FABEFA1">
      <w:pPr>
        <w:pStyle w:val="56"/>
        <w:jc w:val="center"/>
        <w:rPr>
          <w:rFonts w:hint="eastAsia" w:ascii="黑体" w:hAnsi="黑体" w:eastAsia="黑体" w:cs="黑体"/>
          <w:lang w:val="en-US" w:eastAsia="zh-CN"/>
        </w:rPr>
      </w:pPr>
      <w:r>
        <w:rPr>
          <w:rFonts w:hint="eastAsia" w:ascii="黑体" w:hAnsi="黑体" w:eastAsia="黑体" w:cs="黑体"/>
          <w:lang w:eastAsia="zh-CN"/>
        </w:rPr>
        <w:t>附录</w:t>
      </w:r>
      <w:r>
        <w:rPr>
          <w:rFonts w:hint="eastAsia" w:ascii="黑体" w:hAnsi="黑体" w:eastAsia="黑体" w:cs="黑体"/>
          <w:lang w:val="en-US" w:eastAsia="zh-CN"/>
        </w:rPr>
        <w:t>A</w:t>
      </w:r>
    </w:p>
    <w:p w14:paraId="390C262F">
      <w:pPr>
        <w:pStyle w:val="56"/>
        <w:jc w:val="center"/>
        <w:rPr>
          <w:rFonts w:hint="eastAsia"/>
          <w:lang w:val="en-US" w:eastAsia="zh-CN"/>
        </w:rPr>
      </w:pPr>
      <w:r>
        <w:rPr>
          <w:rFonts w:hint="eastAsia"/>
          <w:lang w:val="en-US" w:eastAsia="zh-CN"/>
        </w:rPr>
        <w:t>（规范性）</w:t>
      </w:r>
    </w:p>
    <w:p w14:paraId="67A06BD2">
      <w:pPr>
        <w:pStyle w:val="56"/>
        <w:jc w:val="center"/>
        <w:rPr>
          <w:rFonts w:hint="eastAsia" w:ascii="黑体" w:hAnsi="黑体" w:eastAsia="黑体" w:cs="黑体"/>
          <w:lang w:val="en-US" w:eastAsia="zh-CN"/>
        </w:rPr>
      </w:pPr>
      <w:r>
        <w:rPr>
          <w:rFonts w:hint="eastAsia" w:ascii="黑体" w:hAnsi="黑体" w:eastAsia="黑体" w:cs="黑体"/>
          <w:lang w:val="en-US" w:eastAsia="zh-CN"/>
        </w:rPr>
        <w:t>井冈山黄金芽（绿茶）生产区域范围图</w:t>
      </w:r>
    </w:p>
    <w:p w14:paraId="3D06F8E6">
      <w:pPr>
        <w:pStyle w:val="56"/>
        <w:rPr>
          <w:rFonts w:hint="eastAsia" w:ascii="黑体" w:hAnsi="黑体" w:eastAsia="黑体" w:cs="黑体"/>
          <w:lang w:val="en-US" w:eastAsia="zh-CN"/>
        </w:rPr>
      </w:pPr>
      <w:r>
        <w:rPr>
          <w:rFonts w:hint="eastAsia" w:ascii="黑体" w:hAnsi="黑体" w:eastAsia="黑体" w:cs="黑体"/>
          <w:lang w:val="en-US" w:eastAsia="zh-CN"/>
        </w:rPr>
        <w:t>图A.1</w:t>
      </w:r>
    </w:p>
    <w:p w14:paraId="1BB06830">
      <w:pPr>
        <w:pStyle w:val="56"/>
      </w:pPr>
      <w:r>
        <w:drawing>
          <wp:inline distT="0" distB="0" distL="0" distR="0">
            <wp:extent cx="5364480" cy="5647055"/>
            <wp:effectExtent l="0" t="0" r="7620" b="10795"/>
            <wp:docPr id="7" name="图片 1" descr="C:\Users\ADMINI~1\AppData\Local\Temp\WeChat Files\7a74b7a59f917972be5bba8a10eba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C:\Users\ADMINI~1\AppData\Local\Temp\WeChat Files\7a74b7a59f917972be5bba8a10eba4d.png"/>
                    <pic:cNvPicPr>
                      <a:picLocks noChangeAspect="1" noChangeArrowheads="1"/>
                    </pic:cNvPicPr>
                  </pic:nvPicPr>
                  <pic:blipFill>
                    <a:blip r:embed="rId17"/>
                    <a:srcRect/>
                    <a:stretch>
                      <a:fillRect/>
                    </a:stretch>
                  </pic:blipFill>
                  <pic:spPr>
                    <a:xfrm>
                      <a:off x="0" y="0"/>
                      <a:ext cx="5364480" cy="5647055"/>
                    </a:xfrm>
                    <a:prstGeom prst="rect">
                      <a:avLst/>
                    </a:prstGeom>
                    <a:noFill/>
                    <a:ln w="9525">
                      <a:noFill/>
                      <a:miter lim="800000"/>
                      <a:headEnd/>
                      <a:tailEnd/>
                    </a:ln>
                  </pic:spPr>
                </pic:pic>
              </a:graphicData>
            </a:graphic>
          </wp:inline>
        </w:drawing>
      </w:r>
    </w:p>
    <w:p w14:paraId="5630EEEB">
      <w:pPr>
        <w:pStyle w:val="56"/>
      </w:pPr>
    </w:p>
    <w:p w14:paraId="42367785">
      <w:pPr>
        <w:pStyle w:val="56"/>
      </w:pPr>
    </w:p>
    <w:p w14:paraId="2C4DE170">
      <w:pPr>
        <w:pStyle w:val="56"/>
      </w:pPr>
    </w:p>
    <w:p w14:paraId="71A07FC8">
      <w:pPr>
        <w:pStyle w:val="56"/>
      </w:pPr>
    </w:p>
    <w:bookmarkEnd w:id="22"/>
    <w:p w14:paraId="02A56B40">
      <w:pPr>
        <w:pStyle w:val="56"/>
        <w:ind w:firstLine="0" w:firstLineChars="0"/>
        <w:jc w:val="center"/>
      </w:pPr>
      <w:bookmarkStart w:id="48" w:name="BookMark8"/>
      <w: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8"/>
                    <a:stretch>
                      <a:fillRect/>
                    </a:stretch>
                  </pic:blipFill>
                  <pic:spPr>
                    <a:xfrm>
                      <a:off x="0" y="0"/>
                      <a:ext cx="1485900" cy="317500"/>
                    </a:xfrm>
                    <a:prstGeom prst="rect">
                      <a:avLst/>
                    </a:prstGeom>
                  </pic:spPr>
                </pic:pic>
              </a:graphicData>
            </a:graphic>
          </wp:inline>
        </w:drawing>
      </w:r>
      <w:bookmarkEnd w:id="48"/>
    </w:p>
    <w:sectPr>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88199">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DCC9B">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B403C">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FB08E">
    <w:pPr>
      <w:pStyle w:val="52"/>
    </w:pPr>
    <w:r>
      <w:fldChar w:fldCharType="begin"/>
    </w:r>
    <w:r>
      <w:instrText xml:space="preserve">PAGE   \* MERGEFORMAT</w:instrText>
    </w:r>
    <w:r>
      <w:fldChar w:fldCharType="separate"/>
    </w:r>
    <w:r>
      <w:rPr>
        <w:lang w:val="zh-CN"/>
      </w:rPr>
      <w:t>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1FF1F">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78532">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F0E2C">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034D7">
    <w:pPr>
      <w:pStyle w:val="61"/>
    </w:pPr>
    <w:r>
      <w:fldChar w:fldCharType="begin"/>
    </w:r>
    <w:r>
      <w:instrText xml:space="preserve"> STYLEREF  标准文件_文件编号  \* MERGEFORMAT </w:instrText>
    </w:r>
    <w:r>
      <w:fldChar w:fldCharType="separate"/>
    </w:r>
    <w:r>
      <w:t>T/JALNCP XXXX—2024</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18F0D">
    <w:pPr>
      <w:pStyle w:val="18"/>
      <w:jc w:val="right"/>
    </w:pPr>
    <w:r>
      <w:fldChar w:fldCharType="begin"/>
    </w:r>
    <w:r>
      <w:instrText xml:space="preserve"> STYLEREF  标准文件_文件编号  \* MERGEFORMAT </w:instrText>
    </w:r>
    <w:r>
      <w:fldChar w:fldCharType="separate"/>
    </w:r>
    <w:r>
      <w:t>T/JALNCP XXXX—2024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1FC91163"/>
    <w:multiLevelType w:val="multilevel"/>
    <w:tmpl w:val="1FC91163"/>
    <w:lvl w:ilvl="0" w:tentative="0">
      <w:start w:val="1"/>
      <w:numFmt w:val="decimal"/>
      <w:pStyle w:val="230"/>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dit="forms" w:enforcement="1" w:cryptProviderType="rsaFull" w:cryptAlgorithmClass="hash" w:cryptAlgorithmType="typeAny" w:cryptAlgorithmSid="4" w:cryptSpinCount="100000" w:hash="Gz4tUtwYojbxYd0wHWDmS70sWpg=" w:salt="dvJOcb0FKhy1zGo+rdjFLQ=="/>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5YjEwZmI5NTFjYzg5YzIxZGFiNzU1NjEyNWM5ZTgifQ=="/>
  </w:docVars>
  <w:rsids>
    <w:rsidRoot w:val="00BC1EA6"/>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1EA6"/>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67D46"/>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6426AA6"/>
    <w:rsid w:val="0EFA7764"/>
    <w:rsid w:val="1FDF7E90"/>
    <w:rsid w:val="2B70782D"/>
    <w:rsid w:val="3872263A"/>
    <w:rsid w:val="3B3A4C0D"/>
    <w:rsid w:val="3EA908A0"/>
    <w:rsid w:val="3F56744C"/>
    <w:rsid w:val="4319779B"/>
    <w:rsid w:val="46603AD2"/>
    <w:rsid w:val="51537EE4"/>
    <w:rsid w:val="568B6949"/>
    <w:rsid w:val="64E8396F"/>
    <w:rsid w:val="69A969B8"/>
    <w:rsid w:val="69B01013"/>
    <w:rsid w:val="6AFD217F"/>
    <w:rsid w:val="6F050D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Char"/>
    <w:link w:val="2"/>
    <w:qFormat/>
    <w:uiPriority w:val="0"/>
    <w:rPr>
      <w:b/>
      <w:bCs/>
      <w:kern w:val="44"/>
      <w:sz w:val="44"/>
      <w:szCs w:val="44"/>
    </w:rPr>
  </w:style>
  <w:style w:type="character" w:customStyle="1" w:styleId="35">
    <w:name w:val="标题 2 Char"/>
    <w:link w:val="3"/>
    <w:qFormat/>
    <w:uiPriority w:val="0"/>
    <w:rPr>
      <w:rFonts w:ascii="Arial" w:hAnsi="Arial" w:eastAsia="黑体"/>
      <w:b/>
      <w:bCs/>
      <w:kern w:val="2"/>
      <w:sz w:val="32"/>
      <w:szCs w:val="32"/>
    </w:rPr>
  </w:style>
  <w:style w:type="character" w:customStyle="1" w:styleId="36">
    <w:name w:val="标题 3 Char"/>
    <w:link w:val="4"/>
    <w:qFormat/>
    <w:uiPriority w:val="0"/>
    <w:rPr>
      <w:b/>
      <w:bCs/>
      <w:kern w:val="2"/>
      <w:sz w:val="32"/>
      <w:szCs w:val="32"/>
    </w:rPr>
  </w:style>
  <w:style w:type="character" w:customStyle="1" w:styleId="37">
    <w:name w:val="标题 4 Char"/>
    <w:link w:val="5"/>
    <w:qFormat/>
    <w:uiPriority w:val="0"/>
    <w:rPr>
      <w:rFonts w:ascii="Arial" w:hAnsi="Arial" w:eastAsia="黑体"/>
      <w:b/>
      <w:bCs/>
      <w:kern w:val="2"/>
      <w:sz w:val="28"/>
      <w:szCs w:val="28"/>
    </w:rPr>
  </w:style>
  <w:style w:type="character" w:customStyle="1" w:styleId="38">
    <w:name w:val="标题 5 Char"/>
    <w:link w:val="6"/>
    <w:qFormat/>
    <w:uiPriority w:val="0"/>
    <w:rPr>
      <w:b/>
      <w:bCs/>
      <w:kern w:val="2"/>
      <w:sz w:val="28"/>
      <w:szCs w:val="28"/>
    </w:rPr>
  </w:style>
  <w:style w:type="character" w:customStyle="1" w:styleId="39">
    <w:name w:val="标题 6 Char"/>
    <w:link w:val="7"/>
    <w:qFormat/>
    <w:uiPriority w:val="0"/>
    <w:rPr>
      <w:rFonts w:ascii="Arial" w:hAnsi="Arial" w:eastAsia="黑体"/>
      <w:b/>
      <w:bCs/>
      <w:kern w:val="2"/>
      <w:sz w:val="24"/>
      <w:szCs w:val="24"/>
    </w:rPr>
  </w:style>
  <w:style w:type="character" w:customStyle="1" w:styleId="40">
    <w:name w:val="标题 7 Char"/>
    <w:link w:val="8"/>
    <w:qFormat/>
    <w:uiPriority w:val="0"/>
    <w:rPr>
      <w:b/>
      <w:bCs/>
      <w:kern w:val="2"/>
      <w:sz w:val="24"/>
      <w:szCs w:val="24"/>
    </w:rPr>
  </w:style>
  <w:style w:type="character" w:customStyle="1" w:styleId="41">
    <w:name w:val="标题 8 Char"/>
    <w:link w:val="9"/>
    <w:qFormat/>
    <w:uiPriority w:val="0"/>
    <w:rPr>
      <w:rFonts w:ascii="Arial" w:hAnsi="Arial" w:eastAsia="黑体"/>
      <w:kern w:val="2"/>
      <w:sz w:val="24"/>
      <w:szCs w:val="24"/>
    </w:rPr>
  </w:style>
  <w:style w:type="character" w:customStyle="1" w:styleId="42">
    <w:name w:val="标题 9 Char"/>
    <w:link w:val="10"/>
    <w:qFormat/>
    <w:uiPriority w:val="0"/>
    <w:rPr>
      <w:rFonts w:ascii="Arial" w:hAnsi="Arial" w:eastAsia="黑体"/>
      <w:kern w:val="2"/>
      <w:sz w:val="21"/>
      <w:szCs w:val="21"/>
    </w:rPr>
  </w:style>
  <w:style w:type="character" w:customStyle="1" w:styleId="43">
    <w:name w:val="页眉 Char"/>
    <w:link w:val="18"/>
    <w:qFormat/>
    <w:uiPriority w:val="99"/>
    <w:rPr>
      <w:kern w:val="2"/>
      <w:sz w:val="18"/>
      <w:szCs w:val="18"/>
    </w:rPr>
  </w:style>
  <w:style w:type="character" w:customStyle="1" w:styleId="44">
    <w:name w:val="页脚 Char"/>
    <w:link w:val="17"/>
    <w:qFormat/>
    <w:uiPriority w:val="99"/>
    <w:rPr>
      <w:rFonts w:ascii="宋体"/>
      <w:kern w:val="2"/>
      <w:sz w:val="18"/>
      <w:szCs w:val="18"/>
    </w:rPr>
  </w:style>
  <w:style w:type="character" w:customStyle="1" w:styleId="45">
    <w:name w:val="批注框文本 Char"/>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Char"/>
    <w:link w:val="46"/>
    <w:qFormat/>
    <w:uiPriority w:val="29"/>
    <w:rPr>
      <w:i/>
      <w:iCs/>
      <w:color w:val="000000"/>
      <w:kern w:val="2"/>
      <w:sz w:val="21"/>
      <w:szCs w:val="21"/>
    </w:rPr>
  </w:style>
  <w:style w:type="character" w:customStyle="1" w:styleId="48">
    <w:name w:val="标题 Char"/>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Char"/>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Char"/>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paragraph" w:customStyle="1" w:styleId="230">
    <w:name w:val="章标题"/>
    <w:next w:val="1"/>
    <w:qFormat/>
    <w:uiPriority w:val="0"/>
    <w:pPr>
      <w:numPr>
        <w:ilvl w:val="0"/>
        <w:numId w:val="32"/>
      </w:numPr>
      <w:spacing w:beforeLines="100" w:afterLines="100"/>
      <w:jc w:val="both"/>
      <w:outlineLvl w:val="1"/>
    </w:pPr>
    <w:rPr>
      <w:rFonts w:ascii="黑体" w:hAnsi="Times New Roman" w:eastAsia="黑体" w:cs="Times New Roman"/>
      <w:sz w:val="21"/>
      <w:lang w:val="en-US" w:eastAsia="zh-CN" w:bidi="ar-SA"/>
    </w:rPr>
  </w:style>
  <w:style w:type="paragraph" w:customStyle="1" w:styleId="231">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glossaryDocument" Target="glossary/document.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4.jpeg"/><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F37FAD6B03E451AA4F6A539FD9169FF"/>
        <w:style w:val=""/>
        <w:category>
          <w:name w:val="常规"/>
          <w:gallery w:val="placeholder"/>
        </w:category>
        <w:types>
          <w:type w:val="bbPlcHdr"/>
        </w:types>
        <w:behaviors>
          <w:behavior w:val="content"/>
        </w:behaviors>
        <w:description w:val=""/>
        <w:guid w:val="{18C3A24E-8C92-4FAF-A302-26DCFC99B846}"/>
      </w:docPartPr>
      <w:docPartBody>
        <w:p w14:paraId="45682D70">
          <w:pPr>
            <w:pStyle w:val="5"/>
          </w:pPr>
          <w:r>
            <w:rPr>
              <w:rStyle w:val="4"/>
              <w:rFonts w:hint="eastAsia"/>
            </w:rPr>
            <w:t>单击或点击此处输入文字。</w:t>
          </w:r>
        </w:p>
      </w:docPartBody>
    </w:docPart>
    <w:docPart>
      <w:docPartPr>
        <w:name w:val="E20214479D9946F9ACCFB85993E9493E"/>
        <w:style w:val=""/>
        <w:category>
          <w:name w:val="常规"/>
          <w:gallery w:val="placeholder"/>
        </w:category>
        <w:types>
          <w:type w:val="bbPlcHdr"/>
        </w:types>
        <w:behaviors>
          <w:behavior w:val="content"/>
        </w:behaviors>
        <w:description w:val=""/>
        <w:guid w:val="{4F7755A7-54F3-462D-9A77-A1AA1ADEE32E}"/>
      </w:docPartPr>
      <w:docPartBody>
        <w:p w14:paraId="419D200D">
          <w:pPr>
            <w:pStyle w:val="6"/>
          </w:pPr>
          <w:r>
            <w:rPr>
              <w:rStyle w:val="4"/>
              <w:rFonts w:hint="eastAsia"/>
            </w:rPr>
            <w:t>选择一项。</w:t>
          </w:r>
        </w:p>
      </w:docPartBody>
    </w:docPart>
    <w:docPart>
      <w:docPartPr>
        <w:name w:val="254700745DDB40F9AB715A099C88D3B3"/>
        <w:style w:val=""/>
        <w:category>
          <w:name w:val="常规"/>
          <w:gallery w:val="placeholder"/>
        </w:category>
        <w:types>
          <w:type w:val="bbPlcHdr"/>
        </w:types>
        <w:behaviors>
          <w:behavior w:val="content"/>
        </w:behaviors>
        <w:description w:val=""/>
        <w:guid w:val="{68A9F2B4-EF5D-414B-A229-953F42639382}"/>
      </w:docPartPr>
      <w:docPartBody>
        <w:p w14:paraId="548DC1E9">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279"/>
    <w:rsid w:val="009242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DF37FAD6B03E451AA4F6A539FD9169F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E20214479D9946F9ACCFB85993E9493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254700745DDB40F9AB715A099C88D3B3"/>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32F7E9-C79D-4512-9837-F13BC2D781E3}">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8</Pages>
  <Words>2116</Words>
  <Characters>2590</Characters>
  <Lines>69</Lines>
  <Paragraphs>62</Paragraphs>
  <TotalTime>5</TotalTime>
  <ScaleCrop>false</ScaleCrop>
  <LinksUpToDate>false</LinksUpToDate>
  <CharactersWithSpaces>2933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2024-05-07T05:38:00Z</dcterms:created>
  <dc:creator>xb21cn</dc:creator>
  <dc:description>&lt;config cover="true" show_menu="true" version="1.0.0" doctype="SDKXY"&gt;_x000d_
&lt;/config&gt;</dc:description>
  <cp:lastModifiedBy>郑进生</cp:lastModifiedBy>
  <cp:lastPrinted>2021-02-02T08:22:00Z</cp:lastPrinted>
  <dcterms:modified xsi:type="dcterms:W3CDTF">2024-10-08T03:42:38Z</dcterms:modified>
  <dc:title>团体标准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2052-12.1.0.18276</vt:lpwstr>
  </property>
  <property fmtid="{D5CDD505-2E9C-101B-9397-08002B2CF9AE}" pid="15" name="ICV">
    <vt:lpwstr>881FB4303C9941BF8083E1DE1D9AE315_12</vt:lpwstr>
  </property>
</Properties>
</file>