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27AC67">
      <w:pPr>
        <w:pStyle w:val="28"/>
        <w:bidi w:val="0"/>
        <w:rPr>
          <w:rFonts w:hint="eastAsia"/>
          <w:lang w:val="en-US" w:eastAsia="zh-CN"/>
        </w:rPr>
      </w:pPr>
      <w:r>
        <w:rPr>
          <w:rFonts w:hint="eastAsia"/>
          <w:lang w:val="en-US" w:eastAsia="zh-CN"/>
        </w:rPr>
        <w:fldChar w:fldCharType="begin">
          <w:ffData>
            <w:name w:val="TMark1"/>
            <w:enabled/>
            <w:calcOnExit w:val="0"/>
            <w:textInput/>
          </w:ffData>
        </w:fldChar>
      </w:r>
      <w:bookmarkStart w:id="0" w:name="TMark1"/>
      <w:r>
        <w:rPr>
          <w:rFonts w:hint="eastAsia"/>
          <w:lang w:val="en-US" w:eastAsia="zh-CN"/>
        </w:rPr>
        <w:instrText xml:space="preserve">FORMTEXT</w:instrText>
      </w:r>
      <w:r>
        <w:rPr>
          <w:rFonts w:hint="eastAsia"/>
          <w:lang w:val="en-US" w:eastAsia="zh-CN"/>
        </w:rPr>
        <w:fldChar w:fldCharType="separate"/>
      </w:r>
      <w:r>
        <w:rPr>
          <w:rFonts w:hint="default"/>
          <w:lang w:val="en-US" w:eastAsia="zh-CN"/>
        </w:rPr>
        <w:t>     </w:t>
      </w:r>
      <w:r>
        <w:rPr>
          <w:rFonts w:hint="eastAsia"/>
          <w:lang w:val="en-US" w:eastAsia="zh-CN"/>
        </w:rPr>
        <w:fldChar w:fldCharType="end"/>
      </w:r>
      <w:bookmarkEnd w:id="0"/>
      <w:r>
        <w:rPr>
          <w:rFonts w:hint="eastAsia"/>
          <w:lang w:val="en-US" w:eastAsia="zh-CN"/>
        </w:rPr>
        <w:t>团体标准</w:t>
      </w:r>
    </w:p>
    <w:p w14:paraId="39A68339">
      <w:pPr>
        <w:pStyle w:val="39"/>
        <w:bidi w:val="0"/>
        <w:rPr>
          <w:rFonts w:hint="eastAsia"/>
          <w:lang w:val="en-US" w:eastAsia="zh-CN"/>
        </w:rPr>
      </w:pPr>
      <w:r>
        <w:rPr>
          <w:rFonts w:hint="eastAsia"/>
          <w:lang w:val="en-US" w:eastAsia="zh-CN"/>
        </w:rPr>
        <w:fldChar w:fldCharType="begin">
          <w:ffData>
            <w:name w:val="StandNo"/>
            <w:enabled/>
            <w:calcOnExit w:val="0"/>
            <w:textInput>
              <w:default w:val="T/JALNCP XXX—XXXX"/>
            </w:textInput>
          </w:ffData>
        </w:fldChar>
      </w:r>
      <w:bookmarkStart w:id="1" w:name="StandNo"/>
      <w:r>
        <w:rPr>
          <w:rFonts w:hint="eastAsia"/>
          <w:lang w:val="en-US" w:eastAsia="zh-CN"/>
        </w:rPr>
        <w:instrText xml:space="preserve">FORMTEXT</w:instrText>
      </w:r>
      <w:r>
        <w:rPr>
          <w:rFonts w:hint="eastAsia"/>
          <w:lang w:val="en-US" w:eastAsia="zh-CN"/>
        </w:rPr>
        <w:fldChar w:fldCharType="separate"/>
      </w:r>
      <w:r>
        <w:rPr>
          <w:rFonts w:hint="eastAsia"/>
          <w:lang w:val="en-US" w:eastAsia="zh-CN"/>
        </w:rPr>
        <w:t>T/JALNCP XXX—XXXX</w:t>
      </w:r>
      <w:r>
        <w:rPr>
          <w:rFonts w:hint="eastAsia"/>
          <w:lang w:val="en-US" w:eastAsia="zh-CN"/>
        </w:rPr>
        <w:fldChar w:fldCharType="end"/>
      </w:r>
      <w:bookmarkEnd w:id="1"/>
    </w:p>
    <w:p w14:paraId="7492217E">
      <w:pPr>
        <w:pStyle w:val="38"/>
        <w:bidi w:val="0"/>
        <w:rPr>
          <w:rFonts w:hint="eastAsia"/>
          <w:lang w:val="en-US" w:eastAsia="zh-CN"/>
        </w:rPr>
      </w:pPr>
      <w:r>
        <w:rPr>
          <w:rFonts w:hint="eastAsia"/>
          <w:lang w:val="en-US" w:eastAsia="zh-CN"/>
        </w:rPr>
        <w:fldChar w:fldCharType="begin">
          <w:ffData>
            <w:name w:val="ReplaceT"/>
            <w:enabled/>
            <w:calcOnExit w:val="0"/>
            <w:textInput/>
          </w:ffData>
        </w:fldChar>
      </w:r>
      <w:bookmarkStart w:id="2" w:name="ReplaceT"/>
      <w:r>
        <w:rPr>
          <w:rFonts w:hint="eastAsia"/>
          <w:lang w:val="en-US" w:eastAsia="zh-CN"/>
        </w:rPr>
        <w:instrText xml:space="preserve">FORMTEXT</w:instrText>
      </w:r>
      <w:r>
        <w:rPr>
          <w:rFonts w:hint="eastAsia"/>
          <w:lang w:val="en-US" w:eastAsia="zh-CN"/>
        </w:rPr>
        <w:fldChar w:fldCharType="separate"/>
      </w:r>
      <w:r>
        <w:rPr>
          <w:rFonts w:hint="default"/>
          <w:lang w:val="en-US" w:eastAsia="zh-CN"/>
        </w:rPr>
        <w:t>     </w:t>
      </w:r>
      <w:r>
        <w:rPr>
          <w:rFonts w:hint="eastAsia"/>
          <w:lang w:val="en-US" w:eastAsia="zh-CN"/>
        </w:rPr>
        <w:fldChar w:fldCharType="end"/>
      </w:r>
      <w:bookmarkEnd w:id="2"/>
    </w:p>
    <w:tbl>
      <w:tblPr>
        <w:tblStyle w:val="20"/>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741"/>
      </w:tblGrid>
      <w:tr w14:paraId="5C7C6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889" w:type="dxa"/>
            <w:tcBorders>
              <w:top w:val="single" w:color="auto" w:sz="8" w:space="0"/>
            </w:tcBorders>
          </w:tcPr>
          <w:p w14:paraId="454FB240">
            <w:pPr>
              <w:pStyle w:val="33"/>
              <w:widowControl w:val="0"/>
              <w:bidi w:val="0"/>
              <w:jc w:val="both"/>
              <w:rPr>
                <w:rFonts w:hint="eastAsia"/>
                <w:sz w:val="10"/>
                <w:vertAlign w:val="baseline"/>
                <w:lang w:val="en-US" w:eastAsia="zh-CN"/>
              </w:rPr>
            </w:pPr>
          </w:p>
        </w:tc>
      </w:tr>
    </w:tbl>
    <w:p w14:paraId="7BC200F4">
      <w:pPr>
        <w:pStyle w:val="40"/>
        <w:framePr w:wrap="around"/>
        <w:bidi w:val="0"/>
        <w:rPr>
          <w:rFonts w:hint="default"/>
          <w:lang w:val="en-US" w:eastAsia="zh-CN"/>
        </w:rPr>
      </w:pPr>
      <w:bookmarkStart w:id="3" w:name="StdName"/>
      <w:r>
        <w:rPr>
          <w:rFonts w:hint="default" w:ascii="黑体" w:hAnsi="Times New Roman" w:eastAsia="黑体" w:cs="Times New Roman"/>
          <w:sz w:val="52"/>
          <w:lang w:val="en-US" w:eastAsia="zh-CN"/>
        </w:rPr>
        <w:fldChar w:fldCharType="begin">
          <w:ffData>
            <w:name w:val="StdName"/>
            <w:enabled/>
            <w:calcOnExit w:val="0"/>
            <w:textInput>
              <w:default w:val="井冈山“红美人”柑橘"/>
            </w:textInput>
          </w:ffData>
        </w:fldChar>
      </w:r>
      <w:r>
        <w:rPr>
          <w:rFonts w:hint="default" w:ascii="黑体" w:hAnsi="Times New Roman" w:eastAsia="黑体" w:cs="Times New Roman"/>
          <w:sz w:val="52"/>
          <w:lang w:val="en-US" w:eastAsia="zh-CN"/>
        </w:rPr>
        <w:instrText xml:space="preserve">FORMTEXT</w:instrText>
      </w:r>
      <w:r>
        <w:rPr>
          <w:rFonts w:hint="default" w:ascii="黑体" w:hAnsi="Times New Roman" w:eastAsia="黑体" w:cs="Times New Roman"/>
          <w:sz w:val="52"/>
          <w:lang w:val="en-US" w:eastAsia="zh-CN"/>
        </w:rPr>
        <w:fldChar w:fldCharType="separate"/>
      </w:r>
      <w:r>
        <w:rPr>
          <w:rFonts w:hint="eastAsia" w:cs="Times New Roman"/>
          <w:sz w:val="52"/>
          <w:lang w:val="en-US" w:eastAsia="zh-CN"/>
        </w:rPr>
        <w:t>井冈山薄酥饼</w:t>
      </w:r>
      <w:r>
        <w:rPr>
          <w:rFonts w:hint="default" w:ascii="黑体" w:hAnsi="Times New Roman" w:eastAsia="黑体" w:cs="Times New Roman"/>
          <w:sz w:val="52"/>
          <w:lang w:val="en-US" w:eastAsia="zh-CN"/>
        </w:rPr>
        <w:fldChar w:fldCharType="end"/>
      </w:r>
      <w:bookmarkEnd w:id="3"/>
    </w:p>
    <w:p w14:paraId="06C516FC">
      <w:pPr>
        <w:pStyle w:val="41"/>
        <w:bidi w:val="0"/>
        <w:rPr>
          <w:rFonts w:hint="eastAsia"/>
          <w:lang w:val="en-US" w:eastAsia="zh-CN"/>
        </w:rPr>
      </w:pPr>
      <w:bookmarkStart w:id="4" w:name="StdEnglishName"/>
      <w:r>
        <w:rPr>
          <w:rFonts w:hint="eastAsia" w:ascii="Times New Roman" w:hAnsi="Times New Roman" w:eastAsia="黑体" w:cs="Times New Roman"/>
          <w:sz w:val="28"/>
          <w:szCs w:val="28"/>
          <w:lang w:val="en-US" w:eastAsia="zh-CN"/>
        </w:rPr>
        <w:fldChar w:fldCharType="begin">
          <w:ffData>
            <w:name w:val="StdEnglishName"/>
            <w:enabled/>
            <w:calcOnExit w:val="0"/>
            <w:textInput>
              <w:default w:val="Jinggangshan citrus hybrid 'Hongmeiren'"/>
            </w:textInput>
          </w:ffData>
        </w:fldChar>
      </w:r>
      <w:r>
        <w:rPr>
          <w:rFonts w:hint="eastAsia" w:ascii="Times New Roman" w:hAnsi="Times New Roman" w:eastAsia="黑体" w:cs="Times New Roman"/>
          <w:sz w:val="28"/>
          <w:szCs w:val="28"/>
          <w:lang w:val="en-US" w:eastAsia="zh-CN"/>
        </w:rPr>
        <w:instrText xml:space="preserve">FORMTEXT</w:instrText>
      </w:r>
      <w:r>
        <w:rPr>
          <w:rFonts w:hint="eastAsia" w:ascii="Times New Roman" w:hAnsi="Times New Roman" w:eastAsia="黑体" w:cs="Times New Roman"/>
          <w:sz w:val="28"/>
          <w:szCs w:val="28"/>
          <w:lang w:val="en-US" w:eastAsia="zh-CN"/>
        </w:rPr>
        <w:fldChar w:fldCharType="separate"/>
      </w:r>
      <w:r>
        <w:rPr>
          <w:rFonts w:hint="default" w:ascii="Times New Roman" w:hAnsi="Times New Roman" w:eastAsia="宋体" w:cs="Times New Roman"/>
          <w:sz w:val="28"/>
          <w:szCs w:val="28"/>
          <w:lang w:val="en-US" w:eastAsia="zh-CN"/>
        </w:rPr>
        <w:t>Jinggangshan w</w:t>
      </w:r>
      <w:r>
        <w:rPr>
          <w:rFonts w:hint="default" w:ascii="Times New Roman" w:hAnsi="Times New Roman" w:eastAsia="宋体" w:cs="Times New Roman"/>
          <w:sz w:val="28"/>
          <w:szCs w:val="28"/>
        </w:rPr>
        <w:t>afer</w:t>
      </w:r>
      <w:r>
        <w:rPr>
          <w:rFonts w:hint="eastAsia" w:ascii="Times New Roman" w:hAnsi="Times New Roman" w:eastAsia="黑体" w:cs="Times New Roman"/>
          <w:sz w:val="28"/>
          <w:szCs w:val="28"/>
          <w:lang w:val="en-US" w:eastAsia="zh-CN"/>
        </w:rPr>
        <w:fldChar w:fldCharType="end"/>
      </w:r>
      <w:bookmarkEnd w:id="4"/>
    </w:p>
    <w:p w14:paraId="16F9233F">
      <w:pPr>
        <w:pStyle w:val="42"/>
        <w:bidi w:val="0"/>
        <w:rPr>
          <w:rFonts w:hint="eastAsia"/>
          <w:lang w:val="en-US" w:eastAsia="zh-CN"/>
        </w:rPr>
      </w:pPr>
      <w:r>
        <w:rPr>
          <w:rFonts w:hint="eastAsia" w:cs="Times New Roman"/>
          <w:sz w:val="28"/>
          <w:lang w:val="en-US" w:eastAsia="zh-CN"/>
        </w:rPr>
        <w:t xml:space="preserve"> </w:t>
      </w:r>
    </w:p>
    <w:p w14:paraId="4ADA91BB">
      <w:pPr>
        <w:pStyle w:val="43"/>
        <w:bidi w:val="0"/>
        <w:spacing w:after="0"/>
        <w:rPr>
          <w:rFonts w:hint="eastAsia"/>
          <w:lang w:val="en-US" w:eastAsia="zh-CN"/>
        </w:rPr>
      </w:pPr>
      <w:bookmarkStart w:id="5" w:name="LB"/>
      <w:r>
        <w:rPr>
          <w:rFonts w:hint="eastAsia" w:ascii="黑体" w:hAnsi="黑体" w:eastAsia="黑体" w:cs="黑体"/>
          <w:sz w:val="24"/>
          <w:lang w:val="en-US" w:eastAsia="zh-CN"/>
        </w:rPr>
        <w:fldChar w:fldCharType="begin">
          <w:ffData>
            <w:name w:val="LB"/>
            <w:enabled/>
            <w:calcOnExit w:val="0"/>
            <w:ddList>
              <w:listEntry w:val="     "/>
              <w:listEntry w:val="草案版次选择"/>
              <w:listEntry w:val="（工作组讨论稿）"/>
              <w:listEntry w:val="（征求意见稿）"/>
              <w:listEntry w:val="（送审讨论稿）"/>
              <w:listEntry w:val="（送审稿）"/>
              <w:listEntry w:val="（报批稿）"/>
            </w:ddList>
          </w:ffData>
        </w:fldChar>
      </w:r>
      <w:r>
        <w:rPr>
          <w:rFonts w:hint="eastAsia" w:ascii="黑体" w:hAnsi="黑体" w:eastAsia="黑体" w:cs="黑体"/>
          <w:sz w:val="24"/>
          <w:lang w:val="en-US" w:eastAsia="zh-CN"/>
        </w:rPr>
        <w:instrText xml:space="preserve">FORMDROPDOWN</w:instrText>
      </w:r>
      <w:r>
        <w:rPr>
          <w:rFonts w:hint="eastAsia" w:ascii="黑体" w:hAnsi="黑体" w:eastAsia="黑体" w:cs="黑体"/>
          <w:sz w:val="24"/>
          <w:lang w:val="en-US" w:eastAsia="zh-CN"/>
        </w:rPr>
        <w:fldChar w:fldCharType="separate"/>
      </w:r>
      <w:r>
        <w:rPr>
          <w:rFonts w:hint="eastAsia" w:ascii="黑体" w:hAnsi="黑体" w:eastAsia="黑体" w:cs="黑体"/>
          <w:sz w:val="24"/>
          <w:lang w:val="en-US" w:eastAsia="zh-CN"/>
        </w:rPr>
        <w:fldChar w:fldCharType="end"/>
      </w:r>
      <w:bookmarkEnd w:id="5"/>
    </w:p>
    <w:p w14:paraId="2064375F">
      <w:pPr>
        <w:pStyle w:val="44"/>
        <w:bidi w:val="0"/>
        <w:spacing w:before="100"/>
        <w:rPr>
          <w:rFonts w:hint="eastAsia"/>
          <w:lang w:val="en-US" w:eastAsia="zh-CN"/>
        </w:rPr>
      </w:pPr>
      <w:r>
        <w:rPr>
          <w:rFonts w:hint="eastAsia"/>
          <w:lang w:val="en-US" w:eastAsia="zh-CN"/>
        </w:rPr>
        <w:fldChar w:fldCharType="begin">
          <w:ffData>
            <w:name w:val="WCRQ"/>
            <w:enabled/>
            <w:calcOnExit w:val="0"/>
            <w:textInput/>
          </w:ffData>
        </w:fldChar>
      </w:r>
      <w:bookmarkStart w:id="6" w:name="WCRQ"/>
      <w:r>
        <w:rPr>
          <w:rFonts w:hint="eastAsia"/>
          <w:lang w:val="en-US" w:eastAsia="zh-CN"/>
        </w:rPr>
        <w:instrText xml:space="preserve">FORMTEXT</w:instrText>
      </w:r>
      <w:r>
        <w:rPr>
          <w:rFonts w:hint="eastAsia"/>
          <w:lang w:val="en-US" w:eastAsia="zh-CN"/>
        </w:rPr>
        <w:fldChar w:fldCharType="separate"/>
      </w:r>
      <w:r>
        <w:rPr>
          <w:rFonts w:hint="default"/>
          <w:lang w:val="en-US" w:eastAsia="zh-CN"/>
        </w:rPr>
        <w:t>     </w:t>
      </w:r>
      <w:r>
        <w:rPr>
          <w:rFonts w:hint="eastAsia"/>
          <w:lang w:val="en-US" w:eastAsia="zh-CN"/>
        </w:rPr>
        <w:fldChar w:fldCharType="end"/>
      </w:r>
      <w:bookmarkEnd w:id="6"/>
    </w:p>
    <w:p w14:paraId="5A8A1B37">
      <w:pPr>
        <w:pStyle w:val="45"/>
        <w:bidi w:val="0"/>
        <w:spacing w:before="687" w:beforeLines="220"/>
        <w:rPr>
          <w:rFonts w:hint="eastAsia"/>
          <w:lang w:val="en-US" w:eastAsia="zh-CN"/>
        </w:rPr>
      </w:pPr>
      <w:bookmarkStart w:id="7" w:name="FileSelect"/>
      <w:r>
        <w:rPr>
          <w:rFonts w:hint="eastAsia" w:ascii="Times New Roman" w:hAnsi="Times New Roman" w:eastAsia="黑体" w:cs="Times New Roman"/>
          <w:b/>
          <w:sz w:val="21"/>
          <w:lang w:val="en-US" w:eastAsia="zh-CN"/>
        </w:rPr>
        <w:fldChar w:fldCharType="begin">
          <w:ffData>
            <w:name w:val="FileSelect"/>
            <w:enabled/>
            <w:calcOnExit w:val="0"/>
            <w:ddList>
              <w:listEntry w:val="     "/>
              <w:listEntry w:val="在提交反馈意见时，请将您知道的相关专利连同支持性文件一并附上。"/>
            </w:ddList>
          </w:ffData>
        </w:fldChar>
      </w:r>
      <w:r>
        <w:rPr>
          <w:rFonts w:hint="eastAsia" w:ascii="Times New Roman" w:hAnsi="Times New Roman" w:eastAsia="黑体" w:cs="Times New Roman"/>
          <w:b/>
          <w:sz w:val="21"/>
          <w:lang w:val="en-US" w:eastAsia="zh-CN"/>
        </w:rPr>
        <w:instrText xml:space="preserve">FORMDROPDOWN</w:instrText>
      </w:r>
      <w:r>
        <w:rPr>
          <w:rFonts w:hint="eastAsia" w:ascii="Times New Roman" w:hAnsi="Times New Roman" w:eastAsia="黑体" w:cs="Times New Roman"/>
          <w:b/>
          <w:sz w:val="21"/>
          <w:lang w:val="en-US" w:eastAsia="zh-CN"/>
        </w:rPr>
        <w:fldChar w:fldCharType="separate"/>
      </w:r>
      <w:r>
        <w:rPr>
          <w:rFonts w:hint="eastAsia" w:ascii="Times New Roman" w:hAnsi="Times New Roman" w:eastAsia="黑体" w:cs="Times New Roman"/>
          <w:b/>
          <w:sz w:val="21"/>
          <w:lang w:val="en-US" w:eastAsia="zh-CN"/>
        </w:rPr>
        <w:fldChar w:fldCharType="end"/>
      </w:r>
      <w:bookmarkEnd w:id="7"/>
    </w:p>
    <w:tbl>
      <w:tblPr>
        <w:tblStyle w:val="20"/>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70"/>
        <w:gridCol w:w="4871"/>
      </w:tblGrid>
      <w:tr w14:paraId="517FB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3" w:hRule="exact"/>
        </w:trPr>
        <w:tc>
          <w:tcPr>
            <w:tcW w:w="4944" w:type="dxa"/>
            <w:tcBorders>
              <w:bottom w:val="single" w:color="auto" w:sz="8" w:space="0"/>
            </w:tcBorders>
            <w:tcMar>
              <w:left w:w="57" w:type="dxa"/>
              <w:bottom w:w="28" w:type="dxa"/>
            </w:tcMar>
          </w:tcPr>
          <w:p w14:paraId="65444BA1">
            <w:pPr>
              <w:pStyle w:val="37"/>
              <w:widowControl w:val="0"/>
              <w:bidi w:val="0"/>
              <w:jc w:val="both"/>
              <w:rPr>
                <w:rFonts w:hint="eastAsia"/>
                <w:vertAlign w:val="baseline"/>
                <w:lang w:val="en-US" w:eastAsia="zh-CN"/>
              </w:rPr>
            </w:pPr>
            <w:bookmarkStart w:id="8" w:name="FY"/>
            <w:r>
              <w:rPr>
                <w:rFonts w:hint="eastAsia" w:ascii="黑体" w:hAnsi="Times New Roman" w:eastAsia="黑体" w:cs="Times New Roman"/>
                <w:sz w:val="28"/>
                <w:vertAlign w:val="baseline"/>
                <w:lang w:val="en-US" w:eastAsia="zh-CN"/>
              </w:rPr>
              <w:fldChar w:fldCharType="begin">
                <w:ffData>
                  <w:name w:val="FY"/>
                  <w:enabled/>
                  <w:calcOnExit w:val="0"/>
                  <w:textInput>
                    <w:default w:val="2024"/>
                    <w:maxLength w:val="4"/>
                  </w:textInput>
                </w:ffData>
              </w:fldChar>
            </w:r>
            <w:r>
              <w:rPr>
                <w:rFonts w:hint="eastAsia" w:ascii="黑体" w:hAnsi="Times New Roman" w:eastAsia="黑体" w:cs="Times New Roman"/>
                <w:sz w:val="28"/>
                <w:vertAlign w:val="baseline"/>
                <w:lang w:val="en-US" w:eastAsia="zh-CN"/>
              </w:rPr>
              <w:instrText xml:space="preserve">FORMTEXT</w:instrText>
            </w:r>
            <w:r>
              <w:rPr>
                <w:rFonts w:hint="eastAsia" w:ascii="黑体" w:hAnsi="Times New Roman" w:eastAsia="黑体" w:cs="Times New Roman"/>
                <w:sz w:val="28"/>
                <w:vertAlign w:val="baseline"/>
                <w:lang w:val="en-US" w:eastAsia="zh-CN"/>
              </w:rPr>
              <w:fldChar w:fldCharType="separate"/>
            </w:r>
            <w:r>
              <w:rPr>
                <w:rFonts w:hint="eastAsia" w:ascii="黑体" w:hAnsi="Times New Roman" w:eastAsia="黑体" w:cs="Times New Roman"/>
                <w:sz w:val="28"/>
                <w:vertAlign w:val="baseline"/>
                <w:lang w:val="en-US" w:eastAsia="zh-CN"/>
              </w:rPr>
              <w:t>2024</w:t>
            </w:r>
            <w:r>
              <w:rPr>
                <w:rFonts w:hint="eastAsia" w:ascii="黑体" w:hAnsi="Times New Roman" w:eastAsia="黑体" w:cs="Times New Roman"/>
                <w:sz w:val="28"/>
                <w:vertAlign w:val="baseline"/>
                <w:lang w:val="en-US" w:eastAsia="zh-CN"/>
              </w:rPr>
              <w:fldChar w:fldCharType="end"/>
            </w:r>
            <w:bookmarkEnd w:id="8"/>
            <w:r>
              <w:rPr>
                <w:rFonts w:hint="eastAsia"/>
                <w:vertAlign w:val="baseline"/>
                <w:lang w:val="en-US" w:eastAsia="zh-CN"/>
              </w:rPr>
              <w:t xml:space="preserve"> - </w:t>
            </w:r>
            <w:r>
              <w:rPr>
                <w:rFonts w:hint="eastAsia"/>
                <w:vertAlign w:val="baseline"/>
                <w:lang w:val="en-US" w:eastAsia="zh-CN"/>
              </w:rPr>
              <w:fldChar w:fldCharType="begin">
                <w:ffData>
                  <w:name w:val="FM"/>
                  <w:enabled/>
                  <w:calcOnExit w:val="0"/>
                  <w:textInput>
                    <w:default w:val="XX"/>
                    <w:maxLength w:val="2"/>
                  </w:textInput>
                </w:ffData>
              </w:fldChar>
            </w:r>
            <w:bookmarkStart w:id="9" w:name="FM"/>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9"/>
            <w:r>
              <w:rPr>
                <w:rFonts w:hint="eastAsia"/>
                <w:vertAlign w:val="baseline"/>
                <w:lang w:val="en-US" w:eastAsia="zh-CN"/>
              </w:rPr>
              <w:t xml:space="preserve"> - </w:t>
            </w:r>
            <w:r>
              <w:rPr>
                <w:rFonts w:hint="eastAsia"/>
                <w:vertAlign w:val="baseline"/>
                <w:lang w:val="en-US" w:eastAsia="zh-CN"/>
              </w:rPr>
              <w:fldChar w:fldCharType="begin">
                <w:ffData>
                  <w:name w:val="FD"/>
                  <w:enabled/>
                  <w:calcOnExit w:val="0"/>
                  <w:textInput>
                    <w:default w:val="XX"/>
                    <w:maxLength w:val="2"/>
                  </w:textInput>
                </w:ffData>
              </w:fldChar>
            </w:r>
            <w:bookmarkStart w:id="10" w:name="FD"/>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10"/>
            <w:r>
              <w:rPr>
                <w:rFonts w:hint="eastAsia"/>
                <w:vertAlign w:val="baseline"/>
                <w:lang w:val="en-US" w:eastAsia="zh-CN"/>
              </w:rPr>
              <w:t xml:space="preserve"> 发布</w:t>
            </w:r>
          </w:p>
        </w:tc>
        <w:tc>
          <w:tcPr>
            <w:tcW w:w="4945" w:type="dxa"/>
            <w:tcBorders>
              <w:bottom w:val="single" w:color="auto" w:sz="8" w:space="0"/>
            </w:tcBorders>
            <w:tcMar>
              <w:right w:w="57" w:type="dxa"/>
            </w:tcMar>
          </w:tcPr>
          <w:p w14:paraId="15CBA92C">
            <w:pPr>
              <w:pStyle w:val="37"/>
              <w:widowControl w:val="0"/>
              <w:bidi w:val="0"/>
              <w:jc w:val="right"/>
              <w:rPr>
                <w:rFonts w:hint="eastAsia"/>
                <w:vertAlign w:val="baseline"/>
                <w:lang w:val="en-US" w:eastAsia="zh-CN"/>
              </w:rPr>
            </w:pPr>
            <w:bookmarkStart w:id="11" w:name="SY"/>
            <w:r>
              <w:rPr>
                <w:rFonts w:hint="eastAsia" w:ascii="黑体" w:hAnsi="Times New Roman" w:eastAsia="黑体" w:cs="Times New Roman"/>
                <w:sz w:val="28"/>
                <w:vertAlign w:val="baseline"/>
                <w:lang w:val="en-US" w:eastAsia="zh-CN"/>
              </w:rPr>
              <w:fldChar w:fldCharType="begin">
                <w:ffData>
                  <w:name w:val="SY"/>
                  <w:enabled/>
                  <w:calcOnExit w:val="0"/>
                  <w:textInput>
                    <w:default w:val="2024"/>
                    <w:maxLength w:val="4"/>
                  </w:textInput>
                </w:ffData>
              </w:fldChar>
            </w:r>
            <w:r>
              <w:rPr>
                <w:rFonts w:hint="eastAsia" w:ascii="黑体" w:hAnsi="Times New Roman" w:eastAsia="黑体" w:cs="Times New Roman"/>
                <w:sz w:val="28"/>
                <w:vertAlign w:val="baseline"/>
                <w:lang w:val="en-US" w:eastAsia="zh-CN"/>
              </w:rPr>
              <w:instrText xml:space="preserve">FORMTEXT</w:instrText>
            </w:r>
            <w:r>
              <w:rPr>
                <w:rFonts w:hint="eastAsia" w:ascii="黑体" w:hAnsi="Times New Roman" w:eastAsia="黑体" w:cs="Times New Roman"/>
                <w:sz w:val="28"/>
                <w:vertAlign w:val="baseline"/>
                <w:lang w:val="en-US" w:eastAsia="zh-CN"/>
              </w:rPr>
              <w:fldChar w:fldCharType="separate"/>
            </w:r>
            <w:r>
              <w:rPr>
                <w:rFonts w:hint="eastAsia" w:ascii="黑体" w:hAnsi="Times New Roman" w:eastAsia="黑体" w:cs="Times New Roman"/>
                <w:sz w:val="28"/>
                <w:vertAlign w:val="baseline"/>
                <w:lang w:val="en-US" w:eastAsia="zh-CN"/>
              </w:rPr>
              <w:t>2024</w:t>
            </w:r>
            <w:r>
              <w:rPr>
                <w:rFonts w:hint="eastAsia" w:ascii="黑体" w:hAnsi="Times New Roman" w:eastAsia="黑体" w:cs="Times New Roman"/>
                <w:sz w:val="28"/>
                <w:vertAlign w:val="baseline"/>
                <w:lang w:val="en-US" w:eastAsia="zh-CN"/>
              </w:rPr>
              <w:fldChar w:fldCharType="end"/>
            </w:r>
            <w:bookmarkEnd w:id="11"/>
            <w:r>
              <w:rPr>
                <w:rFonts w:hint="eastAsia"/>
                <w:vertAlign w:val="baseline"/>
                <w:lang w:val="en-US" w:eastAsia="zh-CN"/>
              </w:rPr>
              <w:t xml:space="preserve"> - </w:t>
            </w:r>
            <w:r>
              <w:rPr>
                <w:rFonts w:hint="eastAsia"/>
                <w:vertAlign w:val="baseline"/>
                <w:lang w:val="en-US" w:eastAsia="zh-CN"/>
              </w:rPr>
              <w:fldChar w:fldCharType="begin">
                <w:ffData>
                  <w:name w:val="SM"/>
                  <w:enabled/>
                  <w:calcOnExit w:val="0"/>
                  <w:textInput>
                    <w:default w:val="XX"/>
                    <w:maxLength w:val="2"/>
                  </w:textInput>
                </w:ffData>
              </w:fldChar>
            </w:r>
            <w:bookmarkStart w:id="12" w:name="SM"/>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12"/>
            <w:r>
              <w:rPr>
                <w:rFonts w:hint="eastAsia"/>
                <w:vertAlign w:val="baseline"/>
                <w:lang w:val="en-US" w:eastAsia="zh-CN"/>
              </w:rPr>
              <w:t xml:space="preserve"> - </w:t>
            </w:r>
            <w:r>
              <w:rPr>
                <w:rFonts w:hint="eastAsia"/>
                <w:vertAlign w:val="baseline"/>
                <w:lang w:val="en-US" w:eastAsia="zh-CN"/>
              </w:rPr>
              <w:fldChar w:fldCharType="begin">
                <w:ffData>
                  <w:name w:val="SD"/>
                  <w:enabled/>
                  <w:calcOnExit w:val="0"/>
                  <w:textInput>
                    <w:default w:val="XX"/>
                    <w:maxLength w:val="2"/>
                  </w:textInput>
                </w:ffData>
              </w:fldChar>
            </w:r>
            <w:bookmarkStart w:id="13" w:name="SD"/>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13"/>
            <w:r>
              <w:rPr>
                <w:rFonts w:hint="eastAsia"/>
                <w:vertAlign w:val="baseline"/>
                <w:lang w:val="en-US" w:eastAsia="zh-CN"/>
              </w:rPr>
              <w:t xml:space="preserve"> 实施</w:t>
            </w:r>
          </w:p>
        </w:tc>
      </w:tr>
    </w:tbl>
    <w:p w14:paraId="4DD22DE6">
      <w:pPr>
        <w:pStyle w:val="47"/>
        <w:bidi w:val="0"/>
        <w:spacing w:before="0"/>
        <w:rPr>
          <w:rFonts w:hint="eastAsia"/>
          <w:spacing w:val="0"/>
          <w:w w:val="100"/>
          <w:sz w:val="28"/>
          <w:lang w:val="en-US" w:eastAsia="zh-CN"/>
        </w:rPr>
      </w:pPr>
      <w:bookmarkStart w:id="14" w:name="FM2"/>
      <w:r>
        <w:rPr>
          <w:rFonts w:hint="eastAsia" w:ascii="黑体" w:hAnsi="黑体" w:eastAsia="黑体" w:cs="Times New Roman"/>
          <w:spacing w:val="0"/>
          <w:w w:val="100"/>
          <w:sz w:val="28"/>
          <w:lang w:val="en-US" w:eastAsia="zh-CN"/>
        </w:rPr>
        <w:fldChar w:fldCharType="begin">
          <w:ffData>
            <w:name w:val="FM2"/>
            <w:enabled/>
            <w:calcOnExit w:val="0"/>
            <w:textInput>
              <w:default w:val="吉安市绿色农产品促进会"/>
            </w:textInput>
          </w:ffData>
        </w:fldChar>
      </w:r>
      <w:r>
        <w:rPr>
          <w:rFonts w:hint="eastAsia" w:ascii="黑体" w:hAnsi="黑体" w:eastAsia="黑体" w:cs="Times New Roman"/>
          <w:spacing w:val="0"/>
          <w:w w:val="100"/>
          <w:sz w:val="28"/>
          <w:lang w:val="en-US" w:eastAsia="zh-CN"/>
        </w:rPr>
        <w:instrText xml:space="preserve">FORMTEXT</w:instrText>
      </w:r>
      <w:r>
        <w:rPr>
          <w:rFonts w:hint="eastAsia" w:ascii="黑体" w:hAnsi="黑体" w:eastAsia="黑体" w:cs="Times New Roman"/>
          <w:spacing w:val="0"/>
          <w:w w:val="100"/>
          <w:sz w:val="28"/>
          <w:lang w:val="en-US" w:eastAsia="zh-CN"/>
        </w:rPr>
        <w:fldChar w:fldCharType="separate"/>
      </w:r>
      <w:r>
        <w:rPr>
          <w:rFonts w:hint="eastAsia" w:ascii="黑体" w:hAnsi="黑体" w:eastAsia="黑体" w:cs="Times New Roman"/>
          <w:spacing w:val="0"/>
          <w:w w:val="100"/>
          <w:sz w:val="28"/>
          <w:lang w:val="en-US" w:eastAsia="zh-CN"/>
        </w:rPr>
        <w:t>吉安市绿色农产品促进会</w:t>
      </w:r>
      <w:r>
        <w:rPr>
          <w:rFonts w:hint="eastAsia" w:ascii="黑体" w:hAnsi="黑体" w:eastAsia="黑体" w:cs="Times New Roman"/>
          <w:spacing w:val="0"/>
          <w:w w:val="100"/>
          <w:sz w:val="28"/>
          <w:lang w:val="en-US" w:eastAsia="zh-CN"/>
        </w:rPr>
        <w:fldChar w:fldCharType="end"/>
      </w:r>
      <w:bookmarkEnd w:id="14"/>
      <w:r>
        <w:rPr>
          <w:rFonts w:hint="eastAsia"/>
          <w:sz w:val="28"/>
          <w:lang w:val="en-US" w:eastAsia="zh-CN"/>
        </w:rPr>
        <w:t>  </w:t>
      </w:r>
      <w:r>
        <w:rPr>
          <w:rFonts w:hint="eastAsia"/>
          <w:spacing w:val="85"/>
          <w:w w:val="100"/>
          <w:sz w:val="28"/>
          <w:lang w:val="en-US" w:eastAsia="zh-CN"/>
        </w:rPr>
        <w:t>发</w:t>
      </w:r>
      <w:r>
        <w:rPr>
          <w:rFonts w:hint="eastAsia"/>
          <w:spacing w:val="0"/>
          <w:w w:val="100"/>
          <w:sz w:val="28"/>
          <w:lang w:val="en-US" w:eastAsia="zh-CN"/>
        </w:rPr>
        <w:t>布</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3"/>
        <w:gridCol w:w="9107"/>
      </w:tblGrid>
      <w:tr w14:paraId="48E73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3" w:type="dxa"/>
          </w:tcPr>
          <w:p w14:paraId="7D72D288">
            <w:pPr>
              <w:pStyle w:val="51"/>
              <w:framePr w:w="9639" w:wrap="around"/>
              <w:bidi w:val="0"/>
              <w:jc w:val="both"/>
              <w:rPr>
                <w:rFonts w:hint="eastAsia"/>
                <w:vertAlign w:val="baseline"/>
                <w:lang w:val="en-US" w:eastAsia="zh-CN"/>
              </w:rPr>
            </w:pPr>
            <w:r>
              <w:rPr>
                <w:rFonts w:hint="eastAsia"/>
                <w:vertAlign w:val="baseline"/>
                <w:lang w:val="en-US" w:eastAsia="zh-CN"/>
              </w:rPr>
              <w:t>ICS</w:t>
            </w:r>
          </w:p>
        </w:tc>
        <w:tc>
          <w:tcPr>
            <w:tcW w:w="9107" w:type="dxa"/>
          </w:tcPr>
          <w:p w14:paraId="49AAD16C">
            <w:pPr>
              <w:pStyle w:val="51"/>
              <w:framePr w:w="9639" w:wrap="around"/>
              <w:bidi w:val="0"/>
              <w:jc w:val="both"/>
              <w:rPr>
                <w:rFonts w:hint="eastAsia"/>
                <w:vertAlign w:val="baseline"/>
                <w:lang w:val="en-US" w:eastAsia="zh-CN"/>
              </w:rPr>
            </w:pPr>
            <w:bookmarkStart w:id="15" w:name="ICS"/>
            <w:r>
              <w:rPr>
                <w:rFonts w:hint="eastAsia"/>
                <w:vertAlign w:val="baseline"/>
                <w:lang w:val="en-US" w:eastAsia="zh-CN"/>
              </w:rPr>
              <w:fldChar w:fldCharType="begin">
                <w:ffData>
                  <w:name w:val="ICS"/>
                  <w:enabled/>
                  <w:calcOnExit w:val="0"/>
                  <w:textInput>
                    <w:default w:val="点击此处添加ICS号"/>
                  </w:textInput>
                </w:ffData>
              </w:fldChar>
            </w:r>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点击此处添加ICS号</w:t>
            </w:r>
            <w:r>
              <w:rPr>
                <w:rFonts w:hint="eastAsia"/>
                <w:vertAlign w:val="baseline"/>
                <w:lang w:val="en-US" w:eastAsia="zh-CN"/>
              </w:rPr>
              <w:fldChar w:fldCharType="end"/>
            </w:r>
            <w:bookmarkEnd w:id="15"/>
          </w:p>
        </w:tc>
      </w:tr>
      <w:tr w14:paraId="50028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63" w:type="dxa"/>
          </w:tcPr>
          <w:p w14:paraId="5168E982">
            <w:pPr>
              <w:pStyle w:val="51"/>
              <w:framePr w:w="9639" w:wrap="around"/>
              <w:bidi w:val="0"/>
              <w:jc w:val="both"/>
              <w:rPr>
                <w:rFonts w:hint="eastAsia"/>
                <w:vertAlign w:val="baseline"/>
                <w:lang w:val="en-US" w:eastAsia="zh-CN"/>
              </w:rPr>
            </w:pPr>
            <w:r>
              <w:rPr>
                <w:rFonts w:hint="eastAsia"/>
                <w:vertAlign w:val="baseline"/>
                <w:lang w:val="en-US" w:eastAsia="zh-CN"/>
              </w:rPr>
              <w:t>CCS</w:t>
            </w:r>
          </w:p>
        </w:tc>
        <w:tc>
          <w:tcPr>
            <w:tcW w:w="9107" w:type="dxa"/>
          </w:tcPr>
          <w:p w14:paraId="237D6B7E">
            <w:pPr>
              <w:pStyle w:val="51"/>
              <w:framePr w:w="9639" w:wrap="around"/>
              <w:bidi w:val="0"/>
              <w:jc w:val="both"/>
              <w:rPr>
                <w:rFonts w:hint="eastAsia"/>
                <w:vertAlign w:val="baseline"/>
                <w:lang w:val="en-US" w:eastAsia="zh-CN"/>
              </w:rPr>
            </w:pPr>
            <w:bookmarkStart w:id="16" w:name="CCS"/>
            <w:r>
              <w:rPr>
                <w:rFonts w:hint="eastAsia"/>
                <w:vertAlign w:val="baseline"/>
                <w:lang w:val="en-US" w:eastAsia="zh-CN"/>
              </w:rPr>
              <w:fldChar w:fldCharType="begin">
                <w:ffData>
                  <w:name w:val="CCS"/>
                  <w:enabled/>
                  <w:calcOnExit w:val="0"/>
                  <w:textInput>
                    <w:default w:val="点击此处添加CCS号"/>
                  </w:textInput>
                </w:ffData>
              </w:fldChar>
            </w:r>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点击此处添加CCS号</w:t>
            </w:r>
            <w:r>
              <w:rPr>
                <w:rFonts w:hint="eastAsia"/>
                <w:vertAlign w:val="baseline"/>
                <w:lang w:val="en-US" w:eastAsia="zh-CN"/>
              </w:rPr>
              <w:fldChar w:fldCharType="end"/>
            </w:r>
            <w:bookmarkEnd w:id="16"/>
          </w:p>
          <w:tbl>
            <w:tblPr>
              <w:tblStyle w:val="20"/>
              <w:tblpPr w:vertAnchor="page" w:horzAnchor="margin" w:tblpXSpec="right" w:tblpY="114"/>
              <w:tblOverlap w:val="never"/>
              <w:tblW w:w="66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662"/>
            </w:tblGrid>
            <w:tr w14:paraId="7E6EC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1" w:hRule="atLeast"/>
              </w:trPr>
              <w:tc>
                <w:tcPr>
                  <w:tcW w:w="9107" w:type="dxa"/>
                  <w:vAlign w:val="center"/>
                </w:tcPr>
                <w:p w14:paraId="6C3B5466">
                  <w:pPr>
                    <w:pStyle w:val="51"/>
                    <w:framePr w:w="9639" w:wrap="around"/>
                    <w:bidi w:val="0"/>
                    <w:jc w:val="right"/>
                    <w:rPr>
                      <w:rFonts w:hint="eastAsia" w:ascii="Times New Roman" w:hAnsi="Times New Roman" w:eastAsia="宋体" w:cs="Times New Roman"/>
                      <w:b/>
                      <w:w w:val="130"/>
                      <w:kern w:val="0"/>
                      <w:sz w:val="21"/>
                      <w:vertAlign w:val="baseline"/>
                      <w:lang w:val="en-US" w:eastAsia="zh-CN"/>
                    </w:rPr>
                  </w:pPr>
                  <w:r>
                    <w:rPr>
                      <w:rFonts w:hint="eastAsia" w:ascii="楷体" w:hAnsi="楷体" w:eastAsia="楷体" w:cs="楷体"/>
                      <w:b/>
                      <w:w w:val="130"/>
                      <w:kern w:val="0"/>
                      <w:sz w:val="96"/>
                      <w:vertAlign w:val="baseline"/>
                      <w:lang w:val="en-US" w:eastAsia="zh-CN"/>
                    </w:rPr>
                    <w:t>T</w:t>
                  </w:r>
                  <w:r>
                    <w:rPr>
                      <w:rFonts w:hint="eastAsia" w:ascii="Times New Roman" w:eastAsia="宋体" w:cs="Times New Roman"/>
                      <w:b/>
                      <w:w w:val="130"/>
                      <w:kern w:val="0"/>
                      <w:sz w:val="96"/>
                      <w:vertAlign w:val="baseline"/>
                      <w:lang w:val="en-US" w:eastAsia="zh-CN"/>
                    </w:rPr>
                    <w:t>/</w:t>
                  </w:r>
                  <w:r>
                    <w:rPr>
                      <w:rFonts w:hint="eastAsia" w:ascii="Times New Roman" w:eastAsia="宋体" w:cs="Times New Roman"/>
                      <w:b/>
                      <w:w w:val="130"/>
                      <w:kern w:val="0"/>
                      <w:sz w:val="21"/>
                      <w:vertAlign w:val="baseline"/>
                      <w:lang w:val="en-US" w:eastAsia="zh-CN"/>
                    </w:rPr>
                    <w:t xml:space="preserve"> </w:t>
                  </w:r>
                  <w:r>
                    <w:rPr>
                      <w:rFonts w:hint="eastAsia" w:ascii="Times New Roman" w:eastAsia="宋体" w:cs="Times New Roman"/>
                      <w:b/>
                      <w:w w:val="130"/>
                      <w:kern w:val="0"/>
                      <w:sz w:val="96"/>
                      <w:vertAlign w:val="baseline"/>
                      <w:lang w:val="en-US" w:eastAsia="zh-CN"/>
                    </w:rPr>
                    <w:fldChar w:fldCharType="begin">
                      <w:ffData>
                        <w:name w:val="TMark"/>
                        <w:enabled/>
                        <w:calcOnExit w:val="0"/>
                        <w:textInput>
                          <w:maxLength w:val="8"/>
                        </w:textInput>
                      </w:ffData>
                    </w:fldChar>
                  </w:r>
                  <w:bookmarkStart w:id="17" w:name="TMark"/>
                  <w:r>
                    <w:rPr>
                      <w:rFonts w:hint="eastAsia" w:ascii="Times New Roman" w:eastAsia="宋体" w:cs="Times New Roman"/>
                      <w:b/>
                      <w:w w:val="130"/>
                      <w:kern w:val="0"/>
                      <w:sz w:val="96"/>
                      <w:vertAlign w:val="baseline"/>
                      <w:lang w:val="en-US" w:eastAsia="zh-CN"/>
                    </w:rPr>
                    <w:instrText xml:space="preserve">FORMTEXT</w:instrText>
                  </w:r>
                  <w:r>
                    <w:rPr>
                      <w:rFonts w:hint="eastAsia" w:ascii="Times New Roman" w:eastAsia="宋体" w:cs="Times New Roman"/>
                      <w:b/>
                      <w:w w:val="130"/>
                      <w:kern w:val="0"/>
                      <w:sz w:val="96"/>
                      <w:vertAlign w:val="baseline"/>
                      <w:lang w:val="en-US" w:eastAsia="zh-CN"/>
                    </w:rPr>
                    <w:fldChar w:fldCharType="separate"/>
                  </w:r>
                  <w:r>
                    <w:rPr>
                      <w:rFonts w:hint="eastAsia" w:ascii="Times New Roman" w:eastAsia="宋体" w:cs="Times New Roman"/>
                      <w:b/>
                      <w:w w:val="130"/>
                      <w:kern w:val="0"/>
                      <w:sz w:val="96"/>
                      <w:vertAlign w:val="baseline"/>
                      <w:lang w:val="en-US" w:eastAsia="zh-CN"/>
                    </w:rPr>
                    <w:t>JALNCP</w:t>
                  </w:r>
                  <w:r>
                    <w:rPr>
                      <w:rFonts w:hint="eastAsia" w:ascii="Times New Roman" w:eastAsia="宋体" w:cs="Times New Roman"/>
                      <w:b/>
                      <w:w w:val="130"/>
                      <w:kern w:val="0"/>
                      <w:sz w:val="96"/>
                      <w:vertAlign w:val="baseline"/>
                      <w:lang w:val="en-US" w:eastAsia="zh-CN"/>
                    </w:rPr>
                    <w:fldChar w:fldCharType="end"/>
                  </w:r>
                  <w:bookmarkEnd w:id="17"/>
                </w:p>
              </w:tc>
            </w:tr>
          </w:tbl>
          <w:p w14:paraId="648F24D9">
            <w:pPr>
              <w:pStyle w:val="51"/>
              <w:framePr w:w="9639" w:wrap="around"/>
              <w:bidi w:val="0"/>
              <w:jc w:val="both"/>
              <w:rPr>
                <w:rFonts w:hint="eastAsia"/>
                <w:vertAlign w:val="baseline"/>
                <w:lang w:val="en-US" w:eastAsia="zh-CN"/>
              </w:rPr>
            </w:pPr>
          </w:p>
        </w:tc>
      </w:tr>
    </w:tbl>
    <w:p w14:paraId="0BE725E6">
      <w:pPr>
        <w:pStyle w:val="51"/>
        <w:framePr w:w="9639" w:wrap="around"/>
        <w:bidi w:val="0"/>
        <w:rPr>
          <w:rFonts w:hint="eastAsia"/>
          <w:lang w:val="en-US" w:eastAsia="zh-CN"/>
        </w:rPr>
        <w:sectPr>
          <w:pgSz w:w="11906" w:h="16838"/>
          <w:pgMar w:top="-340" w:right="1134" w:bottom="1021" w:left="1134" w:header="0" w:footer="0" w:gutter="284"/>
          <w:lnNumType w:countBy="0" w:restart="continuous"/>
          <w:pgNumType w:fmt="decimal" w:start="1"/>
          <w:cols w:space="425" w:num="1"/>
          <w:titlePg/>
          <w:docGrid w:type="lines" w:linePitch="312" w:charSpace="0"/>
        </w:sectPr>
      </w:pPr>
    </w:p>
    <w:p w14:paraId="021539F7">
      <w:pPr>
        <w:pStyle w:val="52"/>
        <w:bidi w:val="0"/>
        <w:rPr>
          <w:rFonts w:hint="eastAsia"/>
          <w:lang w:val="en-US" w:eastAsia="zh-CN"/>
        </w:rPr>
      </w:pPr>
      <w:r>
        <w:rPr>
          <w:rFonts w:hint="eastAsia"/>
          <w:spacing w:val="317"/>
          <w:lang w:val="en-US" w:eastAsia="zh-CN"/>
        </w:rPr>
        <w:t>目</w:t>
      </w:r>
      <w:bookmarkStart w:id="18" w:name="BKML"/>
      <w:r>
        <w:rPr>
          <w:rFonts w:hint="eastAsia"/>
          <w:lang w:val="en-US" w:eastAsia="zh-CN"/>
        </w:rPr>
        <w:t>次</w:t>
      </w:r>
      <w:bookmarkEnd w:id="18"/>
    </w:p>
    <w:p w14:paraId="005FF794">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TOC \t "标准文件_前言、引言标题,1,标准文件_章标题,1,标准文件_附录标识,1,标准文件_参考文献标题,1,标准文件_索引标题,1" \h</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_Toc10082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前言</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_Toc10082 \h </w:instrText>
      </w:r>
      <w:r>
        <w:rPr>
          <w:rFonts w:hint="eastAsia" w:ascii="宋体" w:hAnsi="宋体" w:eastAsia="宋体" w:cs="宋体"/>
          <w:spacing w:val="0"/>
        </w:rPr>
        <w:fldChar w:fldCharType="separate"/>
      </w:r>
      <w:r>
        <w:rPr>
          <w:rFonts w:hint="eastAsia" w:ascii="宋体" w:hAnsi="宋体" w:eastAsia="宋体" w:cs="宋体"/>
          <w:spacing w:val="0"/>
        </w:rPr>
        <w:t>II</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7DE207F1">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_Toc8095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1</w:t>
      </w:r>
      <w:r>
        <w:rPr>
          <w:rFonts w:hint="eastAsia" w:cs="宋体"/>
          <w:spacing w:val="0"/>
          <w:lang w:val="en-US" w:eastAsia="zh-CN"/>
        </w:rPr>
        <w:t xml:space="preserve"> </w:t>
      </w:r>
      <w:r>
        <w:rPr>
          <w:rFonts w:hint="eastAsia" w:ascii="宋体" w:hAnsi="宋体" w:eastAsia="宋体" w:cs="宋体"/>
          <w:spacing w:val="0"/>
          <w:lang w:val="en-US" w:eastAsia="zh-CN"/>
        </w:rPr>
        <w:t xml:space="preserve"> 范围</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_Toc8095 \h </w:instrText>
      </w:r>
      <w:r>
        <w:rPr>
          <w:rFonts w:hint="eastAsia" w:ascii="宋体" w:hAnsi="宋体" w:eastAsia="宋体" w:cs="宋体"/>
          <w:spacing w:val="0"/>
        </w:rPr>
        <w:fldChar w:fldCharType="separate"/>
      </w:r>
      <w:r>
        <w:rPr>
          <w:rFonts w:hint="eastAsia" w:ascii="宋体" w:hAnsi="宋体" w:eastAsia="宋体" w:cs="宋体"/>
          <w:spacing w:val="0"/>
        </w:rPr>
        <w:t>1</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60428386">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_Toc8385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2</w:t>
      </w:r>
      <w:r>
        <w:rPr>
          <w:rFonts w:hint="eastAsia" w:cs="宋体"/>
          <w:spacing w:val="0"/>
          <w:lang w:val="en-US" w:eastAsia="zh-CN"/>
        </w:rPr>
        <w:t xml:space="preserve"> </w:t>
      </w:r>
      <w:r>
        <w:rPr>
          <w:rFonts w:hint="eastAsia" w:ascii="宋体" w:hAnsi="宋体" w:eastAsia="宋体" w:cs="宋体"/>
          <w:spacing w:val="0"/>
          <w:lang w:val="en-US" w:eastAsia="zh-CN"/>
        </w:rPr>
        <w:t xml:space="preserve"> 规范性引用文件</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_Toc8385 \h </w:instrText>
      </w:r>
      <w:r>
        <w:rPr>
          <w:rFonts w:hint="eastAsia" w:ascii="宋体" w:hAnsi="宋体" w:eastAsia="宋体" w:cs="宋体"/>
          <w:spacing w:val="0"/>
        </w:rPr>
        <w:fldChar w:fldCharType="separate"/>
      </w:r>
      <w:r>
        <w:rPr>
          <w:rFonts w:hint="eastAsia" w:ascii="宋体" w:hAnsi="宋体" w:eastAsia="宋体" w:cs="宋体"/>
          <w:spacing w:val="0"/>
        </w:rPr>
        <w:t>1</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1C6A4EC5">
      <w:pPr>
        <w:pStyle w:val="14"/>
        <w:tabs>
          <w:tab w:val="right" w:leader="dot" w:pos="9354"/>
        </w:tabs>
        <w:ind w:left="0" w:leftChars="0" w:firstLine="0" w:firstLineChars="0"/>
        <w:rPr>
          <w:rFonts w:hint="default" w:ascii="宋体" w:hAnsi="宋体" w:eastAsia="宋体" w:cs="宋体"/>
          <w:spacing w:val="0"/>
          <w:lang w:val="en-US" w:eastAsia="zh-CN"/>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_Toc17023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3</w:t>
      </w:r>
      <w:r>
        <w:rPr>
          <w:rFonts w:hint="eastAsia" w:cs="宋体"/>
          <w:spacing w:val="0"/>
          <w:lang w:val="en-US" w:eastAsia="zh-CN"/>
        </w:rPr>
        <w:t xml:space="preserve"> </w:t>
      </w:r>
      <w:r>
        <w:rPr>
          <w:rFonts w:hint="eastAsia" w:ascii="宋体" w:hAnsi="宋体" w:eastAsia="宋体" w:cs="宋体"/>
          <w:spacing w:val="0"/>
          <w:lang w:val="en-US" w:eastAsia="zh-CN"/>
        </w:rPr>
        <w:t xml:space="preserve"> 术语和定义</w:t>
      </w:r>
      <w:r>
        <w:rPr>
          <w:rFonts w:hint="eastAsia" w:ascii="宋体" w:hAnsi="宋体" w:eastAsia="宋体" w:cs="宋体"/>
          <w:spacing w:val="0"/>
        </w:rPr>
        <w:tab/>
      </w:r>
      <w:r>
        <w:rPr>
          <w:rFonts w:hint="eastAsia" w:ascii="宋体" w:hAnsi="宋体" w:eastAsia="宋体" w:cs="宋体"/>
          <w:spacing w:val="0"/>
          <w:lang w:val="en-US" w:eastAsia="zh-CN"/>
        </w:rPr>
        <w:fldChar w:fldCharType="end"/>
      </w:r>
      <w:r>
        <w:rPr>
          <w:rFonts w:hint="eastAsia" w:cs="宋体"/>
          <w:spacing w:val="0"/>
          <w:lang w:val="en-US" w:eastAsia="zh-CN"/>
        </w:rPr>
        <w:t>2</w:t>
      </w:r>
    </w:p>
    <w:p w14:paraId="64936BD5">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_Toc1476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4</w:t>
      </w:r>
      <w:r>
        <w:rPr>
          <w:rFonts w:hint="eastAsia" w:cs="宋体"/>
          <w:spacing w:val="0"/>
          <w:lang w:val="en-US" w:eastAsia="zh-CN"/>
        </w:rPr>
        <w:t xml:space="preserve"> </w:t>
      </w:r>
      <w:r>
        <w:rPr>
          <w:rFonts w:hint="eastAsia" w:ascii="宋体" w:hAnsi="宋体" w:eastAsia="宋体" w:cs="宋体"/>
          <w:spacing w:val="0"/>
          <w:lang w:val="en-US" w:eastAsia="zh-CN"/>
        </w:rPr>
        <w:t xml:space="preserve"> 要求</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_Toc1476 \h </w:instrText>
      </w:r>
      <w:r>
        <w:rPr>
          <w:rFonts w:hint="eastAsia" w:ascii="宋体" w:hAnsi="宋体" w:eastAsia="宋体" w:cs="宋体"/>
          <w:spacing w:val="0"/>
        </w:rPr>
        <w:fldChar w:fldCharType="separate"/>
      </w:r>
      <w:r>
        <w:rPr>
          <w:rFonts w:hint="eastAsia" w:ascii="宋体" w:hAnsi="宋体" w:eastAsia="宋体" w:cs="宋体"/>
          <w:spacing w:val="0"/>
        </w:rPr>
        <w:t>2</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259B1595">
      <w:pPr>
        <w:pStyle w:val="14"/>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_Toc15014 </w:instrText>
      </w:r>
      <w:r>
        <w:rPr>
          <w:rFonts w:hint="eastAsia" w:ascii="宋体" w:hAnsi="宋体" w:eastAsia="宋体" w:cs="宋体"/>
          <w:spacing w:val="0"/>
          <w:lang w:val="en-US" w:eastAsia="zh-CN"/>
        </w:rPr>
        <w:fldChar w:fldCharType="separate"/>
      </w:r>
      <w:r>
        <w:rPr>
          <w:rFonts w:hint="eastAsia" w:ascii="宋体" w:hAnsi="宋体" w:eastAsia="宋体" w:cs="宋体"/>
          <w:spacing w:val="0"/>
        </w:rPr>
        <w:t>5</w:t>
      </w:r>
      <w:r>
        <w:rPr>
          <w:rFonts w:hint="eastAsia" w:cs="宋体"/>
          <w:spacing w:val="0"/>
          <w:lang w:eastAsia="zh-CN"/>
        </w:rPr>
        <w:t xml:space="preserve"> </w:t>
      </w:r>
      <w:r>
        <w:rPr>
          <w:rFonts w:hint="eastAsia" w:ascii="宋体" w:hAnsi="宋体" w:eastAsia="宋体" w:cs="宋体"/>
          <w:spacing w:val="0"/>
        </w:rPr>
        <w:t xml:space="preserve"> 检验规则</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_Toc15014 \h </w:instrText>
      </w:r>
      <w:r>
        <w:rPr>
          <w:rFonts w:hint="eastAsia" w:ascii="宋体" w:hAnsi="宋体" w:eastAsia="宋体" w:cs="宋体"/>
          <w:spacing w:val="0"/>
        </w:rPr>
        <w:fldChar w:fldCharType="separate"/>
      </w:r>
      <w:r>
        <w:rPr>
          <w:rFonts w:hint="eastAsia" w:ascii="宋体" w:hAnsi="宋体" w:eastAsia="宋体" w:cs="宋体"/>
          <w:spacing w:val="0"/>
        </w:rPr>
        <w:t>3</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71B147A8">
      <w:pPr>
        <w:pStyle w:val="14"/>
        <w:tabs>
          <w:tab w:val="right" w:leader="dot" w:pos="9354"/>
        </w:tabs>
        <w:ind w:left="0" w:leftChars="0" w:firstLine="0" w:firstLineChars="0"/>
        <w:rPr>
          <w:rFonts w:hint="eastAsia" w:ascii="宋体" w:hAnsi="宋体" w:eastAsia="宋体" w:cs="宋体"/>
          <w:spacing w:val="0"/>
          <w:lang w:eastAsia="zh-CN"/>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_Toc30562 </w:instrText>
      </w:r>
      <w:r>
        <w:rPr>
          <w:rFonts w:hint="eastAsia" w:ascii="宋体" w:hAnsi="宋体" w:eastAsia="宋体" w:cs="宋体"/>
          <w:spacing w:val="0"/>
          <w:lang w:val="en-US" w:eastAsia="zh-CN"/>
        </w:rPr>
        <w:fldChar w:fldCharType="separate"/>
      </w:r>
      <w:r>
        <w:rPr>
          <w:rFonts w:hint="eastAsia" w:ascii="宋体" w:hAnsi="宋体" w:eastAsia="宋体" w:cs="宋体"/>
          <w:spacing w:val="0"/>
        </w:rPr>
        <w:t>6</w:t>
      </w:r>
      <w:r>
        <w:rPr>
          <w:rFonts w:hint="eastAsia" w:cs="宋体"/>
          <w:spacing w:val="0"/>
          <w:lang w:eastAsia="zh-CN"/>
        </w:rPr>
        <w:t xml:space="preserve"> </w:t>
      </w:r>
      <w:r>
        <w:rPr>
          <w:rFonts w:hint="eastAsia" w:ascii="宋体" w:hAnsi="宋体" w:eastAsia="宋体" w:cs="宋体"/>
          <w:spacing w:val="0"/>
        </w:rPr>
        <w:t xml:space="preserve"> 包装、标签与标志</w:t>
      </w:r>
      <w:r>
        <w:rPr>
          <w:rFonts w:hint="eastAsia" w:ascii="宋体" w:hAnsi="宋体" w:eastAsia="宋体" w:cs="宋体"/>
          <w:spacing w:val="0"/>
        </w:rPr>
        <w:tab/>
      </w:r>
      <w:r>
        <w:rPr>
          <w:rFonts w:hint="eastAsia" w:ascii="宋体" w:hAnsi="宋体" w:eastAsia="宋体" w:cs="宋体"/>
          <w:spacing w:val="0"/>
          <w:lang w:val="en-US" w:eastAsia="zh-CN"/>
        </w:rPr>
        <w:fldChar w:fldCharType="end"/>
      </w:r>
      <w:r>
        <w:rPr>
          <w:rFonts w:hint="eastAsia" w:cs="宋体"/>
          <w:spacing w:val="0"/>
          <w:lang w:val="en-US" w:eastAsia="zh-CN"/>
        </w:rPr>
        <w:t>4</w:t>
      </w:r>
    </w:p>
    <w:p w14:paraId="6EFA55B8">
      <w:pPr>
        <w:pStyle w:val="14"/>
        <w:tabs>
          <w:tab w:val="right" w:leader="dot" w:pos="9354"/>
        </w:tabs>
        <w:ind w:left="0" w:leftChars="0" w:firstLine="0" w:firstLineChars="0"/>
        <w:rPr>
          <w:rFonts w:hint="eastAsia" w:ascii="宋体" w:hAnsi="宋体" w:eastAsia="宋体" w:cs="宋体"/>
          <w:spacing w:val="0"/>
          <w:lang w:val="en-US" w:eastAsia="zh-CN"/>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_Toc26806 </w:instrText>
      </w:r>
      <w:r>
        <w:rPr>
          <w:rFonts w:hint="eastAsia" w:ascii="宋体" w:hAnsi="宋体" w:eastAsia="宋体" w:cs="宋体"/>
          <w:spacing w:val="0"/>
          <w:lang w:val="en-US" w:eastAsia="zh-CN"/>
        </w:rPr>
        <w:fldChar w:fldCharType="separate"/>
      </w:r>
      <w:r>
        <w:rPr>
          <w:rFonts w:hint="eastAsia" w:ascii="宋体" w:hAnsi="宋体" w:eastAsia="宋体" w:cs="宋体"/>
          <w:spacing w:val="0"/>
        </w:rPr>
        <w:t>7</w:t>
      </w:r>
      <w:r>
        <w:rPr>
          <w:rFonts w:hint="eastAsia" w:cs="宋体"/>
          <w:spacing w:val="0"/>
          <w:lang w:eastAsia="zh-CN"/>
        </w:rPr>
        <w:t xml:space="preserve"> </w:t>
      </w:r>
      <w:r>
        <w:rPr>
          <w:rFonts w:hint="eastAsia" w:ascii="宋体" w:hAnsi="宋体" w:eastAsia="宋体" w:cs="宋体"/>
          <w:spacing w:val="0"/>
        </w:rPr>
        <w:t xml:space="preserve"> 运输与贮存</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_Toc26806 \h </w:instrText>
      </w:r>
      <w:r>
        <w:rPr>
          <w:rFonts w:hint="eastAsia" w:ascii="宋体" w:hAnsi="宋体" w:eastAsia="宋体" w:cs="宋体"/>
          <w:spacing w:val="0"/>
        </w:rPr>
        <w:fldChar w:fldCharType="separate"/>
      </w:r>
      <w:r>
        <w:rPr>
          <w:rFonts w:hint="eastAsia" w:ascii="宋体" w:hAnsi="宋体" w:eastAsia="宋体" w:cs="宋体"/>
          <w:spacing w:val="0"/>
        </w:rPr>
        <w:t>4</w:t>
      </w:r>
      <w:r>
        <w:rPr>
          <w:rFonts w:hint="eastAsia" w:ascii="宋体" w:hAnsi="宋体" w:eastAsia="宋体" w:cs="宋体"/>
          <w:spacing w:val="0"/>
        </w:rPr>
        <w:fldChar w:fldCharType="end"/>
      </w:r>
      <w:r>
        <w:rPr>
          <w:rFonts w:hint="eastAsia" w:ascii="宋体" w:hAnsi="宋体" w:eastAsia="宋体" w:cs="宋体"/>
          <w:spacing w:val="0"/>
          <w:lang w:val="en-US" w:eastAsia="zh-CN"/>
        </w:rPr>
        <w:fldChar w:fldCharType="end"/>
      </w:r>
    </w:p>
    <w:p w14:paraId="5D82F4D6">
      <w:pPr>
        <w:rPr>
          <w:rFonts w:hint="default"/>
          <w:lang w:val="en-US"/>
        </w:rPr>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_Toc12561 </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t>附录A（规范性）</w:t>
      </w:r>
      <w:r>
        <w:rPr>
          <w:rFonts w:hint="eastAsia" w:cs="宋体"/>
          <w:spacing w:val="0"/>
          <w:lang w:val="en-US" w:eastAsia="zh-CN"/>
        </w:rPr>
        <w:t xml:space="preserve"> </w:t>
      </w:r>
      <w:r>
        <w:rPr>
          <w:rFonts w:hint="eastAsia" w:ascii="宋体" w:hAnsi="宋体" w:eastAsia="宋体" w:cs="宋体"/>
          <w:spacing w:val="0"/>
          <w:lang w:val="en-US" w:eastAsia="zh-CN"/>
        </w:rPr>
        <w:t xml:space="preserve"> 井冈山</w:t>
      </w:r>
      <w:r>
        <w:rPr>
          <w:rFonts w:hint="eastAsia" w:hAnsi="宋体" w:cs="宋体"/>
          <w:spacing w:val="0"/>
          <w:lang w:val="en-US" w:eastAsia="zh-CN"/>
        </w:rPr>
        <w:t>薄酥饼</w:t>
      </w:r>
      <w:r>
        <w:rPr>
          <w:rFonts w:hint="eastAsia" w:ascii="宋体" w:hAnsi="宋体" w:eastAsia="宋体" w:cs="宋体"/>
          <w:spacing w:val="0"/>
          <w:lang w:val="en-US" w:eastAsia="zh-CN"/>
        </w:rPr>
        <w:t>生产区域范围图</w:t>
      </w:r>
      <w:r>
        <w:rPr>
          <w:rFonts w:hint="eastAsia" w:ascii="宋体" w:hAnsi="宋体" w:eastAsia="宋体" w:cs="宋体"/>
          <w:spacing w:val="0"/>
        </w:rPr>
        <w:tab/>
      </w:r>
      <w:r>
        <w:rPr>
          <w:rFonts w:hint="eastAsia" w:hAnsi="宋体" w:cs="宋体"/>
          <w:spacing w:val="0"/>
          <w:lang w:val="en-US" w:eastAsia="zh-CN"/>
        </w:rPr>
        <w:t>.</w:t>
      </w:r>
      <w:r>
        <w:rPr>
          <w:rFonts w:hint="eastAsia" w:ascii="宋体" w:hAnsi="宋体" w:eastAsia="宋体" w:cs="宋体"/>
          <w:spacing w:val="0"/>
          <w:lang w:val="en-US" w:eastAsia="zh-CN"/>
        </w:rPr>
        <w:fldChar w:fldCharType="end"/>
      </w:r>
      <w:r>
        <w:rPr>
          <w:rFonts w:hint="eastAsia" w:hAnsi="宋体" w:cs="宋体"/>
          <w:spacing w:val="0"/>
          <w:lang w:val="en-US" w:eastAsia="zh-CN"/>
        </w:rPr>
        <w:t>...........................................5</w:t>
      </w:r>
    </w:p>
    <w:p w14:paraId="28282732">
      <w:pPr>
        <w:bidi w:val="0"/>
        <w:ind w:left="0" w:leftChars="0" w:firstLine="0" w:firstLineChars="0"/>
        <w:rPr>
          <w:rFonts w:hint="eastAsia"/>
          <w:lang w:val="en-US" w:eastAsia="zh-CN"/>
        </w:rPr>
      </w:pPr>
      <w:r>
        <w:rPr>
          <w:rFonts w:hint="eastAsia" w:ascii="宋体" w:hAnsi="宋体" w:eastAsia="宋体" w:cs="宋体"/>
          <w:spacing w:val="0"/>
          <w:lang w:val="en-US" w:eastAsia="zh-CN"/>
        </w:rPr>
        <w:fldChar w:fldCharType="end"/>
      </w:r>
    </w:p>
    <w:p w14:paraId="700EC956">
      <w:pPr>
        <w:pStyle w:val="52"/>
        <w:bidi w:val="0"/>
        <w:rPr>
          <w:rFonts w:hint="eastAsia"/>
          <w:lang w:val="en-US" w:eastAsia="zh-CN"/>
        </w:rPr>
      </w:pPr>
      <w:r>
        <w:rPr>
          <w:rFonts w:hint="eastAsia"/>
          <w:lang w:val="en-US" w:eastAsia="zh-CN"/>
        </w:rPr>
        <w:br w:type="page"/>
      </w:r>
    </w:p>
    <w:p w14:paraId="6F836E68">
      <w:pPr>
        <w:pStyle w:val="53"/>
        <w:bidi w:val="0"/>
        <w:rPr>
          <w:rFonts w:hint="eastAsia"/>
          <w:lang w:val="en-US" w:eastAsia="zh-CN"/>
        </w:rPr>
      </w:pPr>
      <w:bookmarkStart w:id="19" w:name="_Toc10082"/>
      <w:r>
        <w:rPr>
          <w:rFonts w:hint="eastAsia"/>
          <w:spacing w:val="317"/>
          <w:lang w:val="en-US" w:eastAsia="zh-CN"/>
        </w:rPr>
        <w:t>前</w:t>
      </w:r>
      <w:bookmarkStart w:id="20" w:name="BKQY"/>
      <w:r>
        <w:rPr>
          <w:rFonts w:hint="eastAsia"/>
          <w:lang w:val="en-US" w:eastAsia="zh-CN"/>
        </w:rPr>
        <w:t>言</w:t>
      </w:r>
      <w:bookmarkEnd w:id="19"/>
    </w:p>
    <w:p w14:paraId="4F0407F7">
      <w:pPr>
        <w:pStyle w:val="23"/>
        <w:bidi w:val="0"/>
        <w:rPr>
          <w:rFonts w:hint="eastAsia"/>
          <w:lang w:val="en-US" w:eastAsia="zh-CN"/>
        </w:rPr>
      </w:pPr>
      <w:r>
        <w:rPr>
          <w:rFonts w:hint="eastAsia"/>
          <w:lang w:val="en-US" w:eastAsia="zh-CN"/>
        </w:rPr>
        <w:t>本文件按照GB/T 1.1—2020《标准化工作导则  第1部分：标准化文件的结构和起草规则》的规定起草。</w:t>
      </w:r>
    </w:p>
    <w:p w14:paraId="00B50DAE">
      <w:pPr>
        <w:pStyle w:val="23"/>
        <w:bidi w:val="0"/>
        <w:rPr>
          <w:rFonts w:hint="eastAsia"/>
          <w:lang w:val="en-US" w:eastAsia="zh-CN"/>
        </w:rPr>
      </w:pPr>
      <w:r>
        <w:rPr>
          <w:rFonts w:hint="eastAsia"/>
          <w:lang w:val="en-US" w:eastAsia="zh-CN"/>
        </w:rPr>
        <w:t>请注意本文件的某些内容可能涉及专利。本文件的发布机构不承担识别专利的责任。</w:t>
      </w:r>
    </w:p>
    <w:p w14:paraId="303C72E2">
      <w:pPr>
        <w:pStyle w:val="23"/>
        <w:bidi w:val="0"/>
        <w:rPr>
          <w:rFonts w:hint="eastAsia"/>
          <w:lang w:val="en-US" w:eastAsia="zh-CN"/>
        </w:rPr>
      </w:pPr>
      <w:r>
        <w:rPr>
          <w:rFonts w:hint="eastAsia"/>
          <w:lang w:val="en-US" w:eastAsia="zh-CN"/>
        </w:rPr>
        <w:t>本文件由</w:t>
      </w:r>
      <w:r>
        <w:rPr>
          <w:rFonts w:hint="eastAsia"/>
        </w:rPr>
        <w:t>吉安市绿色农产品促进会</w:t>
      </w:r>
      <w:r>
        <w:rPr>
          <w:rFonts w:hint="eastAsia"/>
          <w:lang w:val="en-US" w:eastAsia="zh-CN"/>
        </w:rPr>
        <w:t>提出并归口。</w:t>
      </w:r>
    </w:p>
    <w:p w14:paraId="44335F27">
      <w:pPr>
        <w:pStyle w:val="23"/>
        <w:bidi w:val="0"/>
        <w:rPr>
          <w:rFonts w:hint="eastAsia"/>
          <w:lang w:val="en-US" w:eastAsia="zh-CN"/>
        </w:rPr>
      </w:pPr>
      <w:r>
        <w:rPr>
          <w:rFonts w:hint="eastAsia"/>
          <w:lang w:val="en-US" w:eastAsia="zh-CN"/>
        </w:rPr>
        <w:t>本文件起草单位：</w:t>
      </w:r>
    </w:p>
    <w:p w14:paraId="62AF4BD1">
      <w:pPr>
        <w:pStyle w:val="23"/>
        <w:bidi w:val="0"/>
        <w:rPr>
          <w:rFonts w:hint="eastAsia"/>
          <w:lang w:val="en-US" w:eastAsia="zh-CN"/>
        </w:rPr>
      </w:pPr>
      <w:r>
        <w:rPr>
          <w:rFonts w:hint="eastAsia"/>
          <w:lang w:val="en-US" w:eastAsia="zh-CN"/>
        </w:rPr>
        <w:t>本文件主要起草人：</w:t>
      </w:r>
    </w:p>
    <w:p w14:paraId="34116E26">
      <w:pPr>
        <w:pStyle w:val="23"/>
        <w:bidi w:val="0"/>
        <w:rPr>
          <w:rFonts w:hint="eastAsia"/>
          <w:lang w:val="en-US" w:eastAsia="zh-CN"/>
        </w:rPr>
      </w:pPr>
    </w:p>
    <w:bookmarkEnd w:id="20"/>
    <w:p w14:paraId="7D3ACEF8">
      <w:pPr>
        <w:rPr>
          <w:rFonts w:hint="eastAsia"/>
          <w:lang w:val="en-US" w:eastAsia="zh-CN"/>
        </w:rPr>
      </w:pPr>
    </w:p>
    <w:p w14:paraId="730DC758">
      <w:pPr>
        <w:rPr>
          <w:rFonts w:hint="eastAsia"/>
          <w:lang w:val="en-US" w:eastAsia="zh-CN"/>
        </w:rPr>
      </w:pPr>
    </w:p>
    <w:p w14:paraId="4F8A6512">
      <w:pPr>
        <w:rPr>
          <w:rFonts w:hint="eastAsia"/>
          <w:lang w:val="en-US" w:eastAsia="zh-CN"/>
        </w:rPr>
        <w:sectPr>
          <w:headerReference r:id="rId3" w:type="default"/>
          <w:footerReference r:id="rId4" w:type="default"/>
          <w:pgSz w:w="11906" w:h="16838"/>
          <w:pgMar w:top="2410" w:right="1134" w:bottom="1134" w:left="1134" w:header="1418" w:footer="1134" w:gutter="284"/>
          <w:lnNumType w:countBy="0" w:restart="continuous"/>
          <w:pgNumType w:fmt="upperRoman" w:start="1"/>
          <w:cols w:space="425" w:num="1"/>
          <w:docGrid w:type="lines" w:linePitch="312" w:charSpace="0"/>
        </w:sectPr>
      </w:pPr>
    </w:p>
    <w:sdt>
      <w:sdtPr>
        <w:rPr>
          <w:rStyle w:val="118"/>
          <w:rFonts w:hint="eastAsia"/>
          <w:lang w:val="en-US" w:eastAsia="zh-CN"/>
        </w:rPr>
        <w:tag w:val="StandardName"/>
        <w:id w:val="147457484"/>
        <w:lock w:val="sdtLocked"/>
        <w:placeholder>
          <w:docPart w:val="{dc198fea-d184-4aa6-8509-aaf3d889285d}"/>
        </w:placeholder>
      </w:sdtPr>
      <w:sdtEndPr>
        <w:rPr>
          <w:rStyle w:val="118"/>
          <w:rFonts w:hint="eastAsia"/>
          <w:lang w:val="en-US" w:eastAsia="zh-CN"/>
        </w:rPr>
      </w:sdtEndPr>
      <w:sdtContent>
        <w:p w14:paraId="32C31B53">
          <w:pPr>
            <w:pStyle w:val="54"/>
            <w:bidi w:val="0"/>
            <w:rPr>
              <w:rStyle w:val="118"/>
              <w:rFonts w:hint="eastAsia"/>
              <w:lang w:val="en-US" w:eastAsia="zh-CN"/>
            </w:rPr>
          </w:pPr>
          <w:bookmarkStart w:id="21" w:name="StandardName"/>
          <w:r>
            <w:rPr>
              <w:rStyle w:val="118"/>
              <w:rFonts w:hint="eastAsia"/>
              <w:lang w:val="en-US" w:eastAsia="zh-CN"/>
            </w:rPr>
            <w:t>井冈山薄酥饼</w:t>
          </w:r>
          <w:bookmarkEnd w:id="21"/>
        </w:p>
      </w:sdtContent>
    </w:sdt>
    <w:p w14:paraId="12C97932">
      <w:pPr>
        <w:pStyle w:val="70"/>
        <w:bidi w:val="0"/>
        <w:rPr>
          <w:rStyle w:val="118"/>
          <w:rFonts w:hint="eastAsia"/>
          <w:lang w:val="en-US" w:eastAsia="zh-CN"/>
        </w:rPr>
      </w:pPr>
      <w:bookmarkStart w:id="22" w:name="_Toc8095"/>
      <w:r>
        <w:rPr>
          <w:rFonts w:hint="eastAsia"/>
          <w:lang w:val="en-US" w:eastAsia="zh-CN"/>
        </w:rPr>
        <w:t>范围</w:t>
      </w:r>
      <w:bookmarkEnd w:id="22"/>
    </w:p>
    <w:p w14:paraId="78492C44">
      <w:pPr>
        <w:pStyle w:val="23"/>
        <w:rPr>
          <w:rFonts w:hint="eastAsia"/>
          <w:lang w:val="en-US" w:eastAsia="zh-CN"/>
        </w:rPr>
      </w:pPr>
      <w:r>
        <w:rPr>
          <w:rFonts w:hint="eastAsia"/>
          <w:lang w:val="en-US" w:eastAsia="zh-CN"/>
        </w:rPr>
        <w:t>本文件规定了井冈山薄酥饼的要求、检验规则、包装、标志与标签、运输与贮存。</w:t>
      </w:r>
    </w:p>
    <w:p w14:paraId="0DE9971D">
      <w:pPr>
        <w:pStyle w:val="23"/>
        <w:rPr>
          <w:rFonts w:hint="eastAsia"/>
          <w:lang w:val="en-US" w:eastAsia="zh-CN"/>
        </w:rPr>
      </w:pPr>
      <w:r>
        <w:rPr>
          <w:rFonts w:hint="eastAsia"/>
          <w:lang w:val="en-US" w:eastAsia="zh-CN"/>
        </w:rPr>
        <w:t>本文件适用于吉安市行政区域内生产加工的薄酥饼干。</w:t>
      </w:r>
    </w:p>
    <w:p w14:paraId="4CB3D07B">
      <w:pPr>
        <w:pStyle w:val="70"/>
        <w:bidi w:val="0"/>
        <w:rPr>
          <w:rFonts w:hint="eastAsia"/>
          <w:lang w:val="en-US" w:eastAsia="zh-CN"/>
        </w:rPr>
      </w:pPr>
      <w:bookmarkStart w:id="23" w:name="_Toc8385"/>
      <w:r>
        <w:rPr>
          <w:rFonts w:hint="eastAsia"/>
          <w:lang w:val="en-US" w:eastAsia="zh-CN"/>
        </w:rPr>
        <w:t>规范性引用文件</w:t>
      </w:r>
      <w:bookmarkEnd w:id="23"/>
    </w:p>
    <w:sdt>
      <w:sdtPr>
        <w:rPr>
          <w:rFonts w:hint="eastAsia" w:ascii="宋体" w:hAnsi="Times New Roman" w:eastAsia="宋体" w:cs="宋体"/>
          <w:sz w:val="21"/>
          <w:lang w:val="en-US" w:eastAsia="zh-CN"/>
        </w:rPr>
        <w:tag w:val="StandNameFile"/>
        <w:id w:val="147458581"/>
        <w:placeholder>
          <w:docPart w:val="{e43a72de-6420-4734-a0dc-b6c3f8f378bc}"/>
        </w:placeholder>
        <w:comboBox>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comboBox>
      </w:sdtPr>
      <w:sdtEndPr>
        <w:rPr>
          <w:rFonts w:hint="eastAsia" w:ascii="宋体" w:hAnsi="Times New Roman" w:eastAsia="宋体" w:cs="宋体"/>
          <w:sz w:val="21"/>
          <w:lang w:val="en-US" w:eastAsia="zh-CN"/>
        </w:rPr>
      </w:sdtEndPr>
      <w:sdtContent>
        <w:p w14:paraId="110050AD">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576B43A">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GB/T 191  包装储运图示标志</w:t>
      </w:r>
    </w:p>
    <w:p w14:paraId="2836CE46">
      <w:pPr>
        <w:pStyle w:val="23"/>
        <w:bidi w:val="0"/>
        <w:rPr>
          <w:rFonts w:hint="eastAsia" w:cs="宋体"/>
          <w:sz w:val="21"/>
          <w:lang w:val="en-US" w:eastAsia="zh-CN"/>
        </w:rPr>
      </w:pPr>
      <w:r>
        <w:rPr>
          <w:rFonts w:hint="eastAsia" w:cs="宋体"/>
          <w:sz w:val="21"/>
          <w:lang w:val="en-US" w:eastAsia="zh-CN"/>
        </w:rPr>
        <w:t>GB/T 317  白砂糖</w:t>
      </w:r>
    </w:p>
    <w:p w14:paraId="6FFCF94F">
      <w:pPr>
        <w:pStyle w:val="23"/>
        <w:bidi w:val="0"/>
        <w:rPr>
          <w:rFonts w:hint="eastAsia" w:cs="宋体"/>
          <w:sz w:val="21"/>
          <w:lang w:val="en-US" w:eastAsia="zh-CN"/>
        </w:rPr>
      </w:pPr>
      <w:r>
        <w:rPr>
          <w:rFonts w:hint="eastAsia" w:cs="宋体"/>
          <w:sz w:val="21"/>
          <w:lang w:val="en-US" w:eastAsia="zh-CN"/>
        </w:rPr>
        <w:t>GB/T 1355  小麦粉</w:t>
      </w:r>
    </w:p>
    <w:p w14:paraId="12D26208">
      <w:pPr>
        <w:pStyle w:val="23"/>
        <w:bidi w:val="0"/>
        <w:rPr>
          <w:rFonts w:hint="eastAsia" w:cs="宋体"/>
          <w:sz w:val="21"/>
          <w:lang w:val="en-US" w:eastAsia="zh-CN"/>
        </w:rPr>
      </w:pPr>
      <w:r>
        <w:rPr>
          <w:rFonts w:hint="eastAsia" w:cs="宋体"/>
          <w:sz w:val="21"/>
          <w:lang w:val="en-US" w:eastAsia="zh-CN"/>
        </w:rPr>
        <w:t>GB/T 1535  大豆油</w:t>
      </w:r>
    </w:p>
    <w:p w14:paraId="26800BC8">
      <w:pPr>
        <w:pStyle w:val="23"/>
        <w:bidi w:val="0"/>
        <w:rPr>
          <w:rFonts w:hint="default" w:ascii="宋体" w:hAnsi="Times New Roman" w:eastAsia="宋体" w:cs="宋体"/>
          <w:sz w:val="21"/>
          <w:lang w:val="en-US" w:eastAsia="zh-CN"/>
        </w:rPr>
      </w:pPr>
      <w:r>
        <w:rPr>
          <w:rFonts w:hint="eastAsia" w:cs="宋体"/>
          <w:sz w:val="21"/>
          <w:lang w:val="en-US" w:eastAsia="zh-CN"/>
        </w:rPr>
        <w:t xml:space="preserve">GB 2760  </w:t>
      </w:r>
      <w:r>
        <w:rPr>
          <w:rFonts w:ascii="宋体" w:hAnsi="Times New Roman" w:eastAsia="宋体" w:cs="宋体"/>
          <w:i w:val="0"/>
          <w:iCs w:val="0"/>
          <w:caps w:val="0"/>
          <w:color w:val="auto"/>
          <w:spacing w:val="0"/>
          <w:sz w:val="21"/>
          <w:szCs w:val="20"/>
          <w:shd w:val="clear" w:fill="auto"/>
          <w:lang w:val="en-US" w:eastAsia="zh-CN"/>
        </w:rPr>
        <w:t>食品安全国家标准 食品添加剂使用标准</w:t>
      </w:r>
    </w:p>
    <w:p w14:paraId="642A6284">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GB 2762  食品安全国家标准  食品中污染物限量</w:t>
      </w:r>
    </w:p>
    <w:p w14:paraId="7E0BF03F">
      <w:pPr>
        <w:pStyle w:val="23"/>
        <w:bidi w:val="0"/>
        <w:rPr>
          <w:rFonts w:hint="eastAsia" w:ascii="宋体" w:hAnsi="Times New Roman" w:eastAsia="宋体" w:cs="宋体"/>
          <w:i w:val="0"/>
          <w:iCs w:val="0"/>
          <w:caps w:val="0"/>
          <w:color w:val="auto"/>
          <w:spacing w:val="0"/>
          <w:sz w:val="21"/>
          <w:szCs w:val="20"/>
          <w:shd w:val="clear" w:fill="auto"/>
          <w:lang w:val="en-US" w:eastAsia="zh-CN"/>
        </w:rPr>
      </w:pPr>
      <w:r>
        <w:rPr>
          <w:rFonts w:hint="eastAsia" w:ascii="宋体" w:hAnsi="Times New Roman" w:cs="宋体"/>
          <w:i w:val="0"/>
          <w:iCs w:val="0"/>
          <w:caps w:val="0"/>
          <w:color w:val="auto"/>
          <w:spacing w:val="0"/>
          <w:sz w:val="21"/>
          <w:szCs w:val="20"/>
          <w:shd w:val="clear" w:fill="auto"/>
          <w:lang w:val="en-US" w:eastAsia="zh-CN"/>
        </w:rPr>
        <w:t>GB 4789.1  食品安全国家标准 食品微生物学检验 总则</w:t>
      </w:r>
    </w:p>
    <w:p w14:paraId="427ADC04">
      <w:pPr>
        <w:pStyle w:val="23"/>
        <w:bidi w:val="0"/>
        <w:rPr>
          <w:rFonts w:ascii="宋体" w:hAnsi="Times New Roman" w:eastAsia="宋体" w:cs="宋体"/>
          <w:i w:val="0"/>
          <w:iCs w:val="0"/>
          <w:caps w:val="0"/>
          <w:color w:val="auto"/>
          <w:spacing w:val="0"/>
          <w:sz w:val="21"/>
          <w:szCs w:val="20"/>
          <w:shd w:val="clear" w:fill="auto"/>
          <w:lang w:val="en-US" w:eastAsia="zh-CN"/>
        </w:rPr>
      </w:pPr>
      <w:r>
        <w:rPr>
          <w:rFonts w:hint="eastAsia"/>
          <w:lang w:val="en-US" w:eastAsia="zh-CN"/>
        </w:rPr>
        <w:t xml:space="preserve">GB 4789.2  </w:t>
      </w:r>
      <w:r>
        <w:rPr>
          <w:rFonts w:ascii="宋体" w:hAnsi="Times New Roman" w:eastAsia="宋体" w:cs="宋体"/>
          <w:i w:val="0"/>
          <w:iCs w:val="0"/>
          <w:caps w:val="0"/>
          <w:color w:val="auto"/>
          <w:spacing w:val="0"/>
          <w:sz w:val="21"/>
          <w:szCs w:val="20"/>
          <w:shd w:val="clear" w:fill="auto"/>
          <w:lang w:val="en-US" w:eastAsia="zh-CN"/>
        </w:rPr>
        <w:t>食品安全国家标准 食品微生物学检验 菌落总数测定</w:t>
      </w:r>
    </w:p>
    <w:p w14:paraId="1F16184F">
      <w:pPr>
        <w:pStyle w:val="23"/>
        <w:bidi w:val="0"/>
        <w:rPr>
          <w:rFonts w:ascii="宋体" w:hAnsi="Times New Roman" w:eastAsia="宋体" w:cs="宋体"/>
          <w:i w:val="0"/>
          <w:iCs w:val="0"/>
          <w:caps w:val="0"/>
          <w:color w:val="auto"/>
          <w:spacing w:val="0"/>
          <w:sz w:val="21"/>
          <w:szCs w:val="20"/>
          <w:shd w:val="clear" w:fill="auto"/>
          <w:lang w:val="en-US" w:eastAsia="zh-CN"/>
        </w:rPr>
      </w:pPr>
      <w:r>
        <w:rPr>
          <w:rFonts w:hint="eastAsia"/>
          <w:lang w:val="en-US" w:eastAsia="zh-CN"/>
        </w:rPr>
        <w:t xml:space="preserve">GB 4789.3  </w:t>
      </w:r>
      <w:r>
        <w:rPr>
          <w:rFonts w:ascii="宋体" w:hAnsi="Times New Roman" w:eastAsia="宋体" w:cs="宋体"/>
          <w:i w:val="0"/>
          <w:iCs w:val="0"/>
          <w:caps w:val="0"/>
          <w:color w:val="auto"/>
          <w:spacing w:val="0"/>
          <w:sz w:val="21"/>
          <w:szCs w:val="20"/>
          <w:shd w:val="clear" w:fill="auto"/>
          <w:lang w:val="en-US" w:eastAsia="zh-CN"/>
        </w:rPr>
        <w:t>食品安全国家标准 食品微生物学检验 大肠菌群计数</w:t>
      </w:r>
    </w:p>
    <w:p w14:paraId="3ADF50FB">
      <w:pPr>
        <w:pStyle w:val="23"/>
        <w:bidi w:val="0"/>
        <w:rPr>
          <w:rFonts w:ascii="宋体" w:hAnsi="Times New Roman" w:eastAsia="宋体" w:cs="宋体"/>
          <w:i w:val="0"/>
          <w:iCs w:val="0"/>
          <w:caps w:val="0"/>
          <w:color w:val="auto"/>
          <w:spacing w:val="0"/>
          <w:sz w:val="21"/>
          <w:szCs w:val="20"/>
          <w:shd w:val="clear" w:fill="auto"/>
          <w:lang w:val="en-US" w:eastAsia="zh-CN"/>
        </w:rPr>
      </w:pPr>
      <w:r>
        <w:rPr>
          <w:rFonts w:hint="eastAsia"/>
          <w:lang w:val="en-US" w:eastAsia="zh-CN"/>
        </w:rPr>
        <w:t xml:space="preserve">GB 4789.4  </w:t>
      </w:r>
      <w:r>
        <w:rPr>
          <w:rFonts w:ascii="宋体" w:hAnsi="Times New Roman" w:eastAsia="宋体" w:cs="宋体"/>
          <w:i w:val="0"/>
          <w:iCs w:val="0"/>
          <w:caps w:val="0"/>
          <w:color w:val="auto"/>
          <w:spacing w:val="0"/>
          <w:sz w:val="21"/>
          <w:szCs w:val="20"/>
          <w:shd w:val="clear" w:fill="auto"/>
          <w:lang w:val="en-US" w:eastAsia="zh-CN"/>
        </w:rPr>
        <w:t>食品安全国家标准 食品微生物学检验 沙门氏菌检验</w:t>
      </w:r>
    </w:p>
    <w:p w14:paraId="4531C223">
      <w:pPr>
        <w:pStyle w:val="23"/>
        <w:bidi w:val="0"/>
        <w:rPr>
          <w:rFonts w:ascii="宋体" w:hAnsi="Times New Roman" w:eastAsia="宋体" w:cs="宋体"/>
          <w:i w:val="0"/>
          <w:iCs w:val="0"/>
          <w:caps w:val="0"/>
          <w:color w:val="auto"/>
          <w:spacing w:val="0"/>
          <w:sz w:val="21"/>
          <w:szCs w:val="20"/>
          <w:shd w:val="clear" w:fill="auto"/>
          <w:lang w:val="en-US" w:eastAsia="zh-CN"/>
        </w:rPr>
      </w:pPr>
      <w:r>
        <w:rPr>
          <w:rFonts w:hint="eastAsia"/>
          <w:lang w:val="en-US" w:eastAsia="zh-CN"/>
        </w:rPr>
        <w:t xml:space="preserve">GB 4789.10  </w:t>
      </w:r>
      <w:r>
        <w:rPr>
          <w:rFonts w:ascii="宋体" w:hAnsi="Times New Roman" w:eastAsia="宋体" w:cs="宋体"/>
          <w:i w:val="0"/>
          <w:iCs w:val="0"/>
          <w:caps w:val="0"/>
          <w:color w:val="auto"/>
          <w:spacing w:val="0"/>
          <w:sz w:val="21"/>
          <w:szCs w:val="20"/>
          <w:shd w:val="clear" w:fill="auto"/>
          <w:lang w:val="en-US" w:eastAsia="zh-CN"/>
        </w:rPr>
        <w:t>食品安全国家标准 食品微生物学检验 金黄色葡萄球菌检验</w:t>
      </w:r>
    </w:p>
    <w:p w14:paraId="6576A630">
      <w:pPr>
        <w:pStyle w:val="23"/>
        <w:bidi w:val="0"/>
        <w:rPr>
          <w:rFonts w:ascii="宋体" w:hAnsi="Times New Roman" w:eastAsia="宋体" w:cs="宋体"/>
          <w:i w:val="0"/>
          <w:iCs w:val="0"/>
          <w:caps w:val="0"/>
          <w:color w:val="auto"/>
          <w:spacing w:val="0"/>
          <w:sz w:val="21"/>
          <w:szCs w:val="20"/>
          <w:shd w:val="clear" w:fill="auto"/>
          <w:lang w:val="en-US" w:eastAsia="zh-CN"/>
        </w:rPr>
      </w:pPr>
      <w:r>
        <w:rPr>
          <w:rFonts w:hint="eastAsia"/>
          <w:lang w:val="en-US" w:eastAsia="zh-CN"/>
        </w:rPr>
        <w:t xml:space="preserve">GB 4789.15  </w:t>
      </w:r>
      <w:r>
        <w:rPr>
          <w:rFonts w:ascii="宋体" w:hAnsi="Times New Roman" w:eastAsia="宋体" w:cs="宋体"/>
          <w:i w:val="0"/>
          <w:iCs w:val="0"/>
          <w:caps w:val="0"/>
          <w:color w:val="auto"/>
          <w:spacing w:val="0"/>
          <w:sz w:val="21"/>
          <w:szCs w:val="20"/>
          <w:shd w:val="clear" w:fill="auto"/>
          <w:lang w:val="en-US" w:eastAsia="zh-CN"/>
        </w:rPr>
        <w:t>食品安全国家标准 食品微生物学检验 霉菌和酵母计数</w:t>
      </w:r>
    </w:p>
    <w:p w14:paraId="58A666ED">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 xml:space="preserve">GB 4806.1 </w:t>
      </w:r>
      <w:r>
        <w:rPr>
          <w:rFonts w:hint="eastAsia" w:cs="宋体"/>
          <w:sz w:val="21"/>
          <w:lang w:val="en-US" w:eastAsia="zh-CN"/>
        </w:rPr>
        <w:t xml:space="preserve"> </w:t>
      </w:r>
      <w:r>
        <w:rPr>
          <w:rFonts w:hint="eastAsia" w:ascii="宋体" w:hAnsi="Times New Roman" w:eastAsia="宋体" w:cs="宋体"/>
          <w:sz w:val="21"/>
          <w:lang w:val="en-US" w:eastAsia="zh-CN"/>
        </w:rPr>
        <w:t xml:space="preserve">食品安全国家标准 </w:t>
      </w:r>
      <w:r>
        <w:rPr>
          <w:rFonts w:hint="eastAsia" w:cs="宋体"/>
          <w:sz w:val="21"/>
          <w:lang w:val="en-US" w:eastAsia="zh-CN"/>
        </w:rPr>
        <w:t xml:space="preserve"> </w:t>
      </w:r>
      <w:r>
        <w:rPr>
          <w:rFonts w:hint="eastAsia" w:ascii="宋体" w:hAnsi="Times New Roman" w:eastAsia="宋体" w:cs="宋体"/>
          <w:sz w:val="21"/>
          <w:lang w:val="en-US" w:eastAsia="zh-CN"/>
        </w:rPr>
        <w:t>食品接触材料及制品通用安全要求</w:t>
      </w:r>
    </w:p>
    <w:p w14:paraId="0E287082">
      <w:pPr>
        <w:pStyle w:val="23"/>
        <w:bidi w:val="0"/>
        <w:rPr>
          <w:rFonts w:hint="default" w:ascii="宋体" w:hAnsi="Times New Roman" w:eastAsia="宋体" w:cs="宋体"/>
          <w:sz w:val="21"/>
          <w:lang w:val="en-US" w:eastAsia="zh-CN"/>
        </w:rPr>
      </w:pPr>
      <w:r>
        <w:rPr>
          <w:rFonts w:hint="eastAsia" w:cs="宋体"/>
          <w:sz w:val="21"/>
          <w:lang w:val="en-US" w:eastAsia="zh-CN"/>
        </w:rPr>
        <w:t>GB 4806.6  食</w:t>
      </w:r>
      <w:r>
        <w:rPr>
          <w:rFonts w:ascii="宋体" w:hAnsi="Times New Roman" w:eastAsia="宋体" w:cs="宋体"/>
          <w:i w:val="0"/>
          <w:iCs w:val="0"/>
          <w:caps w:val="0"/>
          <w:color w:val="auto"/>
          <w:spacing w:val="0"/>
          <w:sz w:val="21"/>
          <w:szCs w:val="20"/>
          <w:shd w:val="clear" w:fill="auto"/>
          <w:lang w:val="en-US" w:eastAsia="zh-CN"/>
        </w:rPr>
        <w:t>品安全国家标准 食品接触用塑料树脂</w:t>
      </w:r>
    </w:p>
    <w:p w14:paraId="2D282D70">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GB 4806.7  食品安全国家标准  食品接触用塑料材料及制品</w:t>
      </w:r>
    </w:p>
    <w:p w14:paraId="4118BE1F">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GB 4806.8  食品安全国家标准  食品接触用纸及纸制品</w:t>
      </w:r>
    </w:p>
    <w:p w14:paraId="18C76C4C">
      <w:pPr>
        <w:pStyle w:val="23"/>
        <w:autoSpaceDE w:val="0"/>
        <w:autoSpaceDN w:val="0"/>
        <w:ind w:firstLineChars="200"/>
        <w:jc w:val="both"/>
        <w:rPr>
          <w:rFonts w:ascii="宋体" w:hAnsi="Times New Roman" w:eastAsia="宋体" w:cs="宋体"/>
          <w:i w:val="0"/>
          <w:iCs w:val="0"/>
          <w:caps w:val="0"/>
          <w:color w:val="333333"/>
          <w:spacing w:val="0"/>
          <w:sz w:val="21"/>
          <w:szCs w:val="20"/>
          <w:shd w:val="clear" w:fill="FFFFFF"/>
          <w:lang w:val="en-US" w:eastAsia="zh-CN"/>
        </w:rPr>
      </w:pPr>
      <w:r>
        <w:rPr>
          <w:rFonts w:hint="eastAsia" w:ascii="宋体" w:hAnsi="Times New Roman" w:eastAsia="宋体" w:cs="宋体"/>
          <w:sz w:val="21"/>
          <w:lang w:val="en-US" w:eastAsia="zh-CN" w:bidi="ar-SA"/>
        </w:rPr>
        <w:t xml:space="preserve">GB 5009.3  </w:t>
      </w:r>
      <w:r>
        <w:rPr>
          <w:rFonts w:ascii="宋体" w:hAnsi="Times New Roman" w:eastAsia="宋体" w:cs="宋体"/>
          <w:i w:val="0"/>
          <w:iCs w:val="0"/>
          <w:caps w:val="0"/>
          <w:color w:val="333333"/>
          <w:spacing w:val="0"/>
          <w:sz w:val="21"/>
          <w:szCs w:val="20"/>
          <w:shd w:val="clear" w:fill="FFFFFF"/>
          <w:lang w:val="en-US" w:eastAsia="zh-CN"/>
        </w:rPr>
        <w:t>食品安全国家标准 食品中水分的测定</w:t>
      </w:r>
    </w:p>
    <w:p w14:paraId="520331AE">
      <w:pPr>
        <w:pStyle w:val="23"/>
        <w:autoSpaceDE w:val="0"/>
        <w:autoSpaceDN w:val="0"/>
        <w:ind w:firstLineChars="200"/>
        <w:jc w:val="both"/>
        <w:rPr>
          <w:rFonts w:ascii="宋体" w:hAnsi="Times New Roman" w:eastAsia="宋体" w:cs="宋体"/>
          <w:i w:val="0"/>
          <w:iCs w:val="0"/>
          <w:caps w:val="0"/>
          <w:color w:val="333333"/>
          <w:spacing w:val="0"/>
          <w:sz w:val="21"/>
          <w:szCs w:val="20"/>
          <w:shd w:val="clear" w:fill="FFFFFF"/>
          <w:lang w:val="en-US" w:eastAsia="zh-CN"/>
        </w:rPr>
      </w:pPr>
      <w:r>
        <w:rPr>
          <w:rFonts w:hint="eastAsia"/>
          <w:lang w:val="en-US" w:eastAsia="zh-CN"/>
        </w:rPr>
        <w:t xml:space="preserve">GB 5009.22  </w:t>
      </w:r>
      <w:r>
        <w:rPr>
          <w:rFonts w:ascii="宋体" w:hAnsi="Times New Roman" w:eastAsia="宋体" w:cs="宋体"/>
          <w:i w:val="0"/>
          <w:iCs w:val="0"/>
          <w:caps w:val="0"/>
          <w:color w:val="333333"/>
          <w:spacing w:val="0"/>
          <w:sz w:val="21"/>
          <w:szCs w:val="20"/>
          <w:shd w:val="clear" w:fill="FFFFFF"/>
          <w:lang w:val="en-US" w:eastAsia="zh-CN"/>
        </w:rPr>
        <w:t>食品安全国家标准 食品中黄曲霉毒素B族和G族的测定</w:t>
      </w:r>
    </w:p>
    <w:p w14:paraId="656DCB57">
      <w:pPr>
        <w:pStyle w:val="23"/>
        <w:bidi w:val="0"/>
        <w:rPr>
          <w:rFonts w:ascii="宋体" w:hAnsi="Times New Roman" w:eastAsia="宋体" w:cs="宋体"/>
          <w:i w:val="0"/>
          <w:iCs w:val="0"/>
          <w:caps w:val="0"/>
          <w:color w:val="auto"/>
          <w:spacing w:val="0"/>
          <w:sz w:val="21"/>
          <w:szCs w:val="20"/>
          <w:shd w:val="clear" w:fill="auto"/>
          <w:lang w:val="en-US" w:eastAsia="zh-CN"/>
        </w:rPr>
      </w:pPr>
      <w:r>
        <w:rPr>
          <w:rFonts w:hint="eastAsia"/>
          <w:lang w:val="en-US" w:eastAsia="zh-CN"/>
        </w:rPr>
        <w:t xml:space="preserve">GB 5009.229  </w:t>
      </w:r>
      <w:r>
        <w:rPr>
          <w:rFonts w:ascii="宋体" w:hAnsi="Times New Roman" w:eastAsia="宋体" w:cs="宋体"/>
          <w:i w:val="0"/>
          <w:iCs w:val="0"/>
          <w:caps w:val="0"/>
          <w:color w:val="auto"/>
          <w:spacing w:val="0"/>
          <w:sz w:val="21"/>
          <w:szCs w:val="20"/>
          <w:shd w:val="clear" w:fill="auto"/>
          <w:lang w:val="en-US" w:eastAsia="zh-CN"/>
        </w:rPr>
        <w:t>食品安全国家标准 食品中酸价的测定</w:t>
      </w:r>
    </w:p>
    <w:p w14:paraId="5E29D826">
      <w:pPr>
        <w:pStyle w:val="23"/>
        <w:bidi w:val="0"/>
        <w:rPr>
          <w:rFonts w:ascii="宋体" w:hAnsi="Times New Roman" w:eastAsia="宋体" w:cs="宋体"/>
          <w:i w:val="0"/>
          <w:iCs w:val="0"/>
          <w:caps w:val="0"/>
          <w:color w:val="auto"/>
          <w:spacing w:val="0"/>
          <w:sz w:val="21"/>
          <w:szCs w:val="20"/>
          <w:shd w:val="clear" w:fill="auto"/>
          <w:lang w:val="en-US" w:eastAsia="zh-CN"/>
        </w:rPr>
      </w:pPr>
      <w:r>
        <w:rPr>
          <w:rFonts w:hint="eastAsia"/>
          <w:lang w:val="en-US" w:eastAsia="zh-CN"/>
        </w:rPr>
        <w:t xml:space="preserve">GB 5009.227  </w:t>
      </w:r>
      <w:r>
        <w:rPr>
          <w:rFonts w:ascii="宋体" w:hAnsi="Times New Roman" w:eastAsia="宋体" w:cs="宋体"/>
          <w:i w:val="0"/>
          <w:iCs w:val="0"/>
          <w:caps w:val="0"/>
          <w:color w:val="auto"/>
          <w:spacing w:val="0"/>
          <w:sz w:val="21"/>
          <w:szCs w:val="20"/>
          <w:shd w:val="clear" w:fill="auto"/>
          <w:lang w:val="en-US" w:eastAsia="zh-CN"/>
        </w:rPr>
        <w:t>食品安全国家标准 食品中过氧化值的测定</w:t>
      </w:r>
    </w:p>
    <w:p w14:paraId="1157213C">
      <w:pPr>
        <w:pStyle w:val="23"/>
        <w:bidi w:val="0"/>
        <w:rPr>
          <w:rFonts w:hint="eastAsia" w:cs="宋体"/>
          <w:sz w:val="21"/>
          <w:lang w:val="en-US" w:eastAsia="zh-CN"/>
        </w:rPr>
      </w:pPr>
      <w:r>
        <w:rPr>
          <w:rFonts w:hint="eastAsia" w:cs="宋体"/>
          <w:sz w:val="21"/>
          <w:lang w:val="en-US" w:eastAsia="zh-CN"/>
        </w:rPr>
        <w:t>GB 5461  食用盐</w:t>
      </w:r>
    </w:p>
    <w:p w14:paraId="13F4E122">
      <w:pPr>
        <w:pStyle w:val="23"/>
        <w:bidi w:val="0"/>
        <w:rPr>
          <w:rFonts w:hint="eastAsia" w:cs="宋体"/>
          <w:sz w:val="21"/>
          <w:lang w:val="en-US" w:eastAsia="zh-CN"/>
        </w:rPr>
      </w:pPr>
      <w:r>
        <w:rPr>
          <w:rFonts w:hint="eastAsia" w:cs="宋体"/>
          <w:sz w:val="21"/>
          <w:lang w:val="en-US" w:eastAsia="zh-CN"/>
        </w:rPr>
        <w:t>GB/T 5737  食品塑料周转箱</w:t>
      </w:r>
    </w:p>
    <w:p w14:paraId="2C1A6AC9">
      <w:pPr>
        <w:pStyle w:val="23"/>
        <w:bidi w:val="0"/>
        <w:rPr>
          <w:rFonts w:hint="eastAsia" w:ascii="宋体" w:hAnsi="Times New Roman" w:cs="宋体"/>
          <w:i w:val="0"/>
          <w:iCs w:val="0"/>
          <w:caps w:val="0"/>
          <w:color w:val="auto"/>
          <w:spacing w:val="0"/>
          <w:sz w:val="21"/>
          <w:szCs w:val="20"/>
          <w:shd w:val="clear" w:fill="auto"/>
          <w:lang w:val="en-US" w:eastAsia="zh-CN"/>
        </w:rPr>
      </w:pPr>
      <w:r>
        <w:rPr>
          <w:rFonts w:hint="eastAsia" w:ascii="宋体" w:hAnsi="Times New Roman" w:cs="宋体"/>
          <w:i w:val="0"/>
          <w:iCs w:val="0"/>
          <w:caps w:val="0"/>
          <w:color w:val="auto"/>
          <w:spacing w:val="0"/>
          <w:sz w:val="21"/>
          <w:szCs w:val="20"/>
          <w:shd w:val="clear" w:fill="auto"/>
          <w:lang w:val="en-US" w:eastAsia="zh-CN"/>
        </w:rPr>
        <w:t>GB 5749  生活饮用水卫生标准</w:t>
      </w:r>
    </w:p>
    <w:p w14:paraId="668F4962">
      <w:pPr>
        <w:pStyle w:val="23"/>
        <w:bidi w:val="0"/>
        <w:rPr>
          <w:rFonts w:hint="eastAsia" w:cs="宋体"/>
          <w:sz w:val="21"/>
          <w:lang w:val="en-US" w:eastAsia="zh-CN"/>
        </w:rPr>
      </w:pPr>
      <w:r>
        <w:rPr>
          <w:rFonts w:hint="eastAsia" w:cs="宋体"/>
          <w:sz w:val="21"/>
          <w:lang w:val="en-US" w:eastAsia="zh-CN"/>
        </w:rPr>
        <w:t>GB 7718  食品安全国家标准 预包装食品标签通则</w:t>
      </w:r>
    </w:p>
    <w:p w14:paraId="562C2B08">
      <w:pPr>
        <w:pStyle w:val="23"/>
        <w:bidi w:val="0"/>
        <w:rPr>
          <w:rFonts w:ascii="宋体" w:hAnsi="Times New Roman" w:eastAsia="宋体" w:cs="宋体"/>
          <w:i w:val="0"/>
          <w:iCs w:val="0"/>
          <w:caps w:val="0"/>
          <w:color w:val="auto"/>
          <w:spacing w:val="0"/>
          <w:sz w:val="21"/>
          <w:szCs w:val="20"/>
          <w:shd w:val="clear" w:fill="auto"/>
          <w:lang w:val="en-US" w:eastAsia="zh-CN"/>
        </w:rPr>
      </w:pPr>
      <w:r>
        <w:rPr>
          <w:rFonts w:hint="eastAsia" w:cs="宋体"/>
          <w:sz w:val="21"/>
          <w:lang w:val="en-US" w:eastAsia="zh-CN"/>
        </w:rPr>
        <w:t xml:space="preserve">GB/T 10004  </w:t>
      </w:r>
      <w:r>
        <w:rPr>
          <w:rFonts w:ascii="宋体" w:hAnsi="Times New Roman" w:eastAsia="宋体" w:cs="宋体"/>
          <w:i w:val="0"/>
          <w:iCs w:val="0"/>
          <w:caps w:val="0"/>
          <w:color w:val="auto"/>
          <w:spacing w:val="0"/>
          <w:sz w:val="21"/>
          <w:szCs w:val="20"/>
          <w:shd w:val="clear" w:fill="auto"/>
          <w:lang w:val="en-US" w:eastAsia="zh-CN"/>
        </w:rPr>
        <w:t>包装用塑料复合膜、袋 干法复合、挤出复合</w:t>
      </w:r>
    </w:p>
    <w:p w14:paraId="6D638BB1">
      <w:pPr>
        <w:pStyle w:val="23"/>
        <w:bidi w:val="0"/>
        <w:rPr>
          <w:rFonts w:hint="eastAsia" w:cs="宋体"/>
          <w:sz w:val="21"/>
          <w:lang w:val="en-US" w:eastAsia="zh-CN"/>
        </w:rPr>
      </w:pPr>
      <w:r>
        <w:rPr>
          <w:rFonts w:hint="eastAsia" w:cs="宋体"/>
          <w:sz w:val="21"/>
          <w:lang w:val="en-US" w:eastAsia="zh-CN"/>
        </w:rPr>
        <w:t>GB/T 11761  芝麻</w:t>
      </w:r>
    </w:p>
    <w:p w14:paraId="7B20A97A">
      <w:pPr>
        <w:pStyle w:val="23"/>
        <w:bidi w:val="0"/>
        <w:rPr>
          <w:rFonts w:hint="eastAsia" w:cs="宋体"/>
          <w:sz w:val="21"/>
          <w:lang w:val="en-US" w:eastAsia="zh-CN"/>
        </w:rPr>
      </w:pPr>
      <w:r>
        <w:rPr>
          <w:rFonts w:hint="eastAsia" w:cs="宋体"/>
          <w:sz w:val="21"/>
          <w:lang w:val="en-US" w:eastAsia="zh-CN"/>
        </w:rPr>
        <w:t>GB 14884  食品安全国家标准 蜜饯</w:t>
      </w:r>
    </w:p>
    <w:p w14:paraId="5901A9A7">
      <w:pPr>
        <w:pStyle w:val="23"/>
        <w:bidi w:val="0"/>
        <w:rPr>
          <w:rFonts w:hint="eastAsia" w:cs="宋体"/>
          <w:sz w:val="21"/>
          <w:lang w:val="en-US" w:eastAsia="zh-CN"/>
        </w:rPr>
      </w:pPr>
      <w:r>
        <w:rPr>
          <w:rFonts w:hint="eastAsia" w:cs="宋体"/>
          <w:sz w:val="21"/>
          <w:lang w:val="en-US" w:eastAsia="zh-CN"/>
        </w:rPr>
        <w:t>GB/T 20883  麦芽糖</w:t>
      </w:r>
    </w:p>
    <w:p w14:paraId="2550B76E">
      <w:pPr>
        <w:pStyle w:val="23"/>
        <w:bidi w:val="0"/>
        <w:rPr>
          <w:rFonts w:hint="eastAsia" w:cs="宋体"/>
          <w:sz w:val="21"/>
          <w:lang w:val="en-US" w:eastAsia="zh-CN"/>
        </w:rPr>
      </w:pPr>
      <w:r>
        <w:rPr>
          <w:rFonts w:hint="eastAsia"/>
          <w:lang w:val="en-US" w:eastAsia="zh-CN"/>
        </w:rPr>
        <w:t xml:space="preserve">GB/T 20980  </w:t>
      </w:r>
      <w:r>
        <w:rPr>
          <w:rFonts w:ascii="宋体" w:hAnsi="Times New Roman" w:eastAsia="宋体" w:cs="宋体"/>
          <w:i w:val="0"/>
          <w:iCs w:val="0"/>
          <w:caps w:val="0"/>
          <w:color w:val="auto"/>
          <w:spacing w:val="0"/>
          <w:sz w:val="21"/>
          <w:szCs w:val="20"/>
          <w:shd w:val="clear" w:fill="auto"/>
          <w:lang w:val="en-US" w:eastAsia="zh-CN"/>
        </w:rPr>
        <w:t>饼干质量通则</w:t>
      </w:r>
    </w:p>
    <w:p w14:paraId="6AE90F83">
      <w:pPr>
        <w:pStyle w:val="23"/>
        <w:bidi w:val="0"/>
        <w:rPr>
          <w:rFonts w:hint="default" w:ascii="宋体" w:hAnsi="Times New Roman" w:eastAsia="宋体" w:cs="宋体"/>
          <w:sz w:val="21"/>
          <w:lang w:val="en-US" w:eastAsia="zh-CN"/>
        </w:rPr>
      </w:pPr>
      <w:r>
        <w:rPr>
          <w:rFonts w:hint="eastAsia" w:cs="宋体"/>
          <w:sz w:val="21"/>
          <w:lang w:val="en-US" w:eastAsia="zh-CN"/>
        </w:rPr>
        <w:t>GB 28050  食品安全国家标准 预包装食品营养标签通则</w:t>
      </w:r>
    </w:p>
    <w:p w14:paraId="2B4096B4">
      <w:pPr>
        <w:pStyle w:val="23"/>
        <w:bidi w:val="0"/>
        <w:rPr>
          <w:rFonts w:hint="eastAsia" w:cs="宋体"/>
          <w:sz w:val="21"/>
          <w:lang w:val="en-US" w:eastAsia="zh-CN"/>
        </w:rPr>
      </w:pPr>
      <w:r>
        <w:rPr>
          <w:rFonts w:hint="eastAsia" w:cs="宋体"/>
          <w:sz w:val="21"/>
          <w:lang w:val="en-US" w:eastAsia="zh-CN"/>
        </w:rPr>
        <w:t>GB/T 30391  花椒</w:t>
      </w:r>
    </w:p>
    <w:p w14:paraId="10AA7C55">
      <w:pPr>
        <w:pStyle w:val="23"/>
        <w:bidi w:val="0"/>
        <w:rPr>
          <w:rFonts w:hint="eastAsia" w:ascii="宋体" w:hAnsi="Times New Roman" w:eastAsia="宋体" w:cs="宋体"/>
          <w:sz w:val="21"/>
          <w:lang w:val="en-US" w:eastAsia="zh-CN"/>
        </w:rPr>
      </w:pPr>
      <w:r>
        <w:rPr>
          <w:rFonts w:hint="eastAsia" w:cs="宋体"/>
          <w:sz w:val="21"/>
          <w:lang w:val="en-US" w:eastAsia="zh-CN"/>
        </w:rPr>
        <w:t xml:space="preserve">JJF 1070  </w:t>
      </w:r>
      <w:r>
        <w:rPr>
          <w:rFonts w:ascii="宋体" w:hAnsi="Times New Roman" w:eastAsia="宋体" w:cs="宋体"/>
          <w:i w:val="0"/>
          <w:iCs w:val="0"/>
          <w:caps w:val="0"/>
          <w:spacing w:val="0"/>
          <w:sz w:val="21"/>
          <w:szCs w:val="20"/>
          <w:shd w:val="clear"/>
          <w:lang w:val="en-US" w:eastAsia="zh-CN"/>
        </w:rPr>
        <w:t>定量包装商品净含量计量检验规则</w:t>
      </w:r>
    </w:p>
    <w:p w14:paraId="46609E85">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国家市场监督管理总局令2023年第70号  定量包装商品计量监督管理办法</w:t>
      </w:r>
    </w:p>
    <w:p w14:paraId="63AED22E">
      <w:pPr>
        <w:pStyle w:val="70"/>
        <w:bidi w:val="0"/>
        <w:rPr>
          <w:rFonts w:hint="eastAsia" w:ascii="宋体" w:hAnsi="Times New Roman" w:eastAsia="宋体" w:cs="宋体"/>
          <w:lang w:val="en-US" w:eastAsia="zh-CN"/>
        </w:rPr>
      </w:pPr>
      <w:bookmarkStart w:id="24" w:name="_Toc17023"/>
      <w:r>
        <w:rPr>
          <w:rFonts w:hint="eastAsia"/>
          <w:lang w:val="en-US" w:eastAsia="zh-CN"/>
        </w:rPr>
        <w:t>术语和定义</w:t>
      </w:r>
      <w:bookmarkEnd w:id="24"/>
    </w:p>
    <w:sdt>
      <w:sdtPr>
        <w:rPr>
          <w:rFonts w:hint="eastAsia" w:ascii="宋体" w:hAnsi="Times New Roman" w:eastAsia="宋体" w:cs="宋体"/>
          <w:sz w:val="21"/>
          <w:lang w:val="en-US" w:eastAsia="zh-CN"/>
        </w:rPr>
        <w:tag w:val="TermContent"/>
        <w:id w:val="147462716"/>
        <w:placeholder>
          <w:docPart w:val="{a2b934e1-4e69-4b3d-b344-351c81d94b3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ascii="宋体" w:hAnsi="Times New Roman" w:eastAsia="宋体" w:cs="宋体"/>
          <w:sz w:val="21"/>
          <w:lang w:val="en-US" w:eastAsia="zh-CN"/>
        </w:rPr>
      </w:sdtEndPr>
      <w:sdtContent>
        <w:p w14:paraId="769A715F">
          <w:pPr>
            <w:pStyle w:val="23"/>
            <w:rPr>
              <w:rFonts w:hint="eastAsia"/>
              <w:lang w:val="en-US" w:eastAsia="zh-CN"/>
            </w:rPr>
          </w:pPr>
          <w:r>
            <w:rPr>
              <w:rFonts w:hint="eastAsia" w:ascii="宋体" w:hAnsi="Times New Roman" w:eastAsia="宋体" w:cs="宋体"/>
              <w:sz w:val="21"/>
              <w:lang w:val="en-US" w:eastAsia="zh-CN"/>
            </w:rPr>
            <w:t>下列术语和定义适用于本文件。</w:t>
          </w:r>
        </w:p>
      </w:sdtContent>
    </w:sdt>
    <w:p w14:paraId="242503A2">
      <w:pPr>
        <w:pStyle w:val="81"/>
        <w:bidi w:val="0"/>
        <w:spacing w:after="0" w:afterLines="0"/>
        <w:ind w:left="420" w:hanging="420" w:hangingChars="200"/>
        <w:rPr>
          <w:rFonts w:hint="eastAsia" w:ascii="黑体" w:hAnsi="黑体" w:eastAsia="黑体" w:cs="黑体"/>
          <w:lang w:val="en-US" w:eastAsia="zh-CN"/>
        </w:rPr>
      </w:pPr>
    </w:p>
    <w:p w14:paraId="6F38F9F4">
      <w:pPr>
        <w:pStyle w:val="81"/>
        <w:numPr>
          <w:ilvl w:val="-1"/>
          <w:numId w:val="0"/>
        </w:numPr>
        <w:bidi w:val="0"/>
        <w:spacing w:after="0" w:afterLines="0"/>
        <w:ind w:left="-420" w:leftChars="-200" w:firstLine="840" w:firstLineChars="400"/>
        <w:rPr>
          <w:rFonts w:hint="eastAsia" w:ascii="黑体" w:hAnsi="黑体" w:eastAsia="黑体" w:cs="黑体"/>
          <w:lang w:val="en-US" w:eastAsia="zh-CN"/>
        </w:rPr>
      </w:pPr>
      <w:r>
        <w:rPr>
          <w:rFonts w:hint="eastAsia" w:cs="黑体"/>
          <w:lang w:val="en-US" w:eastAsia="zh-CN"/>
        </w:rPr>
        <w:t>薄酥饼 wafer</w:t>
      </w:r>
    </w:p>
    <w:p w14:paraId="74629992">
      <w:pPr>
        <w:pStyle w:val="23"/>
        <w:rPr>
          <w:rFonts w:hint="eastAsia"/>
          <w:lang w:val="en-US" w:eastAsia="zh-CN"/>
        </w:rPr>
      </w:pPr>
      <w:r>
        <w:rPr>
          <w:rFonts w:hint="eastAsia"/>
          <w:lang w:val="en-US" w:eastAsia="zh-CN"/>
        </w:rPr>
        <w:t>采用精面粉、食油、白糖、白芝麻、香葱、细盐等原料，揉皮包上酥心，而后经过烘烤而成的饼干制品；并经“井冈山®”商标持有人授权的薄酥饼。</w:t>
      </w:r>
    </w:p>
    <w:p w14:paraId="6BB13910">
      <w:pPr>
        <w:pStyle w:val="23"/>
        <w:rPr>
          <w:rFonts w:hint="eastAsia"/>
          <w:lang w:val="en-US" w:eastAsia="zh-CN"/>
        </w:rPr>
      </w:pPr>
      <w:r>
        <w:rPr>
          <w:rFonts w:hint="eastAsia"/>
          <w:lang w:val="en-US" w:eastAsia="zh-CN"/>
        </w:rPr>
        <w:t>井冈山薄酥饼生产区域范围见附录A。</w:t>
      </w:r>
    </w:p>
    <w:p w14:paraId="74B8492D">
      <w:pPr>
        <w:pStyle w:val="70"/>
        <w:bidi w:val="0"/>
        <w:rPr>
          <w:rFonts w:hint="eastAsia"/>
          <w:lang w:val="en-US" w:eastAsia="zh-CN"/>
        </w:rPr>
      </w:pPr>
      <w:bookmarkStart w:id="25" w:name="_Toc1476"/>
      <w:r>
        <w:rPr>
          <w:rFonts w:hint="eastAsia"/>
          <w:lang w:val="en-US" w:eastAsia="zh-CN"/>
        </w:rPr>
        <w:t>要求</w:t>
      </w:r>
      <w:bookmarkEnd w:id="25"/>
    </w:p>
    <w:p w14:paraId="4C5FB423">
      <w:pPr>
        <w:pStyle w:val="71"/>
        <w:spacing w:before="120" w:after="120"/>
      </w:pPr>
      <w:r>
        <w:rPr>
          <w:rFonts w:hint="eastAsia"/>
          <w:lang w:val="en-US" w:eastAsia="zh-CN"/>
        </w:rPr>
        <w:t>原、辅料要求</w:t>
      </w:r>
    </w:p>
    <w:p w14:paraId="123B56F1">
      <w:pPr>
        <w:pStyle w:val="23"/>
        <w:ind w:firstLine="0" w:firstLineChars="0"/>
        <w:rPr>
          <w:rFonts w:hint="eastAsia" w:ascii="Times New Roman"/>
          <w:lang w:val="en-US" w:eastAsia="zh-CN"/>
        </w:rPr>
      </w:pPr>
      <w:r>
        <w:rPr>
          <w:rFonts w:hint="eastAsia" w:ascii="Times New Roman"/>
          <w:lang w:val="en-US" w:eastAsia="zh-CN"/>
        </w:rPr>
        <w:t>4.1.1 小麦粉应符合GB 1355的规定。</w:t>
      </w:r>
    </w:p>
    <w:p w14:paraId="776C6535">
      <w:pPr>
        <w:pStyle w:val="23"/>
        <w:ind w:firstLine="0" w:firstLineChars="0"/>
        <w:rPr>
          <w:rFonts w:hint="eastAsia" w:ascii="Times New Roman"/>
          <w:lang w:val="en-US" w:eastAsia="zh-CN"/>
        </w:rPr>
      </w:pPr>
      <w:r>
        <w:rPr>
          <w:rFonts w:hint="eastAsia" w:ascii="Times New Roman"/>
          <w:lang w:val="en-US" w:eastAsia="zh-CN"/>
        </w:rPr>
        <w:t>4.1.2 芝麻应符合GB/T 11761的规定。</w:t>
      </w:r>
    </w:p>
    <w:p w14:paraId="55310422">
      <w:pPr>
        <w:pStyle w:val="23"/>
        <w:ind w:firstLine="0" w:firstLineChars="0"/>
        <w:rPr>
          <w:rFonts w:hint="eastAsia" w:ascii="Times New Roman"/>
          <w:lang w:val="en-US" w:eastAsia="zh-CN"/>
        </w:rPr>
      </w:pPr>
      <w:r>
        <w:rPr>
          <w:rFonts w:hint="eastAsia" w:ascii="Times New Roman"/>
          <w:lang w:val="en-US" w:eastAsia="zh-CN"/>
        </w:rPr>
        <w:t>4.1.3 大豆植</w:t>
      </w:r>
      <w:bookmarkStart w:id="85" w:name="_GoBack"/>
      <w:bookmarkEnd w:id="85"/>
      <w:r>
        <w:rPr>
          <w:rFonts w:hint="eastAsia" w:ascii="Times New Roman"/>
          <w:lang w:val="en-US" w:eastAsia="zh-CN"/>
        </w:rPr>
        <w:t>物油应符合GB/T 1535的规定。</w:t>
      </w:r>
    </w:p>
    <w:p w14:paraId="65B33B11">
      <w:pPr>
        <w:pStyle w:val="23"/>
        <w:ind w:firstLine="0" w:firstLineChars="0"/>
        <w:rPr>
          <w:rFonts w:hint="eastAsia" w:ascii="Times New Roman"/>
          <w:lang w:val="en-US" w:eastAsia="zh-CN"/>
        </w:rPr>
      </w:pPr>
      <w:r>
        <w:rPr>
          <w:rFonts w:hint="eastAsia" w:ascii="Times New Roman"/>
          <w:lang w:val="en-US" w:eastAsia="zh-CN"/>
        </w:rPr>
        <w:t>4.1.4 白砂糖应符合GB 317的规定。</w:t>
      </w:r>
    </w:p>
    <w:p w14:paraId="33F15DB8">
      <w:pPr>
        <w:pStyle w:val="23"/>
        <w:ind w:firstLine="0" w:firstLineChars="0"/>
        <w:rPr>
          <w:rFonts w:hint="eastAsia" w:ascii="Times New Roman"/>
          <w:lang w:val="en-US" w:eastAsia="zh-CN"/>
        </w:rPr>
      </w:pPr>
      <w:r>
        <w:rPr>
          <w:rFonts w:hint="eastAsia" w:ascii="Times New Roman"/>
          <w:lang w:val="en-US" w:eastAsia="zh-CN"/>
        </w:rPr>
        <w:t>4.1.5 饴糖应符合GB/T 20883的规定。</w:t>
      </w:r>
    </w:p>
    <w:p w14:paraId="487B6F5A">
      <w:pPr>
        <w:pStyle w:val="23"/>
        <w:ind w:firstLine="0" w:firstLineChars="0"/>
        <w:rPr>
          <w:rFonts w:hint="eastAsia" w:ascii="Times New Roman"/>
          <w:lang w:val="en-US" w:eastAsia="zh-CN"/>
        </w:rPr>
      </w:pPr>
      <w:r>
        <w:rPr>
          <w:rFonts w:hint="eastAsia" w:ascii="Times New Roman"/>
          <w:lang w:val="en-US" w:eastAsia="zh-CN"/>
        </w:rPr>
        <w:t>4.1.6 食用盐应符合GB 5461的规定。</w:t>
      </w:r>
    </w:p>
    <w:p w14:paraId="12989451">
      <w:pPr>
        <w:pStyle w:val="23"/>
        <w:ind w:firstLine="0" w:firstLineChars="0"/>
        <w:rPr>
          <w:rFonts w:hint="eastAsia" w:ascii="Times New Roman"/>
          <w:lang w:val="en-US" w:eastAsia="zh-CN"/>
        </w:rPr>
      </w:pPr>
      <w:r>
        <w:rPr>
          <w:rFonts w:hint="eastAsia" w:ascii="Times New Roman"/>
          <w:lang w:val="en-US" w:eastAsia="zh-CN"/>
        </w:rPr>
        <w:t>4.1.7 花椒应符合GB/T 30391的规定。</w:t>
      </w:r>
    </w:p>
    <w:p w14:paraId="5BAD8B35">
      <w:pPr>
        <w:pStyle w:val="23"/>
        <w:ind w:firstLine="0" w:firstLineChars="0"/>
        <w:rPr>
          <w:rFonts w:hint="eastAsia" w:ascii="Times New Roman"/>
          <w:lang w:val="en-US" w:eastAsia="zh-CN"/>
        </w:rPr>
      </w:pPr>
      <w:r>
        <w:rPr>
          <w:rFonts w:hint="eastAsia" w:ascii="Times New Roman"/>
          <w:lang w:val="en-US" w:eastAsia="zh-CN"/>
        </w:rPr>
        <w:t>4.1.8 金桔丁、冬瓜唐丁应符合GB 14884的规定。</w:t>
      </w:r>
    </w:p>
    <w:p w14:paraId="783731F0">
      <w:pPr>
        <w:pStyle w:val="23"/>
        <w:ind w:firstLine="0" w:firstLineChars="0"/>
        <w:rPr>
          <w:rFonts w:hint="default"/>
          <w:lang w:val="en-US" w:eastAsia="zh-CN"/>
        </w:rPr>
      </w:pPr>
      <w:r>
        <w:rPr>
          <w:rFonts w:hint="eastAsia" w:ascii="Times New Roman"/>
          <w:lang w:val="en-US" w:eastAsia="zh-CN"/>
        </w:rPr>
        <w:t>4.1.9 水应符合</w:t>
      </w:r>
      <w:r>
        <w:rPr>
          <w:rFonts w:hint="default" w:ascii="Times New Roman" w:cs="Times New Roman"/>
          <w:lang w:val="en-US" w:eastAsia="zh-CN"/>
        </w:rPr>
        <w:t>GB 5</w:t>
      </w:r>
      <w:r>
        <w:rPr>
          <w:rFonts w:hint="eastAsia" w:ascii="Times New Roman" w:cs="Times New Roman"/>
          <w:lang w:val="en-US" w:eastAsia="zh-CN"/>
        </w:rPr>
        <w:t>74</w:t>
      </w:r>
      <w:r>
        <w:rPr>
          <w:rFonts w:hint="default" w:ascii="Times New Roman" w:cs="Times New Roman"/>
          <w:lang w:val="en-US" w:eastAsia="zh-CN"/>
        </w:rPr>
        <w:t>9</w:t>
      </w:r>
      <w:r>
        <w:rPr>
          <w:rFonts w:hint="eastAsia" w:ascii="Times New Roman"/>
          <w:lang w:val="en-US" w:eastAsia="zh-CN"/>
        </w:rPr>
        <w:t>的规定。</w:t>
      </w:r>
    </w:p>
    <w:p w14:paraId="306BA09D">
      <w:pPr>
        <w:pStyle w:val="71"/>
        <w:bidi w:val="0"/>
        <w:rPr>
          <w:rFonts w:hint="default"/>
          <w:lang w:val="en-US" w:eastAsia="zh-CN"/>
        </w:rPr>
      </w:pPr>
      <w:r>
        <w:rPr>
          <w:rFonts w:hint="eastAsia"/>
        </w:rPr>
        <w:t>感官要求</w:t>
      </w:r>
    </w:p>
    <w:p w14:paraId="0F87A557">
      <w:pPr>
        <w:pStyle w:val="23"/>
        <w:ind w:firstLine="420"/>
        <w:rPr>
          <w:rFonts w:hint="eastAsia"/>
          <w:lang w:val="en-US" w:eastAsia="zh-CN"/>
        </w:rPr>
      </w:pPr>
      <w:r>
        <w:rPr>
          <w:rFonts w:hint="eastAsia"/>
          <w:lang w:val="en-US" w:eastAsia="zh-CN"/>
        </w:rPr>
        <w:t>应符合表1的规定。</w:t>
      </w:r>
    </w:p>
    <w:p w14:paraId="33A9020E">
      <w:pPr>
        <w:pStyle w:val="111"/>
        <w:bidi w:val="0"/>
        <w:rPr>
          <w:rFonts w:hint="eastAsia"/>
          <w:lang w:val="en-US" w:eastAsia="zh-CN"/>
        </w:rPr>
      </w:pPr>
      <w:r>
        <w:rPr>
          <w:rFonts w:hint="eastAsia"/>
          <w:lang w:val="en-US" w:eastAsia="zh-CN"/>
        </w:rPr>
        <w:t>感官要求</w:t>
      </w:r>
    </w:p>
    <w:tbl>
      <w:tblPr>
        <w:tblStyle w:val="20"/>
        <w:tblW w:w="4994"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388"/>
        <w:gridCol w:w="4781"/>
        <w:gridCol w:w="2390"/>
      </w:tblGrid>
      <w:tr w14:paraId="218D2F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49" w:type="pct"/>
            <w:vAlign w:val="center"/>
          </w:tcPr>
          <w:p w14:paraId="706E2BED">
            <w:pPr>
              <w:pStyle w:val="109"/>
              <w:widowControl w:val="0"/>
              <w:bidi w:val="0"/>
              <w:ind w:left="0" w:leftChars="0" w:firstLine="0" w:firstLineChars="0"/>
              <w:jc w:val="center"/>
              <w:rPr>
                <w:rFonts w:hint="default"/>
                <w:lang w:val="en-US" w:eastAsia="zh-CN"/>
              </w:rPr>
            </w:pPr>
            <w:r>
              <w:rPr>
                <w:rFonts w:hint="eastAsia"/>
                <w:lang w:val="en-US" w:eastAsia="zh-CN"/>
              </w:rPr>
              <w:t>项目</w:t>
            </w:r>
          </w:p>
        </w:tc>
        <w:tc>
          <w:tcPr>
            <w:tcW w:w="2500" w:type="pct"/>
            <w:tcBorders>
              <w:bottom w:val="single" w:color="auto" w:sz="8" w:space="0"/>
            </w:tcBorders>
            <w:vAlign w:val="center"/>
          </w:tcPr>
          <w:p w14:paraId="5E187CD3">
            <w:pPr>
              <w:pStyle w:val="109"/>
              <w:widowControl w:val="0"/>
              <w:bidi w:val="0"/>
              <w:ind w:left="0" w:leftChars="0" w:firstLine="0" w:firstLineChars="0"/>
              <w:jc w:val="center"/>
              <w:rPr>
                <w:rFonts w:hint="eastAsia" w:ascii="宋体" w:hAnsi="Times New Roman" w:eastAsia="宋体" w:cs="宋体"/>
                <w:sz w:val="18"/>
                <w:lang w:val="en-US" w:eastAsia="zh-CN"/>
              </w:rPr>
            </w:pPr>
            <w:r>
              <w:rPr>
                <w:rFonts w:hint="eastAsia"/>
                <w:lang w:val="en-US" w:eastAsia="zh-CN"/>
              </w:rPr>
              <w:t>要求</w:t>
            </w:r>
          </w:p>
        </w:tc>
        <w:tc>
          <w:tcPr>
            <w:tcW w:w="1250" w:type="pct"/>
            <w:vMerge w:val="restart"/>
            <w:vAlign w:val="center"/>
          </w:tcPr>
          <w:p w14:paraId="3026A8BB">
            <w:pPr>
              <w:pStyle w:val="109"/>
              <w:widowControl w:val="0"/>
              <w:bidi w:val="0"/>
              <w:ind w:left="0" w:leftChars="0" w:firstLine="0" w:firstLineChars="0"/>
              <w:jc w:val="center"/>
              <w:rPr>
                <w:rFonts w:hint="default"/>
                <w:lang w:val="en-US" w:eastAsia="zh-CN"/>
              </w:rPr>
            </w:pPr>
            <w:r>
              <w:rPr>
                <w:rFonts w:hint="eastAsia"/>
                <w:lang w:val="en-US" w:eastAsia="zh-CN"/>
              </w:rPr>
              <w:t>检验方法</w:t>
            </w:r>
          </w:p>
        </w:tc>
      </w:tr>
      <w:tr w14:paraId="15B713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tcBorders>
              <w:top w:val="single" w:color="auto" w:sz="8" w:space="0"/>
            </w:tcBorders>
            <w:vAlign w:val="center"/>
          </w:tcPr>
          <w:p w14:paraId="50E04F03">
            <w:pPr>
              <w:pStyle w:val="109"/>
              <w:widowControl w:val="0"/>
              <w:bidi w:val="0"/>
              <w:ind w:left="0" w:leftChars="0" w:firstLine="0" w:firstLineChars="0"/>
              <w:jc w:val="center"/>
              <w:rPr>
                <w:rFonts w:hint="default"/>
                <w:lang w:val="en-US" w:eastAsia="zh-CN"/>
              </w:rPr>
            </w:pPr>
            <w:r>
              <w:rPr>
                <w:rFonts w:hint="eastAsia"/>
                <w:lang w:val="en-US" w:eastAsia="zh-CN"/>
              </w:rPr>
              <w:t>色泽</w:t>
            </w:r>
          </w:p>
        </w:tc>
        <w:tc>
          <w:tcPr>
            <w:tcW w:w="2500" w:type="pct"/>
            <w:tcBorders>
              <w:top w:val="single" w:color="auto" w:sz="8" w:space="0"/>
            </w:tcBorders>
            <w:vAlign w:val="center"/>
          </w:tcPr>
          <w:p w14:paraId="12E54E62">
            <w:pPr>
              <w:widowControl/>
              <w:bidi w:val="0"/>
              <w:ind w:left="0" w:leftChars="0" w:firstLineChars="0"/>
              <w:jc w:val="center"/>
              <w:rPr>
                <w:rFonts w:hint="default"/>
                <w:lang w:val="en-US" w:eastAsia="zh-CN"/>
              </w:rPr>
            </w:pPr>
            <w:r>
              <w:rPr>
                <w:rFonts w:hint="eastAsia" w:hAnsi="宋体" w:cs="宋体"/>
                <w:color w:val="000000"/>
                <w:kern w:val="0"/>
                <w:sz w:val="20"/>
                <w:szCs w:val="20"/>
                <w:lang w:val="en-US" w:eastAsia="zh-CN" w:bidi="ar"/>
              </w:rPr>
              <w:t>具有该产品应有的色泽</w:t>
            </w:r>
          </w:p>
        </w:tc>
        <w:tc>
          <w:tcPr>
            <w:tcW w:w="1250" w:type="pct"/>
            <w:vMerge w:val="restart"/>
            <w:tcBorders>
              <w:top w:val="single" w:color="auto" w:sz="8" w:space="0"/>
            </w:tcBorders>
            <w:vAlign w:val="center"/>
          </w:tcPr>
          <w:p w14:paraId="40FB69EA">
            <w:pPr>
              <w:pStyle w:val="109"/>
              <w:widowControl w:val="0"/>
              <w:bidi w:val="0"/>
              <w:ind w:left="0" w:leftChars="0" w:firstLine="0" w:firstLineChars="0"/>
              <w:jc w:val="center"/>
              <w:rPr>
                <w:rFonts w:hint="default"/>
                <w:lang w:val="en-US" w:eastAsia="zh-CN"/>
              </w:rPr>
            </w:pPr>
            <w:r>
              <w:rPr>
                <w:rFonts w:hint="eastAsia"/>
                <w:lang w:val="en-US" w:eastAsia="zh-CN"/>
              </w:rPr>
              <w:t>将样品置于白瓷盘中，在自然光下观察色泽和状态。掰开样品，观察其组织结构。闻其气味，用温开水漱口后品其滋味。</w:t>
            </w:r>
          </w:p>
        </w:tc>
      </w:tr>
      <w:tr w14:paraId="7CFD97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vAlign w:val="center"/>
          </w:tcPr>
          <w:p w14:paraId="0F6F9088">
            <w:pPr>
              <w:pStyle w:val="109"/>
              <w:widowControl w:val="0"/>
              <w:bidi w:val="0"/>
              <w:ind w:left="0" w:leftChars="0" w:firstLine="0" w:firstLineChars="0"/>
              <w:jc w:val="center"/>
              <w:rPr>
                <w:rFonts w:hint="default"/>
                <w:lang w:val="en-US" w:eastAsia="zh-CN"/>
              </w:rPr>
            </w:pPr>
            <w:r>
              <w:rPr>
                <w:rFonts w:hint="eastAsia"/>
                <w:lang w:val="en-US" w:eastAsia="zh-CN"/>
              </w:rPr>
              <w:t>滋味</w:t>
            </w:r>
          </w:p>
        </w:tc>
        <w:tc>
          <w:tcPr>
            <w:tcW w:w="2500" w:type="pct"/>
            <w:vAlign w:val="center"/>
          </w:tcPr>
          <w:p w14:paraId="1DBF9249">
            <w:pPr>
              <w:pStyle w:val="109"/>
              <w:widowControl w:val="0"/>
              <w:bidi w:val="0"/>
              <w:ind w:left="0" w:leftChars="0" w:firstLine="0" w:firstLineChars="0"/>
              <w:jc w:val="center"/>
              <w:rPr>
                <w:rFonts w:hint="eastAsia" w:ascii="宋体" w:hAnsi="Times New Roman" w:eastAsia="宋体" w:cs="宋体"/>
                <w:sz w:val="18"/>
                <w:lang w:val="en-US" w:eastAsia="zh-CN"/>
              </w:rPr>
            </w:pPr>
            <w:r>
              <w:rPr>
                <w:rFonts w:hint="eastAsia"/>
                <w:lang w:val="en-US" w:eastAsia="zh-CN"/>
              </w:rPr>
              <w:t>具有该产品应有的香味，无异味</w:t>
            </w:r>
          </w:p>
        </w:tc>
        <w:tc>
          <w:tcPr>
            <w:tcW w:w="1250" w:type="pct"/>
            <w:vMerge w:val="continue"/>
            <w:vAlign w:val="center"/>
          </w:tcPr>
          <w:p w14:paraId="67076E96">
            <w:pPr>
              <w:pStyle w:val="109"/>
              <w:widowControl w:val="0"/>
              <w:bidi w:val="0"/>
              <w:ind w:left="0" w:leftChars="0" w:firstLine="0" w:firstLineChars="0"/>
              <w:jc w:val="center"/>
              <w:rPr>
                <w:rFonts w:hint="eastAsia"/>
                <w:lang w:val="en-US" w:eastAsia="zh-CN"/>
              </w:rPr>
            </w:pPr>
          </w:p>
        </w:tc>
      </w:tr>
      <w:tr w14:paraId="33E56D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vAlign w:val="center"/>
          </w:tcPr>
          <w:p w14:paraId="2618C57B">
            <w:pPr>
              <w:pStyle w:val="109"/>
              <w:widowControl w:val="0"/>
              <w:bidi w:val="0"/>
              <w:ind w:left="0" w:leftChars="0" w:firstLine="0" w:firstLineChars="0"/>
              <w:jc w:val="center"/>
              <w:rPr>
                <w:rFonts w:hint="default"/>
                <w:lang w:val="en-US" w:eastAsia="zh-CN"/>
              </w:rPr>
            </w:pPr>
            <w:r>
              <w:rPr>
                <w:rFonts w:hint="eastAsia"/>
                <w:lang w:val="en-US" w:eastAsia="zh-CN"/>
              </w:rPr>
              <w:t>气味</w:t>
            </w:r>
          </w:p>
        </w:tc>
        <w:tc>
          <w:tcPr>
            <w:tcW w:w="2500" w:type="pct"/>
            <w:vAlign w:val="center"/>
          </w:tcPr>
          <w:p w14:paraId="369BBB12">
            <w:pPr>
              <w:pStyle w:val="109"/>
              <w:widowControl w:val="0"/>
              <w:bidi w:val="0"/>
              <w:ind w:left="0" w:leftChars="0" w:firstLine="0" w:firstLineChars="0"/>
              <w:jc w:val="center"/>
              <w:rPr>
                <w:rFonts w:hint="eastAsia"/>
                <w:lang w:val="en-US" w:eastAsia="zh-CN"/>
              </w:rPr>
            </w:pPr>
            <w:r>
              <w:rPr>
                <w:rFonts w:hint="eastAsia"/>
                <w:lang w:val="en-US" w:eastAsia="zh-CN"/>
              </w:rPr>
              <w:t>口感酥松或松脆</w:t>
            </w:r>
          </w:p>
        </w:tc>
        <w:tc>
          <w:tcPr>
            <w:tcW w:w="1250" w:type="pct"/>
            <w:vMerge w:val="continue"/>
            <w:vAlign w:val="center"/>
          </w:tcPr>
          <w:p w14:paraId="0C2C3AD5">
            <w:pPr>
              <w:pStyle w:val="109"/>
              <w:widowControl w:val="0"/>
              <w:bidi w:val="0"/>
              <w:ind w:left="0" w:leftChars="0" w:firstLine="0" w:firstLineChars="0"/>
              <w:jc w:val="center"/>
              <w:rPr>
                <w:rFonts w:hint="eastAsia"/>
                <w:lang w:val="en-US" w:eastAsia="zh-CN"/>
              </w:rPr>
            </w:pPr>
          </w:p>
        </w:tc>
      </w:tr>
      <w:tr w14:paraId="6F14DE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249" w:type="pct"/>
            <w:vAlign w:val="center"/>
          </w:tcPr>
          <w:p w14:paraId="2E4C09A9">
            <w:pPr>
              <w:pStyle w:val="109"/>
              <w:widowControl w:val="0"/>
              <w:bidi w:val="0"/>
              <w:ind w:left="0" w:leftChars="0" w:firstLine="0" w:firstLineChars="0"/>
              <w:jc w:val="center"/>
              <w:rPr>
                <w:rFonts w:hint="default"/>
                <w:lang w:val="en-US" w:eastAsia="zh-CN"/>
              </w:rPr>
            </w:pPr>
            <w:r>
              <w:rPr>
                <w:rFonts w:hint="eastAsia"/>
                <w:lang w:val="en-US" w:eastAsia="zh-CN"/>
              </w:rPr>
              <w:t>状态</w:t>
            </w:r>
          </w:p>
        </w:tc>
        <w:tc>
          <w:tcPr>
            <w:tcW w:w="2500" w:type="pct"/>
            <w:vAlign w:val="center"/>
          </w:tcPr>
          <w:p w14:paraId="63C79443">
            <w:pPr>
              <w:pStyle w:val="109"/>
              <w:widowControl w:val="0"/>
              <w:bidi w:val="0"/>
              <w:ind w:left="0" w:leftChars="0" w:firstLine="0" w:firstLineChars="0"/>
              <w:jc w:val="center"/>
              <w:rPr>
                <w:rFonts w:hint="default"/>
                <w:lang w:val="en-US" w:eastAsia="zh-CN"/>
              </w:rPr>
            </w:pPr>
            <w:r>
              <w:rPr>
                <w:rFonts w:hint="eastAsia"/>
                <w:lang w:val="en-US" w:eastAsia="zh-CN"/>
              </w:rPr>
              <w:t>外形完整，花纹清晰或无花纹，厚薄基本均匀，不收缩，不变形，不起泡，不应有较大或较多的凹底。表面或中间有可食颗粒存在（芝麻、金桔丁、冬瓜糖丁等）</w:t>
            </w:r>
          </w:p>
        </w:tc>
        <w:tc>
          <w:tcPr>
            <w:tcW w:w="1250" w:type="pct"/>
            <w:vMerge w:val="continue"/>
            <w:vAlign w:val="center"/>
          </w:tcPr>
          <w:p w14:paraId="2C9ED31C">
            <w:pPr>
              <w:pStyle w:val="109"/>
              <w:widowControl w:val="0"/>
              <w:bidi w:val="0"/>
              <w:ind w:left="0" w:leftChars="0" w:firstLine="0" w:firstLineChars="0"/>
              <w:jc w:val="center"/>
              <w:rPr>
                <w:rFonts w:hint="eastAsia"/>
                <w:lang w:val="en-US" w:eastAsia="zh-CN"/>
              </w:rPr>
            </w:pPr>
          </w:p>
        </w:tc>
      </w:tr>
    </w:tbl>
    <w:p w14:paraId="567896D7">
      <w:pPr>
        <w:pStyle w:val="23"/>
        <w:rPr>
          <w:rFonts w:hint="eastAsia"/>
          <w:lang w:eastAsia="zh-CN"/>
        </w:rPr>
      </w:pPr>
    </w:p>
    <w:p w14:paraId="2D2105A5">
      <w:pPr>
        <w:pStyle w:val="71"/>
        <w:bidi w:val="0"/>
        <w:rPr>
          <w:rFonts w:hint="default"/>
          <w:lang w:val="en-US" w:eastAsia="zh-CN"/>
        </w:rPr>
      </w:pPr>
      <w:r>
        <w:rPr>
          <w:rFonts w:hint="eastAsia"/>
          <w:lang w:val="en-US" w:eastAsia="zh-CN"/>
        </w:rPr>
        <w:t>理化指标</w:t>
      </w:r>
    </w:p>
    <w:p w14:paraId="60D5607F">
      <w:pPr>
        <w:pStyle w:val="23"/>
        <w:ind w:firstLine="420"/>
        <w:rPr>
          <w:rFonts w:hint="eastAsia"/>
        </w:rPr>
      </w:pPr>
      <w:r>
        <w:rPr>
          <w:rFonts w:hint="eastAsia"/>
        </w:rPr>
        <w:t>应符合表</w:t>
      </w:r>
      <w:r>
        <w:rPr>
          <w:rFonts w:hint="eastAsia"/>
          <w:lang w:val="en-US" w:eastAsia="zh-CN"/>
        </w:rPr>
        <w:t>2</w:t>
      </w:r>
      <w:r>
        <w:rPr>
          <w:rFonts w:hint="eastAsia"/>
        </w:rPr>
        <w:t>的要求。</w:t>
      </w:r>
    </w:p>
    <w:p w14:paraId="58D7EEF1">
      <w:pPr>
        <w:pStyle w:val="111"/>
        <w:bidi w:val="0"/>
        <w:rPr>
          <w:rFonts w:hint="eastAsia"/>
          <w:lang w:val="en-US" w:eastAsia="zh-CN"/>
        </w:rPr>
      </w:pPr>
      <w:r>
        <w:rPr>
          <w:rFonts w:hint="eastAsia"/>
          <w:lang w:val="en-US" w:eastAsia="zh-CN"/>
        </w:rPr>
        <w:t>理化指标</w:t>
      </w:r>
    </w:p>
    <w:tbl>
      <w:tblPr>
        <w:tblStyle w:val="20"/>
        <w:tblW w:w="4994"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536"/>
        <w:gridCol w:w="3633"/>
        <w:gridCol w:w="2390"/>
      </w:tblGrid>
      <w:tr w14:paraId="55C729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849" w:type="pct"/>
            <w:vAlign w:val="center"/>
          </w:tcPr>
          <w:p w14:paraId="1236C604">
            <w:pPr>
              <w:pStyle w:val="109"/>
              <w:widowControl w:val="0"/>
              <w:bidi w:val="0"/>
              <w:ind w:left="0" w:leftChars="0" w:firstLine="0" w:firstLineChars="0"/>
              <w:jc w:val="center"/>
              <w:rPr>
                <w:rFonts w:hint="default"/>
                <w:lang w:val="en-US" w:eastAsia="zh-CN"/>
              </w:rPr>
            </w:pPr>
            <w:r>
              <w:rPr>
                <w:rFonts w:hint="eastAsia"/>
                <w:lang w:val="en-US" w:eastAsia="zh-CN"/>
              </w:rPr>
              <w:t>项目</w:t>
            </w:r>
          </w:p>
        </w:tc>
        <w:tc>
          <w:tcPr>
            <w:tcW w:w="1900" w:type="pct"/>
            <w:tcBorders>
              <w:bottom w:val="single" w:color="auto" w:sz="8" w:space="0"/>
            </w:tcBorders>
            <w:vAlign w:val="center"/>
          </w:tcPr>
          <w:p w14:paraId="64354E02">
            <w:pPr>
              <w:pStyle w:val="109"/>
              <w:widowControl w:val="0"/>
              <w:bidi w:val="0"/>
              <w:ind w:left="0" w:leftChars="0" w:firstLine="0" w:firstLineChars="0"/>
              <w:jc w:val="center"/>
              <w:rPr>
                <w:rFonts w:hint="default"/>
                <w:lang w:val="en-US" w:eastAsia="zh-CN"/>
              </w:rPr>
            </w:pPr>
            <w:r>
              <w:rPr>
                <w:rFonts w:hint="eastAsia"/>
                <w:lang w:val="en-US" w:eastAsia="zh-CN"/>
              </w:rPr>
              <w:t>要求</w:t>
            </w:r>
          </w:p>
        </w:tc>
        <w:tc>
          <w:tcPr>
            <w:tcW w:w="1250" w:type="pct"/>
            <w:vAlign w:val="center"/>
          </w:tcPr>
          <w:p w14:paraId="227647D9">
            <w:pPr>
              <w:pStyle w:val="109"/>
              <w:widowControl w:val="0"/>
              <w:bidi w:val="0"/>
              <w:ind w:left="0" w:leftChars="0" w:firstLine="0" w:firstLineChars="0"/>
              <w:jc w:val="center"/>
              <w:rPr>
                <w:rFonts w:hint="default"/>
                <w:lang w:val="en-US" w:eastAsia="zh-CN"/>
              </w:rPr>
            </w:pPr>
            <w:r>
              <w:rPr>
                <w:rFonts w:hint="eastAsia"/>
                <w:lang w:val="en-US" w:eastAsia="zh-CN"/>
              </w:rPr>
              <w:t>检验方法</w:t>
            </w:r>
          </w:p>
        </w:tc>
      </w:tr>
      <w:tr w14:paraId="031635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849" w:type="pct"/>
            <w:tcBorders>
              <w:top w:val="single" w:color="auto" w:sz="8" w:space="0"/>
            </w:tcBorders>
            <w:vAlign w:val="center"/>
          </w:tcPr>
          <w:p w14:paraId="766D704C">
            <w:pPr>
              <w:pStyle w:val="109"/>
              <w:widowControl w:val="0"/>
              <w:bidi w:val="0"/>
              <w:ind w:left="0" w:leftChars="0" w:firstLine="0" w:firstLineChars="0"/>
              <w:jc w:val="center"/>
              <w:rPr>
                <w:rFonts w:hint="default" w:ascii="Times New Roman"/>
                <w:lang w:val="en-US" w:eastAsia="zh-CN"/>
              </w:rPr>
            </w:pPr>
            <w:r>
              <w:rPr>
                <w:rFonts w:hint="eastAsia" w:ascii="Times New Roman"/>
                <w:lang w:val="en-US" w:eastAsia="zh-CN"/>
              </w:rPr>
              <w:t>水分</w:t>
            </w:r>
            <w:r>
              <w:rPr>
                <w:rFonts w:hint="default" w:ascii="Times New Roman" w:cs="Times New Roman"/>
                <w:lang w:val="en-US" w:eastAsia="zh-CN"/>
              </w:rPr>
              <w:t>/（%）</w:t>
            </w:r>
          </w:p>
        </w:tc>
        <w:tc>
          <w:tcPr>
            <w:tcW w:w="1900" w:type="pct"/>
            <w:tcBorders>
              <w:top w:val="single" w:color="auto" w:sz="8" w:space="0"/>
            </w:tcBorders>
            <w:vAlign w:val="center"/>
          </w:tcPr>
          <w:p w14:paraId="023CDD94">
            <w:pPr>
              <w:pStyle w:val="109"/>
              <w:widowControl w:val="0"/>
              <w:bidi w:val="0"/>
              <w:ind w:left="0" w:leftChars="0" w:firstLine="0" w:firstLineChars="0"/>
              <w:jc w:val="center"/>
              <w:rPr>
                <w:rFonts w:hint="default" w:ascii="Times New Roman"/>
                <w:lang w:val="en-US" w:eastAsia="zh-CN"/>
              </w:rPr>
            </w:pPr>
            <w:r>
              <w:rPr>
                <w:rFonts w:hint="eastAsia" w:ascii="Times New Roman"/>
                <w:lang w:val="en-US" w:eastAsia="zh-CN"/>
              </w:rPr>
              <w:t>≤4.0</w:t>
            </w:r>
          </w:p>
        </w:tc>
        <w:tc>
          <w:tcPr>
            <w:tcW w:w="1250" w:type="pct"/>
            <w:tcBorders>
              <w:top w:val="single" w:color="auto" w:sz="8" w:space="0"/>
            </w:tcBorders>
            <w:vAlign w:val="center"/>
          </w:tcPr>
          <w:p w14:paraId="5FB983DE">
            <w:pPr>
              <w:pStyle w:val="109"/>
              <w:widowControl w:val="0"/>
              <w:bidi w:val="0"/>
              <w:ind w:left="0" w:leftChars="0" w:firstLine="0" w:firstLineChars="0"/>
              <w:jc w:val="center"/>
              <w:rPr>
                <w:rFonts w:hint="default" w:ascii="Times New Roman"/>
                <w:lang w:val="en-US" w:eastAsia="zh-CN"/>
              </w:rPr>
            </w:pPr>
            <w:r>
              <w:rPr>
                <w:rFonts w:hint="eastAsia" w:ascii="Times New Roman"/>
                <w:lang w:val="en-US" w:eastAsia="zh-CN"/>
              </w:rPr>
              <w:t>GB 5009.3</w:t>
            </w:r>
          </w:p>
        </w:tc>
      </w:tr>
      <w:tr w14:paraId="420C73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849" w:type="pct"/>
            <w:vAlign w:val="center"/>
          </w:tcPr>
          <w:p w14:paraId="6E5BD8D5">
            <w:pPr>
              <w:pStyle w:val="109"/>
              <w:widowControl w:val="0"/>
              <w:bidi w:val="0"/>
              <w:ind w:left="0" w:leftChars="0" w:firstLine="0" w:firstLineChars="0"/>
              <w:jc w:val="center"/>
              <w:rPr>
                <w:rFonts w:hint="default" w:ascii="Times New Roman"/>
                <w:lang w:val="en-US" w:eastAsia="zh-CN"/>
              </w:rPr>
            </w:pPr>
            <w:r>
              <w:rPr>
                <w:rFonts w:hint="eastAsia" w:ascii="Times New Roman"/>
                <w:lang w:val="en-US" w:eastAsia="zh-CN"/>
              </w:rPr>
              <w:t>碱度（以碳酸钠计）/（%）</w:t>
            </w:r>
          </w:p>
        </w:tc>
        <w:tc>
          <w:tcPr>
            <w:tcW w:w="1900" w:type="pct"/>
            <w:vAlign w:val="center"/>
          </w:tcPr>
          <w:p w14:paraId="462E92BC">
            <w:pPr>
              <w:pStyle w:val="109"/>
              <w:widowControl w:val="0"/>
              <w:bidi w:val="0"/>
              <w:ind w:left="0" w:leftChars="0" w:firstLine="0" w:firstLineChars="0"/>
              <w:jc w:val="center"/>
              <w:rPr>
                <w:rFonts w:hint="default" w:ascii="Times New Roman"/>
                <w:lang w:val="en-US" w:eastAsia="zh-CN"/>
              </w:rPr>
            </w:pPr>
            <w:r>
              <w:rPr>
                <w:rFonts w:hint="eastAsia" w:ascii="Times New Roman"/>
                <w:lang w:val="en-US" w:eastAsia="zh-CN"/>
              </w:rPr>
              <w:t>≤0.4</w:t>
            </w:r>
          </w:p>
        </w:tc>
        <w:tc>
          <w:tcPr>
            <w:tcW w:w="1250" w:type="pct"/>
            <w:vAlign w:val="center"/>
          </w:tcPr>
          <w:p w14:paraId="10402663">
            <w:pPr>
              <w:pStyle w:val="109"/>
              <w:widowControl w:val="0"/>
              <w:bidi w:val="0"/>
              <w:ind w:left="0" w:leftChars="0" w:firstLine="0" w:firstLineChars="0"/>
              <w:jc w:val="center"/>
              <w:rPr>
                <w:rFonts w:hint="eastAsia" w:ascii="Times New Roman"/>
                <w:lang w:val="en-US" w:eastAsia="zh-CN"/>
              </w:rPr>
            </w:pPr>
            <w:r>
              <w:rPr>
                <w:rFonts w:hint="eastAsia" w:ascii="Times New Roman"/>
                <w:lang w:val="en-US" w:eastAsia="zh-CN"/>
              </w:rPr>
              <w:t>GB/T 20980</w:t>
            </w:r>
          </w:p>
        </w:tc>
      </w:tr>
      <w:tr w14:paraId="6731C1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849" w:type="pct"/>
            <w:vAlign w:val="center"/>
          </w:tcPr>
          <w:p w14:paraId="45C52435">
            <w:pPr>
              <w:pStyle w:val="109"/>
              <w:widowControl w:val="0"/>
              <w:bidi w:val="0"/>
              <w:ind w:left="0" w:leftChars="0" w:firstLine="0" w:firstLineChars="0"/>
              <w:jc w:val="center"/>
              <w:rPr>
                <w:rFonts w:hint="default" w:ascii="Times New Roman"/>
                <w:lang w:val="en-US" w:eastAsia="zh-CN"/>
              </w:rPr>
            </w:pPr>
            <w:r>
              <w:rPr>
                <w:rFonts w:hint="eastAsia" w:ascii="Times New Roman"/>
                <w:lang w:val="en-US" w:eastAsia="zh-CN"/>
              </w:rPr>
              <w:t>酸价（以脂肪计）（KOH）/（mg/g）</w:t>
            </w:r>
          </w:p>
        </w:tc>
        <w:tc>
          <w:tcPr>
            <w:tcW w:w="1900" w:type="pct"/>
            <w:vAlign w:val="center"/>
          </w:tcPr>
          <w:p w14:paraId="7D360D1B">
            <w:pPr>
              <w:pStyle w:val="109"/>
              <w:widowControl w:val="0"/>
              <w:bidi w:val="0"/>
              <w:ind w:left="0" w:leftChars="0" w:firstLine="0" w:firstLineChars="0"/>
              <w:jc w:val="center"/>
              <w:rPr>
                <w:rFonts w:hint="default" w:ascii="Times New Roman"/>
                <w:lang w:val="en-US" w:eastAsia="zh-CN"/>
              </w:rPr>
            </w:pPr>
            <w:r>
              <w:rPr>
                <w:rFonts w:hint="eastAsia" w:ascii="Times New Roman"/>
                <w:lang w:val="en-US" w:eastAsia="zh-CN"/>
              </w:rPr>
              <w:t>≤5.0</w:t>
            </w:r>
          </w:p>
        </w:tc>
        <w:tc>
          <w:tcPr>
            <w:tcW w:w="1250" w:type="pct"/>
            <w:vAlign w:val="center"/>
          </w:tcPr>
          <w:p w14:paraId="24D64306">
            <w:pPr>
              <w:pStyle w:val="109"/>
              <w:widowControl w:val="0"/>
              <w:bidi w:val="0"/>
              <w:ind w:left="0" w:leftChars="0" w:firstLine="0" w:firstLineChars="0"/>
              <w:jc w:val="center"/>
              <w:rPr>
                <w:rFonts w:hint="eastAsia" w:ascii="Times New Roman"/>
                <w:lang w:val="en-US" w:eastAsia="zh-CN"/>
              </w:rPr>
            </w:pPr>
            <w:r>
              <w:rPr>
                <w:rFonts w:hint="eastAsia" w:ascii="Times New Roman"/>
                <w:lang w:val="en-US" w:eastAsia="zh-CN"/>
              </w:rPr>
              <w:t>GB 5009.229</w:t>
            </w:r>
          </w:p>
        </w:tc>
      </w:tr>
      <w:tr w14:paraId="5C2B9B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849" w:type="pct"/>
            <w:vAlign w:val="center"/>
          </w:tcPr>
          <w:p w14:paraId="018E2746">
            <w:pPr>
              <w:pStyle w:val="109"/>
              <w:widowControl w:val="0"/>
              <w:bidi w:val="0"/>
              <w:ind w:left="0" w:leftChars="0" w:firstLine="0" w:firstLineChars="0"/>
              <w:jc w:val="center"/>
              <w:rPr>
                <w:rFonts w:hint="default" w:ascii="Times New Roman"/>
                <w:lang w:val="en-US" w:eastAsia="zh-CN"/>
              </w:rPr>
            </w:pPr>
            <w:r>
              <w:rPr>
                <w:rFonts w:hint="eastAsia" w:ascii="Times New Roman"/>
                <w:lang w:val="en-US" w:eastAsia="zh-CN"/>
              </w:rPr>
              <w:t>过氧化值（以脂肪计）/（g/100g)</w:t>
            </w:r>
          </w:p>
        </w:tc>
        <w:tc>
          <w:tcPr>
            <w:tcW w:w="1900" w:type="pct"/>
            <w:vAlign w:val="center"/>
          </w:tcPr>
          <w:p w14:paraId="35B27FEC">
            <w:pPr>
              <w:pStyle w:val="109"/>
              <w:widowControl w:val="0"/>
              <w:bidi w:val="0"/>
              <w:ind w:left="0" w:leftChars="0" w:firstLine="0" w:firstLineChars="0"/>
              <w:jc w:val="center"/>
              <w:rPr>
                <w:rFonts w:hint="default" w:ascii="Times New Roman"/>
                <w:lang w:val="en-US" w:eastAsia="zh-CN"/>
              </w:rPr>
            </w:pPr>
            <w:r>
              <w:rPr>
                <w:rFonts w:hint="eastAsia" w:ascii="Times New Roman"/>
                <w:lang w:val="en-US" w:eastAsia="zh-CN"/>
              </w:rPr>
              <w:t>≤0.25</w:t>
            </w:r>
          </w:p>
        </w:tc>
        <w:tc>
          <w:tcPr>
            <w:tcW w:w="1250" w:type="pct"/>
            <w:vAlign w:val="center"/>
          </w:tcPr>
          <w:p w14:paraId="23CB0F1D">
            <w:pPr>
              <w:pStyle w:val="109"/>
              <w:widowControl w:val="0"/>
              <w:bidi w:val="0"/>
              <w:ind w:left="0" w:leftChars="0" w:firstLine="0" w:firstLineChars="0"/>
              <w:jc w:val="center"/>
              <w:rPr>
                <w:rFonts w:hint="default" w:ascii="Times New Roman"/>
                <w:lang w:val="en-US" w:eastAsia="zh-CN"/>
              </w:rPr>
            </w:pPr>
            <w:r>
              <w:rPr>
                <w:rFonts w:hint="eastAsia" w:ascii="Times New Roman"/>
                <w:lang w:val="en-US" w:eastAsia="zh-CN"/>
              </w:rPr>
              <w:t>GB 5009.227</w:t>
            </w:r>
          </w:p>
        </w:tc>
      </w:tr>
      <w:tr w14:paraId="1A36F7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849" w:type="pct"/>
            <w:vAlign w:val="center"/>
          </w:tcPr>
          <w:p w14:paraId="2A20238A">
            <w:pPr>
              <w:pStyle w:val="109"/>
              <w:widowControl w:val="0"/>
              <w:bidi w:val="0"/>
              <w:ind w:left="0" w:leftChars="0" w:firstLine="0" w:firstLineChars="0"/>
              <w:jc w:val="center"/>
              <w:rPr>
                <w:rFonts w:hint="default" w:ascii="Times New Roman"/>
                <w:lang w:val="en-US" w:eastAsia="zh-CN"/>
              </w:rPr>
            </w:pPr>
            <w:r>
              <w:rPr>
                <w:rFonts w:hint="eastAsia" w:ascii="Times New Roman"/>
                <w:lang w:val="en-US" w:eastAsia="zh-CN"/>
              </w:rPr>
              <w:t>黄曲霉毒素B1/（μg/kg)</w:t>
            </w:r>
          </w:p>
        </w:tc>
        <w:tc>
          <w:tcPr>
            <w:tcW w:w="1900" w:type="pct"/>
            <w:vAlign w:val="center"/>
          </w:tcPr>
          <w:p w14:paraId="782BC8C9">
            <w:pPr>
              <w:pStyle w:val="109"/>
              <w:widowControl w:val="0"/>
              <w:bidi w:val="0"/>
              <w:ind w:left="0" w:leftChars="0" w:firstLine="0" w:firstLineChars="0"/>
              <w:jc w:val="center"/>
              <w:rPr>
                <w:rFonts w:hint="default" w:ascii="Times New Roman"/>
                <w:lang w:val="en-US" w:eastAsia="zh-CN"/>
              </w:rPr>
            </w:pPr>
            <w:r>
              <w:rPr>
                <w:rFonts w:hint="eastAsia" w:ascii="Times New Roman"/>
                <w:lang w:val="en-US" w:eastAsia="zh-CN"/>
              </w:rPr>
              <w:t>≤5.0</w:t>
            </w:r>
          </w:p>
        </w:tc>
        <w:tc>
          <w:tcPr>
            <w:tcW w:w="1250" w:type="pct"/>
            <w:vAlign w:val="center"/>
          </w:tcPr>
          <w:p w14:paraId="3500C2CD">
            <w:pPr>
              <w:pStyle w:val="109"/>
              <w:widowControl w:val="0"/>
              <w:bidi w:val="0"/>
              <w:ind w:left="0" w:leftChars="0" w:firstLine="0" w:firstLineChars="0"/>
              <w:jc w:val="center"/>
              <w:rPr>
                <w:rFonts w:hint="default" w:ascii="Times New Roman"/>
                <w:lang w:val="en-US" w:eastAsia="zh-CN"/>
              </w:rPr>
            </w:pPr>
            <w:r>
              <w:rPr>
                <w:rFonts w:hint="eastAsia" w:ascii="Times New Roman"/>
                <w:lang w:val="en-US" w:eastAsia="zh-CN"/>
              </w:rPr>
              <w:t>GB 5009.22</w:t>
            </w:r>
          </w:p>
        </w:tc>
      </w:tr>
    </w:tbl>
    <w:p w14:paraId="4C790B46">
      <w:pPr>
        <w:pStyle w:val="71"/>
        <w:bidi w:val="0"/>
      </w:pPr>
      <w:r>
        <w:rPr>
          <w:rFonts w:hint="eastAsia"/>
          <w:lang w:val="en-US" w:eastAsia="zh-CN"/>
        </w:rPr>
        <w:t>安全指标</w:t>
      </w:r>
    </w:p>
    <w:p w14:paraId="4B167EE4">
      <w:pPr>
        <w:pStyle w:val="23"/>
        <w:ind w:firstLine="0" w:firstLineChars="0"/>
        <w:rPr>
          <w:rFonts w:hint="eastAsia"/>
        </w:rPr>
      </w:pPr>
      <w:r>
        <w:rPr>
          <w:rFonts w:hint="eastAsia"/>
          <w:lang w:val="en-US" w:eastAsia="zh-CN"/>
        </w:rPr>
        <w:t>4.4.1 微生物限量应符合表3的规定</w:t>
      </w:r>
      <w:r>
        <w:rPr>
          <w:rFonts w:hint="eastAsia"/>
        </w:rPr>
        <w:t>。</w:t>
      </w:r>
    </w:p>
    <w:p w14:paraId="7FE3ABA9">
      <w:pPr>
        <w:pStyle w:val="23"/>
        <w:ind w:firstLine="0" w:firstLineChars="0"/>
        <w:rPr>
          <w:rFonts w:hint="eastAsia"/>
          <w:lang w:val="en-US" w:eastAsia="zh-CN"/>
        </w:rPr>
      </w:pPr>
      <w:r>
        <w:rPr>
          <w:rFonts w:hint="eastAsia"/>
          <w:lang w:val="en-US" w:eastAsia="zh-CN"/>
        </w:rPr>
        <w:t>4.4.2 污染物限量应符合GB 2762的规定。</w:t>
      </w:r>
    </w:p>
    <w:p w14:paraId="69A9DF16">
      <w:pPr>
        <w:pStyle w:val="23"/>
        <w:ind w:firstLine="0" w:firstLineChars="0"/>
        <w:rPr>
          <w:rFonts w:hint="default"/>
          <w:lang w:val="en-US" w:eastAsia="zh-CN"/>
        </w:rPr>
      </w:pPr>
      <w:r>
        <w:rPr>
          <w:rFonts w:hint="eastAsia"/>
          <w:lang w:val="en-US" w:eastAsia="zh-CN"/>
        </w:rPr>
        <w:t>4.4.3 食品添加剂的品种和使用量应符合GB 2760及国家相关法律法规的规定。</w:t>
      </w:r>
    </w:p>
    <w:p w14:paraId="7A6A4AED">
      <w:pPr>
        <w:pStyle w:val="111"/>
        <w:bidi w:val="0"/>
        <w:rPr>
          <w:rFonts w:hint="eastAsia"/>
          <w:lang w:val="en-US" w:eastAsia="zh-CN"/>
        </w:rPr>
      </w:pPr>
      <w:r>
        <w:rPr>
          <w:rFonts w:hint="eastAsia"/>
          <w:lang w:val="en-US" w:eastAsia="zh-CN"/>
        </w:rPr>
        <w:t>微生物指标</w:t>
      </w:r>
    </w:p>
    <w:tbl>
      <w:tblPr>
        <w:tblStyle w:val="20"/>
        <w:tblW w:w="4994"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385"/>
        <w:gridCol w:w="769"/>
        <w:gridCol w:w="1239"/>
        <w:gridCol w:w="1466"/>
        <w:gridCol w:w="1306"/>
        <w:gridCol w:w="2394"/>
      </w:tblGrid>
      <w:tr w14:paraId="27DE39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1248" w:type="pct"/>
            <w:vMerge w:val="restart"/>
            <w:vAlign w:val="center"/>
          </w:tcPr>
          <w:p w14:paraId="543238E3">
            <w:pPr>
              <w:pStyle w:val="109"/>
              <w:widowControl w:val="0"/>
              <w:bidi w:val="0"/>
              <w:ind w:left="0" w:leftChars="0" w:firstLine="0" w:firstLineChars="0"/>
              <w:jc w:val="center"/>
              <w:rPr>
                <w:rFonts w:hint="default"/>
                <w:lang w:val="en-US" w:eastAsia="zh-CN"/>
              </w:rPr>
            </w:pPr>
            <w:r>
              <w:rPr>
                <w:rFonts w:hint="eastAsia"/>
                <w:lang w:val="en-US" w:eastAsia="zh-CN"/>
              </w:rPr>
              <w:t>项目</w:t>
            </w:r>
          </w:p>
        </w:tc>
        <w:tc>
          <w:tcPr>
            <w:tcW w:w="2500" w:type="pct"/>
            <w:gridSpan w:val="4"/>
            <w:tcBorders>
              <w:bottom w:val="single" w:color="auto" w:sz="4" w:space="0"/>
            </w:tcBorders>
            <w:vAlign w:val="center"/>
          </w:tcPr>
          <w:p w14:paraId="728AA708">
            <w:pPr>
              <w:pStyle w:val="109"/>
              <w:widowControl w:val="0"/>
              <w:tabs>
                <w:tab w:val="left" w:pos="1382"/>
              </w:tabs>
              <w:bidi w:val="0"/>
              <w:ind w:left="0" w:leftChars="0" w:firstLine="0" w:firstLineChars="0"/>
              <w:jc w:val="center"/>
              <w:rPr>
                <w:rFonts w:hint="default"/>
                <w:lang w:val="en-US" w:eastAsia="zh-CN"/>
              </w:rPr>
            </w:pPr>
            <w:r>
              <w:rPr>
                <w:rFonts w:hint="eastAsia"/>
                <w:lang w:val="en-US" w:eastAsia="zh-CN"/>
              </w:rPr>
              <w:t>采样方案</w:t>
            </w:r>
            <w:r>
              <w:rPr>
                <w:rFonts w:hint="eastAsia"/>
                <w:vertAlign w:val="superscript"/>
                <w:lang w:val="en-US" w:eastAsia="zh-CN"/>
              </w:rPr>
              <w:t>a</w:t>
            </w:r>
            <w:r>
              <w:rPr>
                <w:rFonts w:hint="eastAsia"/>
                <w:lang w:val="en-US" w:eastAsia="zh-CN"/>
              </w:rPr>
              <w:t>及限量（若非指定，均以CFU/25g表示）</w:t>
            </w:r>
          </w:p>
        </w:tc>
        <w:tc>
          <w:tcPr>
            <w:tcW w:w="1251" w:type="pct"/>
            <w:vMerge w:val="restart"/>
            <w:vAlign w:val="center"/>
          </w:tcPr>
          <w:p w14:paraId="2A9D5683">
            <w:pPr>
              <w:pStyle w:val="109"/>
              <w:widowControl w:val="0"/>
              <w:bidi w:val="0"/>
              <w:ind w:left="0" w:leftChars="0" w:firstLine="0" w:firstLineChars="0"/>
              <w:jc w:val="center"/>
              <w:rPr>
                <w:rFonts w:hint="default"/>
                <w:lang w:val="en-US" w:eastAsia="zh-CN"/>
              </w:rPr>
            </w:pPr>
            <w:r>
              <w:rPr>
                <w:rFonts w:hint="eastAsia"/>
                <w:lang w:val="en-US" w:eastAsia="zh-CN"/>
              </w:rPr>
              <w:t>检验方法</w:t>
            </w:r>
          </w:p>
        </w:tc>
      </w:tr>
      <w:tr w14:paraId="37F666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248" w:type="pct"/>
            <w:vMerge w:val="continue"/>
            <w:vAlign w:val="center"/>
          </w:tcPr>
          <w:p w14:paraId="138F340B">
            <w:pPr>
              <w:pStyle w:val="109"/>
              <w:widowControl w:val="0"/>
              <w:bidi w:val="0"/>
              <w:ind w:left="0" w:leftChars="0" w:firstLine="0" w:firstLineChars="0"/>
              <w:jc w:val="center"/>
              <w:rPr>
                <w:rFonts w:hint="eastAsia"/>
                <w:lang w:val="en-US" w:eastAsia="zh-CN"/>
              </w:rPr>
            </w:pPr>
          </w:p>
        </w:tc>
        <w:tc>
          <w:tcPr>
            <w:tcW w:w="402" w:type="pct"/>
            <w:tcBorders>
              <w:bottom w:val="single" w:color="auto" w:sz="8" w:space="0"/>
            </w:tcBorders>
            <w:vAlign w:val="center"/>
          </w:tcPr>
          <w:p w14:paraId="46C56028">
            <w:pPr>
              <w:pStyle w:val="109"/>
              <w:widowControl w:val="0"/>
              <w:tabs>
                <w:tab w:val="left" w:pos="1382"/>
              </w:tabs>
              <w:bidi w:val="0"/>
              <w:ind w:left="0" w:leftChars="0" w:firstLine="0" w:firstLineChars="0"/>
              <w:jc w:val="center"/>
              <w:rPr>
                <w:rFonts w:hint="default"/>
                <w:lang w:val="en-US" w:eastAsia="zh-CN"/>
              </w:rPr>
            </w:pPr>
            <w:r>
              <w:rPr>
                <w:rFonts w:hint="eastAsia"/>
                <w:lang w:val="en-US" w:eastAsia="zh-CN"/>
              </w:rPr>
              <w:t>n</w:t>
            </w:r>
          </w:p>
        </w:tc>
        <w:tc>
          <w:tcPr>
            <w:tcW w:w="648" w:type="pct"/>
            <w:tcBorders>
              <w:bottom w:val="single" w:color="auto" w:sz="8" w:space="0"/>
            </w:tcBorders>
            <w:vAlign w:val="center"/>
          </w:tcPr>
          <w:p w14:paraId="5CD61AD4">
            <w:pPr>
              <w:pStyle w:val="109"/>
              <w:widowControl w:val="0"/>
              <w:tabs>
                <w:tab w:val="left" w:pos="1382"/>
              </w:tabs>
              <w:bidi w:val="0"/>
              <w:ind w:left="0" w:leftChars="0" w:firstLine="0" w:firstLineChars="0"/>
              <w:jc w:val="center"/>
              <w:rPr>
                <w:rFonts w:hint="default"/>
                <w:lang w:val="en-US" w:eastAsia="zh-CN"/>
              </w:rPr>
            </w:pPr>
            <w:r>
              <w:rPr>
                <w:rFonts w:hint="eastAsia"/>
                <w:lang w:val="en-US" w:eastAsia="zh-CN"/>
              </w:rPr>
              <w:t>c</w:t>
            </w:r>
          </w:p>
        </w:tc>
        <w:tc>
          <w:tcPr>
            <w:tcW w:w="767" w:type="pct"/>
            <w:tcBorders>
              <w:bottom w:val="single" w:color="auto" w:sz="8" w:space="0"/>
            </w:tcBorders>
            <w:vAlign w:val="center"/>
          </w:tcPr>
          <w:p w14:paraId="0B34358B">
            <w:pPr>
              <w:pStyle w:val="109"/>
              <w:widowControl w:val="0"/>
              <w:tabs>
                <w:tab w:val="left" w:pos="1382"/>
              </w:tabs>
              <w:bidi w:val="0"/>
              <w:ind w:left="0" w:leftChars="0" w:firstLine="0" w:firstLineChars="0"/>
              <w:jc w:val="center"/>
              <w:rPr>
                <w:rFonts w:hint="default"/>
                <w:lang w:val="en-US" w:eastAsia="zh-CN"/>
              </w:rPr>
            </w:pPr>
            <w:r>
              <w:rPr>
                <w:rFonts w:hint="eastAsia"/>
                <w:lang w:val="en-US" w:eastAsia="zh-CN"/>
              </w:rPr>
              <w:t>m</w:t>
            </w:r>
          </w:p>
        </w:tc>
        <w:tc>
          <w:tcPr>
            <w:tcW w:w="682" w:type="pct"/>
            <w:tcBorders>
              <w:bottom w:val="single" w:color="auto" w:sz="8" w:space="0"/>
            </w:tcBorders>
            <w:vAlign w:val="center"/>
          </w:tcPr>
          <w:p w14:paraId="7B1A01F7">
            <w:pPr>
              <w:pStyle w:val="109"/>
              <w:widowControl w:val="0"/>
              <w:tabs>
                <w:tab w:val="left" w:pos="1382"/>
              </w:tabs>
              <w:bidi w:val="0"/>
              <w:ind w:left="0" w:leftChars="0" w:firstLine="0" w:firstLineChars="0"/>
              <w:jc w:val="center"/>
              <w:rPr>
                <w:rFonts w:hint="default"/>
                <w:lang w:val="en-US" w:eastAsia="zh-CN"/>
              </w:rPr>
            </w:pPr>
            <w:r>
              <w:rPr>
                <w:rFonts w:hint="eastAsia"/>
                <w:lang w:val="en-US" w:eastAsia="zh-CN"/>
              </w:rPr>
              <w:t>M</w:t>
            </w:r>
          </w:p>
        </w:tc>
        <w:tc>
          <w:tcPr>
            <w:tcW w:w="1251" w:type="pct"/>
            <w:vMerge w:val="continue"/>
            <w:vAlign w:val="center"/>
          </w:tcPr>
          <w:p w14:paraId="61A43417">
            <w:pPr>
              <w:pStyle w:val="109"/>
              <w:widowControl w:val="0"/>
              <w:bidi w:val="0"/>
              <w:ind w:left="0" w:leftChars="0" w:firstLine="0" w:firstLineChars="0"/>
              <w:jc w:val="center"/>
              <w:rPr>
                <w:rFonts w:hint="eastAsia"/>
                <w:lang w:val="en-US" w:eastAsia="zh-CN"/>
              </w:rPr>
            </w:pPr>
          </w:p>
        </w:tc>
      </w:tr>
      <w:tr w14:paraId="0CBB7A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8" w:type="pct"/>
            <w:tcBorders>
              <w:top w:val="single" w:color="auto" w:sz="8" w:space="0"/>
            </w:tcBorders>
            <w:vAlign w:val="center"/>
          </w:tcPr>
          <w:p w14:paraId="66B10905">
            <w:pPr>
              <w:pStyle w:val="109"/>
              <w:widowControl w:val="0"/>
              <w:bidi w:val="0"/>
              <w:ind w:left="0" w:leftChars="0" w:firstLine="0" w:firstLineChars="0"/>
              <w:jc w:val="center"/>
              <w:rPr>
                <w:rFonts w:hint="default"/>
                <w:lang w:val="en-US" w:eastAsia="zh-CN"/>
              </w:rPr>
            </w:pPr>
            <w:r>
              <w:rPr>
                <w:rFonts w:hint="eastAsia"/>
                <w:lang w:val="en-US" w:eastAsia="zh-CN"/>
              </w:rPr>
              <w:t>菌落总数/（CFU/g）</w:t>
            </w:r>
          </w:p>
        </w:tc>
        <w:tc>
          <w:tcPr>
            <w:tcW w:w="402" w:type="pct"/>
            <w:tcBorders>
              <w:top w:val="single" w:color="auto" w:sz="8" w:space="0"/>
            </w:tcBorders>
            <w:vAlign w:val="center"/>
          </w:tcPr>
          <w:p w14:paraId="1DE887C8">
            <w:pPr>
              <w:pStyle w:val="109"/>
              <w:widowControl w:val="0"/>
              <w:bidi w:val="0"/>
              <w:ind w:left="0" w:leftChars="0" w:firstLine="0" w:firstLineChars="0"/>
              <w:jc w:val="center"/>
              <w:rPr>
                <w:rFonts w:hint="default"/>
                <w:lang w:val="en-US" w:eastAsia="zh-CN"/>
              </w:rPr>
            </w:pPr>
            <w:r>
              <w:rPr>
                <w:rFonts w:hint="eastAsia"/>
                <w:lang w:val="en-US" w:eastAsia="zh-CN"/>
              </w:rPr>
              <w:t>5</w:t>
            </w:r>
          </w:p>
        </w:tc>
        <w:tc>
          <w:tcPr>
            <w:tcW w:w="648" w:type="pct"/>
            <w:tcBorders>
              <w:top w:val="single" w:color="auto" w:sz="8" w:space="0"/>
            </w:tcBorders>
            <w:vAlign w:val="center"/>
          </w:tcPr>
          <w:p w14:paraId="787F5866">
            <w:pPr>
              <w:pStyle w:val="109"/>
              <w:widowControl w:val="0"/>
              <w:bidi w:val="0"/>
              <w:ind w:left="0" w:leftChars="0" w:firstLine="0" w:firstLineChars="0"/>
              <w:jc w:val="center"/>
              <w:rPr>
                <w:rFonts w:hint="default"/>
                <w:lang w:val="en-US" w:eastAsia="zh-CN"/>
              </w:rPr>
            </w:pPr>
            <w:r>
              <w:rPr>
                <w:rFonts w:hint="eastAsia"/>
                <w:lang w:val="en-US" w:eastAsia="zh-CN"/>
              </w:rPr>
              <w:t>2</w:t>
            </w:r>
          </w:p>
        </w:tc>
        <w:tc>
          <w:tcPr>
            <w:tcW w:w="767" w:type="pct"/>
            <w:tcBorders>
              <w:top w:val="single" w:color="auto" w:sz="8" w:space="0"/>
            </w:tcBorders>
            <w:vAlign w:val="center"/>
          </w:tcPr>
          <w:p w14:paraId="36D95A35">
            <w:pPr>
              <w:pStyle w:val="109"/>
              <w:widowControl w:val="0"/>
              <w:bidi w:val="0"/>
              <w:ind w:left="0" w:leftChars="0" w:firstLine="0" w:firstLineChars="0"/>
              <w:jc w:val="center"/>
              <w:rPr>
                <w:rFonts w:hint="default"/>
                <w:lang w:val="en-US" w:eastAsia="zh-CN"/>
              </w:rPr>
            </w:pPr>
            <w:r>
              <w:rPr>
                <w:rFonts w:hint="eastAsia"/>
                <w:lang w:val="en-US" w:eastAsia="zh-CN"/>
              </w:rPr>
              <w:t>10000</w:t>
            </w:r>
          </w:p>
        </w:tc>
        <w:tc>
          <w:tcPr>
            <w:tcW w:w="682" w:type="pct"/>
            <w:tcBorders>
              <w:top w:val="single" w:color="auto" w:sz="8" w:space="0"/>
            </w:tcBorders>
            <w:vAlign w:val="center"/>
          </w:tcPr>
          <w:p w14:paraId="4A164772">
            <w:pPr>
              <w:pStyle w:val="109"/>
              <w:widowControl w:val="0"/>
              <w:bidi w:val="0"/>
              <w:ind w:left="0" w:leftChars="0" w:firstLine="0" w:firstLineChars="0"/>
              <w:jc w:val="center"/>
              <w:rPr>
                <w:rFonts w:hint="default"/>
                <w:lang w:val="en-US" w:eastAsia="zh-CN"/>
              </w:rPr>
            </w:pPr>
            <w:r>
              <w:rPr>
                <w:rFonts w:hint="eastAsia"/>
                <w:lang w:val="en-US" w:eastAsia="zh-CN"/>
              </w:rPr>
              <w:t>100000</w:t>
            </w:r>
          </w:p>
        </w:tc>
        <w:tc>
          <w:tcPr>
            <w:tcW w:w="1251" w:type="pct"/>
            <w:tcBorders>
              <w:top w:val="single" w:color="auto" w:sz="8" w:space="0"/>
            </w:tcBorders>
            <w:vAlign w:val="center"/>
          </w:tcPr>
          <w:p w14:paraId="265B3EC4">
            <w:pPr>
              <w:pStyle w:val="109"/>
              <w:widowControl w:val="0"/>
              <w:bidi w:val="0"/>
              <w:ind w:left="0" w:leftChars="0" w:firstLine="0" w:firstLineChars="0"/>
              <w:jc w:val="center"/>
              <w:rPr>
                <w:rFonts w:hint="default"/>
                <w:lang w:val="en-US" w:eastAsia="zh-CN"/>
              </w:rPr>
            </w:pPr>
            <w:r>
              <w:rPr>
                <w:rFonts w:hint="eastAsia"/>
                <w:lang w:val="en-US" w:eastAsia="zh-CN"/>
              </w:rPr>
              <w:t>GB 4789.2</w:t>
            </w:r>
          </w:p>
        </w:tc>
      </w:tr>
      <w:tr w14:paraId="1D3969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8" w:type="pct"/>
            <w:vAlign w:val="center"/>
          </w:tcPr>
          <w:p w14:paraId="44CE426E">
            <w:pPr>
              <w:pStyle w:val="109"/>
              <w:widowControl w:val="0"/>
              <w:bidi w:val="0"/>
              <w:ind w:left="0" w:leftChars="0" w:firstLine="0" w:firstLineChars="0"/>
              <w:jc w:val="center"/>
              <w:rPr>
                <w:rFonts w:hint="default"/>
                <w:lang w:val="en-US" w:eastAsia="zh-CN"/>
              </w:rPr>
            </w:pPr>
            <w:r>
              <w:rPr>
                <w:rFonts w:hint="eastAsia"/>
                <w:lang w:val="en-US" w:eastAsia="zh-CN"/>
              </w:rPr>
              <w:t>大肠菌群/（CFU/g）</w:t>
            </w:r>
          </w:p>
        </w:tc>
        <w:tc>
          <w:tcPr>
            <w:tcW w:w="402" w:type="pct"/>
            <w:vAlign w:val="center"/>
          </w:tcPr>
          <w:p w14:paraId="3640D262">
            <w:pPr>
              <w:pStyle w:val="109"/>
              <w:widowControl w:val="0"/>
              <w:bidi w:val="0"/>
              <w:ind w:left="0" w:leftChars="0" w:firstLine="0" w:firstLineChars="0"/>
              <w:jc w:val="center"/>
              <w:rPr>
                <w:rFonts w:hint="default"/>
                <w:lang w:val="en-US" w:eastAsia="zh-CN"/>
              </w:rPr>
            </w:pPr>
            <w:r>
              <w:rPr>
                <w:rFonts w:hint="eastAsia"/>
                <w:lang w:val="en-US" w:eastAsia="zh-CN"/>
              </w:rPr>
              <w:t>5</w:t>
            </w:r>
          </w:p>
        </w:tc>
        <w:tc>
          <w:tcPr>
            <w:tcW w:w="648" w:type="pct"/>
            <w:vAlign w:val="center"/>
          </w:tcPr>
          <w:p w14:paraId="2DD8859C">
            <w:pPr>
              <w:pStyle w:val="109"/>
              <w:widowControl w:val="0"/>
              <w:bidi w:val="0"/>
              <w:ind w:left="0" w:leftChars="0" w:firstLine="0" w:firstLineChars="0"/>
              <w:jc w:val="center"/>
              <w:rPr>
                <w:rFonts w:hint="default"/>
                <w:lang w:val="en-US" w:eastAsia="zh-CN"/>
              </w:rPr>
            </w:pPr>
            <w:r>
              <w:rPr>
                <w:rFonts w:hint="eastAsia"/>
                <w:lang w:val="en-US" w:eastAsia="zh-CN"/>
              </w:rPr>
              <w:t>2</w:t>
            </w:r>
          </w:p>
        </w:tc>
        <w:tc>
          <w:tcPr>
            <w:tcW w:w="767" w:type="pct"/>
            <w:vAlign w:val="center"/>
          </w:tcPr>
          <w:p w14:paraId="7960037D">
            <w:pPr>
              <w:pStyle w:val="109"/>
              <w:widowControl w:val="0"/>
              <w:bidi w:val="0"/>
              <w:ind w:left="0" w:leftChars="0" w:firstLine="0" w:firstLineChars="0"/>
              <w:jc w:val="center"/>
              <w:rPr>
                <w:rFonts w:hint="default"/>
                <w:lang w:val="en-US" w:eastAsia="zh-CN"/>
              </w:rPr>
            </w:pPr>
            <w:r>
              <w:rPr>
                <w:rFonts w:hint="eastAsia"/>
                <w:lang w:val="en-US" w:eastAsia="zh-CN"/>
              </w:rPr>
              <w:t>10</w:t>
            </w:r>
          </w:p>
        </w:tc>
        <w:tc>
          <w:tcPr>
            <w:tcW w:w="682" w:type="pct"/>
            <w:vAlign w:val="center"/>
          </w:tcPr>
          <w:p w14:paraId="3FA3EF2E">
            <w:pPr>
              <w:pStyle w:val="109"/>
              <w:widowControl w:val="0"/>
              <w:bidi w:val="0"/>
              <w:ind w:left="0" w:leftChars="0" w:firstLine="0" w:firstLineChars="0"/>
              <w:jc w:val="center"/>
              <w:rPr>
                <w:rFonts w:hint="default"/>
                <w:lang w:val="en-US" w:eastAsia="zh-CN"/>
              </w:rPr>
            </w:pPr>
            <w:r>
              <w:rPr>
                <w:rFonts w:hint="eastAsia"/>
                <w:lang w:val="en-US" w:eastAsia="zh-CN"/>
              </w:rPr>
              <w:t>100</w:t>
            </w:r>
          </w:p>
        </w:tc>
        <w:tc>
          <w:tcPr>
            <w:tcW w:w="1251" w:type="pct"/>
            <w:vAlign w:val="center"/>
          </w:tcPr>
          <w:p w14:paraId="6D780D58">
            <w:pPr>
              <w:pStyle w:val="109"/>
              <w:widowControl w:val="0"/>
              <w:bidi w:val="0"/>
              <w:ind w:left="0" w:leftChars="0" w:firstLine="0" w:firstLineChars="0"/>
              <w:jc w:val="center"/>
              <w:rPr>
                <w:rFonts w:hint="default"/>
                <w:lang w:val="en-US" w:eastAsia="zh-CN"/>
              </w:rPr>
            </w:pPr>
            <w:r>
              <w:rPr>
                <w:rFonts w:hint="eastAsia"/>
                <w:lang w:val="en-US" w:eastAsia="zh-CN"/>
              </w:rPr>
              <w:t>GB 4789.3平板计数法</w:t>
            </w:r>
          </w:p>
        </w:tc>
      </w:tr>
      <w:tr w14:paraId="32961B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8" w:type="pct"/>
            <w:vAlign w:val="center"/>
          </w:tcPr>
          <w:p w14:paraId="7A0A5302">
            <w:pPr>
              <w:pStyle w:val="109"/>
              <w:widowControl w:val="0"/>
              <w:bidi w:val="0"/>
              <w:ind w:left="0" w:leftChars="0" w:firstLine="0" w:firstLineChars="0"/>
              <w:jc w:val="center"/>
              <w:rPr>
                <w:rFonts w:hint="default"/>
                <w:lang w:val="en-US" w:eastAsia="zh-CN"/>
              </w:rPr>
            </w:pPr>
            <w:r>
              <w:rPr>
                <w:rFonts w:hint="eastAsia"/>
                <w:lang w:val="en-US" w:eastAsia="zh-CN"/>
              </w:rPr>
              <w:t>沙门氏菌</w:t>
            </w:r>
          </w:p>
        </w:tc>
        <w:tc>
          <w:tcPr>
            <w:tcW w:w="402" w:type="pct"/>
            <w:vAlign w:val="center"/>
          </w:tcPr>
          <w:p w14:paraId="57344F0E">
            <w:pPr>
              <w:pStyle w:val="109"/>
              <w:widowControl w:val="0"/>
              <w:bidi w:val="0"/>
              <w:ind w:left="0" w:leftChars="0" w:firstLine="0" w:firstLineChars="0"/>
              <w:jc w:val="center"/>
              <w:rPr>
                <w:rFonts w:hint="default"/>
                <w:lang w:val="en-US" w:eastAsia="zh-CN"/>
              </w:rPr>
            </w:pPr>
            <w:r>
              <w:rPr>
                <w:rFonts w:hint="eastAsia"/>
                <w:lang w:val="en-US" w:eastAsia="zh-CN"/>
              </w:rPr>
              <w:t>5</w:t>
            </w:r>
          </w:p>
        </w:tc>
        <w:tc>
          <w:tcPr>
            <w:tcW w:w="648" w:type="pct"/>
            <w:vAlign w:val="center"/>
          </w:tcPr>
          <w:p w14:paraId="75BC4CFB">
            <w:pPr>
              <w:pStyle w:val="109"/>
              <w:widowControl w:val="0"/>
              <w:bidi w:val="0"/>
              <w:ind w:left="0" w:leftChars="0" w:firstLine="0" w:firstLineChars="0"/>
              <w:jc w:val="center"/>
              <w:rPr>
                <w:rFonts w:hint="default"/>
                <w:lang w:val="en-US" w:eastAsia="zh-CN"/>
              </w:rPr>
            </w:pPr>
            <w:r>
              <w:rPr>
                <w:rFonts w:hint="eastAsia"/>
                <w:lang w:val="en-US" w:eastAsia="zh-CN"/>
              </w:rPr>
              <w:t>0</w:t>
            </w:r>
          </w:p>
        </w:tc>
        <w:tc>
          <w:tcPr>
            <w:tcW w:w="767" w:type="pct"/>
            <w:vAlign w:val="center"/>
          </w:tcPr>
          <w:p w14:paraId="624E6E24">
            <w:pPr>
              <w:pStyle w:val="109"/>
              <w:widowControl w:val="0"/>
              <w:bidi w:val="0"/>
              <w:ind w:left="0" w:leftChars="0" w:firstLine="0" w:firstLineChars="0"/>
              <w:jc w:val="center"/>
              <w:rPr>
                <w:rFonts w:hint="default"/>
                <w:lang w:val="en-US" w:eastAsia="zh-CN"/>
              </w:rPr>
            </w:pPr>
            <w:r>
              <w:rPr>
                <w:rFonts w:hint="eastAsia"/>
                <w:lang w:val="en-US" w:eastAsia="zh-CN"/>
              </w:rPr>
              <w:t>0</w:t>
            </w:r>
          </w:p>
        </w:tc>
        <w:tc>
          <w:tcPr>
            <w:tcW w:w="682" w:type="pct"/>
            <w:vAlign w:val="center"/>
          </w:tcPr>
          <w:p w14:paraId="3A1185A1">
            <w:pPr>
              <w:pStyle w:val="109"/>
              <w:widowControl w:val="0"/>
              <w:bidi w:val="0"/>
              <w:ind w:left="0" w:leftChars="0" w:firstLine="0" w:firstLineChars="0"/>
              <w:jc w:val="center"/>
              <w:rPr>
                <w:rFonts w:hint="default"/>
                <w:lang w:val="en-US" w:eastAsia="zh-CN"/>
              </w:rPr>
            </w:pPr>
            <w:r>
              <w:rPr>
                <w:rFonts w:hint="eastAsia"/>
                <w:lang w:val="en-US" w:eastAsia="zh-CN"/>
              </w:rPr>
              <w:t>-</w:t>
            </w:r>
          </w:p>
        </w:tc>
        <w:tc>
          <w:tcPr>
            <w:tcW w:w="1251" w:type="pct"/>
            <w:vAlign w:val="center"/>
          </w:tcPr>
          <w:p w14:paraId="72899182">
            <w:pPr>
              <w:pStyle w:val="109"/>
              <w:widowControl w:val="0"/>
              <w:bidi w:val="0"/>
              <w:ind w:left="0" w:leftChars="0" w:firstLine="0" w:firstLineChars="0"/>
              <w:jc w:val="center"/>
              <w:rPr>
                <w:rFonts w:hint="default"/>
                <w:lang w:val="en-US" w:eastAsia="zh-CN"/>
              </w:rPr>
            </w:pPr>
            <w:r>
              <w:rPr>
                <w:rFonts w:hint="eastAsia"/>
                <w:lang w:val="en-US" w:eastAsia="zh-CN"/>
              </w:rPr>
              <w:t>GB 4789.4</w:t>
            </w:r>
          </w:p>
        </w:tc>
      </w:tr>
      <w:tr w14:paraId="2C7FD4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8" w:type="pct"/>
            <w:vAlign w:val="center"/>
          </w:tcPr>
          <w:p w14:paraId="595C098A">
            <w:pPr>
              <w:pStyle w:val="109"/>
              <w:widowControl w:val="0"/>
              <w:bidi w:val="0"/>
              <w:ind w:left="0" w:leftChars="0" w:firstLine="0" w:firstLineChars="0"/>
              <w:jc w:val="center"/>
              <w:rPr>
                <w:rFonts w:hint="default"/>
                <w:lang w:val="en-US" w:eastAsia="zh-CN"/>
              </w:rPr>
            </w:pPr>
            <w:r>
              <w:rPr>
                <w:rFonts w:hint="eastAsia"/>
                <w:lang w:val="en-US" w:eastAsia="zh-CN"/>
              </w:rPr>
              <w:t>金黄色葡萄球菌/（CFU/g）</w:t>
            </w:r>
          </w:p>
        </w:tc>
        <w:tc>
          <w:tcPr>
            <w:tcW w:w="402" w:type="pct"/>
            <w:vAlign w:val="center"/>
          </w:tcPr>
          <w:p w14:paraId="79E7200E">
            <w:pPr>
              <w:pStyle w:val="109"/>
              <w:widowControl w:val="0"/>
              <w:bidi w:val="0"/>
              <w:ind w:left="0" w:leftChars="0" w:firstLine="0" w:firstLineChars="0"/>
              <w:jc w:val="center"/>
              <w:rPr>
                <w:rFonts w:hint="default"/>
                <w:lang w:val="en-US" w:eastAsia="zh-CN"/>
              </w:rPr>
            </w:pPr>
            <w:r>
              <w:rPr>
                <w:rFonts w:hint="eastAsia"/>
                <w:lang w:val="en-US" w:eastAsia="zh-CN"/>
              </w:rPr>
              <w:t>5</w:t>
            </w:r>
          </w:p>
        </w:tc>
        <w:tc>
          <w:tcPr>
            <w:tcW w:w="648" w:type="pct"/>
            <w:vAlign w:val="center"/>
          </w:tcPr>
          <w:p w14:paraId="54C04933">
            <w:pPr>
              <w:pStyle w:val="109"/>
              <w:widowControl w:val="0"/>
              <w:bidi w:val="0"/>
              <w:ind w:left="0" w:leftChars="0" w:firstLine="0" w:firstLineChars="0"/>
              <w:jc w:val="center"/>
              <w:rPr>
                <w:rFonts w:hint="default"/>
                <w:lang w:val="en-US" w:eastAsia="zh-CN"/>
              </w:rPr>
            </w:pPr>
            <w:r>
              <w:rPr>
                <w:rFonts w:hint="eastAsia"/>
                <w:lang w:val="en-US" w:eastAsia="zh-CN"/>
              </w:rPr>
              <w:t>1</w:t>
            </w:r>
          </w:p>
        </w:tc>
        <w:tc>
          <w:tcPr>
            <w:tcW w:w="767" w:type="pct"/>
            <w:vAlign w:val="center"/>
          </w:tcPr>
          <w:p w14:paraId="1CAC0D08">
            <w:pPr>
              <w:pStyle w:val="109"/>
              <w:widowControl w:val="0"/>
              <w:bidi w:val="0"/>
              <w:ind w:left="0" w:leftChars="0" w:firstLine="0" w:firstLineChars="0"/>
              <w:jc w:val="center"/>
              <w:rPr>
                <w:rFonts w:hint="default"/>
                <w:lang w:val="en-US" w:eastAsia="zh-CN"/>
              </w:rPr>
            </w:pPr>
            <w:r>
              <w:rPr>
                <w:rFonts w:hint="eastAsia"/>
                <w:lang w:val="en-US" w:eastAsia="zh-CN"/>
              </w:rPr>
              <w:t>100</w:t>
            </w:r>
          </w:p>
        </w:tc>
        <w:tc>
          <w:tcPr>
            <w:tcW w:w="682" w:type="pct"/>
            <w:vAlign w:val="center"/>
          </w:tcPr>
          <w:p w14:paraId="53FBE26B">
            <w:pPr>
              <w:pStyle w:val="109"/>
              <w:widowControl w:val="0"/>
              <w:bidi w:val="0"/>
              <w:ind w:left="0" w:leftChars="0" w:firstLine="0" w:firstLineChars="0"/>
              <w:jc w:val="center"/>
              <w:rPr>
                <w:rFonts w:hint="default"/>
                <w:lang w:val="en-US" w:eastAsia="zh-CN"/>
              </w:rPr>
            </w:pPr>
            <w:r>
              <w:rPr>
                <w:rFonts w:hint="eastAsia"/>
                <w:lang w:val="en-US" w:eastAsia="zh-CN"/>
              </w:rPr>
              <w:t>1000</w:t>
            </w:r>
          </w:p>
        </w:tc>
        <w:tc>
          <w:tcPr>
            <w:tcW w:w="1251" w:type="pct"/>
            <w:vAlign w:val="center"/>
          </w:tcPr>
          <w:p w14:paraId="7E623614">
            <w:pPr>
              <w:pStyle w:val="109"/>
              <w:widowControl w:val="0"/>
              <w:bidi w:val="0"/>
              <w:ind w:left="0" w:leftChars="0" w:firstLine="0" w:firstLineChars="0"/>
              <w:jc w:val="center"/>
              <w:rPr>
                <w:rFonts w:hint="default"/>
                <w:lang w:val="en-US" w:eastAsia="zh-CN"/>
              </w:rPr>
            </w:pPr>
            <w:r>
              <w:rPr>
                <w:rFonts w:hint="eastAsia"/>
                <w:lang w:val="en-US" w:eastAsia="zh-CN"/>
              </w:rPr>
              <w:t>GB 4789.10</w:t>
            </w:r>
          </w:p>
        </w:tc>
      </w:tr>
      <w:tr w14:paraId="7C5944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8" w:type="pct"/>
            <w:vAlign w:val="center"/>
          </w:tcPr>
          <w:p w14:paraId="4616BA92">
            <w:pPr>
              <w:pStyle w:val="109"/>
              <w:widowControl w:val="0"/>
              <w:bidi w:val="0"/>
              <w:ind w:left="0" w:leftChars="0" w:firstLine="0" w:firstLineChars="0"/>
              <w:jc w:val="center"/>
              <w:rPr>
                <w:rFonts w:hint="default"/>
                <w:lang w:val="en-US" w:eastAsia="zh-CN"/>
              </w:rPr>
            </w:pPr>
            <w:r>
              <w:rPr>
                <w:rFonts w:hint="eastAsia"/>
                <w:lang w:val="en-US" w:eastAsia="zh-CN"/>
              </w:rPr>
              <w:t>霉菌/（CFU/g）</w:t>
            </w:r>
          </w:p>
        </w:tc>
        <w:tc>
          <w:tcPr>
            <w:tcW w:w="2500" w:type="pct"/>
            <w:gridSpan w:val="4"/>
            <w:vAlign w:val="center"/>
          </w:tcPr>
          <w:p w14:paraId="45CF1303">
            <w:pPr>
              <w:pStyle w:val="109"/>
              <w:widowControl w:val="0"/>
              <w:bidi w:val="0"/>
              <w:ind w:left="0" w:leftChars="0" w:firstLine="0" w:firstLineChars="0"/>
              <w:jc w:val="center"/>
              <w:rPr>
                <w:rFonts w:hint="default"/>
                <w:lang w:val="en-US" w:eastAsia="zh-CN"/>
              </w:rPr>
            </w:pPr>
            <w:r>
              <w:rPr>
                <w:rFonts w:hint="eastAsia"/>
                <w:lang w:val="en-US" w:eastAsia="zh-CN"/>
              </w:rPr>
              <w:t>≤50</w:t>
            </w:r>
          </w:p>
        </w:tc>
        <w:tc>
          <w:tcPr>
            <w:tcW w:w="1251" w:type="pct"/>
            <w:vAlign w:val="center"/>
          </w:tcPr>
          <w:p w14:paraId="64F34A43">
            <w:pPr>
              <w:pStyle w:val="109"/>
              <w:widowControl w:val="0"/>
              <w:bidi w:val="0"/>
              <w:ind w:left="0" w:leftChars="0" w:firstLine="0" w:firstLineChars="0"/>
              <w:jc w:val="center"/>
              <w:rPr>
                <w:rFonts w:hint="default"/>
                <w:lang w:val="en-US" w:eastAsia="zh-CN"/>
              </w:rPr>
            </w:pPr>
            <w:r>
              <w:rPr>
                <w:rFonts w:hint="eastAsia"/>
                <w:lang w:val="en-US" w:eastAsia="zh-CN"/>
              </w:rPr>
              <w:t>GB 4789.15</w:t>
            </w:r>
          </w:p>
        </w:tc>
      </w:tr>
      <w:tr w14:paraId="321F42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14:paraId="6E3E6765">
            <w:pPr>
              <w:pStyle w:val="109"/>
              <w:widowControl w:val="0"/>
              <w:bidi w:val="0"/>
              <w:ind w:left="0" w:leftChars="0" w:firstLine="0" w:firstLineChars="0"/>
              <w:jc w:val="left"/>
              <w:rPr>
                <w:rFonts w:hint="default"/>
                <w:lang w:val="en-US" w:eastAsia="zh-CN"/>
              </w:rPr>
            </w:pPr>
            <w:r>
              <w:rPr>
                <w:rFonts w:hint="eastAsia"/>
                <w:vertAlign w:val="superscript"/>
                <w:lang w:val="en-US" w:eastAsia="zh-CN"/>
              </w:rPr>
              <w:t>a</w:t>
            </w:r>
            <w:r>
              <w:rPr>
                <w:rFonts w:hint="eastAsia"/>
                <w:lang w:val="en-US" w:eastAsia="zh-CN"/>
              </w:rPr>
              <w:t>样品的采用及处理按GB 4789.1执行</w:t>
            </w:r>
          </w:p>
        </w:tc>
      </w:tr>
    </w:tbl>
    <w:p w14:paraId="71449CD8">
      <w:pPr>
        <w:pStyle w:val="71"/>
        <w:bidi w:val="0"/>
      </w:pPr>
      <w:r>
        <w:rPr>
          <w:rFonts w:hint="eastAsia"/>
        </w:rPr>
        <w:t>净含量</w:t>
      </w:r>
    </w:p>
    <w:p w14:paraId="2BE703B6">
      <w:pPr>
        <w:pStyle w:val="23"/>
        <w:ind w:firstLine="420"/>
        <w:rPr>
          <w:rFonts w:hint="eastAsia"/>
        </w:rPr>
      </w:pPr>
      <w:r>
        <w:rPr>
          <w:rFonts w:hint="eastAsia"/>
        </w:rPr>
        <w:t>应符合《定量包装商品计量监督管理办法》的要求，检验方法按照J</w:t>
      </w:r>
      <w:r>
        <w:t>JF 1070</w:t>
      </w:r>
      <w:r>
        <w:rPr>
          <w:rFonts w:hint="eastAsia"/>
        </w:rPr>
        <w:t>规定执行。</w:t>
      </w:r>
    </w:p>
    <w:p w14:paraId="5279B3A4">
      <w:pPr>
        <w:pStyle w:val="70"/>
        <w:bidi w:val="0"/>
      </w:pPr>
      <w:bookmarkStart w:id="26" w:name="_Toc150196311"/>
      <w:bookmarkStart w:id="27" w:name="_Toc149643651"/>
      <w:bookmarkStart w:id="28" w:name="_Toc141363102"/>
      <w:bookmarkStart w:id="29" w:name="_Toc141040835"/>
      <w:bookmarkStart w:id="30" w:name="_Toc143288146"/>
      <w:bookmarkStart w:id="31" w:name="_Toc147843901"/>
      <w:bookmarkStart w:id="32" w:name="_Toc103848253"/>
      <w:bookmarkStart w:id="33" w:name="_Toc147761913"/>
      <w:bookmarkStart w:id="34" w:name="_Toc111488254"/>
      <w:bookmarkStart w:id="35" w:name="_Toc141189597"/>
      <w:bookmarkStart w:id="36" w:name="_Toc104058753"/>
      <w:bookmarkStart w:id="37" w:name="_Toc144670743"/>
      <w:bookmarkStart w:id="38" w:name="_Toc147777293"/>
      <w:bookmarkStart w:id="39" w:name="_Toc103848005"/>
      <w:bookmarkStart w:id="40" w:name="_Toc15014"/>
      <w:bookmarkStart w:id="41" w:name="_Toc141026233"/>
      <w:bookmarkStart w:id="42" w:name="_Toc144479682"/>
      <w:bookmarkStart w:id="43" w:name="_Toc143955922"/>
      <w:r>
        <w:rPr>
          <w:rFonts w:hint="eastAsia"/>
        </w:rPr>
        <w:t>检验规则</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543CA943">
      <w:pPr>
        <w:pStyle w:val="71"/>
        <w:spacing w:before="120" w:after="120"/>
      </w:pPr>
      <w:r>
        <w:rPr>
          <w:rFonts w:hint="eastAsia"/>
        </w:rPr>
        <w:t>组批</w:t>
      </w:r>
    </w:p>
    <w:p w14:paraId="650A9DF1">
      <w:pPr>
        <w:pStyle w:val="23"/>
        <w:ind w:firstLine="420"/>
      </w:pPr>
      <w:r>
        <w:rPr>
          <w:rFonts w:hint="eastAsia"/>
        </w:rPr>
        <w:t>同一</w:t>
      </w:r>
      <w:r>
        <w:rPr>
          <w:rFonts w:hint="eastAsia"/>
          <w:lang w:val="en-US" w:eastAsia="zh-CN"/>
        </w:rPr>
        <w:t>班次或同一日期生产的同品种、同规定的产品为一批</w:t>
      </w:r>
      <w:r>
        <w:rPr>
          <w:rFonts w:hint="eastAsia"/>
        </w:rPr>
        <w:t>。</w:t>
      </w:r>
    </w:p>
    <w:p w14:paraId="517A64CA">
      <w:pPr>
        <w:pStyle w:val="71"/>
        <w:spacing w:before="120" w:after="120"/>
      </w:pPr>
      <w:r>
        <w:rPr>
          <w:rFonts w:hint="eastAsia"/>
        </w:rPr>
        <w:t>抽样方法</w:t>
      </w:r>
    </w:p>
    <w:p w14:paraId="6C3F70FA">
      <w:pPr>
        <w:pStyle w:val="23"/>
        <w:ind w:firstLine="420"/>
        <w:rPr>
          <w:rFonts w:hint="eastAsia"/>
        </w:rPr>
      </w:pPr>
      <w:r>
        <w:rPr>
          <w:rFonts w:hint="eastAsia"/>
          <w:lang w:val="en-US" w:eastAsia="zh-CN"/>
        </w:rPr>
        <w:t>从同批次产品的不同部位随机抽取6包（数量应满足检验和留样要求），样品分三份，一份做感官和理化检验，一份做微生物检验，一份留样备查。</w:t>
      </w:r>
    </w:p>
    <w:p w14:paraId="7A73AC4C">
      <w:pPr>
        <w:pStyle w:val="71"/>
        <w:spacing w:before="120" w:after="120"/>
      </w:pPr>
      <w:r>
        <w:rPr>
          <w:rFonts w:hint="eastAsia"/>
        </w:rPr>
        <w:t>检验分类</w:t>
      </w:r>
    </w:p>
    <w:p w14:paraId="339BE0EC">
      <w:pPr>
        <w:pStyle w:val="72"/>
        <w:spacing w:before="120" w:after="120"/>
      </w:pPr>
      <w:r>
        <w:rPr>
          <w:rFonts w:hint="eastAsia"/>
          <w:lang w:val="en-US" w:eastAsia="zh-CN"/>
        </w:rPr>
        <w:t>交付</w:t>
      </w:r>
      <w:r>
        <w:rPr>
          <w:rFonts w:hint="eastAsia"/>
        </w:rPr>
        <w:t>检验</w:t>
      </w:r>
    </w:p>
    <w:p w14:paraId="36643813">
      <w:pPr>
        <w:pStyle w:val="23"/>
        <w:ind w:firstLine="420"/>
      </w:pPr>
      <w:r>
        <w:rPr>
          <w:rFonts w:hint="eastAsia"/>
        </w:rPr>
        <w:t>每批次产品应进行</w:t>
      </w:r>
      <w:r>
        <w:rPr>
          <w:rFonts w:hint="eastAsia"/>
          <w:lang w:val="en-US" w:eastAsia="zh-CN"/>
        </w:rPr>
        <w:t>交付</w:t>
      </w:r>
      <w:r>
        <w:rPr>
          <w:rFonts w:hint="eastAsia"/>
        </w:rPr>
        <w:t>检验</w:t>
      </w:r>
      <w:r>
        <w:rPr>
          <w:rFonts w:hint="eastAsia"/>
          <w:lang w:eastAsia="zh-CN"/>
        </w:rPr>
        <w:t>，</w:t>
      </w:r>
      <w:r>
        <w:rPr>
          <w:rFonts w:hint="eastAsia"/>
          <w:lang w:val="en-US" w:eastAsia="zh-CN"/>
        </w:rPr>
        <w:t>交付</w:t>
      </w:r>
      <w:r>
        <w:rPr>
          <w:rFonts w:hint="eastAsia"/>
        </w:rPr>
        <w:t>检验项目为感官指标。</w:t>
      </w:r>
    </w:p>
    <w:p w14:paraId="16432612">
      <w:pPr>
        <w:pStyle w:val="72"/>
        <w:spacing w:before="120" w:after="120"/>
      </w:pPr>
      <w:r>
        <w:rPr>
          <w:rFonts w:hint="eastAsia"/>
        </w:rPr>
        <w:t>型式检验</w:t>
      </w:r>
    </w:p>
    <w:p w14:paraId="5D7B4FC5">
      <w:pPr>
        <w:pStyle w:val="78"/>
        <w:spacing w:before="0" w:beforeLines="0" w:after="0" w:afterLines="0"/>
      </w:pPr>
      <w:r>
        <w:rPr>
          <w:rFonts w:hint="eastAsia"/>
          <w:lang w:val="en-US" w:eastAsia="zh-CN"/>
        </w:rPr>
        <w:t>常年生产的产品每年应进行一次型式</w:t>
      </w:r>
      <w:r>
        <w:rPr>
          <w:rFonts w:hint="eastAsia"/>
        </w:rPr>
        <w:t>检验，</w:t>
      </w:r>
      <w:r>
        <w:rPr>
          <w:rFonts w:hint="eastAsia"/>
          <w:lang w:val="en-US" w:eastAsia="zh-CN"/>
        </w:rPr>
        <w:t>但有下列</w:t>
      </w:r>
      <w:r>
        <w:rPr>
          <w:rFonts w:hint="eastAsia"/>
        </w:rPr>
        <w:t>情况之一</w:t>
      </w:r>
      <w:r>
        <w:rPr>
          <w:rFonts w:hint="eastAsia"/>
          <w:lang w:val="en-US" w:eastAsia="zh-CN"/>
        </w:rPr>
        <w:t>时亦</w:t>
      </w:r>
      <w:r>
        <w:rPr>
          <w:rFonts w:hint="eastAsia"/>
        </w:rPr>
        <w:t>应进行型式检验：</w:t>
      </w:r>
    </w:p>
    <w:p w14:paraId="284F53DE">
      <w:pPr>
        <w:pStyle w:val="55"/>
      </w:pPr>
      <w:r>
        <w:rPr>
          <w:rFonts w:hint="eastAsia"/>
          <w:lang w:val="en-US" w:eastAsia="zh-CN"/>
        </w:rPr>
        <w:t>新产品的试制鉴定时</w:t>
      </w:r>
      <w:r>
        <w:rPr>
          <w:rFonts w:hint="eastAsia"/>
        </w:rPr>
        <w:t>；</w:t>
      </w:r>
    </w:p>
    <w:p w14:paraId="0F4B85A4">
      <w:pPr>
        <w:pStyle w:val="55"/>
        <w:ind w:left="851" w:hanging="426"/>
      </w:pPr>
      <w:r>
        <w:rPr>
          <w:rFonts w:hint="eastAsia"/>
          <w:color w:val="auto"/>
          <w:highlight w:val="none"/>
          <w:lang w:val="en-US" w:eastAsia="zh-CN"/>
        </w:rPr>
        <w:t>原料、工艺有较大改变，可能影响产品质量时</w:t>
      </w:r>
      <w:r>
        <w:rPr>
          <w:rFonts w:hint="eastAsia"/>
        </w:rPr>
        <w:t>；</w:t>
      </w:r>
    </w:p>
    <w:p w14:paraId="674C44B9">
      <w:pPr>
        <w:pStyle w:val="55"/>
        <w:ind w:left="851" w:hanging="426"/>
      </w:pPr>
      <w:r>
        <w:rPr>
          <w:rFonts w:hint="eastAsia"/>
          <w:color w:val="auto"/>
          <w:highlight w:val="none"/>
          <w:lang w:val="en-US" w:eastAsia="zh-CN"/>
        </w:rPr>
        <w:t>产品停产一年以上，恢复生产时</w:t>
      </w:r>
      <w:r>
        <w:rPr>
          <w:rFonts w:hint="eastAsia"/>
        </w:rPr>
        <w:t>；</w:t>
      </w:r>
    </w:p>
    <w:p w14:paraId="617F49FB">
      <w:pPr>
        <w:pStyle w:val="55"/>
        <w:ind w:left="851" w:hanging="426"/>
      </w:pPr>
      <w:r>
        <w:rPr>
          <w:rFonts w:hint="eastAsia"/>
          <w:lang w:val="en-US" w:eastAsia="zh-CN"/>
        </w:rPr>
        <w:t>出厂检验结果与上一次型式检验结果有较大差异时</w:t>
      </w:r>
      <w:r>
        <w:rPr>
          <w:rFonts w:hint="eastAsia"/>
        </w:rPr>
        <w:t>；</w:t>
      </w:r>
    </w:p>
    <w:p w14:paraId="5E24FD56">
      <w:pPr>
        <w:pStyle w:val="55"/>
      </w:pPr>
      <w:r>
        <w:rPr>
          <w:rFonts w:hint="eastAsia"/>
          <w:lang w:val="en-US" w:eastAsia="zh-CN"/>
        </w:rPr>
        <w:t>国家监督机构提出进行形式检验的要求时</w:t>
      </w:r>
      <w:r>
        <w:rPr>
          <w:rFonts w:hint="eastAsia"/>
        </w:rPr>
        <w:t>。</w:t>
      </w:r>
    </w:p>
    <w:p w14:paraId="39988ACB">
      <w:pPr>
        <w:pStyle w:val="78"/>
        <w:spacing w:before="0" w:beforeLines="0" w:after="0" w:afterLines="0"/>
      </w:pPr>
      <w:r>
        <w:rPr>
          <w:rFonts w:hint="eastAsia"/>
        </w:rPr>
        <w:t>型式检验项目包括本文</w:t>
      </w:r>
      <w:r>
        <w:rPr>
          <w:rFonts w:hint="eastAsia"/>
          <w:highlight w:val="none"/>
        </w:rPr>
        <w:t>件</w:t>
      </w:r>
      <w:r>
        <w:rPr>
          <w:rFonts w:hint="eastAsia"/>
          <w:highlight w:val="none"/>
          <w:lang w:val="en-US" w:eastAsia="zh-CN"/>
        </w:rPr>
        <w:t>4.2</w:t>
      </w:r>
      <w:r>
        <w:rPr>
          <w:rFonts w:hint="eastAsia"/>
          <w:highlight w:val="none"/>
        </w:rPr>
        <w:t>～</w:t>
      </w:r>
      <w:r>
        <w:rPr>
          <w:rFonts w:hint="eastAsia"/>
          <w:highlight w:val="none"/>
          <w:lang w:val="en-US" w:eastAsia="zh-CN"/>
        </w:rPr>
        <w:t>4.5</w:t>
      </w:r>
      <w:r>
        <w:rPr>
          <w:rFonts w:hint="eastAsia"/>
          <w:highlight w:val="none"/>
        </w:rPr>
        <w:t>规</w:t>
      </w:r>
      <w:r>
        <w:rPr>
          <w:rFonts w:hint="eastAsia"/>
        </w:rPr>
        <w:t>定的所有项目。</w:t>
      </w:r>
    </w:p>
    <w:p w14:paraId="14527D6B">
      <w:pPr>
        <w:pStyle w:val="71"/>
        <w:spacing w:before="120" w:after="120"/>
      </w:pPr>
      <w:r>
        <w:rPr>
          <w:rFonts w:hint="eastAsia"/>
        </w:rPr>
        <w:t>判定规则</w:t>
      </w:r>
    </w:p>
    <w:p w14:paraId="33219C50">
      <w:pPr>
        <w:pStyle w:val="77"/>
        <w:spacing w:before="0" w:beforeLines="0" w:after="0" w:afterLines="0"/>
      </w:pPr>
      <w:r>
        <w:rPr>
          <w:rFonts w:hint="eastAsia"/>
        </w:rPr>
        <w:t>所有指标全部符合本文件要求时判该批产品合格。</w:t>
      </w:r>
    </w:p>
    <w:p w14:paraId="7853A60B">
      <w:pPr>
        <w:pStyle w:val="77"/>
        <w:spacing w:before="0" w:beforeLines="0" w:after="0" w:afterLines="0"/>
      </w:pPr>
      <w:r>
        <w:rPr>
          <w:rFonts w:hint="eastAsia"/>
        </w:rPr>
        <w:t>有一项不合格时，可在同批产品中抽取两倍量样品进行复验，以复验结果为准。</w:t>
      </w:r>
    </w:p>
    <w:p w14:paraId="05409265">
      <w:pPr>
        <w:pStyle w:val="70"/>
        <w:bidi w:val="0"/>
      </w:pPr>
      <w:bookmarkStart w:id="44" w:name="_Toc103848006"/>
      <w:bookmarkStart w:id="45" w:name="_Toc141026234"/>
      <w:bookmarkStart w:id="46" w:name="_Toc103848254"/>
      <w:bookmarkStart w:id="47" w:name="_Toc143288147"/>
      <w:bookmarkStart w:id="48" w:name="_Toc111488255"/>
      <w:bookmarkStart w:id="49" w:name="_Toc144479683"/>
      <w:bookmarkStart w:id="50" w:name="_Toc104058754"/>
      <w:bookmarkStart w:id="51" w:name="_Toc143955923"/>
      <w:bookmarkStart w:id="52" w:name="_Toc144670744"/>
      <w:bookmarkStart w:id="53" w:name="_Toc149643652"/>
      <w:bookmarkStart w:id="54" w:name="_Toc147777294"/>
      <w:bookmarkStart w:id="55" w:name="_Toc30562"/>
      <w:bookmarkStart w:id="56" w:name="_Toc141040836"/>
      <w:bookmarkStart w:id="57" w:name="_Toc147761914"/>
      <w:bookmarkStart w:id="58" w:name="_Toc150196312"/>
      <w:bookmarkStart w:id="59" w:name="_Toc141363103"/>
      <w:bookmarkStart w:id="60" w:name="_Toc147843902"/>
      <w:bookmarkStart w:id="61" w:name="_Toc141189598"/>
      <w:r>
        <w:rPr>
          <w:rFonts w:hint="eastAsia"/>
        </w:rPr>
        <w:t>包装、标签</w:t>
      </w:r>
      <w:bookmarkEnd w:id="44"/>
      <w:r>
        <w:rPr>
          <w:rFonts w:hint="eastAsia"/>
        </w:rPr>
        <w:t>与标志</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0E59BC53">
      <w:pPr>
        <w:pStyle w:val="71"/>
        <w:spacing w:before="120" w:after="120"/>
      </w:pPr>
      <w:r>
        <w:rPr>
          <w:rFonts w:hint="eastAsia"/>
        </w:rPr>
        <w:t>包装</w:t>
      </w:r>
    </w:p>
    <w:p w14:paraId="39900C84">
      <w:pPr>
        <w:pStyle w:val="77"/>
        <w:bidi w:val="0"/>
        <w:spacing w:before="0" w:beforeLines="0" w:after="0" w:afterLines="0"/>
        <w:rPr>
          <w:rFonts w:hint="eastAsia"/>
        </w:rPr>
      </w:pPr>
      <w:bookmarkStart w:id="62" w:name="_Hlk111489077"/>
      <w:r>
        <w:rPr>
          <w:rFonts w:hint="eastAsia"/>
        </w:rPr>
        <w:t>包装材料应分别符合</w:t>
      </w:r>
      <w:r>
        <w:t>GB 4806.1</w:t>
      </w:r>
      <w:r>
        <w:rPr>
          <w:rFonts w:hint="eastAsia"/>
        </w:rPr>
        <w:t>、</w:t>
      </w:r>
      <w:r>
        <w:rPr>
          <w:rFonts w:hint="eastAsia" w:ascii="宋体" w:hAnsi="Times New Roman" w:eastAsia="宋体" w:cs="宋体"/>
          <w:sz w:val="21"/>
          <w:lang w:val="en-US" w:eastAsia="zh-CN"/>
        </w:rPr>
        <w:t>GB</w:t>
      </w:r>
      <w:r>
        <w:rPr>
          <w:rFonts w:hint="eastAsia" w:cs="宋体"/>
          <w:sz w:val="21"/>
          <w:lang w:val="en-US" w:eastAsia="zh-CN"/>
        </w:rPr>
        <w:t xml:space="preserve"> </w:t>
      </w:r>
      <w:r>
        <w:rPr>
          <w:rFonts w:hint="eastAsia" w:ascii="宋体" w:hAnsi="Times New Roman" w:eastAsia="宋体" w:cs="宋体"/>
          <w:color w:val="auto"/>
          <w:kern w:val="0"/>
          <w:sz w:val="21"/>
          <w:szCs w:val="20"/>
          <w:lang w:val="en-US" w:eastAsia="zh-CN" w:bidi="ar"/>
        </w:rPr>
        <w:t>4806.6</w:t>
      </w:r>
      <w:r>
        <w:rPr>
          <w:rFonts w:hint="eastAsia" w:hAnsi="Times New Roman" w:cs="宋体"/>
          <w:color w:val="auto"/>
          <w:kern w:val="0"/>
          <w:sz w:val="21"/>
          <w:szCs w:val="20"/>
          <w:lang w:val="en-US" w:eastAsia="zh-CN" w:bidi="ar"/>
        </w:rPr>
        <w:t>、</w:t>
      </w:r>
      <w:r>
        <w:rPr>
          <w:rFonts w:hint="eastAsia"/>
        </w:rPr>
        <w:t>GB 4806.7、</w:t>
      </w:r>
      <w:r>
        <w:t>GB 4806.8</w:t>
      </w:r>
      <w:r>
        <w:rPr>
          <w:rFonts w:hint="eastAsia"/>
          <w:lang w:eastAsia="zh-CN"/>
        </w:rPr>
        <w:t>、</w:t>
      </w:r>
      <w:r>
        <w:rPr>
          <w:rFonts w:hint="eastAsia"/>
          <w:lang w:val="en-US" w:eastAsia="zh-CN"/>
        </w:rPr>
        <w:t>GB/T 10004</w:t>
      </w:r>
      <w:r>
        <w:rPr>
          <w:rFonts w:hint="eastAsia"/>
        </w:rPr>
        <w:t>的规定。</w:t>
      </w:r>
    </w:p>
    <w:p w14:paraId="5571E290">
      <w:pPr>
        <w:pStyle w:val="77"/>
        <w:bidi w:val="0"/>
        <w:spacing w:before="0" w:beforeLines="0" w:after="0" w:afterLines="0"/>
        <w:rPr>
          <w:rFonts w:hint="eastAsia"/>
        </w:rPr>
      </w:pPr>
      <w:r>
        <w:rPr>
          <w:rFonts w:hint="eastAsia"/>
        </w:rPr>
        <w:t>料包装容器应符合GB/T 5737的要求。</w:t>
      </w:r>
      <w:bookmarkEnd w:id="62"/>
    </w:p>
    <w:p w14:paraId="1449B6BB">
      <w:pPr>
        <w:pStyle w:val="71"/>
        <w:spacing w:before="120" w:after="120"/>
      </w:pPr>
      <w:r>
        <w:rPr>
          <w:rFonts w:hint="eastAsia"/>
        </w:rPr>
        <w:t>标签与标志</w:t>
      </w:r>
    </w:p>
    <w:p w14:paraId="2B970351">
      <w:pPr>
        <w:pStyle w:val="77"/>
        <w:bidi w:val="0"/>
        <w:spacing w:before="0" w:beforeLines="0" w:after="0" w:afterLines="0"/>
        <w:rPr>
          <w:rFonts w:hint="eastAsia"/>
        </w:rPr>
      </w:pPr>
      <w:bookmarkStart w:id="63" w:name="_Hlk103955000"/>
      <w:r>
        <w:rPr>
          <w:rFonts w:hint="eastAsia"/>
        </w:rPr>
        <w:t>包装上应标明品名、规格、产地、批号、生产或包装日期、净含量、产品执行标准号、生产单位名称和地址等，并附有质量合格的标志。包装储运图示标志应符合</w:t>
      </w:r>
      <w:bookmarkStart w:id="64" w:name="_Hlk103848491"/>
      <w:r>
        <w:rPr>
          <w:rFonts w:hint="eastAsia"/>
        </w:rPr>
        <w:t>GB/T 191</w:t>
      </w:r>
      <w:bookmarkEnd w:id="64"/>
      <w:r>
        <w:rPr>
          <w:rFonts w:hint="eastAsia"/>
        </w:rPr>
        <w:t>的规定。</w:t>
      </w:r>
    </w:p>
    <w:p w14:paraId="0622A226">
      <w:pPr>
        <w:pStyle w:val="77"/>
        <w:bidi w:val="0"/>
        <w:spacing w:before="0" w:beforeLines="0" w:after="0" w:afterLines="0"/>
        <w:rPr>
          <w:rFonts w:hint="eastAsia"/>
          <w:lang w:val="en-US" w:eastAsia="zh-CN"/>
        </w:rPr>
      </w:pPr>
      <w:r>
        <w:rPr>
          <w:rFonts w:hint="eastAsia"/>
        </w:rPr>
        <w:t>产品标签应符合GB</w:t>
      </w:r>
      <w:r>
        <w:rPr>
          <w:rFonts w:hint="eastAsia"/>
          <w:lang w:val="en-US" w:eastAsia="zh-CN"/>
        </w:rPr>
        <w:t xml:space="preserve"> 7718、GB 28050</w:t>
      </w:r>
      <w:r>
        <w:rPr>
          <w:rFonts w:hint="eastAsia"/>
        </w:rPr>
        <w:t>的要求</w:t>
      </w:r>
      <w:r>
        <w:rPr>
          <w:rFonts w:hint="eastAsia"/>
          <w:lang w:eastAsia="zh-CN"/>
        </w:rPr>
        <w:t>。</w:t>
      </w:r>
    </w:p>
    <w:bookmarkEnd w:id="63"/>
    <w:p w14:paraId="38BF064A">
      <w:pPr>
        <w:pStyle w:val="70"/>
        <w:spacing w:before="240" w:after="240"/>
      </w:pPr>
      <w:bookmarkStart w:id="65" w:name="_Toc149643653"/>
      <w:bookmarkStart w:id="66" w:name="_Toc141189599"/>
      <w:bookmarkStart w:id="67" w:name="_Toc26806"/>
      <w:bookmarkStart w:id="68" w:name="_Toc104058755"/>
      <w:bookmarkStart w:id="69" w:name="_Toc150196313"/>
      <w:bookmarkStart w:id="70" w:name="_Toc144670745"/>
      <w:bookmarkStart w:id="71" w:name="_Toc103848007"/>
      <w:bookmarkStart w:id="72" w:name="_Toc141026235"/>
      <w:bookmarkStart w:id="73" w:name="_Toc144479684"/>
      <w:bookmarkStart w:id="74" w:name="_Toc141363104"/>
      <w:bookmarkStart w:id="75" w:name="_Toc147761915"/>
      <w:bookmarkStart w:id="76" w:name="_Toc111488256"/>
      <w:bookmarkStart w:id="77" w:name="_Toc143288148"/>
      <w:bookmarkStart w:id="78" w:name="_Toc103848255"/>
      <w:bookmarkStart w:id="79" w:name="_Toc143955924"/>
      <w:bookmarkStart w:id="80" w:name="_Toc147777295"/>
      <w:bookmarkStart w:id="81" w:name="_Toc141040837"/>
      <w:bookmarkStart w:id="82" w:name="_Toc147843903"/>
      <w:r>
        <w:rPr>
          <w:rFonts w:hint="eastAsia"/>
        </w:rPr>
        <w:t>运输与贮存</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7A844417">
      <w:pPr>
        <w:pStyle w:val="71"/>
        <w:spacing w:before="120" w:after="120"/>
      </w:pPr>
      <w:r>
        <w:rPr>
          <w:rFonts w:hint="eastAsia"/>
        </w:rPr>
        <w:t>运输</w:t>
      </w:r>
    </w:p>
    <w:p w14:paraId="1102E692">
      <w:pPr>
        <w:pStyle w:val="23"/>
        <w:ind w:firstLine="420"/>
      </w:pPr>
      <w:bookmarkStart w:id="83" w:name="_Hlk111489198"/>
      <w:r>
        <w:rPr>
          <w:rFonts w:hint="eastAsia"/>
        </w:rPr>
        <w:t>运输工具应具有清洁、卫生、干燥、</w:t>
      </w:r>
      <w:r>
        <w:rPr>
          <w:rFonts w:hint="eastAsia"/>
          <w:lang w:val="en-US" w:eastAsia="zh-CN"/>
        </w:rPr>
        <w:t>且具有防晒、防雨措施。运输时不应将盛有饼干的容器侧放、倒放、受重压；不应与有毒、有害、有异味的物品混运。装卸时应小心轻放，严禁抛、摔、踢等不良方式。</w:t>
      </w:r>
    </w:p>
    <w:bookmarkEnd w:id="83"/>
    <w:p w14:paraId="50A9EB56">
      <w:pPr>
        <w:pStyle w:val="71"/>
        <w:spacing w:before="120" w:after="120"/>
      </w:pPr>
      <w:r>
        <w:rPr>
          <w:rFonts w:hint="eastAsia"/>
        </w:rPr>
        <w:t>贮存</w:t>
      </w:r>
    </w:p>
    <w:p w14:paraId="361B1B91">
      <w:pPr>
        <w:pStyle w:val="77"/>
        <w:numPr>
          <w:ilvl w:val="0"/>
          <w:numId w:val="0"/>
        </w:numPr>
        <w:spacing w:before="0" w:beforeLines="0" w:after="0" w:afterLines="0"/>
        <w:ind w:firstLine="420" w:firstLineChars="200"/>
      </w:pPr>
      <w:r>
        <w:rPr>
          <w:rFonts w:hint="eastAsia"/>
          <w:highlight w:val="none"/>
          <w:lang w:val="en-US" w:eastAsia="zh-CN"/>
        </w:rPr>
        <w:t>按GB/T 20980规定执行。</w:t>
      </w:r>
    </w:p>
    <w:p w14:paraId="6E1754E0">
      <w:pPr>
        <w:pStyle w:val="23"/>
        <w:rPr>
          <w:rFonts w:hint="eastAsia"/>
          <w:lang w:val="en-US" w:eastAsia="zh-CN"/>
        </w:rPr>
      </w:pPr>
    </w:p>
    <w:p w14:paraId="49A24811">
      <w:pPr>
        <w:pStyle w:val="23"/>
        <w:rPr>
          <w:rFonts w:hint="eastAsia"/>
          <w:lang w:val="en-US" w:eastAsia="zh-CN"/>
        </w:rPr>
      </w:pPr>
    </w:p>
    <w:p w14:paraId="2AD197B3">
      <w:pPr>
        <w:pStyle w:val="23"/>
        <w:rPr>
          <w:rFonts w:hint="eastAsia"/>
          <w:lang w:val="en-US" w:eastAsia="zh-CN"/>
        </w:rPr>
      </w:pPr>
    </w:p>
    <w:p w14:paraId="28823CA6">
      <w:pPr>
        <w:pStyle w:val="23"/>
        <w:rPr>
          <w:rFonts w:hint="eastAsia"/>
          <w:lang w:val="en-US" w:eastAsia="zh-CN"/>
        </w:rPr>
      </w:pPr>
    </w:p>
    <w:p w14:paraId="0F963655">
      <w:pPr>
        <w:pStyle w:val="23"/>
        <w:ind w:firstLine="0" w:firstLineChars="0"/>
        <w:rPr>
          <w:rFonts w:hint="eastAsia"/>
          <w:lang w:val="en-US" w:eastAsia="zh-CN"/>
        </w:rPr>
      </w:pPr>
    </w:p>
    <w:p w14:paraId="56CF1576">
      <w:pPr>
        <w:pStyle w:val="97"/>
        <w:bidi w:val="0"/>
        <w:rPr>
          <w:rFonts w:hint="eastAsia"/>
          <w:lang w:val="en-US" w:eastAsia="zh-CN"/>
        </w:rPr>
      </w:pPr>
    </w:p>
    <w:p w14:paraId="4565F004">
      <w:pPr>
        <w:pStyle w:val="99"/>
        <w:bidi w:val="0"/>
        <w:rPr>
          <w:rFonts w:hint="eastAsia"/>
          <w:lang w:val="en-US" w:eastAsia="zh-CN"/>
        </w:rPr>
      </w:pPr>
    </w:p>
    <w:p w14:paraId="68FE7743">
      <w:pPr>
        <w:pStyle w:val="86"/>
        <w:bidi w:val="0"/>
        <w:rPr>
          <w:rFonts w:hint="eastAsia"/>
          <w:lang w:val="en-US" w:eastAsia="zh-CN"/>
        </w:rPr>
      </w:pPr>
      <w:bookmarkStart w:id="84" w:name="_Toc12561"/>
    </w:p>
    <w:p w14:paraId="3CAA28F7">
      <w:pPr>
        <w:pStyle w:val="86"/>
        <w:numPr>
          <w:ilvl w:val="-1"/>
          <w:numId w:val="0"/>
        </w:numPr>
        <w:bidi w:val="0"/>
        <w:jc w:val="center"/>
        <w:rPr>
          <w:rFonts w:hint="eastAsia"/>
          <w:lang w:val="en-US" w:eastAsia="zh-CN"/>
        </w:rPr>
      </w:pPr>
      <w:r>
        <w:rPr>
          <w:rFonts w:hint="eastAsia"/>
          <w:lang w:val="en-US" w:eastAsia="zh-CN"/>
        </w:rPr>
        <w:t>（规范性）</w:t>
      </w:r>
    </w:p>
    <w:p w14:paraId="6428BA5F">
      <w:pPr>
        <w:pStyle w:val="86"/>
        <w:numPr>
          <w:ilvl w:val="-1"/>
          <w:numId w:val="0"/>
        </w:numPr>
        <w:bidi w:val="0"/>
        <w:jc w:val="center"/>
        <w:rPr>
          <w:rFonts w:hint="eastAsia"/>
          <w:lang w:val="en-US" w:eastAsia="zh-CN"/>
        </w:rPr>
      </w:pPr>
      <w:r>
        <w:rPr>
          <w:rFonts w:hint="eastAsia"/>
          <w:lang w:val="en-US" w:eastAsia="zh-CN"/>
        </w:rPr>
        <w:t>井冈山薄酥饼生产区域范围图</w:t>
      </w:r>
      <w:bookmarkEnd w:id="84"/>
    </w:p>
    <w:p w14:paraId="5607B4FC">
      <w:pPr>
        <w:pStyle w:val="23"/>
        <w:rPr>
          <w:rFonts w:hint="eastAsia"/>
          <w:lang w:val="en-US" w:eastAsia="zh-CN"/>
        </w:rPr>
      </w:pPr>
    </w:p>
    <w:p w14:paraId="079FABCD">
      <w:pPr>
        <w:pStyle w:val="23"/>
        <w:rPr>
          <w:rFonts w:hint="default"/>
          <w:lang w:val="en-US" w:eastAsia="zh-CN"/>
        </w:rPr>
      </w:pPr>
      <w:r>
        <w:rPr>
          <w:rFonts w:hint="eastAsia"/>
          <w:lang w:val="en-US" w:eastAsia="zh-CN"/>
        </w:rPr>
        <w:t>井冈山薄酥饼生产区域范围见图A.1。</w:t>
      </w:r>
    </w:p>
    <w:p w14:paraId="569E9063">
      <w:pPr>
        <w:pStyle w:val="23"/>
        <w:ind w:firstLine="0" w:firstLineChars="0"/>
        <w:jc w:val="center"/>
        <w:rPr>
          <w:rFonts w:hint="eastAsia" w:eastAsia="宋体"/>
          <w:lang w:eastAsia="zh-CN"/>
        </w:rPr>
      </w:pPr>
      <w:r>
        <w:rPr>
          <w:rFonts w:hint="eastAsia" w:eastAsia="宋体"/>
          <w:lang w:eastAsia="zh-CN"/>
        </w:rPr>
        <w:drawing>
          <wp:inline distT="0" distB="0" distL="114300" distR="114300">
            <wp:extent cx="3607435" cy="5097780"/>
            <wp:effectExtent l="0" t="0" r="12065" b="7620"/>
            <wp:docPr id="1" name="图片 1" descr="0a31e11a43363ee575067b8fc67de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a31e11a43363ee575067b8fc67def3"/>
                    <pic:cNvPicPr>
                      <a:picLocks noChangeAspect="1"/>
                    </pic:cNvPicPr>
                  </pic:nvPicPr>
                  <pic:blipFill>
                    <a:blip r:embed="rId6"/>
                    <a:stretch>
                      <a:fillRect/>
                    </a:stretch>
                  </pic:blipFill>
                  <pic:spPr>
                    <a:xfrm>
                      <a:off x="0" y="0"/>
                      <a:ext cx="3607435" cy="5097780"/>
                    </a:xfrm>
                    <a:prstGeom prst="rect">
                      <a:avLst/>
                    </a:prstGeom>
                  </pic:spPr>
                </pic:pic>
              </a:graphicData>
            </a:graphic>
          </wp:inline>
        </w:drawing>
      </w:r>
    </w:p>
    <w:p w14:paraId="46379D72">
      <w:pPr>
        <w:pStyle w:val="112"/>
        <w:numPr>
          <w:ilvl w:val="0"/>
          <w:numId w:val="0"/>
        </w:numPr>
        <w:bidi w:val="0"/>
        <w:ind w:leftChars="0"/>
        <w:jc w:val="center"/>
        <w:rPr>
          <w:rFonts w:hint="eastAsia"/>
          <w:lang w:val="en-US" w:eastAsia="zh-CN"/>
        </w:rPr>
      </w:pPr>
      <w:r>
        <w:rPr>
          <w:rFonts w:hint="eastAsia"/>
          <w:lang w:val="en-US" w:eastAsia="zh-CN"/>
        </w:rPr>
        <w:t>图A.1 井冈山薄酥饼生产区域范围图</w:t>
      </w:r>
    </w:p>
    <w:p w14:paraId="4D105722">
      <w:pPr>
        <w:pStyle w:val="23"/>
        <w:rPr>
          <w:rFonts w:hint="eastAsia"/>
          <w:lang w:val="en-US" w:eastAsia="zh-CN"/>
        </w:rPr>
      </w:pPr>
    </w:p>
    <w:p w14:paraId="099BDCE6">
      <w:pPr>
        <w:pStyle w:val="23"/>
        <w:rPr>
          <w:rFonts w:hint="eastAsia"/>
          <w:lang w:val="en-US" w:eastAsia="zh-CN"/>
        </w:rPr>
      </w:pPr>
    </w:p>
    <w:p w14:paraId="67AE8767">
      <w:pPr>
        <w:rPr>
          <w:rFonts w:hint="default"/>
          <w:lang w:val="en-US" w:eastAsia="zh-CN"/>
        </w:rPr>
      </w:pPr>
    </w:p>
    <w:sectPr>
      <w:pgSz w:w="11906" w:h="16838"/>
      <w:pgMar w:top="2410" w:right="1134" w:bottom="1134" w:left="1134" w:header="1418" w:footer="1134" w:gutter="284"/>
      <w:lnNumType w:countBy="0" w:restart="continuou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西文正文">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E3C2B">
    <w:pPr>
      <w:pStyle w:val="29"/>
      <w:bidi w:val="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2E867">
    <w:pPr>
      <w:pStyle w:val="30"/>
      <w:bidi w:val="0"/>
      <w:rPr>
        <w:rFonts w:hint="eastAsia" w:eastAsia="黑体"/>
        <w:lang w:eastAsia="zh-CN"/>
      </w:rPr>
    </w:pPr>
    <w:r>
      <w:rPr>
        <w:rFonts w:hint="eastAsia"/>
        <w:lang w:eastAsia="zh-CN"/>
      </w:rPr>
      <w:t>T/JALNCP 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4E7787"/>
    <w:multiLevelType w:val="multilevel"/>
    <w:tmpl w:val="8B4E7787"/>
    <w:lvl w:ilvl="0" w:tentative="0">
      <w:start w:val="1"/>
      <w:numFmt w:val="decimal"/>
      <w:pStyle w:val="117"/>
      <w:suff w:val="nothing"/>
      <w:lvlText w:val="[%1]  "/>
      <w:lvlJc w:val="left"/>
      <w:pPr>
        <w:ind w:left="0" w:leftChars="0" w:firstLine="363" w:firstLineChars="0"/>
      </w:pPr>
      <w:rPr>
        <w:rFonts w:hint="eastAsia" w:ascii="黑体" w:hAnsi="黑体" w:eastAsia="黑体" w:cs="黑体"/>
        <w:sz w:val="18"/>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1">
    <w:nsid w:val="A1986273"/>
    <w:multiLevelType w:val="multilevel"/>
    <w:tmpl w:val="A1986273"/>
    <w:lvl w:ilvl="0" w:tentative="0">
      <w:start w:val="1"/>
      <w:numFmt w:val="lowerLetter"/>
      <w:pStyle w:val="58"/>
      <w:lvlText w:val="%1)"/>
      <w:lvlJc w:val="left"/>
      <w:pPr>
        <w:tabs>
          <w:tab w:val="left" w:pos="851"/>
        </w:tabs>
        <w:ind w:left="851" w:leftChars="0" w:hanging="426" w:firstLineChars="0"/>
      </w:pPr>
      <w:rPr>
        <w:rFonts w:hint="default" w:ascii="宋体" w:hAnsi="宋体" w:eastAsia="宋体" w:cs="宋体"/>
        <w:sz w:val="20"/>
      </w:rPr>
    </w:lvl>
    <w:lvl w:ilvl="1" w:tentative="0">
      <w:start w:val="1"/>
      <w:numFmt w:val="decimal"/>
      <w:pStyle w:val="59"/>
      <w:lvlText w:val="%2)"/>
      <w:lvlJc w:val="left"/>
      <w:pPr>
        <w:tabs>
          <w:tab w:val="left" w:pos="1276"/>
        </w:tabs>
        <w:ind w:left="1276" w:leftChars="0" w:hanging="425" w:firstLineChars="0"/>
      </w:pPr>
      <w:rPr>
        <w:rFonts w:hint="default" w:ascii="宋体" w:hAnsi="Times New Roman" w:eastAsia="宋体" w:cs="Times New Roman"/>
        <w:sz w:val="21"/>
      </w:rPr>
    </w:lvl>
    <w:lvl w:ilvl="2" w:tentative="0">
      <w:start w:val="1"/>
      <w:numFmt w:val="bullet"/>
      <w:pStyle w:val="57"/>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
    <w:nsid w:val="B573FCA0"/>
    <w:multiLevelType w:val="multilevel"/>
    <w:tmpl w:val="B573FCA0"/>
    <w:lvl w:ilvl="0" w:tentative="0">
      <w:start w:val="1"/>
      <w:numFmt w:val="lowerLetter"/>
      <w:pStyle w:val="106"/>
      <w:lvlText w:val="%1"/>
      <w:lvlJc w:val="left"/>
      <w:pPr>
        <w:tabs>
          <w:tab w:val="left" w:pos="539"/>
        </w:tabs>
        <w:ind w:left="539" w:leftChars="0" w:hanging="119" w:firstLineChars="0"/>
      </w:pPr>
      <w:rPr>
        <w:rFonts w:hint="eastAsia" w:ascii="宋体" w:hAnsi="宋体" w:eastAsia="宋体" w:cs="宋体"/>
        <w:sz w:val="15"/>
        <w:vertAlign w:val="superscript"/>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EC8AD354"/>
    <w:multiLevelType w:val="multilevel"/>
    <w:tmpl w:val="EC8AD354"/>
    <w:lvl w:ilvl="0" w:tentative="0">
      <w:start w:val="1"/>
      <w:numFmt w:val="decimal"/>
      <w:pStyle w:val="111"/>
      <w:suff w:val="nothing"/>
      <w:lvlText w:val="表%1  "/>
      <w:lvlJc w:val="left"/>
      <w:pPr>
        <w:tabs>
          <w:tab w:val="left" w:pos="539"/>
        </w:tabs>
        <w:ind w:left="0" w:leftChars="0" w:firstLine="0" w:firstLineChars="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4">
    <w:nsid w:val="F0136F18"/>
    <w:multiLevelType w:val="multilevel"/>
    <w:tmpl w:val="F0136F18"/>
    <w:lvl w:ilvl="0" w:tentative="0">
      <w:start w:val="1"/>
      <w:numFmt w:val="decimal"/>
      <w:pStyle w:val="105"/>
      <w:suff w:val="nothing"/>
      <w:lvlText w:val="注%1："/>
      <w:lvlJc w:val="left"/>
      <w:pPr>
        <w:tabs>
          <w:tab w:val="left" w:pos="539"/>
        </w:tabs>
        <w:ind w:left="811" w:leftChars="0" w:hanging="448"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5">
    <w:nsid w:val="F8764C4D"/>
    <w:multiLevelType w:val="multilevel"/>
    <w:tmpl w:val="F8764C4D"/>
    <w:lvl w:ilvl="0" w:tentative="0">
      <w:start w:val="1"/>
      <w:numFmt w:val="upperLetter"/>
      <w:lvlText w:val="%1"/>
      <w:lvlJc w:val="left"/>
      <w:pPr>
        <w:tabs>
          <w:tab w:val="left" w:pos="0"/>
        </w:tabs>
        <w:ind w:left="0" w:leftChars="0" w:firstLine="0" w:firstLineChars="0"/>
      </w:pPr>
      <w:rPr>
        <w:rFonts w:hint="default"/>
      </w:rPr>
    </w:lvl>
    <w:lvl w:ilvl="1" w:tentative="0">
      <w:start w:val="1"/>
      <w:numFmt w:val="decimal"/>
      <w:pStyle w:val="2"/>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6">
    <w:nsid w:val="042BE165"/>
    <w:multiLevelType w:val="multilevel"/>
    <w:tmpl w:val="042BE165"/>
    <w:lvl w:ilvl="0" w:tentative="0">
      <w:start w:val="1"/>
      <w:numFmt w:val="decimal"/>
      <w:pStyle w:val="112"/>
      <w:suff w:val="nothing"/>
      <w:lvlText w:val="图%1  "/>
      <w:lvlJc w:val="left"/>
      <w:pPr>
        <w:tabs>
          <w:tab w:val="left" w:pos="539"/>
        </w:tabs>
        <w:ind w:left="0" w:leftChars="0" w:firstLine="0" w:firstLineChars="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7">
    <w:nsid w:val="0AD82C9C"/>
    <w:multiLevelType w:val="multilevel"/>
    <w:tmpl w:val="0AD82C9C"/>
    <w:lvl w:ilvl="0" w:tentative="0">
      <w:start w:val="1"/>
      <w:numFmt w:val="decimal"/>
      <w:pStyle w:val="70"/>
      <w:suff w:val="nothing"/>
      <w:lvlText w:val="%1　"/>
      <w:lvlJc w:val="left"/>
      <w:pPr>
        <w:ind w:left="0" w:leftChars="0" w:firstLine="0" w:firstLineChars="0"/>
      </w:pPr>
      <w:rPr>
        <w:rFonts w:hint="default" w:ascii="黑体" w:hAnsi="黑体" w:eastAsia="黑体" w:cs="黑体"/>
        <w:sz w:val="20"/>
      </w:rPr>
    </w:lvl>
    <w:lvl w:ilvl="1" w:tentative="0">
      <w:start w:val="1"/>
      <w:numFmt w:val="decimal"/>
      <w:pStyle w:val="71"/>
      <w:suff w:val="nothing"/>
      <w:lvlText w:val="%1.%2　"/>
      <w:lvlJc w:val="left"/>
      <w:pPr>
        <w:ind w:left="0" w:leftChars="0" w:firstLine="0" w:firstLineChars="0"/>
      </w:pPr>
      <w:rPr>
        <w:rFonts w:hint="default" w:ascii="黑体" w:hAnsi="黑体" w:eastAsia="黑体" w:cs="黑体"/>
        <w:sz w:val="20"/>
      </w:rPr>
    </w:lvl>
    <w:lvl w:ilvl="2" w:tentative="0">
      <w:start w:val="1"/>
      <w:numFmt w:val="decimal"/>
      <w:pStyle w:val="72"/>
      <w:suff w:val="nothing"/>
      <w:lvlText w:val="%1.%2.%3　"/>
      <w:lvlJc w:val="left"/>
      <w:pPr>
        <w:ind w:left="0" w:leftChars="0" w:firstLine="0" w:firstLineChars="0"/>
      </w:pPr>
      <w:rPr>
        <w:rFonts w:hint="default" w:ascii="黑体" w:hAnsi="黑体" w:eastAsia="黑体" w:cs="黑体"/>
        <w:sz w:val="20"/>
      </w:rPr>
    </w:lvl>
    <w:lvl w:ilvl="3" w:tentative="0">
      <w:start w:val="1"/>
      <w:numFmt w:val="decimal"/>
      <w:pStyle w:val="73"/>
      <w:suff w:val="nothing"/>
      <w:lvlText w:val="%1.%2.%3.%4　"/>
      <w:lvlJc w:val="left"/>
      <w:pPr>
        <w:ind w:left="0" w:leftChars="0" w:firstLine="0" w:firstLineChars="0"/>
      </w:pPr>
      <w:rPr>
        <w:rFonts w:hint="default" w:ascii="黑体" w:hAnsi="黑体" w:eastAsia="黑体" w:cs="黑体"/>
        <w:sz w:val="20"/>
      </w:rPr>
    </w:lvl>
    <w:lvl w:ilvl="4" w:tentative="0">
      <w:start w:val="1"/>
      <w:numFmt w:val="decimal"/>
      <w:pStyle w:val="74"/>
      <w:suff w:val="nothing"/>
      <w:lvlText w:val="%1.%2.%3.%4.%5　"/>
      <w:lvlJc w:val="left"/>
      <w:pPr>
        <w:ind w:left="0" w:leftChars="0" w:firstLine="0" w:firstLineChars="0"/>
      </w:pPr>
      <w:rPr>
        <w:rFonts w:hint="default" w:ascii="黑体" w:hAnsi="黑体" w:eastAsia="黑体" w:cs="黑体"/>
        <w:sz w:val="20"/>
      </w:rPr>
    </w:lvl>
    <w:lvl w:ilvl="5" w:tentative="0">
      <w:start w:val="1"/>
      <w:numFmt w:val="decimal"/>
      <w:pStyle w:val="75"/>
      <w:suff w:val="nothing"/>
      <w:lvlText w:val="%1.%2.%3.%4.%5.%6　"/>
      <w:lvlJc w:val="left"/>
      <w:pPr>
        <w:ind w:left="0" w:leftChars="0" w:firstLine="0" w:firstLineChars="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8">
    <w:nsid w:val="1AF25FD9"/>
    <w:multiLevelType w:val="multilevel"/>
    <w:tmpl w:val="1AF25FD9"/>
    <w:lvl w:ilvl="0" w:tentative="0">
      <w:start w:val="1"/>
      <w:numFmt w:val="upperLetter"/>
      <w:pStyle w:val="99"/>
      <w:lvlText w:val="%1"/>
      <w:lvlJc w:val="left"/>
      <w:pPr>
        <w:tabs>
          <w:tab w:val="left" w:pos="0"/>
        </w:tabs>
        <w:ind w:left="0" w:leftChars="0" w:firstLine="0" w:firstLineChars="0"/>
      </w:pPr>
      <w:rPr>
        <w:rFonts w:hint="default"/>
      </w:rPr>
    </w:lvl>
    <w:lvl w:ilvl="1" w:tentative="0">
      <w:start w:val="1"/>
      <w:numFmt w:val="decimal"/>
      <w:pStyle w:val="100"/>
      <w:suff w:val="nothing"/>
      <w:lvlText w:val="表%1.%2　"/>
      <w:lvlJc w:val="left"/>
      <w:pPr>
        <w:ind w:left="0" w:leftChars="0" w:firstLine="0" w:firstLineChars="0"/>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9">
    <w:nsid w:val="2173D9F1"/>
    <w:multiLevelType w:val="multilevel"/>
    <w:tmpl w:val="2173D9F1"/>
    <w:lvl w:ilvl="0" w:tentative="0">
      <w:start w:val="1"/>
      <w:numFmt w:val="none"/>
      <w:pStyle w:val="102"/>
      <w:suff w:val="nothing"/>
      <w:lvlText w:val="示例："/>
      <w:lvlJc w:val="left"/>
      <w:pPr>
        <w:tabs>
          <w:tab w:val="left" w:pos="539"/>
        </w:tabs>
        <w:ind w:left="0" w:leftChars="0" w:firstLine="363"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0">
    <w:nsid w:val="22827D5B"/>
    <w:multiLevelType w:val="multilevel"/>
    <w:tmpl w:val="22827D5B"/>
    <w:lvl w:ilvl="0" w:tentative="0">
      <w:start w:val="1"/>
      <w:numFmt w:val="none"/>
      <w:pStyle w:val="120"/>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1">
    <w:nsid w:val="2E34FD65"/>
    <w:multiLevelType w:val="multilevel"/>
    <w:tmpl w:val="2E34FD65"/>
    <w:lvl w:ilvl="0" w:tentative="0">
      <w:start w:val="1"/>
      <w:numFmt w:val="decimal"/>
      <w:pStyle w:val="16"/>
      <w:lvlText w:val="%1)"/>
      <w:lvlJc w:val="left"/>
      <w:pPr>
        <w:tabs>
          <w:tab w:val="left" w:pos="0"/>
        </w:tabs>
        <w:ind w:left="720" w:leftChars="0" w:hanging="357" w:firstLineChars="0"/>
      </w:pPr>
      <w:rPr>
        <w:rFonts w:hint="eastAsia" w:ascii="宋体" w:hAnsi="宋体" w:eastAsia="宋体" w:cs="宋体"/>
        <w:sz w:val="15"/>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2">
    <w:nsid w:val="3222B981"/>
    <w:multiLevelType w:val="multilevel"/>
    <w:tmpl w:val="3222B981"/>
    <w:lvl w:ilvl="0" w:tentative="0">
      <w:start w:val="1"/>
      <w:numFmt w:val="upperLetter"/>
      <w:pStyle w:val="86"/>
      <w:suff w:val="nothing"/>
      <w:lvlText w:val="附录%1"/>
      <w:lvlJc w:val="left"/>
      <w:pPr>
        <w:ind w:left="0" w:leftChars="0" w:firstLine="0" w:firstLineChars="0"/>
      </w:pPr>
      <w:rPr>
        <w:rFonts w:hint="default"/>
        <w:spacing w:val="102"/>
      </w:rPr>
    </w:lvl>
    <w:lvl w:ilvl="1" w:tentative="0">
      <w:start w:val="1"/>
      <w:numFmt w:val="decimal"/>
      <w:pStyle w:val="87"/>
      <w:suff w:val="nothing"/>
      <w:lvlText w:val="%1.%2　"/>
      <w:lvlJc w:val="left"/>
      <w:pPr>
        <w:ind w:left="0" w:leftChars="0" w:firstLine="0" w:firstLineChars="0"/>
      </w:pPr>
      <w:rPr>
        <w:rFonts w:hint="default" w:ascii="黑体" w:hAnsi="黑体" w:eastAsia="黑体" w:cs="黑体"/>
        <w:sz w:val="20"/>
      </w:rPr>
    </w:lvl>
    <w:lvl w:ilvl="2" w:tentative="0">
      <w:start w:val="1"/>
      <w:numFmt w:val="decimal"/>
      <w:pStyle w:val="88"/>
      <w:suff w:val="nothing"/>
      <w:lvlText w:val="%1.%2.%3　"/>
      <w:lvlJc w:val="left"/>
      <w:pPr>
        <w:ind w:left="0" w:leftChars="0" w:firstLine="0" w:firstLineChars="0"/>
      </w:pPr>
      <w:rPr>
        <w:rFonts w:hint="default" w:ascii="黑体" w:hAnsi="黑体" w:eastAsia="黑体" w:cs="黑体"/>
        <w:sz w:val="20"/>
      </w:rPr>
    </w:lvl>
    <w:lvl w:ilvl="3" w:tentative="0">
      <w:start w:val="1"/>
      <w:numFmt w:val="decimal"/>
      <w:pStyle w:val="89"/>
      <w:suff w:val="nothing"/>
      <w:lvlText w:val="%1.%2.%3.%4　"/>
      <w:lvlJc w:val="left"/>
      <w:pPr>
        <w:ind w:left="0" w:leftChars="0" w:firstLine="0" w:firstLineChars="0"/>
      </w:pPr>
      <w:rPr>
        <w:rFonts w:hint="default" w:ascii="黑体" w:hAnsi="黑体" w:eastAsia="黑体" w:cs="黑体"/>
        <w:sz w:val="20"/>
      </w:rPr>
    </w:lvl>
    <w:lvl w:ilvl="4" w:tentative="0">
      <w:start w:val="1"/>
      <w:numFmt w:val="decimal"/>
      <w:pStyle w:val="90"/>
      <w:suff w:val="nothing"/>
      <w:lvlText w:val="%1.%2.%3.%4.%5　"/>
      <w:lvlJc w:val="left"/>
      <w:pPr>
        <w:ind w:left="0" w:leftChars="0" w:firstLine="0" w:firstLineChars="0"/>
      </w:pPr>
      <w:rPr>
        <w:rFonts w:hint="default" w:ascii="黑体" w:hAnsi="黑体" w:eastAsia="黑体" w:cs="黑体"/>
        <w:sz w:val="20"/>
      </w:rPr>
    </w:lvl>
    <w:lvl w:ilvl="5" w:tentative="0">
      <w:start w:val="1"/>
      <w:numFmt w:val="decimal"/>
      <w:pStyle w:val="91"/>
      <w:suff w:val="nothing"/>
      <w:lvlText w:val="%1.%2.%3.%4.%5.%6　"/>
      <w:lvlJc w:val="left"/>
      <w:pPr>
        <w:ind w:left="0" w:leftChars="0" w:firstLine="0" w:firstLineChars="0"/>
      </w:pPr>
      <w:rPr>
        <w:rFonts w:hint="default" w:ascii="黑体" w:hAnsi="黑体" w:eastAsia="黑体" w:cs="黑体"/>
        <w:sz w:val="20"/>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3">
    <w:nsid w:val="3617328A"/>
    <w:multiLevelType w:val="multilevel"/>
    <w:tmpl w:val="3617328A"/>
    <w:lvl w:ilvl="0" w:tentative="0">
      <w:start w:val="1"/>
      <w:numFmt w:val="none"/>
      <w:pStyle w:val="104"/>
      <w:suff w:val="nothing"/>
      <w:lvlText w:val="注："/>
      <w:lvlJc w:val="left"/>
      <w:pPr>
        <w:tabs>
          <w:tab w:val="left" w:pos="539"/>
        </w:tabs>
        <w:ind w:left="737" w:leftChars="0" w:hanging="374"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4">
    <w:nsid w:val="38D1385B"/>
    <w:multiLevelType w:val="multilevel"/>
    <w:tmpl w:val="38D1385B"/>
    <w:lvl w:ilvl="0" w:tentative="0">
      <w:start w:val="1"/>
      <w:numFmt w:val="upperLetter"/>
      <w:pStyle w:val="97"/>
      <w:lvlText w:val="%1"/>
      <w:lvlJc w:val="left"/>
      <w:pPr>
        <w:tabs>
          <w:tab w:val="left" w:pos="0"/>
        </w:tabs>
        <w:ind w:left="0" w:leftChars="0" w:firstLine="0" w:firstLineChars="0"/>
      </w:pPr>
      <w:rPr>
        <w:rFonts w:hint="default"/>
      </w:rPr>
    </w:lvl>
    <w:lvl w:ilvl="1" w:tentative="0">
      <w:start w:val="1"/>
      <w:numFmt w:val="decimal"/>
      <w:pStyle w:val="98"/>
      <w:suff w:val="nothing"/>
      <w:lvlText w:val="图%1.%2　"/>
      <w:lvlJc w:val="left"/>
      <w:pPr>
        <w:ind w:left="0" w:leftChars="0" w:firstLine="0" w:firstLineChars="0"/>
      </w:pPr>
      <w:rPr>
        <w:rFonts w:hint="default"/>
      </w:rPr>
    </w:lvl>
    <w:lvl w:ilvl="2" w:tentative="0">
      <w:start w:val="1"/>
      <w:numFmt w:val="decimal"/>
      <w:pStyle w:val="3"/>
      <w:lvlText w:val="%1.%2.%3."/>
      <w:lvlJc w:val="left"/>
      <w:pPr>
        <w:ind w:left="720" w:hanging="720"/>
      </w:pPr>
      <w:rPr>
        <w:rFonts w:hint="default"/>
      </w:rPr>
    </w:lvl>
    <w:lvl w:ilvl="3" w:tentative="0">
      <w:start w:val="1"/>
      <w:numFmt w:val="decimal"/>
      <w:pStyle w:val="4"/>
      <w:lvlText w:val="%1.%2.%3.%4."/>
      <w:lvlJc w:val="left"/>
      <w:pPr>
        <w:ind w:left="864" w:hanging="864"/>
      </w:pPr>
      <w:rPr>
        <w:rFonts w:hint="default"/>
      </w:rPr>
    </w:lvl>
    <w:lvl w:ilvl="4" w:tentative="0">
      <w:start w:val="1"/>
      <w:numFmt w:val="decimal"/>
      <w:pStyle w:val="5"/>
      <w:lvlText w:val="%1.%2.%3.%4.%5."/>
      <w:lvlJc w:val="left"/>
      <w:pPr>
        <w:ind w:left="1008" w:hanging="1008"/>
      </w:pPr>
      <w:rPr>
        <w:rFonts w:hint="default"/>
      </w:rPr>
    </w:lvl>
    <w:lvl w:ilvl="5" w:tentative="0">
      <w:start w:val="1"/>
      <w:numFmt w:val="decimal"/>
      <w:pStyle w:val="6"/>
      <w:lvlText w:val="%1.%2.%3.%4.%5.%6."/>
      <w:lvlJc w:val="left"/>
      <w:pPr>
        <w:ind w:left="1151" w:hanging="1151"/>
      </w:pPr>
      <w:rPr>
        <w:rFonts w:hint="default"/>
      </w:rPr>
    </w:lvl>
    <w:lvl w:ilvl="6" w:tentative="0">
      <w:start w:val="1"/>
      <w:numFmt w:val="decimal"/>
      <w:pStyle w:val="7"/>
      <w:lvlText w:val="%1.%2.%3.%4.%5.%6.%7."/>
      <w:lvlJc w:val="left"/>
      <w:pPr>
        <w:ind w:left="1296" w:hanging="1296"/>
      </w:pPr>
      <w:rPr>
        <w:rFonts w:hint="default"/>
      </w:rPr>
    </w:lvl>
    <w:lvl w:ilvl="7" w:tentative="0">
      <w:start w:val="1"/>
      <w:numFmt w:val="decimal"/>
      <w:pStyle w:val="8"/>
      <w:lvlText w:val="%1.%2.%3.%4.%5.%6.%7.%8."/>
      <w:lvlJc w:val="left"/>
      <w:pPr>
        <w:ind w:left="1440" w:hanging="1440"/>
      </w:pPr>
      <w:rPr>
        <w:rFonts w:hint="default"/>
      </w:rPr>
    </w:lvl>
    <w:lvl w:ilvl="8" w:tentative="0">
      <w:start w:val="1"/>
      <w:numFmt w:val="decimal"/>
      <w:pStyle w:val="9"/>
      <w:lvlText w:val="%1.%2.%3.%4.%5.%6.%7.%8.%9."/>
      <w:lvlJc w:val="left"/>
      <w:pPr>
        <w:ind w:left="1583" w:hanging="1583"/>
      </w:pPr>
      <w:rPr>
        <w:rFonts w:hint="default"/>
      </w:rPr>
    </w:lvl>
  </w:abstractNum>
  <w:abstractNum w:abstractNumId="15">
    <w:nsid w:val="3B12D4D2"/>
    <w:multiLevelType w:val="multilevel"/>
    <w:tmpl w:val="3B12D4D2"/>
    <w:lvl w:ilvl="0" w:tentative="0">
      <w:start w:val="1"/>
      <w:numFmt w:val="none"/>
      <w:pStyle w:val="55"/>
      <w:lvlText w:val="%1——"/>
      <w:lvlJc w:val="left"/>
      <w:pPr>
        <w:tabs>
          <w:tab w:val="left" w:pos="851"/>
        </w:tabs>
        <w:ind w:left="851" w:leftChars="0" w:hanging="426" w:firstLineChars="0"/>
      </w:pPr>
      <w:rPr>
        <w:rFonts w:hint="default" w:ascii="Times New Roman" w:hAnsi="Times New Roman" w:eastAsia="宋体" w:cs="Times New Roman"/>
        <w:sz w:val="20"/>
      </w:rPr>
    </w:lvl>
    <w:lvl w:ilvl="1" w:tentative="0">
      <w:start w:val="1"/>
      <w:numFmt w:val="bullet"/>
      <w:pStyle w:val="56"/>
      <w:lvlText w:val=""/>
      <w:lvlJc w:val="left"/>
      <w:pPr>
        <w:tabs>
          <w:tab w:val="left" w:pos="851"/>
        </w:tabs>
        <w:ind w:left="1270" w:leftChars="0" w:hanging="419" w:firstLineChars="0"/>
      </w:pPr>
      <w:rPr>
        <w:rFonts w:hint="default" w:ascii="Symbol" w:hAnsi="Symbol" w:eastAsia="宋体" w:cs="Symbol"/>
        <w:sz w:val="21"/>
      </w:rPr>
    </w:lvl>
    <w:lvl w:ilvl="2" w:tentative="0">
      <w:start w:val="1"/>
      <w:numFmt w:val="bullet"/>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6">
    <w:nsid w:val="6DBF04F4"/>
    <w:multiLevelType w:val="multilevel"/>
    <w:tmpl w:val="6DBF04F4"/>
    <w:lvl w:ilvl="0" w:tentative="0">
      <w:start w:val="1"/>
      <w:numFmt w:val="none"/>
      <w:pStyle w:val="121"/>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7">
    <w:nsid w:val="71DEBFF6"/>
    <w:multiLevelType w:val="multilevel"/>
    <w:tmpl w:val="71DEBFF6"/>
    <w:lvl w:ilvl="0" w:tentative="0">
      <w:start w:val="1"/>
      <w:numFmt w:val="none"/>
      <w:pStyle w:val="53"/>
      <w:suff w:val="nothing"/>
      <w:lvlText w:val="%1"/>
      <w:lvlJc w:val="left"/>
      <w:pPr>
        <w:ind w:left="425" w:leftChars="0" w:hanging="425" w:firstLineChars="0"/>
      </w:pPr>
      <w:rPr>
        <w:rFonts w:hint="default"/>
      </w:rPr>
    </w:lvl>
    <w:lvl w:ilvl="1" w:tentative="0">
      <w:start w:val="1"/>
      <w:numFmt w:val="decimal"/>
      <w:pStyle w:val="60"/>
      <w:suff w:val="nothing"/>
      <w:lvlText w:val="%10.%2 "/>
      <w:lvlJc w:val="left"/>
      <w:pPr>
        <w:ind w:left="0" w:leftChars="0" w:firstLine="0" w:firstLineChars="0"/>
      </w:pPr>
      <w:rPr>
        <w:rFonts w:hint="default" w:ascii="黑体" w:hAnsi="黑体" w:eastAsia="黑体" w:cs="黑体"/>
        <w:sz w:val="20"/>
      </w:rPr>
    </w:lvl>
    <w:lvl w:ilvl="2" w:tentative="0">
      <w:start w:val="1"/>
      <w:numFmt w:val="decimal"/>
      <w:pStyle w:val="61"/>
      <w:suff w:val="nothing"/>
      <w:lvlText w:val="%10.%2.%3 "/>
      <w:lvlJc w:val="left"/>
      <w:pPr>
        <w:ind w:left="0" w:leftChars="0" w:firstLine="0" w:firstLineChars="0"/>
      </w:pPr>
      <w:rPr>
        <w:rFonts w:hint="default" w:ascii="黑体" w:hAnsi="黑体" w:eastAsia="黑体" w:cs="黑体"/>
        <w:sz w:val="20"/>
      </w:rPr>
    </w:lvl>
    <w:lvl w:ilvl="3" w:tentative="0">
      <w:start w:val="1"/>
      <w:numFmt w:val="decimal"/>
      <w:pStyle w:val="62"/>
      <w:suff w:val="nothing"/>
      <w:lvlText w:val="%10.%2.%3.%4 "/>
      <w:lvlJc w:val="left"/>
      <w:pPr>
        <w:ind w:left="0" w:leftChars="0" w:firstLine="0" w:firstLineChars="0"/>
      </w:pPr>
      <w:rPr>
        <w:rFonts w:hint="default" w:ascii="黑体" w:hAnsi="黑体" w:eastAsia="黑体" w:cs="黑体"/>
        <w:sz w:val="20"/>
      </w:rPr>
    </w:lvl>
    <w:lvl w:ilvl="4" w:tentative="0">
      <w:start w:val="1"/>
      <w:numFmt w:val="decimal"/>
      <w:pStyle w:val="63"/>
      <w:suff w:val="nothing"/>
      <w:lvlText w:val="%10.%2.%3.%4.%5 "/>
      <w:lvlJc w:val="left"/>
      <w:pPr>
        <w:ind w:left="0" w:leftChars="0" w:firstLine="0" w:firstLineChars="0"/>
      </w:pPr>
      <w:rPr>
        <w:rFonts w:hint="default" w:ascii="黑体" w:hAnsi="黑体" w:eastAsia="黑体" w:cs="黑体"/>
        <w:sz w:val="20"/>
      </w:rPr>
    </w:lvl>
    <w:lvl w:ilvl="5" w:tentative="0">
      <w:start w:val="1"/>
      <w:numFmt w:val="decimal"/>
      <w:pStyle w:val="64"/>
      <w:suff w:val="nothing"/>
      <w:lvlText w:val="%10.%2.%3.%4.%5.%6 "/>
      <w:lvlJc w:val="left"/>
      <w:pPr>
        <w:ind w:left="0" w:leftChars="0" w:firstLine="0" w:firstLineChars="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8">
    <w:nsid w:val="733389A6"/>
    <w:multiLevelType w:val="multilevel"/>
    <w:tmpl w:val="733389A6"/>
    <w:lvl w:ilvl="0" w:tentative="0">
      <w:start w:val="1"/>
      <w:numFmt w:val="decimal"/>
      <w:pStyle w:val="103"/>
      <w:suff w:val="nothing"/>
      <w:lvlText w:val="示例%1："/>
      <w:lvlJc w:val="left"/>
      <w:pPr>
        <w:tabs>
          <w:tab w:val="left" w:pos="539"/>
        </w:tabs>
        <w:ind w:left="0" w:leftChars="0" w:firstLine="363"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5"/>
  </w:num>
  <w:num w:numId="2">
    <w:abstractNumId w:val="14"/>
  </w:num>
  <w:num w:numId="3">
    <w:abstractNumId w:val="11"/>
  </w:num>
  <w:num w:numId="4">
    <w:abstractNumId w:val="17"/>
  </w:num>
  <w:num w:numId="5">
    <w:abstractNumId w:val="15"/>
  </w:num>
  <w:num w:numId="6">
    <w:abstractNumId w:val="1"/>
  </w:num>
  <w:num w:numId="7">
    <w:abstractNumId w:val="7"/>
  </w:num>
  <w:num w:numId="8">
    <w:abstractNumId w:val="12"/>
  </w:num>
  <w:num w:numId="9">
    <w:abstractNumId w:val="8"/>
  </w:num>
  <w:num w:numId="10">
    <w:abstractNumId w:val="9"/>
  </w:num>
  <w:num w:numId="11">
    <w:abstractNumId w:val="18"/>
  </w:num>
  <w:num w:numId="12">
    <w:abstractNumId w:val="13"/>
  </w:num>
  <w:num w:numId="13">
    <w:abstractNumId w:val="4"/>
  </w:num>
  <w:num w:numId="14">
    <w:abstractNumId w:val="2"/>
  </w:num>
  <w:num w:numId="15">
    <w:abstractNumId w:val="3"/>
  </w:num>
  <w:num w:numId="16">
    <w:abstractNumId w:val="6"/>
  </w:num>
  <w:num w:numId="17">
    <w:abstractNumId w:val="0"/>
  </w:num>
  <w:num w:numId="18">
    <w:abstractNumId w:val="1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3YjViN2E1M2IwZTJhNDVkMTBjZDQxODBhODhlNGEifQ=="/>
  </w:docVars>
  <w:rsids>
    <w:rsidRoot w:val="22A65372"/>
    <w:rsid w:val="0016224A"/>
    <w:rsid w:val="01E44FDB"/>
    <w:rsid w:val="02CE2CB2"/>
    <w:rsid w:val="03303146"/>
    <w:rsid w:val="03D35910"/>
    <w:rsid w:val="048E4B7A"/>
    <w:rsid w:val="04BD38C2"/>
    <w:rsid w:val="04C968F4"/>
    <w:rsid w:val="096820FA"/>
    <w:rsid w:val="0D54274B"/>
    <w:rsid w:val="0FFA3C1C"/>
    <w:rsid w:val="103E71E0"/>
    <w:rsid w:val="10FB396F"/>
    <w:rsid w:val="11171B43"/>
    <w:rsid w:val="1257050D"/>
    <w:rsid w:val="127465B3"/>
    <w:rsid w:val="168E7993"/>
    <w:rsid w:val="174736BE"/>
    <w:rsid w:val="177B1F66"/>
    <w:rsid w:val="18E831AB"/>
    <w:rsid w:val="1A3F329F"/>
    <w:rsid w:val="1A5342E4"/>
    <w:rsid w:val="1A9E7AF2"/>
    <w:rsid w:val="1BA06543"/>
    <w:rsid w:val="1D57438E"/>
    <w:rsid w:val="1EBB0A1A"/>
    <w:rsid w:val="206F3F8C"/>
    <w:rsid w:val="22A65372"/>
    <w:rsid w:val="22FA1FF8"/>
    <w:rsid w:val="24356CD8"/>
    <w:rsid w:val="258921ED"/>
    <w:rsid w:val="25C6231B"/>
    <w:rsid w:val="275579E9"/>
    <w:rsid w:val="28BB7438"/>
    <w:rsid w:val="2907672A"/>
    <w:rsid w:val="29671BBB"/>
    <w:rsid w:val="317561A9"/>
    <w:rsid w:val="345770C6"/>
    <w:rsid w:val="34F62354"/>
    <w:rsid w:val="3510196C"/>
    <w:rsid w:val="35D23F20"/>
    <w:rsid w:val="36DA7652"/>
    <w:rsid w:val="36EA7C97"/>
    <w:rsid w:val="38BD1A5F"/>
    <w:rsid w:val="38CE6F3B"/>
    <w:rsid w:val="38CF5396"/>
    <w:rsid w:val="38E515E6"/>
    <w:rsid w:val="39F15140"/>
    <w:rsid w:val="3BAF4B2C"/>
    <w:rsid w:val="3D673DEF"/>
    <w:rsid w:val="403A64B2"/>
    <w:rsid w:val="410C109C"/>
    <w:rsid w:val="417D0AC2"/>
    <w:rsid w:val="421A5B5D"/>
    <w:rsid w:val="425002F5"/>
    <w:rsid w:val="459C0CCE"/>
    <w:rsid w:val="47997CE8"/>
    <w:rsid w:val="49CB0459"/>
    <w:rsid w:val="4D950505"/>
    <w:rsid w:val="4E2B7AEE"/>
    <w:rsid w:val="50B145A5"/>
    <w:rsid w:val="51414716"/>
    <w:rsid w:val="52404420"/>
    <w:rsid w:val="527E5A0B"/>
    <w:rsid w:val="53CE6585"/>
    <w:rsid w:val="5C8559C5"/>
    <w:rsid w:val="5D6B597F"/>
    <w:rsid w:val="5E2C229D"/>
    <w:rsid w:val="5EC91604"/>
    <w:rsid w:val="5FDC037C"/>
    <w:rsid w:val="60C62FD2"/>
    <w:rsid w:val="61FB7EE9"/>
    <w:rsid w:val="672E5DC5"/>
    <w:rsid w:val="67314908"/>
    <w:rsid w:val="679B072E"/>
    <w:rsid w:val="68E4545B"/>
    <w:rsid w:val="69D26D40"/>
    <w:rsid w:val="6C5E0930"/>
    <w:rsid w:val="6F73535E"/>
    <w:rsid w:val="6FA348AB"/>
    <w:rsid w:val="6FBB4290"/>
    <w:rsid w:val="701F78B8"/>
    <w:rsid w:val="73E21E46"/>
    <w:rsid w:val="74502300"/>
    <w:rsid w:val="75916036"/>
    <w:rsid w:val="76791307"/>
    <w:rsid w:val="77F9150C"/>
    <w:rsid w:val="780229F9"/>
    <w:rsid w:val="7A9D0921"/>
    <w:rsid w:val="7C0A2C05"/>
    <w:rsid w:val="7D032264"/>
    <w:rsid w:val="7F163651"/>
    <w:rsid w:val="7FB10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宋体" w:hAnsi="Times New Roman" w:eastAsia="宋体" w:cs="宋体"/>
      <w:kern w:val="2"/>
      <w:sz w:val="21"/>
      <w:szCs w:val="24"/>
      <w:lang w:val="en-US" w:eastAsia="zh-CN" w:bidi="ar-SA"/>
    </w:rPr>
  </w:style>
  <w:style w:type="paragraph" w:styleId="2">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ind w:left="575" w:hanging="575"/>
      <w:outlineLvl w:val="1"/>
    </w:pPr>
    <w:rPr>
      <w:rFonts w:ascii="Arial" w:hAnsi="Arial" w:eastAsia="黑体"/>
      <w:b/>
      <w:sz w:val="32"/>
    </w:rPr>
  </w:style>
  <w:style w:type="paragraph" w:styleId="3">
    <w:name w:val="heading 3"/>
    <w:basedOn w:val="1"/>
    <w:next w:val="1"/>
    <w:semiHidden/>
    <w:unhideWhenUsed/>
    <w:qFormat/>
    <w:uiPriority w:val="0"/>
    <w:pPr>
      <w:keepNext/>
      <w:keepLines/>
      <w:numPr>
        <w:ilvl w:val="2"/>
        <w:numId w:val="2"/>
      </w:numPr>
      <w:spacing w:before="260" w:beforeLines="0" w:beforeAutospacing="0" w:after="260" w:afterLines="0" w:afterAutospacing="0" w:line="413" w:lineRule="auto"/>
      <w:ind w:left="720" w:hanging="720"/>
      <w:outlineLvl w:val="2"/>
    </w:pPr>
    <w:rPr>
      <w:b/>
      <w:sz w:val="32"/>
    </w:rPr>
  </w:style>
  <w:style w:type="paragraph" w:styleId="4">
    <w:name w:val="heading 4"/>
    <w:basedOn w:val="1"/>
    <w:next w:val="1"/>
    <w:semiHidden/>
    <w:unhideWhenUsed/>
    <w:qFormat/>
    <w:uiPriority w:val="0"/>
    <w:pPr>
      <w:keepNext/>
      <w:keepLines/>
      <w:numPr>
        <w:ilvl w:val="3"/>
        <w:numId w:val="2"/>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5">
    <w:name w:val="heading 5"/>
    <w:basedOn w:val="1"/>
    <w:next w:val="1"/>
    <w:semiHidden/>
    <w:unhideWhenUsed/>
    <w:qFormat/>
    <w:uiPriority w:val="0"/>
    <w:pPr>
      <w:keepNext/>
      <w:keepLines/>
      <w:numPr>
        <w:ilvl w:val="4"/>
        <w:numId w:val="2"/>
      </w:numPr>
      <w:spacing w:before="280" w:beforeLines="0" w:beforeAutospacing="0" w:after="290" w:afterLines="0" w:afterAutospacing="0" w:line="372" w:lineRule="auto"/>
      <w:ind w:left="1008" w:hanging="1008"/>
      <w:outlineLvl w:val="4"/>
    </w:pPr>
    <w:rPr>
      <w:b/>
      <w:sz w:val="28"/>
    </w:rPr>
  </w:style>
  <w:style w:type="paragraph" w:styleId="6">
    <w:name w:val="heading 6"/>
    <w:basedOn w:val="1"/>
    <w:next w:val="1"/>
    <w:semiHidden/>
    <w:unhideWhenUsed/>
    <w:qFormat/>
    <w:uiPriority w:val="0"/>
    <w:pPr>
      <w:keepNext/>
      <w:keepLines/>
      <w:numPr>
        <w:ilvl w:val="5"/>
        <w:numId w:val="2"/>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7">
    <w:name w:val="heading 7"/>
    <w:basedOn w:val="1"/>
    <w:next w:val="1"/>
    <w:semiHidden/>
    <w:unhideWhenUsed/>
    <w:qFormat/>
    <w:uiPriority w:val="0"/>
    <w:pPr>
      <w:keepNext/>
      <w:keepLines/>
      <w:numPr>
        <w:ilvl w:val="6"/>
        <w:numId w:val="2"/>
      </w:numPr>
      <w:spacing w:before="240" w:beforeLines="0" w:beforeAutospacing="0" w:after="64" w:afterLines="0" w:afterAutospacing="0" w:line="317" w:lineRule="auto"/>
      <w:ind w:left="1296" w:hanging="1296"/>
      <w:outlineLvl w:val="6"/>
    </w:pPr>
    <w:rPr>
      <w:b/>
      <w:sz w:val="24"/>
    </w:rPr>
  </w:style>
  <w:style w:type="paragraph" w:styleId="8">
    <w:name w:val="heading 8"/>
    <w:basedOn w:val="1"/>
    <w:next w:val="1"/>
    <w:semiHidden/>
    <w:unhideWhenUsed/>
    <w:qFormat/>
    <w:uiPriority w:val="0"/>
    <w:pPr>
      <w:keepNext/>
      <w:keepLines/>
      <w:numPr>
        <w:ilvl w:val="7"/>
        <w:numId w:val="2"/>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9">
    <w:name w:val="heading 9"/>
    <w:basedOn w:val="1"/>
    <w:next w:val="1"/>
    <w:semiHidden/>
    <w:unhideWhenUsed/>
    <w:qFormat/>
    <w:uiPriority w:val="0"/>
    <w:pPr>
      <w:keepNext/>
      <w:keepLines/>
      <w:numPr>
        <w:ilvl w:val="8"/>
        <w:numId w:val="2"/>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21">
    <w:name w:val="Default Paragraph Font"/>
    <w:semiHidden/>
    <w:qFormat/>
    <w:uiPriority w:val="0"/>
    <w:rPr>
      <w:rFonts w:hint="eastAsia" w:ascii="宋体" w:hAnsi="Times New Roman" w:eastAsia="宋体" w:cs="Times New Roman"/>
      <w:sz w:val="21"/>
    </w:rPr>
  </w:style>
  <w:style w:type="table" w:default="1" w:styleId="19">
    <w:name w:val="Normal Table"/>
    <w:semiHidden/>
    <w:qFormat/>
    <w:uiPriority w:val="0"/>
    <w:tblPr>
      <w:tblCellMar>
        <w:top w:w="0" w:type="dxa"/>
        <w:left w:w="108" w:type="dxa"/>
        <w:bottom w:w="0" w:type="dxa"/>
        <w:right w:w="108" w:type="dxa"/>
      </w:tblCellMar>
    </w:tblPr>
  </w:style>
  <w:style w:type="paragraph" w:styleId="10">
    <w:name w:val="toc 5"/>
    <w:basedOn w:val="1"/>
    <w:next w:val="1"/>
    <w:qFormat/>
    <w:uiPriority w:val="0"/>
    <w:pPr>
      <w:spacing w:line="300" w:lineRule="exact"/>
      <w:ind w:left="1680" w:leftChars="800"/>
    </w:pPr>
    <w:rPr>
      <w:rFonts w:hAnsi="宋体"/>
    </w:rPr>
  </w:style>
  <w:style w:type="paragraph" w:styleId="11">
    <w:name w:val="toc 3"/>
    <w:basedOn w:val="1"/>
    <w:next w:val="1"/>
    <w:qFormat/>
    <w:uiPriority w:val="0"/>
    <w:pPr>
      <w:spacing w:line="300" w:lineRule="exact"/>
      <w:ind w:left="840" w:leftChars="400"/>
    </w:pPr>
    <w:rPr>
      <w:rFonts w:hAnsi="宋体"/>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pPr>
      <w:spacing w:line="400" w:lineRule="exact"/>
    </w:pPr>
    <w:rPr>
      <w:rFonts w:hAnsi="宋体"/>
    </w:rPr>
  </w:style>
  <w:style w:type="paragraph" w:styleId="15">
    <w:name w:val="toc 4"/>
    <w:basedOn w:val="1"/>
    <w:next w:val="1"/>
    <w:qFormat/>
    <w:uiPriority w:val="0"/>
    <w:pPr>
      <w:spacing w:line="300" w:lineRule="exact"/>
      <w:ind w:left="1260" w:leftChars="600"/>
    </w:pPr>
    <w:rPr>
      <w:rFonts w:hAnsi="宋体"/>
    </w:rPr>
  </w:style>
  <w:style w:type="paragraph" w:styleId="16">
    <w:name w:val="footnote text"/>
    <w:basedOn w:val="1"/>
    <w:qFormat/>
    <w:uiPriority w:val="0"/>
    <w:pPr>
      <w:widowControl/>
      <w:numPr>
        <w:ilvl w:val="0"/>
        <w:numId w:val="3"/>
      </w:numPr>
      <w:autoSpaceDE w:val="0"/>
      <w:autoSpaceDN w:val="0"/>
      <w:snapToGrid/>
      <w:ind w:left="1380" w:leftChars="200" w:hanging="960" w:hangingChars="200"/>
      <w:jc w:val="both"/>
    </w:pPr>
    <w:rPr>
      <w:rFonts w:hAnsi="宋体"/>
      <w:sz w:val="15"/>
    </w:rPr>
  </w:style>
  <w:style w:type="paragraph" w:styleId="17">
    <w:name w:val="toc 6"/>
    <w:basedOn w:val="1"/>
    <w:next w:val="1"/>
    <w:qFormat/>
    <w:uiPriority w:val="0"/>
    <w:pPr>
      <w:spacing w:line="300" w:lineRule="exact"/>
      <w:ind w:left="2100" w:leftChars="1000"/>
    </w:pPr>
    <w:rPr>
      <w:rFonts w:hAnsi="宋体"/>
    </w:rPr>
  </w:style>
  <w:style w:type="paragraph" w:styleId="18">
    <w:name w:val="toc 2"/>
    <w:basedOn w:val="1"/>
    <w:next w:val="1"/>
    <w:qFormat/>
    <w:uiPriority w:val="0"/>
    <w:pPr>
      <w:spacing w:line="300" w:lineRule="exact"/>
      <w:ind w:left="420" w:leftChars="200"/>
    </w:pPr>
    <w:rPr>
      <w:rFonts w:hAnsi="宋体"/>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footnote reference"/>
    <w:basedOn w:val="21"/>
    <w:qFormat/>
    <w:uiPriority w:val="0"/>
    <w:rPr>
      <w:rFonts w:hAnsi="宋体" w:cs="宋体"/>
      <w:sz w:val="18"/>
      <w:vertAlign w:val="superscript"/>
    </w:rPr>
  </w:style>
  <w:style w:type="paragraph" w:customStyle="1" w:styleId="23">
    <w:name w:val="标准文件_段"/>
    <w:qFormat/>
    <w:uiPriority w:val="0"/>
    <w:pPr>
      <w:ind w:firstLine="960" w:firstLineChars="200"/>
      <w:jc w:val="both"/>
    </w:pPr>
    <w:rPr>
      <w:rFonts w:hint="eastAsia" w:ascii="宋体" w:hAnsi="Times New Roman" w:eastAsia="宋体" w:cs="宋体"/>
      <w:sz w:val="21"/>
    </w:rPr>
  </w:style>
  <w:style w:type="paragraph" w:customStyle="1" w:styleId="24">
    <w:name w:val="标准标志"/>
    <w:next w:val="1"/>
    <w:qFormat/>
    <w:uiPriority w:val="0"/>
    <w:pPr>
      <w:framePr w:w="2546" w:h="1134" w:hRule="exact" w:hSpace="181" w:wrap="around" w:vAnchor="margin" w:hAnchor="margin" w:x="6521" w:y="421" w:anchorLock="1"/>
      <w:shd w:val="clear" w:fill="FFFFFF"/>
      <w:spacing w:line="0" w:lineRule="atLeast"/>
      <w:jc w:val="right"/>
    </w:pPr>
    <w:rPr>
      <w:rFonts w:hint="eastAsia" w:ascii="Times New Roman" w:hAnsi="Times New Roman" w:eastAsia="宋体" w:cs="Times New Roman"/>
      <w:b/>
      <w:w w:val="170"/>
      <w:sz w:val="96"/>
    </w:rPr>
  </w:style>
  <w:style w:type="paragraph" w:customStyle="1" w:styleId="25">
    <w:name w:val="标准标志2"/>
    <w:next w:val="1"/>
    <w:qFormat/>
    <w:uiPriority w:val="0"/>
    <w:pPr>
      <w:framePr w:wrap="around" w:vAnchor="margin" w:hAnchor="margin" w:x="5614" w:y="398" w:anchorLock="1"/>
      <w:spacing w:line="0" w:lineRule="atLeast"/>
      <w:jc w:val="right"/>
    </w:pPr>
    <w:rPr>
      <w:rFonts w:hint="eastAsia" w:ascii="Times New Roman" w:hAnsi="Times New Roman" w:eastAsia="宋体" w:cs="Times New Roman"/>
      <w:b/>
      <w:w w:val="130"/>
      <w:sz w:val="96"/>
    </w:rPr>
  </w:style>
  <w:style w:type="paragraph" w:customStyle="1" w:styleId="26">
    <w:name w:val="标准称谓"/>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宋体" w:hAnsi="Times New Roman" w:eastAsia="宋体" w:cs="Times New Roman"/>
      <w:b/>
      <w:w w:val="148"/>
      <w:sz w:val="48"/>
    </w:rPr>
  </w:style>
  <w:style w:type="paragraph" w:customStyle="1" w:styleId="27">
    <w:name w:val="标准称谓2"/>
    <w:next w:val="1"/>
    <w:qFormat/>
    <w:uiPriority w:val="0"/>
    <w:pPr>
      <w:framePr w:w="6781" w:h="907" w:hRule="exact" w:hSpace="181" w:vSpace="181" w:wrap="around" w:vAnchor="page" w:hAnchor="page" w:xAlign="center" w:y="2269" w:anchorLock="1"/>
      <w:widowControl w:val="0"/>
      <w:kinsoku w:val="0"/>
      <w:overflowPunct w:val="0"/>
      <w:autoSpaceDE w:val="0"/>
      <w:autoSpaceDN w:val="0"/>
      <w:spacing w:line="0" w:lineRule="atLeast"/>
      <w:jc w:val="distribute"/>
    </w:pPr>
    <w:rPr>
      <w:rFonts w:hint="eastAsia" w:ascii="Times New Roman" w:hAnsi="Times New Roman" w:eastAsia="黑体" w:cs="Times New Roman"/>
      <w:spacing w:val="-40"/>
      <w:kern w:val="2"/>
      <w:sz w:val="72"/>
      <w:szCs w:val="72"/>
    </w:rPr>
  </w:style>
  <w:style w:type="paragraph" w:customStyle="1" w:styleId="28">
    <w:name w:val="标准称谓3"/>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黑体" w:hAnsi="Times New Roman" w:eastAsia="黑体" w:cs="Times New Roman"/>
      <w:sz w:val="48"/>
    </w:rPr>
  </w:style>
  <w:style w:type="paragraph" w:customStyle="1" w:styleId="29">
    <w:name w:val="标准书脚_奇数页"/>
    <w:qFormat/>
    <w:uiPriority w:val="0"/>
    <w:pPr>
      <w:ind w:right="227"/>
      <w:jc w:val="right"/>
    </w:pPr>
    <w:rPr>
      <w:rFonts w:hint="eastAsia" w:ascii="宋体" w:hAnsi="Times New Roman" w:eastAsia="宋体" w:cs="宋体"/>
      <w:sz w:val="18"/>
    </w:rPr>
  </w:style>
  <w:style w:type="paragraph" w:customStyle="1" w:styleId="30">
    <w:name w:val="标准书眉_奇数页"/>
    <w:next w:val="1"/>
    <w:qFormat/>
    <w:uiPriority w:val="0"/>
    <w:pPr>
      <w:tabs>
        <w:tab w:val="center" w:pos="4153"/>
        <w:tab w:val="right" w:pos="8306"/>
      </w:tabs>
      <w:spacing w:after="120"/>
      <w:jc w:val="right"/>
    </w:pPr>
    <w:rPr>
      <w:rFonts w:hint="eastAsia" w:ascii="黑体" w:hAnsi="Times New Roman" w:eastAsia="黑体" w:cs="黑体"/>
      <w:sz w:val="21"/>
    </w:rPr>
  </w:style>
  <w:style w:type="paragraph" w:customStyle="1" w:styleId="31">
    <w:name w:val="标准书眉_偶数页"/>
    <w:next w:val="1"/>
    <w:qFormat/>
    <w:uiPriority w:val="0"/>
    <w:pPr>
      <w:spacing w:after="120"/>
    </w:pPr>
    <w:rPr>
      <w:rFonts w:hint="eastAsia" w:ascii="黑体" w:hAnsi="Times New Roman" w:eastAsia="黑体" w:cs="黑体"/>
      <w:sz w:val="21"/>
    </w:rPr>
  </w:style>
  <w:style w:type="paragraph" w:customStyle="1" w:styleId="32">
    <w:name w:val="标准文件_参考文献标题"/>
    <w:basedOn w:val="1"/>
    <w:next w:val="1"/>
    <w:qFormat/>
    <w:uiPriority w:val="0"/>
    <w:pPr>
      <w:widowControl/>
      <w:spacing w:before="126" w:beforeLines="40" w:after="157" w:afterLines="50"/>
      <w:jc w:val="center"/>
      <w:outlineLvl w:val="0"/>
    </w:pPr>
    <w:rPr>
      <w:rFonts w:ascii="黑体" w:hAnsi="Times New Roman" w:eastAsia="黑体" w:cs="黑体"/>
      <w:kern w:val="0"/>
    </w:rPr>
  </w:style>
  <w:style w:type="paragraph" w:customStyle="1" w:styleId="33">
    <w:name w:val="封面标准顶部线"/>
    <w:qFormat/>
    <w:uiPriority w:val="0"/>
    <w:pPr>
      <w:framePr w:w="9673" w:hSpace="181" w:wrap="around" w:vAnchor="page" w:hAnchor="page" w:x="1390" w:y="4242"/>
      <w:spacing w:line="0" w:lineRule="atLeast"/>
    </w:pPr>
    <w:rPr>
      <w:rFonts w:hint="eastAsia" w:ascii="宋体" w:hAnsi="Times New Roman" w:eastAsia="宋体" w:cs="Times New Roman"/>
      <w:sz w:val="21"/>
    </w:rPr>
  </w:style>
  <w:style w:type="paragraph" w:customStyle="1" w:styleId="34">
    <w:name w:val="发布部门"/>
    <w:next w:val="23"/>
    <w:qFormat/>
    <w:uiPriority w:val="0"/>
    <w:pPr>
      <w:framePr w:w="7938" w:h="1134" w:hRule="exact" w:hSpace="125" w:vSpace="181" w:wrap="around" w:vAnchor="page" w:hAnchor="page" w:x="2150" w:y="14630" w:anchorLock="1"/>
      <w:spacing w:before="100"/>
      <w:jc w:val="center"/>
    </w:pPr>
    <w:rPr>
      <w:rFonts w:hint="eastAsia" w:ascii="宋体" w:hAnsi="Times New Roman" w:eastAsia="宋体" w:cs="Times New Roman"/>
      <w:spacing w:val="20"/>
      <w:w w:val="135"/>
      <w:sz w:val="28"/>
    </w:rPr>
  </w:style>
  <w:style w:type="paragraph" w:customStyle="1" w:styleId="35">
    <w:name w:val="发布日期"/>
    <w:qFormat/>
    <w:uiPriority w:val="0"/>
    <w:pPr>
      <w:framePr w:w="3997" w:h="471" w:hRule="exact" w:hSpace="181" w:vSpace="181" w:wrap="around" w:vAnchor="margin" w:hAnchor="page" w:y="14080" w:anchorLock="1"/>
      <w:spacing w:line="360" w:lineRule="exact"/>
    </w:pPr>
    <w:rPr>
      <w:rFonts w:hint="eastAsia" w:ascii="黑体" w:hAnsi="Times New Roman" w:eastAsia="黑体" w:cs="Times New Roman"/>
      <w:sz w:val="28"/>
    </w:rPr>
  </w:style>
  <w:style w:type="paragraph" w:customStyle="1" w:styleId="36">
    <w:name w:val="实施日期"/>
    <w:basedOn w:val="35"/>
    <w:qFormat/>
    <w:uiPriority w:val="0"/>
    <w:pPr>
      <w:framePr w:hSpace="0" w:wrap="around" w:vAnchor="page" w:hAnchor="page" w:x="7089" w:y="14176"/>
      <w:jc w:val="right"/>
    </w:pPr>
  </w:style>
  <w:style w:type="paragraph" w:customStyle="1" w:styleId="37">
    <w:name w:val="封面日期"/>
    <w:qFormat/>
    <w:uiPriority w:val="0"/>
    <w:pPr>
      <w:framePr w:w="9673" w:vSpace="181" w:wrap="around" w:vAnchor="page" w:hAnchor="page" w:x="1419" w:y="14176" w:anchorLock="1"/>
      <w:spacing w:line="360" w:lineRule="exact"/>
    </w:pPr>
    <w:rPr>
      <w:rFonts w:hint="eastAsia" w:ascii="黑体" w:hAnsi="Times New Roman" w:eastAsia="黑体" w:cs="Times New Roman"/>
      <w:sz w:val="28"/>
    </w:rPr>
  </w:style>
  <w:style w:type="paragraph" w:customStyle="1" w:styleId="38">
    <w:name w:val="封面标准代替信息"/>
    <w:qFormat/>
    <w:uiPriority w:val="0"/>
    <w:pPr>
      <w:framePr w:w="9355" w:h="624" w:hRule="exact" w:hSpace="181" w:vSpace="181" w:wrap="around" w:vAnchor="page" w:hAnchor="page" w:x="1419" w:y="3284"/>
      <w:spacing w:before="57" w:line="280" w:lineRule="exact"/>
      <w:jc w:val="right"/>
    </w:pPr>
    <w:rPr>
      <w:rFonts w:hint="eastAsia" w:ascii="黑体" w:hAnsi="Times New Roman" w:eastAsia="黑体" w:cs="Times New Roman"/>
      <w:sz w:val="21"/>
    </w:rPr>
  </w:style>
  <w:style w:type="paragraph" w:customStyle="1" w:styleId="39">
    <w:name w:val="封面标准号2"/>
    <w:qFormat/>
    <w:uiPriority w:val="0"/>
    <w:pPr>
      <w:framePr w:w="9355" w:h="624" w:hRule="exact" w:hSpace="181" w:vSpace="181" w:wrap="around" w:vAnchor="page" w:hAnchor="page" w:x="1419" w:y="3284"/>
      <w:spacing w:line="280" w:lineRule="exact"/>
      <w:jc w:val="right"/>
    </w:pPr>
    <w:rPr>
      <w:rFonts w:hint="eastAsia" w:ascii="黑体" w:hAnsi="Times New Roman" w:eastAsia="黑体" w:cs="Times New Roman"/>
      <w:sz w:val="28"/>
    </w:rPr>
  </w:style>
  <w:style w:type="paragraph" w:customStyle="1" w:styleId="40">
    <w:name w:val="封面标准名称"/>
    <w:qFormat/>
    <w:uiPriority w:val="0"/>
    <w:pPr>
      <w:framePr w:w="9639" w:h="6974" w:hRule="exact" w:wrap="around" w:vAnchor="page" w:hAnchor="page" w:x="1419" w:y="6408"/>
      <w:spacing w:line="700" w:lineRule="exact"/>
      <w:jc w:val="center"/>
    </w:pPr>
    <w:rPr>
      <w:rFonts w:hint="eastAsia" w:ascii="黑体" w:hAnsi="Times New Roman" w:eastAsia="黑体" w:cs="Times New Roman"/>
      <w:sz w:val="52"/>
    </w:rPr>
  </w:style>
  <w:style w:type="paragraph" w:customStyle="1" w:styleId="41">
    <w:name w:val="封面标准英文名称"/>
    <w:basedOn w:val="40"/>
    <w:qFormat/>
    <w:uiPriority w:val="0"/>
    <w:pPr>
      <w:widowControl w:val="0"/>
      <w:spacing w:before="410" w:line="360" w:lineRule="exact"/>
      <w:textAlignment w:val="bottom"/>
    </w:pPr>
    <w:rPr>
      <w:rFonts w:ascii="Times New Roman" w:hAnsi="Times New Roman" w:cs="Times New Roman"/>
      <w:sz w:val="28"/>
    </w:rPr>
  </w:style>
  <w:style w:type="paragraph" w:customStyle="1" w:styleId="42">
    <w:name w:val="封面一致性程度标识"/>
    <w:basedOn w:val="41"/>
    <w:qFormat/>
    <w:uiPriority w:val="0"/>
    <w:pPr>
      <w:spacing w:before="760"/>
    </w:pPr>
  </w:style>
  <w:style w:type="paragraph" w:customStyle="1" w:styleId="43">
    <w:name w:val="封面标准文稿类别"/>
    <w:basedOn w:val="42"/>
    <w:qFormat/>
    <w:uiPriority w:val="0"/>
    <w:pPr>
      <w:spacing w:before="440" w:after="160"/>
    </w:pPr>
    <w:rPr>
      <w:rFonts w:ascii="黑体" w:hAnsi="黑体" w:cs="黑体"/>
      <w:sz w:val="24"/>
    </w:rPr>
  </w:style>
  <w:style w:type="paragraph" w:customStyle="1" w:styleId="44">
    <w:name w:val="封面标准文稿编辑信息"/>
    <w:basedOn w:val="43"/>
    <w:qFormat/>
    <w:uiPriority w:val="0"/>
    <w:pPr>
      <w:spacing w:before="180" w:line="240" w:lineRule="atLeast"/>
    </w:pPr>
    <w:rPr>
      <w:sz w:val="21"/>
    </w:rPr>
  </w:style>
  <w:style w:type="paragraph" w:customStyle="1" w:styleId="45">
    <w:name w:val="封面标准文稿附件"/>
    <w:basedOn w:val="43"/>
    <w:qFormat/>
    <w:uiPriority w:val="0"/>
    <w:pPr>
      <w:spacing w:before="937" w:beforeLines="300" w:afterLines="30" w:line="240" w:lineRule="auto"/>
    </w:pPr>
    <w:rPr>
      <w:rFonts w:ascii="Times New Roman" w:hAnsi="Times New Roman" w:cs="Times New Roman"/>
      <w:b/>
      <w:sz w:val="21"/>
    </w:rPr>
  </w:style>
  <w:style w:type="paragraph" w:customStyle="1" w:styleId="46">
    <w:name w:val="其他发布部门"/>
    <w:basedOn w:val="34"/>
    <w:qFormat/>
    <w:uiPriority w:val="0"/>
    <w:pPr>
      <w:framePr w:wrap="around" w:y="15310"/>
      <w:spacing w:line="0" w:lineRule="atLeast"/>
    </w:pPr>
    <w:rPr>
      <w:rFonts w:ascii="黑体" w:hAnsi="黑体" w:eastAsia="黑体" w:cs="黑体"/>
    </w:rPr>
  </w:style>
  <w:style w:type="paragraph" w:customStyle="1" w:styleId="47">
    <w:name w:val="其他发布部门2"/>
    <w:basedOn w:val="34"/>
    <w:qFormat/>
    <w:uiPriority w:val="0"/>
    <w:pPr>
      <w:framePr w:w="7433" w:h="584" w:hRule="exact" w:hSpace="181" w:wrap="around" w:vAnchor="margin" w:hAnchor="margin" w:xAlign="center" w:y="15027"/>
      <w:spacing w:line="0" w:lineRule="atLeast"/>
    </w:pPr>
    <w:rPr>
      <w:rFonts w:ascii="黑体" w:hAnsi="黑体" w:eastAsia="黑体" w:cs="Times New Roman"/>
      <w:spacing w:val="0"/>
      <w:w w:val="100"/>
    </w:rPr>
  </w:style>
  <w:style w:type="paragraph" w:customStyle="1" w:styleId="48">
    <w:name w:val="其他发布部门3"/>
    <w:qFormat/>
    <w:uiPriority w:val="0"/>
    <w:pPr>
      <w:framePr w:w="9248" w:h="1259" w:hRule="exact" w:hSpace="181" w:vSpace="181" w:wrap="auto" w:vAnchor="margin" w:hAnchor="margin" w:xAlign="center" w:y="14545"/>
      <w:spacing w:line="0" w:lineRule="atLeast"/>
      <w:jc w:val="center"/>
    </w:pPr>
    <w:rPr>
      <w:rFonts w:hint="eastAsia" w:ascii="黑体" w:hAnsi="Times New Roman" w:eastAsia="黑体" w:cs="Times New Roman"/>
      <w:sz w:val="28"/>
    </w:rPr>
  </w:style>
  <w:style w:type="paragraph" w:customStyle="1" w:styleId="49">
    <w:name w:val="其他发布日期"/>
    <w:basedOn w:val="35"/>
    <w:qFormat/>
    <w:uiPriority w:val="0"/>
    <w:pPr>
      <w:framePr w:hSpace="0" w:wrap="around" w:vAnchor="page" w:hAnchor="page" w:x="1419" w:y="14176"/>
    </w:pPr>
  </w:style>
  <w:style w:type="paragraph" w:customStyle="1" w:styleId="50">
    <w:name w:val="其他实施日期"/>
    <w:basedOn w:val="36"/>
    <w:qFormat/>
    <w:uiPriority w:val="0"/>
  </w:style>
  <w:style w:type="paragraph" w:customStyle="1" w:styleId="51">
    <w:name w:val="文献分类号"/>
    <w:qFormat/>
    <w:uiPriority w:val="0"/>
    <w:pPr>
      <w:framePr w:wrap="around" w:vAnchor="page" w:hAnchor="page" w:x="1373" w:y="568"/>
      <w:widowControl w:val="0"/>
      <w:textAlignment w:val="center"/>
    </w:pPr>
    <w:rPr>
      <w:rFonts w:hint="eastAsia" w:ascii="黑体" w:hAnsi="Times New Roman" w:eastAsia="黑体" w:cs="Times New Roman"/>
      <w:kern w:val="21"/>
      <w:sz w:val="21"/>
    </w:rPr>
  </w:style>
  <w:style w:type="paragraph" w:customStyle="1" w:styleId="52">
    <w:name w:val="标准文件_目录标题"/>
    <w:basedOn w:val="1"/>
    <w:qFormat/>
    <w:uiPriority w:val="0"/>
    <w:pPr>
      <w:shd w:val="clear" w:fill="FFFFFF"/>
      <w:spacing w:after="469" w:afterLines="150"/>
      <w:jc w:val="center"/>
    </w:pPr>
    <w:rPr>
      <w:rFonts w:ascii="黑体" w:hAnsi="Times New Roman" w:eastAsia="黑体" w:cs="黑体"/>
      <w:kern w:val="0"/>
      <w:sz w:val="32"/>
    </w:rPr>
  </w:style>
  <w:style w:type="paragraph" w:customStyle="1" w:styleId="53">
    <w:name w:val="标准文件_前言、引言标题"/>
    <w:next w:val="1"/>
    <w:qFormat/>
    <w:uiPriority w:val="0"/>
    <w:pPr>
      <w:numPr>
        <w:ilvl w:val="0"/>
        <w:numId w:val="4"/>
      </w:numPr>
      <w:suppressAutoHyphens w:val="0"/>
      <w:spacing w:after="469" w:afterLines="150"/>
      <w:ind w:left="425" w:hanging="425"/>
      <w:jc w:val="center"/>
      <w:outlineLvl w:val="0"/>
    </w:pPr>
    <w:rPr>
      <w:rFonts w:hint="eastAsia" w:ascii="黑体" w:hAnsi="Times New Roman" w:eastAsia="黑体" w:cs="黑体"/>
      <w:sz w:val="32"/>
    </w:rPr>
  </w:style>
  <w:style w:type="paragraph" w:customStyle="1" w:styleId="54">
    <w:name w:val="标准文件_正文标准名称"/>
    <w:basedOn w:val="1"/>
    <w:link w:val="118"/>
    <w:qFormat/>
    <w:uiPriority w:val="0"/>
    <w:pPr>
      <w:widowControl/>
      <w:suppressAutoHyphens w:val="0"/>
      <w:spacing w:after="640" w:line="400" w:lineRule="exact"/>
      <w:jc w:val="center"/>
    </w:pPr>
    <w:rPr>
      <w:rFonts w:ascii="黑体" w:hAnsi="黑体" w:eastAsia="黑体" w:cs="黑体"/>
      <w:sz w:val="32"/>
    </w:rPr>
  </w:style>
  <w:style w:type="paragraph" w:customStyle="1" w:styleId="55">
    <w:name w:val="标准文件_一级项"/>
    <w:next w:val="23"/>
    <w:qFormat/>
    <w:uiPriority w:val="0"/>
    <w:pPr>
      <w:numPr>
        <w:ilvl w:val="0"/>
        <w:numId w:val="5"/>
      </w:numPr>
      <w:suppressAutoHyphens w:val="0"/>
      <w:ind w:left="851" w:hanging="426"/>
    </w:pPr>
    <w:rPr>
      <w:rFonts w:hint="eastAsia" w:ascii="宋体" w:hAnsi="Times New Roman" w:eastAsia="宋体" w:cs="宋体"/>
      <w:sz w:val="21"/>
    </w:rPr>
  </w:style>
  <w:style w:type="paragraph" w:customStyle="1" w:styleId="56">
    <w:name w:val="标准文件_二级项2"/>
    <w:basedOn w:val="23"/>
    <w:next w:val="23"/>
    <w:qFormat/>
    <w:uiPriority w:val="0"/>
    <w:pPr>
      <w:numPr>
        <w:ilvl w:val="1"/>
        <w:numId w:val="5"/>
      </w:numPr>
      <w:suppressAutoHyphens w:val="0"/>
      <w:ind w:left="1270" w:hanging="419"/>
    </w:pPr>
    <w:rPr>
      <w:rFonts w:hint="eastAsia" w:ascii="宋体" w:hAnsi="Times New Roman" w:eastAsia="宋体" w:cs="Times New Roman"/>
      <w:sz w:val="21"/>
    </w:rPr>
  </w:style>
  <w:style w:type="paragraph" w:customStyle="1" w:styleId="57">
    <w:name w:val="标准文件_三级项"/>
    <w:basedOn w:val="1"/>
    <w:next w:val="23"/>
    <w:qFormat/>
    <w:uiPriority w:val="0"/>
    <w:pPr>
      <w:numPr>
        <w:ilvl w:val="2"/>
        <w:numId w:val="6"/>
      </w:numPr>
      <w:suppressAutoHyphens w:val="0"/>
      <w:spacing w:line="300" w:lineRule="exact"/>
      <w:ind w:left="1678" w:hanging="414"/>
    </w:pPr>
    <w:rPr>
      <w:rFonts w:hAnsi="+西文正文"/>
    </w:rPr>
  </w:style>
  <w:style w:type="paragraph" w:customStyle="1" w:styleId="58">
    <w:name w:val="标准文件_字母编号列项（一级）"/>
    <w:next w:val="23"/>
    <w:qFormat/>
    <w:uiPriority w:val="0"/>
    <w:pPr>
      <w:numPr>
        <w:ilvl w:val="0"/>
        <w:numId w:val="6"/>
      </w:numPr>
      <w:tabs>
        <w:tab w:val="left" w:pos="839"/>
      </w:tabs>
      <w:ind w:left="851" w:hanging="426"/>
      <w:jc w:val="both"/>
    </w:pPr>
    <w:rPr>
      <w:rFonts w:hint="eastAsia" w:ascii="宋体" w:hAnsi="Times New Roman" w:eastAsia="宋体" w:cs="宋体"/>
      <w:sz w:val="21"/>
    </w:rPr>
  </w:style>
  <w:style w:type="paragraph" w:customStyle="1" w:styleId="59">
    <w:name w:val="标准文件_数字编号列项（二级）"/>
    <w:next w:val="23"/>
    <w:qFormat/>
    <w:uiPriority w:val="0"/>
    <w:pPr>
      <w:numPr>
        <w:ilvl w:val="1"/>
        <w:numId w:val="6"/>
      </w:numPr>
      <w:tabs>
        <w:tab w:val="left" w:pos="1259"/>
        <w:tab w:val="clear" w:pos="1276"/>
      </w:tabs>
      <w:ind w:left="1259" w:hanging="419"/>
      <w:jc w:val="both"/>
    </w:pPr>
    <w:rPr>
      <w:rFonts w:hint="eastAsia" w:ascii="宋体" w:hAnsi="Times New Roman" w:eastAsia="宋体" w:cs="Times New Roman"/>
      <w:sz w:val="21"/>
    </w:rPr>
  </w:style>
  <w:style w:type="paragraph" w:customStyle="1" w:styleId="60">
    <w:name w:val="标准文件_引言一级条标题"/>
    <w:basedOn w:val="23"/>
    <w:next w:val="23"/>
    <w:qFormat/>
    <w:uiPriority w:val="0"/>
    <w:pPr>
      <w:numPr>
        <w:ilvl w:val="1"/>
        <w:numId w:val="4"/>
      </w:numPr>
      <w:spacing w:before="157" w:beforeLines="50" w:after="157" w:afterLines="50"/>
    </w:pPr>
    <w:rPr>
      <w:rFonts w:ascii="黑体" w:hAnsi="黑体" w:eastAsia="黑体" w:cs="黑体"/>
    </w:rPr>
  </w:style>
  <w:style w:type="paragraph" w:customStyle="1" w:styleId="61">
    <w:name w:val="标准文件_引言二级条标题"/>
    <w:basedOn w:val="23"/>
    <w:next w:val="23"/>
    <w:qFormat/>
    <w:uiPriority w:val="0"/>
    <w:pPr>
      <w:numPr>
        <w:ilvl w:val="2"/>
        <w:numId w:val="4"/>
      </w:numPr>
      <w:spacing w:before="157" w:beforeLines="50" w:after="157" w:afterLines="50"/>
    </w:pPr>
    <w:rPr>
      <w:rFonts w:ascii="黑体" w:hAnsi="黑体" w:eastAsia="黑体" w:cs="黑体"/>
    </w:rPr>
  </w:style>
  <w:style w:type="paragraph" w:customStyle="1" w:styleId="62">
    <w:name w:val="标准文件_引言三级条标题"/>
    <w:basedOn w:val="23"/>
    <w:next w:val="23"/>
    <w:qFormat/>
    <w:uiPriority w:val="0"/>
    <w:pPr>
      <w:numPr>
        <w:ilvl w:val="3"/>
        <w:numId w:val="4"/>
      </w:numPr>
      <w:spacing w:before="157" w:beforeLines="50" w:after="157" w:afterLines="50"/>
    </w:pPr>
    <w:rPr>
      <w:rFonts w:ascii="黑体" w:hAnsi="黑体" w:eastAsia="黑体" w:cs="黑体"/>
    </w:rPr>
  </w:style>
  <w:style w:type="paragraph" w:customStyle="1" w:styleId="63">
    <w:name w:val="标准文件_引言四级条标题"/>
    <w:basedOn w:val="23"/>
    <w:next w:val="23"/>
    <w:qFormat/>
    <w:uiPriority w:val="0"/>
    <w:pPr>
      <w:numPr>
        <w:ilvl w:val="4"/>
        <w:numId w:val="4"/>
      </w:numPr>
      <w:spacing w:before="157" w:beforeLines="50" w:after="157" w:afterLines="50"/>
    </w:pPr>
    <w:rPr>
      <w:rFonts w:ascii="黑体" w:hAnsi="黑体" w:eastAsia="黑体" w:cs="黑体"/>
    </w:rPr>
  </w:style>
  <w:style w:type="paragraph" w:customStyle="1" w:styleId="64">
    <w:name w:val="标准文件_引言五级条标题"/>
    <w:basedOn w:val="23"/>
    <w:next w:val="23"/>
    <w:qFormat/>
    <w:uiPriority w:val="0"/>
    <w:pPr>
      <w:numPr>
        <w:ilvl w:val="5"/>
        <w:numId w:val="4"/>
      </w:numPr>
      <w:spacing w:before="157" w:beforeLines="50" w:after="157" w:afterLines="50"/>
    </w:pPr>
    <w:rPr>
      <w:rFonts w:ascii="黑体" w:hAnsi="黑体" w:eastAsia="黑体" w:cs="黑体"/>
    </w:rPr>
  </w:style>
  <w:style w:type="paragraph" w:customStyle="1" w:styleId="65">
    <w:name w:val="标准文件_引言一级无标题"/>
    <w:basedOn w:val="60"/>
    <w:next w:val="23"/>
    <w:qFormat/>
    <w:uiPriority w:val="0"/>
    <w:pPr>
      <w:spacing w:before="4" w:beforeLines="1" w:after="4" w:afterLines="1" w:line="276" w:lineRule="auto"/>
    </w:pPr>
    <w:rPr>
      <w:rFonts w:ascii="宋体" w:hAnsi="宋体" w:eastAsia="宋体" w:cs="宋体"/>
    </w:rPr>
  </w:style>
  <w:style w:type="paragraph" w:customStyle="1" w:styleId="66">
    <w:name w:val="标准文件_引言二级无标题"/>
    <w:basedOn w:val="61"/>
    <w:next w:val="23"/>
    <w:qFormat/>
    <w:uiPriority w:val="0"/>
    <w:pPr>
      <w:spacing w:before="4" w:beforeLines="1" w:after="4" w:afterLines="1" w:line="276" w:lineRule="auto"/>
    </w:pPr>
    <w:rPr>
      <w:rFonts w:ascii="宋体" w:hAnsi="宋体" w:eastAsia="宋体" w:cs="宋体"/>
    </w:rPr>
  </w:style>
  <w:style w:type="paragraph" w:customStyle="1" w:styleId="67">
    <w:name w:val="标准文件_引言三级无标题"/>
    <w:basedOn w:val="62"/>
    <w:next w:val="23"/>
    <w:qFormat/>
    <w:uiPriority w:val="0"/>
    <w:pPr>
      <w:spacing w:before="4" w:beforeLines="1" w:after="4" w:afterLines="1" w:line="276" w:lineRule="auto"/>
    </w:pPr>
    <w:rPr>
      <w:rFonts w:ascii="宋体" w:hAnsi="宋体" w:eastAsia="宋体" w:cs="宋体"/>
    </w:rPr>
  </w:style>
  <w:style w:type="paragraph" w:customStyle="1" w:styleId="68">
    <w:name w:val="标准文件_引言四级无标题"/>
    <w:basedOn w:val="63"/>
    <w:next w:val="23"/>
    <w:qFormat/>
    <w:uiPriority w:val="0"/>
    <w:pPr>
      <w:spacing w:before="4" w:beforeLines="1" w:after="4" w:afterLines="1" w:line="276" w:lineRule="auto"/>
    </w:pPr>
    <w:rPr>
      <w:rFonts w:ascii="宋体" w:hAnsi="宋体" w:eastAsia="宋体" w:cs="宋体"/>
    </w:rPr>
  </w:style>
  <w:style w:type="paragraph" w:customStyle="1" w:styleId="69">
    <w:name w:val="标准文件_引言五级无标题"/>
    <w:basedOn w:val="64"/>
    <w:next w:val="23"/>
    <w:qFormat/>
    <w:uiPriority w:val="0"/>
    <w:pPr>
      <w:spacing w:before="4" w:beforeLines="1" w:after="4" w:afterLines="1" w:line="276" w:lineRule="auto"/>
    </w:pPr>
    <w:rPr>
      <w:rFonts w:ascii="宋体" w:hAnsi="宋体" w:eastAsia="宋体" w:cs="宋体"/>
    </w:rPr>
  </w:style>
  <w:style w:type="paragraph" w:customStyle="1" w:styleId="70">
    <w:name w:val="标准文件_章标题"/>
    <w:next w:val="23"/>
    <w:qFormat/>
    <w:uiPriority w:val="0"/>
    <w:pPr>
      <w:numPr>
        <w:ilvl w:val="0"/>
        <w:numId w:val="7"/>
      </w:numPr>
      <w:suppressAutoHyphens w:val="0"/>
      <w:spacing w:before="313" w:beforeLines="100" w:after="313" w:afterLines="100"/>
      <w:jc w:val="both"/>
      <w:outlineLvl w:val="0"/>
    </w:pPr>
    <w:rPr>
      <w:rFonts w:hint="eastAsia" w:ascii="黑体" w:hAnsi="Times New Roman" w:eastAsia="黑体" w:cs="黑体"/>
      <w:sz w:val="21"/>
    </w:rPr>
  </w:style>
  <w:style w:type="paragraph" w:customStyle="1" w:styleId="71">
    <w:name w:val="标准文件_一级条标题"/>
    <w:basedOn w:val="70"/>
    <w:next w:val="23"/>
    <w:qFormat/>
    <w:uiPriority w:val="0"/>
    <w:pPr>
      <w:numPr>
        <w:ilvl w:val="1"/>
      </w:numPr>
      <w:spacing w:before="157" w:beforeLines="50" w:after="157" w:afterLines="50"/>
      <w:outlineLvl w:val="1"/>
    </w:pPr>
    <w:rPr>
      <w:rFonts w:hAnsi="Times New Roman"/>
    </w:rPr>
  </w:style>
  <w:style w:type="paragraph" w:customStyle="1" w:styleId="72">
    <w:name w:val="标准文件_二级条标题"/>
    <w:next w:val="23"/>
    <w:qFormat/>
    <w:uiPriority w:val="0"/>
    <w:pPr>
      <w:numPr>
        <w:ilvl w:val="2"/>
        <w:numId w:val="7"/>
      </w:numPr>
      <w:suppressAutoHyphens w:val="0"/>
      <w:spacing w:before="157" w:beforeLines="50" w:after="157" w:afterLines="50"/>
      <w:jc w:val="both"/>
      <w:outlineLvl w:val="2"/>
    </w:pPr>
    <w:rPr>
      <w:rFonts w:hint="eastAsia" w:ascii="黑体" w:hAnsi="黑体" w:eastAsia="黑体" w:cs="黑体"/>
      <w:sz w:val="21"/>
    </w:rPr>
  </w:style>
  <w:style w:type="paragraph" w:customStyle="1" w:styleId="73">
    <w:name w:val="标准文件_三级条标题"/>
    <w:basedOn w:val="72"/>
    <w:next w:val="23"/>
    <w:qFormat/>
    <w:uiPriority w:val="0"/>
    <w:pPr>
      <w:numPr>
        <w:ilvl w:val="3"/>
      </w:numPr>
      <w:spacing w:before="157" w:after="157"/>
      <w:outlineLvl w:val="3"/>
    </w:pPr>
  </w:style>
  <w:style w:type="paragraph" w:customStyle="1" w:styleId="74">
    <w:name w:val="标准文件_四级条标题"/>
    <w:next w:val="23"/>
    <w:qFormat/>
    <w:uiPriority w:val="0"/>
    <w:pPr>
      <w:numPr>
        <w:ilvl w:val="4"/>
        <w:numId w:val="7"/>
      </w:numPr>
      <w:suppressAutoHyphens w:val="0"/>
      <w:spacing w:before="157" w:beforeLines="50" w:after="157" w:afterLines="50"/>
      <w:jc w:val="both"/>
      <w:outlineLvl w:val="4"/>
    </w:pPr>
    <w:rPr>
      <w:rFonts w:hint="eastAsia" w:ascii="黑体" w:hAnsi="黑体" w:eastAsia="黑体" w:cs="黑体"/>
      <w:sz w:val="21"/>
    </w:rPr>
  </w:style>
  <w:style w:type="paragraph" w:customStyle="1" w:styleId="75">
    <w:name w:val="标准文件_五级条标题"/>
    <w:next w:val="23"/>
    <w:qFormat/>
    <w:uiPriority w:val="0"/>
    <w:pPr>
      <w:numPr>
        <w:ilvl w:val="5"/>
        <w:numId w:val="7"/>
      </w:numPr>
      <w:suppressAutoHyphens w:val="0"/>
      <w:spacing w:before="157" w:beforeLines="50" w:after="157" w:afterLines="50"/>
      <w:jc w:val="both"/>
      <w:outlineLvl w:val="4"/>
    </w:pPr>
    <w:rPr>
      <w:rFonts w:hint="eastAsia" w:ascii="黑体" w:hAnsi="黑体" w:eastAsia="黑体" w:cs="黑体"/>
      <w:sz w:val="21"/>
    </w:rPr>
  </w:style>
  <w:style w:type="paragraph" w:customStyle="1" w:styleId="76">
    <w:name w:val="标准文件_一级无标题"/>
    <w:basedOn w:val="71"/>
    <w:qFormat/>
    <w:uiPriority w:val="0"/>
    <w:pPr>
      <w:spacing w:before="4" w:beforeLines="1" w:after="4" w:afterLines="1"/>
      <w:outlineLvl w:val="9"/>
    </w:pPr>
    <w:rPr>
      <w:rFonts w:ascii="宋体" w:hAnsi="宋体" w:eastAsia="宋体" w:cs="宋体"/>
    </w:rPr>
  </w:style>
  <w:style w:type="paragraph" w:customStyle="1" w:styleId="77">
    <w:name w:val="标准文件_二级无标题"/>
    <w:basedOn w:val="72"/>
    <w:qFormat/>
    <w:uiPriority w:val="0"/>
    <w:pPr>
      <w:spacing w:before="4" w:beforeLines="1" w:after="4" w:afterLines="1"/>
      <w:outlineLvl w:val="9"/>
    </w:pPr>
    <w:rPr>
      <w:rFonts w:ascii="宋体" w:hAnsi="宋体" w:eastAsia="宋体" w:cs="宋体"/>
    </w:rPr>
  </w:style>
  <w:style w:type="paragraph" w:customStyle="1" w:styleId="78">
    <w:name w:val="标准文件_三级无标题"/>
    <w:basedOn w:val="73"/>
    <w:qFormat/>
    <w:uiPriority w:val="0"/>
    <w:pPr>
      <w:spacing w:before="4" w:beforeLines="1" w:after="4" w:afterLines="1"/>
      <w:outlineLvl w:val="9"/>
    </w:pPr>
    <w:rPr>
      <w:rFonts w:ascii="宋体" w:hAnsi="宋体" w:eastAsia="宋体" w:cs="宋体"/>
    </w:rPr>
  </w:style>
  <w:style w:type="paragraph" w:customStyle="1" w:styleId="79">
    <w:name w:val="标准文件_四级无标题"/>
    <w:basedOn w:val="74"/>
    <w:qFormat/>
    <w:uiPriority w:val="0"/>
    <w:pPr>
      <w:spacing w:before="4" w:beforeLines="1" w:after="4" w:afterLines="1"/>
      <w:outlineLvl w:val="9"/>
    </w:pPr>
    <w:rPr>
      <w:rFonts w:ascii="宋体" w:hAnsi="宋体" w:eastAsia="宋体" w:cs="宋体"/>
    </w:rPr>
  </w:style>
  <w:style w:type="paragraph" w:customStyle="1" w:styleId="80">
    <w:name w:val="标准文件_五级无标题"/>
    <w:basedOn w:val="75"/>
    <w:qFormat/>
    <w:uiPriority w:val="0"/>
    <w:pPr>
      <w:spacing w:before="4" w:beforeLines="1" w:after="4" w:afterLines="1"/>
      <w:outlineLvl w:val="9"/>
    </w:pPr>
    <w:rPr>
      <w:rFonts w:ascii="宋体" w:hAnsi="宋体" w:eastAsia="宋体" w:cs="宋体"/>
    </w:rPr>
  </w:style>
  <w:style w:type="paragraph" w:customStyle="1" w:styleId="81">
    <w:name w:val="标准文件_术语条一"/>
    <w:basedOn w:val="76"/>
    <w:next w:val="23"/>
    <w:qFormat/>
    <w:uiPriority w:val="0"/>
    <w:pPr>
      <w:ind w:left="960" w:hanging="960" w:hangingChars="200"/>
    </w:pPr>
    <w:rPr>
      <w:rFonts w:ascii="黑体" w:hAnsi="黑体" w:eastAsia="黑体" w:cs="黑体"/>
    </w:rPr>
  </w:style>
  <w:style w:type="paragraph" w:customStyle="1" w:styleId="82">
    <w:name w:val="标准文件_术语条二"/>
    <w:basedOn w:val="77"/>
    <w:next w:val="23"/>
    <w:qFormat/>
    <w:uiPriority w:val="0"/>
    <w:pPr>
      <w:ind w:left="960" w:hanging="960" w:hangingChars="200"/>
    </w:pPr>
    <w:rPr>
      <w:rFonts w:ascii="黑体" w:hAnsi="黑体" w:eastAsia="黑体" w:cs="黑体"/>
    </w:rPr>
  </w:style>
  <w:style w:type="paragraph" w:customStyle="1" w:styleId="83">
    <w:name w:val="标准文件_术语条三"/>
    <w:basedOn w:val="78"/>
    <w:next w:val="23"/>
    <w:qFormat/>
    <w:uiPriority w:val="0"/>
    <w:pPr>
      <w:ind w:left="960" w:hanging="960" w:hangingChars="200"/>
    </w:pPr>
    <w:rPr>
      <w:rFonts w:ascii="黑体" w:hAnsi="黑体" w:eastAsia="黑体" w:cs="黑体"/>
    </w:rPr>
  </w:style>
  <w:style w:type="paragraph" w:customStyle="1" w:styleId="84">
    <w:name w:val="标准文件_术语条四"/>
    <w:basedOn w:val="79"/>
    <w:next w:val="23"/>
    <w:qFormat/>
    <w:uiPriority w:val="0"/>
    <w:pPr>
      <w:ind w:left="960" w:hanging="960" w:hangingChars="200"/>
    </w:pPr>
    <w:rPr>
      <w:rFonts w:ascii="黑体" w:hAnsi="黑体" w:eastAsia="黑体" w:cs="黑体"/>
    </w:rPr>
  </w:style>
  <w:style w:type="paragraph" w:customStyle="1" w:styleId="85">
    <w:name w:val="标准文件_术语条五"/>
    <w:basedOn w:val="80"/>
    <w:next w:val="23"/>
    <w:qFormat/>
    <w:uiPriority w:val="0"/>
    <w:pPr>
      <w:ind w:left="960" w:hanging="960" w:hangingChars="200"/>
    </w:pPr>
    <w:rPr>
      <w:rFonts w:ascii="黑体" w:hAnsi="黑体" w:eastAsia="黑体" w:cs="黑体"/>
    </w:rPr>
  </w:style>
  <w:style w:type="paragraph" w:customStyle="1" w:styleId="86">
    <w:name w:val="标准文件_附录标识"/>
    <w:basedOn w:val="1"/>
    <w:next w:val="23"/>
    <w:qFormat/>
    <w:uiPriority w:val="0"/>
    <w:pPr>
      <w:widowControl/>
      <w:numPr>
        <w:ilvl w:val="0"/>
        <w:numId w:val="8"/>
      </w:numPr>
      <w:suppressAutoHyphens w:val="0"/>
      <w:spacing w:before="79" w:beforeLines="25" w:after="157" w:afterLines="50"/>
      <w:jc w:val="center"/>
      <w:outlineLvl w:val="0"/>
    </w:pPr>
    <w:rPr>
      <w:rFonts w:ascii="黑体" w:hAnsi="黑体" w:eastAsia="黑体" w:cs="黑体"/>
    </w:rPr>
  </w:style>
  <w:style w:type="paragraph" w:customStyle="1" w:styleId="87">
    <w:name w:val="标准文件_附录一级条标题"/>
    <w:next w:val="23"/>
    <w:qFormat/>
    <w:uiPriority w:val="0"/>
    <w:pPr>
      <w:numPr>
        <w:ilvl w:val="1"/>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88">
    <w:name w:val="标准文件_附录二级条标题"/>
    <w:next w:val="23"/>
    <w:qFormat/>
    <w:uiPriority w:val="0"/>
    <w:pPr>
      <w:numPr>
        <w:ilvl w:val="2"/>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89">
    <w:name w:val="标准文件_附录三级条标题"/>
    <w:next w:val="23"/>
    <w:qFormat/>
    <w:uiPriority w:val="0"/>
    <w:pPr>
      <w:numPr>
        <w:ilvl w:val="3"/>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0">
    <w:name w:val="标准文件_附录四级条标题"/>
    <w:next w:val="23"/>
    <w:qFormat/>
    <w:uiPriority w:val="0"/>
    <w:pPr>
      <w:numPr>
        <w:ilvl w:val="4"/>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1">
    <w:name w:val="标准文件_附录五级条标题"/>
    <w:next w:val="23"/>
    <w:qFormat/>
    <w:uiPriority w:val="0"/>
    <w:pPr>
      <w:numPr>
        <w:ilvl w:val="5"/>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2">
    <w:name w:val="标准文件_附录一级无标题"/>
    <w:basedOn w:val="87"/>
    <w:qFormat/>
    <w:uiPriority w:val="0"/>
    <w:pPr>
      <w:spacing w:before="4" w:beforeLines="1" w:after="4" w:afterLines="1" w:line="276" w:lineRule="auto"/>
    </w:pPr>
    <w:rPr>
      <w:rFonts w:ascii="宋体" w:hAnsi="宋体" w:eastAsia="宋体" w:cs="宋体"/>
    </w:rPr>
  </w:style>
  <w:style w:type="paragraph" w:customStyle="1" w:styleId="93">
    <w:name w:val="标准文件_附录二级无标题"/>
    <w:basedOn w:val="88"/>
    <w:qFormat/>
    <w:uiPriority w:val="0"/>
    <w:pPr>
      <w:spacing w:before="4" w:beforeLines="1" w:after="4" w:afterLines="1" w:line="276" w:lineRule="auto"/>
    </w:pPr>
    <w:rPr>
      <w:rFonts w:ascii="宋体" w:hAnsi="宋体" w:eastAsia="宋体" w:cs="宋体"/>
    </w:rPr>
  </w:style>
  <w:style w:type="paragraph" w:customStyle="1" w:styleId="94">
    <w:name w:val="标准文件_附录三级无标题"/>
    <w:basedOn w:val="89"/>
    <w:qFormat/>
    <w:uiPriority w:val="0"/>
    <w:pPr>
      <w:spacing w:before="4" w:beforeLines="1" w:after="4" w:afterLines="1" w:line="276" w:lineRule="auto"/>
    </w:pPr>
    <w:rPr>
      <w:rFonts w:ascii="宋体" w:hAnsi="宋体" w:eastAsia="宋体" w:cs="宋体"/>
    </w:rPr>
  </w:style>
  <w:style w:type="paragraph" w:customStyle="1" w:styleId="95">
    <w:name w:val="标准文件_附录四级无标题"/>
    <w:basedOn w:val="90"/>
    <w:qFormat/>
    <w:uiPriority w:val="0"/>
    <w:pPr>
      <w:spacing w:before="4" w:beforeLines="1" w:after="4" w:afterLines="1" w:line="276" w:lineRule="auto"/>
    </w:pPr>
    <w:rPr>
      <w:rFonts w:ascii="宋体" w:hAnsi="宋体" w:eastAsia="宋体" w:cs="宋体"/>
    </w:rPr>
  </w:style>
  <w:style w:type="paragraph" w:customStyle="1" w:styleId="96">
    <w:name w:val="标准文件_附录五级无标题"/>
    <w:basedOn w:val="91"/>
    <w:qFormat/>
    <w:uiPriority w:val="0"/>
    <w:pPr>
      <w:spacing w:before="4" w:beforeLines="1" w:after="4" w:afterLines="1" w:line="276" w:lineRule="auto"/>
    </w:pPr>
    <w:rPr>
      <w:rFonts w:ascii="宋体" w:hAnsi="宋体" w:eastAsia="宋体" w:cs="宋体"/>
    </w:rPr>
  </w:style>
  <w:style w:type="paragraph" w:customStyle="1" w:styleId="97">
    <w:name w:val="附录图标号"/>
    <w:basedOn w:val="23"/>
    <w:next w:val="23"/>
    <w:qFormat/>
    <w:uiPriority w:val="0"/>
    <w:pPr>
      <w:numPr>
        <w:ilvl w:val="0"/>
        <w:numId w:val="2"/>
      </w:numPr>
      <w:spacing w:line="14" w:lineRule="exact"/>
      <w:ind w:left="425"/>
      <w:jc w:val="center"/>
    </w:pPr>
    <w:rPr>
      <w:sz w:val="2"/>
    </w:rPr>
  </w:style>
  <w:style w:type="paragraph" w:customStyle="1" w:styleId="98">
    <w:name w:val="附录图标题"/>
    <w:next w:val="23"/>
    <w:qFormat/>
    <w:uiPriority w:val="0"/>
    <w:pPr>
      <w:numPr>
        <w:ilvl w:val="1"/>
        <w:numId w:val="2"/>
      </w:numPr>
      <w:spacing w:before="157" w:beforeLines="50" w:after="157" w:afterLines="50"/>
      <w:jc w:val="center"/>
    </w:pPr>
    <w:rPr>
      <w:rFonts w:hint="eastAsia" w:ascii="黑体" w:hAnsi="黑体" w:eastAsia="黑体" w:cs="黑体"/>
      <w:sz w:val="21"/>
    </w:rPr>
  </w:style>
  <w:style w:type="paragraph" w:customStyle="1" w:styleId="99">
    <w:name w:val="附录表标号"/>
    <w:basedOn w:val="23"/>
    <w:next w:val="23"/>
    <w:qFormat/>
    <w:uiPriority w:val="0"/>
    <w:pPr>
      <w:numPr>
        <w:ilvl w:val="0"/>
        <w:numId w:val="9"/>
      </w:numPr>
      <w:spacing w:line="14" w:lineRule="exact"/>
      <w:ind w:left="425"/>
      <w:jc w:val="center"/>
    </w:pPr>
    <w:rPr>
      <w:sz w:val="2"/>
    </w:rPr>
  </w:style>
  <w:style w:type="paragraph" w:customStyle="1" w:styleId="100">
    <w:name w:val="附录表标题"/>
    <w:next w:val="23"/>
    <w:qFormat/>
    <w:uiPriority w:val="0"/>
    <w:pPr>
      <w:numPr>
        <w:ilvl w:val="1"/>
        <w:numId w:val="9"/>
      </w:numPr>
      <w:spacing w:before="157" w:beforeLines="50" w:after="157" w:afterLines="50"/>
      <w:jc w:val="center"/>
    </w:pPr>
    <w:rPr>
      <w:rFonts w:hint="eastAsia" w:ascii="黑体" w:hAnsi="黑体" w:eastAsia="黑体" w:cs="黑体"/>
      <w:sz w:val="21"/>
    </w:rPr>
  </w:style>
  <w:style w:type="paragraph" w:customStyle="1" w:styleId="101">
    <w:name w:val="标准文件_示例内容"/>
    <w:basedOn w:val="23"/>
    <w:qFormat/>
    <w:uiPriority w:val="0"/>
    <w:pPr>
      <w:suppressAutoHyphens w:val="0"/>
    </w:pPr>
    <w:rPr>
      <w:rFonts w:hAnsi="宋体"/>
      <w:sz w:val="18"/>
    </w:rPr>
  </w:style>
  <w:style w:type="paragraph" w:customStyle="1" w:styleId="102">
    <w:name w:val="标准文件_示例"/>
    <w:next w:val="101"/>
    <w:qFormat/>
    <w:uiPriority w:val="0"/>
    <w:pPr>
      <w:numPr>
        <w:ilvl w:val="0"/>
        <w:numId w:val="10"/>
      </w:numPr>
      <w:suppressAutoHyphens w:val="0"/>
      <w:jc w:val="both"/>
    </w:pPr>
    <w:rPr>
      <w:rFonts w:hint="eastAsia" w:ascii="宋体" w:hAnsi="宋体" w:eastAsia="宋体" w:cs="宋体"/>
      <w:sz w:val="18"/>
    </w:rPr>
  </w:style>
  <w:style w:type="paragraph" w:customStyle="1" w:styleId="103">
    <w:name w:val="标准文件_示例×"/>
    <w:basedOn w:val="1"/>
    <w:next w:val="101"/>
    <w:qFormat/>
    <w:uiPriority w:val="0"/>
    <w:pPr>
      <w:widowControl/>
      <w:numPr>
        <w:ilvl w:val="0"/>
        <w:numId w:val="11"/>
      </w:numPr>
      <w:suppressAutoHyphens w:val="0"/>
      <w:ind w:firstLine="363"/>
    </w:pPr>
    <w:rPr>
      <w:rFonts w:hAnsi="Times New Roman"/>
      <w:sz w:val="18"/>
    </w:rPr>
  </w:style>
  <w:style w:type="paragraph" w:customStyle="1" w:styleId="104">
    <w:name w:val="标准文件_注"/>
    <w:next w:val="23"/>
    <w:qFormat/>
    <w:uiPriority w:val="0"/>
    <w:pPr>
      <w:numPr>
        <w:ilvl w:val="0"/>
        <w:numId w:val="12"/>
      </w:numPr>
      <w:autoSpaceDE w:val="0"/>
      <w:autoSpaceDN w:val="0"/>
      <w:jc w:val="both"/>
    </w:pPr>
    <w:rPr>
      <w:rFonts w:hint="eastAsia" w:ascii="宋体" w:hAnsi="宋体" w:eastAsia="宋体" w:cs="宋体"/>
      <w:sz w:val="18"/>
    </w:rPr>
  </w:style>
  <w:style w:type="paragraph" w:customStyle="1" w:styleId="105">
    <w:name w:val="标准文件_注×"/>
    <w:next w:val="23"/>
    <w:qFormat/>
    <w:uiPriority w:val="0"/>
    <w:pPr>
      <w:numPr>
        <w:ilvl w:val="0"/>
        <w:numId w:val="13"/>
      </w:numPr>
      <w:jc w:val="both"/>
    </w:pPr>
    <w:rPr>
      <w:rFonts w:hint="eastAsia" w:ascii="宋体" w:hAnsi="宋体" w:eastAsia="宋体" w:cs="宋体"/>
      <w:sz w:val="18"/>
    </w:rPr>
  </w:style>
  <w:style w:type="paragraph" w:customStyle="1" w:styleId="106">
    <w:name w:val="标准文件_图表脚注"/>
    <w:basedOn w:val="1"/>
    <w:next w:val="23"/>
    <w:qFormat/>
    <w:uiPriority w:val="0"/>
    <w:pPr>
      <w:numPr>
        <w:ilvl w:val="0"/>
        <w:numId w:val="14"/>
      </w:numPr>
      <w:suppressAutoHyphens w:val="0"/>
      <w:adjustRightInd w:val="0"/>
      <w:jc w:val="left"/>
    </w:pPr>
    <w:rPr>
      <w:rFonts w:hAnsi="宋体"/>
      <w:sz w:val="18"/>
    </w:rPr>
  </w:style>
  <w:style w:type="paragraph" w:customStyle="1" w:styleId="107">
    <w:name w:val="标准文件_标准正文"/>
    <w:basedOn w:val="1"/>
    <w:next w:val="23"/>
    <w:qFormat/>
    <w:uiPriority w:val="0"/>
    <w:pPr>
      <w:ind w:firstLine="960" w:firstLineChars="200"/>
    </w:pPr>
  </w:style>
  <w:style w:type="paragraph" w:customStyle="1" w:styleId="108">
    <w:name w:val="标准文件_正文公式"/>
    <w:basedOn w:val="1"/>
    <w:next w:val="107"/>
    <w:qFormat/>
    <w:uiPriority w:val="0"/>
    <w:pPr>
      <w:tabs>
        <w:tab w:val="center" w:pos="4678"/>
        <w:tab w:val="right" w:leader="middleDot" w:pos="9355"/>
      </w:tabs>
    </w:pPr>
  </w:style>
  <w:style w:type="paragraph" w:customStyle="1" w:styleId="109">
    <w:name w:val="标准文件_表格"/>
    <w:basedOn w:val="23"/>
    <w:qFormat/>
    <w:uiPriority w:val="0"/>
    <w:pPr>
      <w:jc w:val="center"/>
    </w:pPr>
    <w:rPr>
      <w:sz w:val="18"/>
    </w:rPr>
  </w:style>
  <w:style w:type="paragraph" w:customStyle="1" w:styleId="110">
    <w:name w:val="终结线"/>
    <w:basedOn w:val="1"/>
    <w:qFormat/>
    <w:uiPriority w:val="0"/>
    <w:pPr>
      <w:framePr w:hSpace="181" w:vSpace="181" w:wrap="around" w:vAnchor="text" w:hAnchor="margin" w:xAlign="center" w:y="285"/>
    </w:pPr>
    <w:rPr>
      <w:rFonts w:ascii="Times New Roman" w:hAnsi="Times New Roman" w:cs="Times New Roman"/>
      <w:b/>
      <w:sz w:val="34"/>
    </w:rPr>
  </w:style>
  <w:style w:type="paragraph" w:customStyle="1" w:styleId="111">
    <w:name w:val="标准文件_正文表标题"/>
    <w:next w:val="23"/>
    <w:qFormat/>
    <w:uiPriority w:val="0"/>
    <w:pPr>
      <w:numPr>
        <w:ilvl w:val="0"/>
        <w:numId w:val="15"/>
      </w:numPr>
      <w:spacing w:before="157" w:beforeLines="50" w:after="157" w:afterLines="50"/>
      <w:jc w:val="center"/>
    </w:pPr>
    <w:rPr>
      <w:rFonts w:hint="eastAsia" w:ascii="黑体" w:hAnsi="黑体" w:eastAsia="黑体" w:cs="黑体"/>
      <w:sz w:val="21"/>
    </w:rPr>
  </w:style>
  <w:style w:type="paragraph" w:customStyle="1" w:styleId="112">
    <w:name w:val="标准文件_正文图标题"/>
    <w:next w:val="23"/>
    <w:qFormat/>
    <w:uiPriority w:val="0"/>
    <w:pPr>
      <w:numPr>
        <w:ilvl w:val="0"/>
        <w:numId w:val="16"/>
      </w:numPr>
      <w:spacing w:before="157" w:beforeLines="50" w:after="157" w:afterLines="50"/>
      <w:jc w:val="center"/>
    </w:pPr>
    <w:rPr>
      <w:rFonts w:hint="eastAsia" w:ascii="黑体" w:hAnsi="黑体" w:eastAsia="黑体" w:cs="黑体"/>
      <w:sz w:val="21"/>
    </w:rPr>
  </w:style>
  <w:style w:type="paragraph" w:customStyle="1" w:styleId="113">
    <w:name w:val="标准文件_索引标题"/>
    <w:basedOn w:val="32"/>
    <w:next w:val="23"/>
    <w:qFormat/>
    <w:uiPriority w:val="0"/>
    <w:rPr>
      <w:rFonts w:hAnsi="黑体"/>
    </w:rPr>
  </w:style>
  <w:style w:type="paragraph" w:customStyle="1" w:styleId="114">
    <w:name w:val="标准文件_索引项"/>
    <w:basedOn w:val="23"/>
    <w:next w:val="23"/>
    <w:qFormat/>
    <w:uiPriority w:val="0"/>
    <w:pPr>
      <w:tabs>
        <w:tab w:val="right" w:leader="dot" w:pos="9355"/>
      </w:tabs>
      <w:autoSpaceDE w:val="0"/>
      <w:autoSpaceDN w:val="0"/>
      <w:ind w:left="177" w:hanging="177" w:hangingChars="37"/>
      <w:jc w:val="left"/>
    </w:pPr>
  </w:style>
  <w:style w:type="paragraph" w:customStyle="1" w:styleId="115">
    <w:name w:val="标准文件_索引字母"/>
    <w:next w:val="23"/>
    <w:qFormat/>
    <w:uiPriority w:val="0"/>
    <w:pPr>
      <w:jc w:val="center"/>
    </w:pPr>
    <w:rPr>
      <w:rFonts w:hint="eastAsia" w:ascii="宋体" w:hAnsi="宋体" w:eastAsia="宋体" w:cs="宋体"/>
      <w:b/>
      <w:kern w:val="2"/>
      <w:sz w:val="21"/>
    </w:rPr>
  </w:style>
  <w:style w:type="paragraph" w:customStyle="1" w:styleId="116">
    <w:name w:val="标准文件_提示"/>
    <w:basedOn w:val="1"/>
    <w:qFormat/>
    <w:uiPriority w:val="0"/>
    <w:pPr>
      <w:ind w:firstLine="960" w:firstLineChars="200"/>
    </w:pPr>
    <w:rPr>
      <w:rFonts w:ascii="黑体" w:hAnsi="黑体" w:eastAsia="黑体" w:cs="黑体"/>
    </w:rPr>
  </w:style>
  <w:style w:type="paragraph" w:customStyle="1" w:styleId="117">
    <w:name w:val="标准文件_参考文献编号"/>
    <w:basedOn w:val="23"/>
    <w:qFormat/>
    <w:uiPriority w:val="0"/>
    <w:pPr>
      <w:numPr>
        <w:ilvl w:val="0"/>
        <w:numId w:val="17"/>
      </w:numPr>
    </w:pPr>
  </w:style>
  <w:style w:type="character" w:customStyle="1" w:styleId="118">
    <w:name w:val="标准文件_正文标准名称 Char"/>
    <w:link w:val="54"/>
    <w:qFormat/>
    <w:uiPriority w:val="0"/>
    <w:rPr>
      <w:rFonts w:ascii="黑体" w:hAnsi="黑体" w:eastAsia="黑体" w:cs="黑体"/>
      <w:sz w:val="32"/>
    </w:rPr>
  </w:style>
  <w:style w:type="paragraph" w:customStyle="1" w:styleId="11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20">
    <w:name w:val="注：（正文）"/>
    <w:basedOn w:val="121"/>
    <w:next w:val="119"/>
    <w:qFormat/>
    <w:uiPriority w:val="0"/>
    <w:pPr>
      <w:numPr>
        <w:ilvl w:val="0"/>
        <w:numId w:val="18"/>
      </w:numPr>
    </w:pPr>
  </w:style>
  <w:style w:type="paragraph" w:customStyle="1" w:styleId="121">
    <w:name w:val="注："/>
    <w:next w:val="119"/>
    <w:qFormat/>
    <w:uiPriority w:val="0"/>
    <w:pPr>
      <w:widowControl w:val="0"/>
      <w:numPr>
        <w:ilvl w:val="0"/>
        <w:numId w:val="19"/>
      </w:numPr>
      <w:autoSpaceDE w:val="0"/>
      <w:autoSpaceDN w:val="0"/>
      <w:jc w:val="both"/>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43a72de-6420-4734-a0dc-b6c3f8f378bc}"/>
        <w:style w:val=""/>
        <w:category>
          <w:name w:val="常规"/>
          <w:gallery w:val="placeholder"/>
        </w:category>
        <w:types>
          <w:type w:val="bbPlcHdr"/>
        </w:types>
        <w:behaviors>
          <w:behavior w:val="content"/>
        </w:behaviors>
        <w:description w:val=""/>
        <w:guid w:val="{e43a72de-6420-4734-a0dc-b6c3f8f378bc}"/>
      </w:docPartPr>
      <w:docPartBody>
        <w:p w14:paraId="3F1CEEB0">
          <w:r>
            <w:rPr>
              <w:color w:val="808080"/>
            </w:rPr>
            <w:t>选择一项。</w:t>
          </w:r>
        </w:p>
      </w:docPartBody>
    </w:docPart>
    <w:docPart>
      <w:docPartPr>
        <w:name w:val="{a2b934e1-4e69-4b3d-b344-351c81d94b35}"/>
        <w:style w:val=""/>
        <w:category>
          <w:name w:val="常规"/>
          <w:gallery w:val="placeholder"/>
        </w:category>
        <w:types>
          <w:type w:val="bbPlcHdr"/>
        </w:types>
        <w:behaviors>
          <w:behavior w:val="content"/>
        </w:behaviors>
        <w:description w:val=""/>
        <w:guid w:val="{a2b934e1-4e69-4b3d-b344-351c81d94b35}"/>
      </w:docPartPr>
      <w:docPartBody>
        <w:p w14:paraId="57685EF5">
          <w:r>
            <w:rPr>
              <w:color w:val="808080"/>
            </w:rPr>
            <w:t>选择一项。</w:t>
          </w:r>
        </w:p>
      </w:docPartBody>
    </w:docPart>
    <w:docPart>
      <w:docPartPr>
        <w:name w:val="{dc198fea-d184-4aa6-8509-aaf3d889285d}"/>
        <w:style w:val=""/>
        <w:category>
          <w:name w:val="常规"/>
          <w:gallery w:val="placeholder"/>
        </w:category>
        <w:types>
          <w:type w:val="bbPlcHdr"/>
        </w:types>
        <w:behaviors>
          <w:behavior w:val="content"/>
        </w:behaviors>
        <w:description w:val=""/>
        <w:guid w:val="{dc198fea-d184-4aa6-8509-aaf3d889285d}"/>
      </w:docPartPr>
      <w:docPartBody>
        <w:p w14:paraId="4180C033">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2429</Words>
  <Characters>3080</Characters>
  <Lines>0</Lines>
  <Paragraphs>0</Paragraphs>
  <TotalTime>3</TotalTime>
  <ScaleCrop>false</ScaleCrop>
  <LinksUpToDate>false</LinksUpToDate>
  <CharactersWithSpaces>3306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2024-05-07T02:54:00Z</dcterms:created>
  <dc:creator>栗子</dc:creator>
  <cp:lastModifiedBy>青春</cp:lastModifiedBy>
  <dcterms:modified xsi:type="dcterms:W3CDTF">2024-09-19T01:28:44Z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5E05600BEBBE4FFCA955E001E0A3029D_13</vt:lpwstr>
  </property>
</Properties>
</file>