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0C3F7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团体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标准编制说明</w:t>
      </w:r>
    </w:p>
    <w:tbl>
      <w:tblPr>
        <w:tblStyle w:val="11"/>
        <w:tblW w:w="8606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07"/>
        <w:gridCol w:w="2811"/>
        <w:gridCol w:w="1257"/>
        <w:gridCol w:w="1269"/>
        <w:gridCol w:w="1553"/>
      </w:tblGrid>
      <w:tr w14:paraId="26CE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6" w:type="dxa"/>
            <w:gridSpan w:val="2"/>
            <w:vAlign w:val="center"/>
          </w:tcPr>
          <w:p w14:paraId="294E78A7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890" w:type="dxa"/>
            <w:gridSpan w:val="4"/>
            <w:vAlign w:val="center"/>
          </w:tcPr>
          <w:p w14:paraId="7A1FFBE1">
            <w:pPr>
              <w:pStyle w:val="37"/>
              <w:widowControl/>
              <w:rPr>
                <w:rFonts w:hint="eastAsi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三潭枇杷植物饮料加工技术规程</w:t>
            </w:r>
          </w:p>
        </w:tc>
      </w:tr>
      <w:tr w14:paraId="2315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gridSpan w:val="2"/>
            <w:vAlign w:val="center"/>
          </w:tcPr>
          <w:p w14:paraId="44D1437D">
            <w:pPr>
              <w:ind w:firstLine="315" w:firstLineChars="1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任务来源</w:t>
            </w:r>
          </w:p>
          <w:p w14:paraId="31E1EBC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（项目计划号）</w:t>
            </w:r>
          </w:p>
        </w:tc>
        <w:tc>
          <w:tcPr>
            <w:tcW w:w="6890" w:type="dxa"/>
            <w:gridSpan w:val="4"/>
            <w:vAlign w:val="center"/>
          </w:tcPr>
          <w:p w14:paraId="2AE70236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歙县农业农村局下达的制定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歙彩缤纷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农产品区域公用品牌标准体系制定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中立项内容。</w:t>
            </w:r>
          </w:p>
        </w:tc>
      </w:tr>
      <w:tr w14:paraId="2C6D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gridSpan w:val="2"/>
            <w:vAlign w:val="center"/>
          </w:tcPr>
          <w:p w14:paraId="7C219B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第一起草单位</w:t>
            </w:r>
          </w:p>
          <w:p w14:paraId="4EEBA5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</w:tc>
        <w:tc>
          <w:tcPr>
            <w:tcW w:w="6890" w:type="dxa"/>
            <w:gridSpan w:val="4"/>
            <w:vAlign w:val="center"/>
          </w:tcPr>
          <w:p w14:paraId="30972014">
            <w:pP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歙采缤纷农文旅融合发展协会</w:t>
            </w:r>
          </w:p>
        </w:tc>
      </w:tr>
      <w:tr w14:paraId="2E63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16" w:type="dxa"/>
            <w:gridSpan w:val="2"/>
            <w:vAlign w:val="center"/>
          </w:tcPr>
          <w:p w14:paraId="161E91EA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none"/>
              </w:rPr>
              <w:t>单位地址</w:t>
            </w:r>
          </w:p>
        </w:tc>
        <w:tc>
          <w:tcPr>
            <w:tcW w:w="6890" w:type="dxa"/>
            <w:gridSpan w:val="4"/>
          </w:tcPr>
          <w:p w14:paraId="49E8670B">
            <w:pP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安徽省黄山市歙县徽城镇渔梁街渔梁景区旅游服务中心1幢1002号</w:t>
            </w:r>
          </w:p>
        </w:tc>
      </w:tr>
      <w:tr w14:paraId="7B63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16" w:type="dxa"/>
            <w:gridSpan w:val="2"/>
            <w:vAlign w:val="center"/>
          </w:tcPr>
          <w:p w14:paraId="32520C5B">
            <w:pPr>
              <w:jc w:val="center"/>
            </w:pPr>
            <w:r>
              <w:rPr>
                <w:rFonts w:hint="eastAsia"/>
              </w:rPr>
              <w:t>参与起草单位</w:t>
            </w:r>
          </w:p>
        </w:tc>
        <w:tc>
          <w:tcPr>
            <w:tcW w:w="6890" w:type="dxa"/>
            <w:gridSpan w:val="4"/>
          </w:tcPr>
          <w:p w14:paraId="6C0CA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歙采缤纷农文旅融合发展协会、安徽天全生生物科技有限公司 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中量大黄山高质量发展研究院有限公司、中国计量大学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instrText xml:space="preserve"> HYPERLINK "https://aiqicha.baidu.com/detail/compinfo?pid=89203766161568&amp;rq=ef&amp;pd=ee&amp;from=ps&amp;query=%E5%AE%89%E5%BE%BD%E5%A4%A9%E5%85%A8%E7%94%9F%E7%94%9F%E7%89%A9%E7%A7%91%E6%8A%80%E6%9C%89%E9%99%90%E5%85%AC%E5%8F%B8" \t "https://www.baidu.com/_blank" </w:instrTex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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32DBD516">
            <w:pPr>
              <w:pStyle w:val="20"/>
              <w:ind w:left="0" w:leftChars="0" w:firstLine="0" w:firstLineChars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315C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06" w:type="dxa"/>
            <w:gridSpan w:val="6"/>
            <w:vAlign w:val="center"/>
          </w:tcPr>
          <w:p w14:paraId="1BFC5D7A">
            <w:pPr>
              <w:jc w:val="center"/>
            </w:pPr>
            <w:r>
              <w:rPr>
                <w:rFonts w:hint="eastAsia"/>
              </w:rPr>
              <w:t>（全部起草人，应于标准文本前言中起草人排序一致）</w:t>
            </w:r>
          </w:p>
        </w:tc>
      </w:tr>
      <w:tr w14:paraId="0875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" w:type="dxa"/>
            <w:vAlign w:val="center"/>
          </w:tcPr>
          <w:p w14:paraId="5115BBC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007" w:type="dxa"/>
            <w:vAlign w:val="center"/>
          </w:tcPr>
          <w:p w14:paraId="64424240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</w:rPr>
              <w:t>姓名</w:t>
            </w:r>
          </w:p>
        </w:tc>
        <w:tc>
          <w:tcPr>
            <w:tcW w:w="2811" w:type="dxa"/>
            <w:vAlign w:val="center"/>
          </w:tcPr>
          <w:p w14:paraId="3C5ADF7C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</w:rPr>
              <w:t>单位</w:t>
            </w:r>
          </w:p>
        </w:tc>
        <w:tc>
          <w:tcPr>
            <w:tcW w:w="1257" w:type="dxa"/>
            <w:vAlign w:val="center"/>
          </w:tcPr>
          <w:p w14:paraId="3FA2E76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1269" w:type="dxa"/>
            <w:vAlign w:val="center"/>
          </w:tcPr>
          <w:p w14:paraId="4101D5F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553" w:type="dxa"/>
            <w:vAlign w:val="center"/>
          </w:tcPr>
          <w:p w14:paraId="3F6EE00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电话</w:t>
            </w:r>
          </w:p>
        </w:tc>
      </w:tr>
      <w:tr w14:paraId="2687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Align w:val="center"/>
          </w:tcPr>
          <w:p w14:paraId="1DB24496">
            <w:pPr>
              <w:jc w:val="left"/>
            </w:pPr>
          </w:p>
        </w:tc>
        <w:tc>
          <w:tcPr>
            <w:tcW w:w="1007" w:type="dxa"/>
            <w:vAlign w:val="center"/>
          </w:tcPr>
          <w:p w14:paraId="344A90DC">
            <w:pPr>
              <w:jc w:val="left"/>
              <w:rPr>
                <w:highlight w:val="yellow"/>
              </w:rPr>
            </w:pPr>
          </w:p>
        </w:tc>
        <w:tc>
          <w:tcPr>
            <w:tcW w:w="2811" w:type="dxa"/>
            <w:vAlign w:val="center"/>
          </w:tcPr>
          <w:p w14:paraId="41A693A7">
            <w:pPr>
              <w:pStyle w:val="17"/>
              <w:ind w:firstLine="0" w:firstLineChars="0"/>
              <w:jc w:val="left"/>
              <w:rPr>
                <w:rFonts w:hint="default" w:ascii="Calibri" w:hAnsi="Calibri" w:eastAsia="宋体"/>
                <w:kern w:val="2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724B1DB3"/>
        </w:tc>
        <w:tc>
          <w:tcPr>
            <w:tcW w:w="1269" w:type="dxa"/>
            <w:vAlign w:val="center"/>
          </w:tcPr>
          <w:p w14:paraId="22C5E11D"/>
        </w:tc>
        <w:tc>
          <w:tcPr>
            <w:tcW w:w="1553" w:type="dxa"/>
            <w:vAlign w:val="center"/>
          </w:tcPr>
          <w:p w14:paraId="3DFA78E2">
            <w:pPr>
              <w:jc w:val="left"/>
            </w:pPr>
          </w:p>
        </w:tc>
      </w:tr>
      <w:tr w14:paraId="72B0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1580142C"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 w14:paraId="76974528">
            <w:pPr>
              <w:jc w:val="left"/>
              <w:rPr>
                <w:rFonts w:hint="eastAsia"/>
              </w:rPr>
            </w:pPr>
          </w:p>
        </w:tc>
        <w:tc>
          <w:tcPr>
            <w:tcW w:w="2811" w:type="dxa"/>
            <w:vAlign w:val="center"/>
          </w:tcPr>
          <w:p w14:paraId="2A6AEEB3">
            <w:pPr>
              <w:pStyle w:val="17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13CEF0C4"/>
        </w:tc>
        <w:tc>
          <w:tcPr>
            <w:tcW w:w="1269" w:type="dxa"/>
            <w:vAlign w:val="center"/>
          </w:tcPr>
          <w:p w14:paraId="3ED9451B"/>
        </w:tc>
        <w:tc>
          <w:tcPr>
            <w:tcW w:w="1553" w:type="dxa"/>
            <w:vAlign w:val="center"/>
          </w:tcPr>
          <w:p w14:paraId="21281372">
            <w:pPr>
              <w:jc w:val="left"/>
            </w:pPr>
          </w:p>
        </w:tc>
      </w:tr>
      <w:tr w14:paraId="559D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4F63347E">
            <w:pPr>
              <w:jc w:val="left"/>
            </w:pPr>
          </w:p>
        </w:tc>
        <w:tc>
          <w:tcPr>
            <w:tcW w:w="1007" w:type="dxa"/>
            <w:vAlign w:val="center"/>
          </w:tcPr>
          <w:p w14:paraId="24D97479">
            <w:pPr>
              <w:jc w:val="left"/>
            </w:pPr>
          </w:p>
        </w:tc>
        <w:tc>
          <w:tcPr>
            <w:tcW w:w="2811" w:type="dxa"/>
            <w:vAlign w:val="center"/>
          </w:tcPr>
          <w:p w14:paraId="45A85BB0">
            <w:pPr>
              <w:jc w:val="left"/>
            </w:pPr>
          </w:p>
        </w:tc>
        <w:tc>
          <w:tcPr>
            <w:tcW w:w="1257" w:type="dxa"/>
            <w:vAlign w:val="center"/>
          </w:tcPr>
          <w:p w14:paraId="71C3DE6B"/>
        </w:tc>
        <w:tc>
          <w:tcPr>
            <w:tcW w:w="1269" w:type="dxa"/>
            <w:vAlign w:val="center"/>
          </w:tcPr>
          <w:p w14:paraId="27BEABAB"/>
        </w:tc>
        <w:tc>
          <w:tcPr>
            <w:tcW w:w="1553" w:type="dxa"/>
            <w:vAlign w:val="center"/>
          </w:tcPr>
          <w:p w14:paraId="05D444B4">
            <w:pPr>
              <w:jc w:val="left"/>
            </w:pPr>
          </w:p>
        </w:tc>
      </w:tr>
      <w:tr w14:paraId="151E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48C0BC08">
            <w:pPr>
              <w:jc w:val="left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14:paraId="796B3B19">
            <w:pPr>
              <w:jc w:val="left"/>
              <w:rPr>
                <w:rFonts w:hint="eastAsia"/>
              </w:rPr>
            </w:pPr>
          </w:p>
        </w:tc>
        <w:tc>
          <w:tcPr>
            <w:tcW w:w="2811" w:type="dxa"/>
            <w:vAlign w:val="center"/>
          </w:tcPr>
          <w:p w14:paraId="0F499C89"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257" w:type="dxa"/>
            <w:vAlign w:val="center"/>
          </w:tcPr>
          <w:p w14:paraId="7B33C31F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14:paraId="56BA2FBB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14:paraId="1B9479DE">
            <w:pPr>
              <w:jc w:val="left"/>
              <w:rPr>
                <w:rFonts w:hint="eastAsia"/>
              </w:rPr>
            </w:pPr>
          </w:p>
        </w:tc>
      </w:tr>
      <w:tr w14:paraId="5939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66625FE4">
            <w:pPr>
              <w:jc w:val="left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14:paraId="5A580244">
            <w:pPr>
              <w:jc w:val="left"/>
              <w:rPr>
                <w:rFonts w:hint="eastAsia"/>
              </w:rPr>
            </w:pPr>
          </w:p>
        </w:tc>
        <w:tc>
          <w:tcPr>
            <w:tcW w:w="2811" w:type="dxa"/>
            <w:vAlign w:val="center"/>
          </w:tcPr>
          <w:p w14:paraId="38664AAA">
            <w:pPr>
              <w:jc w:val="left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14:paraId="631B96FC"/>
        </w:tc>
        <w:tc>
          <w:tcPr>
            <w:tcW w:w="1269" w:type="dxa"/>
            <w:vAlign w:val="center"/>
          </w:tcPr>
          <w:p w14:paraId="4CA4D9F7"/>
        </w:tc>
        <w:tc>
          <w:tcPr>
            <w:tcW w:w="1553" w:type="dxa"/>
            <w:vAlign w:val="center"/>
          </w:tcPr>
          <w:p w14:paraId="487C4206">
            <w:pPr>
              <w:jc w:val="left"/>
            </w:pPr>
          </w:p>
        </w:tc>
      </w:tr>
      <w:tr w14:paraId="5673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6EE90D06">
            <w:pPr>
              <w:jc w:val="left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14:paraId="199AEAB3">
            <w:pPr>
              <w:jc w:val="left"/>
              <w:rPr>
                <w:rFonts w:hint="eastAsia"/>
              </w:rPr>
            </w:pPr>
          </w:p>
        </w:tc>
        <w:tc>
          <w:tcPr>
            <w:tcW w:w="2811" w:type="dxa"/>
            <w:vAlign w:val="center"/>
          </w:tcPr>
          <w:p w14:paraId="7A1C38FF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2F805254"/>
        </w:tc>
        <w:tc>
          <w:tcPr>
            <w:tcW w:w="1269" w:type="dxa"/>
            <w:vAlign w:val="center"/>
          </w:tcPr>
          <w:p w14:paraId="59D557D1"/>
        </w:tc>
        <w:tc>
          <w:tcPr>
            <w:tcW w:w="1553" w:type="dxa"/>
            <w:vAlign w:val="center"/>
          </w:tcPr>
          <w:p w14:paraId="3EF54D39">
            <w:pPr>
              <w:jc w:val="left"/>
            </w:pPr>
          </w:p>
        </w:tc>
      </w:tr>
      <w:tr w14:paraId="2AB2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44B28710">
            <w:pPr>
              <w:jc w:val="left"/>
            </w:pPr>
          </w:p>
        </w:tc>
        <w:tc>
          <w:tcPr>
            <w:tcW w:w="1007" w:type="dxa"/>
            <w:vAlign w:val="center"/>
          </w:tcPr>
          <w:p w14:paraId="728FA2A0">
            <w:pPr>
              <w:jc w:val="left"/>
            </w:pPr>
          </w:p>
        </w:tc>
        <w:tc>
          <w:tcPr>
            <w:tcW w:w="2811" w:type="dxa"/>
            <w:vAlign w:val="center"/>
          </w:tcPr>
          <w:p w14:paraId="29253688">
            <w:pPr>
              <w:jc w:val="left"/>
            </w:pPr>
          </w:p>
        </w:tc>
        <w:tc>
          <w:tcPr>
            <w:tcW w:w="1257" w:type="dxa"/>
            <w:vAlign w:val="center"/>
          </w:tcPr>
          <w:p w14:paraId="4BEA31C7"/>
        </w:tc>
        <w:tc>
          <w:tcPr>
            <w:tcW w:w="1269" w:type="dxa"/>
            <w:vAlign w:val="center"/>
          </w:tcPr>
          <w:p w14:paraId="3F38EE99"/>
        </w:tc>
        <w:tc>
          <w:tcPr>
            <w:tcW w:w="1553" w:type="dxa"/>
            <w:vAlign w:val="center"/>
          </w:tcPr>
          <w:p w14:paraId="08CF547F">
            <w:pPr>
              <w:jc w:val="left"/>
            </w:pPr>
          </w:p>
        </w:tc>
      </w:tr>
      <w:tr w14:paraId="6581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49A949E1">
            <w:pPr>
              <w:jc w:val="left"/>
            </w:pPr>
          </w:p>
        </w:tc>
        <w:tc>
          <w:tcPr>
            <w:tcW w:w="1007" w:type="dxa"/>
            <w:vAlign w:val="center"/>
          </w:tcPr>
          <w:p w14:paraId="4A13E318">
            <w:pPr>
              <w:jc w:val="left"/>
            </w:pPr>
          </w:p>
        </w:tc>
        <w:tc>
          <w:tcPr>
            <w:tcW w:w="2811" w:type="dxa"/>
            <w:vAlign w:val="center"/>
          </w:tcPr>
          <w:p w14:paraId="5C7E851A">
            <w:pPr>
              <w:jc w:val="left"/>
            </w:pPr>
          </w:p>
        </w:tc>
        <w:tc>
          <w:tcPr>
            <w:tcW w:w="1257" w:type="dxa"/>
            <w:vAlign w:val="center"/>
          </w:tcPr>
          <w:p w14:paraId="4EFABD8D"/>
        </w:tc>
        <w:tc>
          <w:tcPr>
            <w:tcW w:w="1269" w:type="dxa"/>
            <w:vAlign w:val="center"/>
          </w:tcPr>
          <w:p w14:paraId="15A167F0"/>
        </w:tc>
        <w:tc>
          <w:tcPr>
            <w:tcW w:w="1553" w:type="dxa"/>
            <w:vAlign w:val="center"/>
          </w:tcPr>
          <w:p w14:paraId="18434FA6">
            <w:pPr>
              <w:jc w:val="left"/>
            </w:pPr>
          </w:p>
        </w:tc>
      </w:tr>
      <w:tr w14:paraId="419C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10874C90">
            <w:pPr>
              <w:jc w:val="left"/>
            </w:pPr>
          </w:p>
        </w:tc>
        <w:tc>
          <w:tcPr>
            <w:tcW w:w="1007" w:type="dxa"/>
            <w:vAlign w:val="center"/>
          </w:tcPr>
          <w:p w14:paraId="024AAA08">
            <w:pPr>
              <w:jc w:val="left"/>
            </w:pPr>
          </w:p>
        </w:tc>
        <w:tc>
          <w:tcPr>
            <w:tcW w:w="2811" w:type="dxa"/>
            <w:vAlign w:val="center"/>
          </w:tcPr>
          <w:p w14:paraId="32C100ED">
            <w:pPr>
              <w:jc w:val="left"/>
            </w:pPr>
          </w:p>
        </w:tc>
        <w:tc>
          <w:tcPr>
            <w:tcW w:w="1257" w:type="dxa"/>
            <w:vAlign w:val="center"/>
          </w:tcPr>
          <w:p w14:paraId="64B91E03"/>
        </w:tc>
        <w:tc>
          <w:tcPr>
            <w:tcW w:w="1269" w:type="dxa"/>
            <w:vAlign w:val="center"/>
          </w:tcPr>
          <w:p w14:paraId="618B8DA3"/>
        </w:tc>
        <w:tc>
          <w:tcPr>
            <w:tcW w:w="1553" w:type="dxa"/>
            <w:vAlign w:val="center"/>
          </w:tcPr>
          <w:p w14:paraId="03E30994">
            <w:pPr>
              <w:jc w:val="left"/>
            </w:pPr>
          </w:p>
        </w:tc>
      </w:tr>
      <w:tr w14:paraId="7CC7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3046B4D3">
            <w:pPr>
              <w:jc w:val="left"/>
            </w:pPr>
          </w:p>
        </w:tc>
        <w:tc>
          <w:tcPr>
            <w:tcW w:w="1007" w:type="dxa"/>
            <w:vAlign w:val="center"/>
          </w:tcPr>
          <w:p w14:paraId="55F48BC4">
            <w:pPr>
              <w:jc w:val="left"/>
            </w:pPr>
          </w:p>
        </w:tc>
        <w:tc>
          <w:tcPr>
            <w:tcW w:w="2811" w:type="dxa"/>
            <w:vAlign w:val="center"/>
          </w:tcPr>
          <w:p w14:paraId="6D4EF881">
            <w:pPr>
              <w:jc w:val="left"/>
            </w:pPr>
          </w:p>
        </w:tc>
        <w:tc>
          <w:tcPr>
            <w:tcW w:w="1257" w:type="dxa"/>
            <w:vAlign w:val="center"/>
          </w:tcPr>
          <w:p w14:paraId="4D0F701A"/>
        </w:tc>
        <w:tc>
          <w:tcPr>
            <w:tcW w:w="1269" w:type="dxa"/>
            <w:vAlign w:val="center"/>
          </w:tcPr>
          <w:p w14:paraId="6FE86C11"/>
        </w:tc>
        <w:tc>
          <w:tcPr>
            <w:tcW w:w="1553" w:type="dxa"/>
            <w:vAlign w:val="center"/>
          </w:tcPr>
          <w:p w14:paraId="2E2FD9B1">
            <w:pPr>
              <w:jc w:val="left"/>
            </w:pPr>
          </w:p>
        </w:tc>
      </w:tr>
      <w:tr w14:paraId="046C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1C6C5BD9">
            <w:pPr>
              <w:jc w:val="left"/>
            </w:pPr>
          </w:p>
        </w:tc>
        <w:tc>
          <w:tcPr>
            <w:tcW w:w="1007" w:type="dxa"/>
            <w:vAlign w:val="center"/>
          </w:tcPr>
          <w:p w14:paraId="1A8C1B73">
            <w:pPr>
              <w:jc w:val="left"/>
            </w:pPr>
          </w:p>
        </w:tc>
        <w:tc>
          <w:tcPr>
            <w:tcW w:w="2811" w:type="dxa"/>
            <w:vAlign w:val="center"/>
          </w:tcPr>
          <w:p w14:paraId="25289AFC">
            <w:pPr>
              <w:jc w:val="left"/>
            </w:pPr>
          </w:p>
        </w:tc>
        <w:tc>
          <w:tcPr>
            <w:tcW w:w="1257" w:type="dxa"/>
            <w:vAlign w:val="center"/>
          </w:tcPr>
          <w:p w14:paraId="2CC1CF15"/>
        </w:tc>
        <w:tc>
          <w:tcPr>
            <w:tcW w:w="1269" w:type="dxa"/>
            <w:vAlign w:val="center"/>
          </w:tcPr>
          <w:p w14:paraId="2D280BCA"/>
        </w:tc>
        <w:tc>
          <w:tcPr>
            <w:tcW w:w="1553" w:type="dxa"/>
            <w:vAlign w:val="center"/>
          </w:tcPr>
          <w:p w14:paraId="5AF3B92D">
            <w:pPr>
              <w:jc w:val="left"/>
            </w:pPr>
          </w:p>
        </w:tc>
      </w:tr>
      <w:tr w14:paraId="352A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50A1643E">
            <w:pPr>
              <w:jc w:val="left"/>
            </w:pPr>
          </w:p>
        </w:tc>
        <w:tc>
          <w:tcPr>
            <w:tcW w:w="1007" w:type="dxa"/>
            <w:vAlign w:val="center"/>
          </w:tcPr>
          <w:p w14:paraId="592E68B7">
            <w:pPr>
              <w:jc w:val="left"/>
            </w:pPr>
          </w:p>
        </w:tc>
        <w:tc>
          <w:tcPr>
            <w:tcW w:w="2811" w:type="dxa"/>
            <w:vAlign w:val="center"/>
          </w:tcPr>
          <w:p w14:paraId="4D8A5841">
            <w:pPr>
              <w:jc w:val="left"/>
            </w:pPr>
          </w:p>
        </w:tc>
        <w:tc>
          <w:tcPr>
            <w:tcW w:w="1257" w:type="dxa"/>
            <w:vAlign w:val="center"/>
          </w:tcPr>
          <w:p w14:paraId="40483C01"/>
        </w:tc>
        <w:tc>
          <w:tcPr>
            <w:tcW w:w="1269" w:type="dxa"/>
            <w:vAlign w:val="center"/>
          </w:tcPr>
          <w:p w14:paraId="406B8C53"/>
        </w:tc>
        <w:tc>
          <w:tcPr>
            <w:tcW w:w="1553" w:type="dxa"/>
            <w:vAlign w:val="center"/>
          </w:tcPr>
          <w:p w14:paraId="3E5067D0">
            <w:pPr>
              <w:jc w:val="left"/>
            </w:pPr>
          </w:p>
        </w:tc>
      </w:tr>
      <w:tr w14:paraId="2E8C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73047F8F">
            <w:pPr>
              <w:jc w:val="left"/>
            </w:pPr>
          </w:p>
        </w:tc>
        <w:tc>
          <w:tcPr>
            <w:tcW w:w="1007" w:type="dxa"/>
            <w:vAlign w:val="center"/>
          </w:tcPr>
          <w:p w14:paraId="0C1398CF">
            <w:pPr>
              <w:jc w:val="left"/>
            </w:pPr>
          </w:p>
        </w:tc>
        <w:tc>
          <w:tcPr>
            <w:tcW w:w="2811" w:type="dxa"/>
            <w:vAlign w:val="center"/>
          </w:tcPr>
          <w:p w14:paraId="3DCFCA73">
            <w:pPr>
              <w:jc w:val="left"/>
            </w:pPr>
          </w:p>
        </w:tc>
        <w:tc>
          <w:tcPr>
            <w:tcW w:w="1257" w:type="dxa"/>
            <w:vAlign w:val="center"/>
          </w:tcPr>
          <w:p w14:paraId="25DEC0B8"/>
        </w:tc>
        <w:tc>
          <w:tcPr>
            <w:tcW w:w="1269" w:type="dxa"/>
            <w:vAlign w:val="center"/>
          </w:tcPr>
          <w:p w14:paraId="7EAE4EDA"/>
        </w:tc>
        <w:tc>
          <w:tcPr>
            <w:tcW w:w="1553" w:type="dxa"/>
            <w:vAlign w:val="center"/>
          </w:tcPr>
          <w:p w14:paraId="5CB25A7A">
            <w:pPr>
              <w:jc w:val="left"/>
            </w:pPr>
          </w:p>
        </w:tc>
      </w:tr>
      <w:tr w14:paraId="4952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27746B74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 w14:paraId="492C383C">
            <w:pPr>
              <w:jc w:val="left"/>
            </w:pPr>
          </w:p>
        </w:tc>
        <w:tc>
          <w:tcPr>
            <w:tcW w:w="2811" w:type="dxa"/>
            <w:vAlign w:val="center"/>
          </w:tcPr>
          <w:p w14:paraId="2F6AA9BB">
            <w:pPr>
              <w:jc w:val="left"/>
            </w:pPr>
          </w:p>
        </w:tc>
        <w:tc>
          <w:tcPr>
            <w:tcW w:w="1257" w:type="dxa"/>
            <w:vAlign w:val="center"/>
          </w:tcPr>
          <w:p w14:paraId="786AB05F"/>
        </w:tc>
        <w:tc>
          <w:tcPr>
            <w:tcW w:w="1269" w:type="dxa"/>
            <w:vAlign w:val="center"/>
          </w:tcPr>
          <w:p w14:paraId="34DC26CF"/>
        </w:tc>
        <w:tc>
          <w:tcPr>
            <w:tcW w:w="1553" w:type="dxa"/>
            <w:vAlign w:val="center"/>
          </w:tcPr>
          <w:p w14:paraId="7EEB5772">
            <w:pPr>
              <w:jc w:val="left"/>
            </w:pPr>
          </w:p>
        </w:tc>
      </w:tr>
      <w:tr w14:paraId="0D23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06" w:type="dxa"/>
            <w:gridSpan w:val="6"/>
            <w:vAlign w:val="center"/>
          </w:tcPr>
          <w:p w14:paraId="726128F9">
            <w:pPr>
              <w:jc w:val="center"/>
            </w:pPr>
            <w:r>
              <w:rPr>
                <w:rFonts w:hint="eastAsia"/>
                <w:b/>
                <w:bCs/>
              </w:rPr>
              <w:t>编制情况</w:t>
            </w:r>
          </w:p>
        </w:tc>
      </w:tr>
      <w:tr w14:paraId="571D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06" w:type="dxa"/>
            <w:gridSpan w:val="6"/>
            <w:vAlign w:val="center"/>
          </w:tcPr>
          <w:p w14:paraId="1E985BD0">
            <w:r>
              <w:rPr>
                <w:rFonts w:hint="eastAsia"/>
              </w:rPr>
              <w:t>1、编制情况简介</w:t>
            </w:r>
          </w:p>
        </w:tc>
      </w:tr>
      <w:tr w14:paraId="6D90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606" w:type="dxa"/>
            <w:gridSpan w:val="6"/>
          </w:tcPr>
          <w:p w14:paraId="43751C6E">
            <w:pPr>
              <w:widowControl/>
              <w:jc w:val="left"/>
            </w:pPr>
            <w:r>
              <w:t>（1）成立起草小组</w:t>
            </w:r>
          </w:p>
          <w:p w14:paraId="4C5A59FE">
            <w:pPr>
              <w:spacing w:line="360" w:lineRule="auto"/>
              <w:ind w:firstLine="420" w:firstLineChars="200"/>
            </w:pPr>
            <w:r>
              <w:rPr>
                <w:rFonts w:hint="eastAsia"/>
                <w:highlight w:val="none"/>
                <w:lang w:val="en-US" w:eastAsia="zh-CN"/>
              </w:rPr>
              <w:t>2023</w:t>
            </w:r>
            <w:r>
              <w:rPr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>28日，</w:t>
            </w:r>
            <w:r>
              <w:rPr>
                <w:rFonts w:hint="eastAsia"/>
                <w:highlight w:val="none"/>
              </w:rPr>
              <w:t>歙县农业农村局</w:t>
            </w:r>
            <w:r>
              <w:rPr>
                <w:rFonts w:hint="eastAsia"/>
                <w:highlight w:val="none"/>
                <w:lang w:val="en-US" w:eastAsia="zh-CN"/>
              </w:rPr>
              <w:t>计划制定</w:t>
            </w:r>
            <w:r>
              <w:rPr>
                <w:rFonts w:hint="eastAsia"/>
                <w:highlight w:val="none"/>
              </w:rPr>
              <w:t>《“歙彩缤纷”农产品区域公用品牌标准体系制定》</w:t>
            </w:r>
            <w:r>
              <w:rPr>
                <w:rFonts w:hint="eastAsia"/>
                <w:highlight w:val="none"/>
                <w:lang w:val="en-US" w:eastAsia="zh-CN"/>
              </w:rPr>
              <w:t>团体</w:t>
            </w:r>
            <w:r>
              <w:rPr>
                <w:rFonts w:hint="eastAsia"/>
                <w:highlight w:val="none"/>
              </w:rPr>
              <w:t>标准，并与中国计量大学、中量大黄山高质量发展研究院有限公司签订技术服务合同，共同研制</w:t>
            </w:r>
            <w:r>
              <w:rPr>
                <w:rFonts w:hint="eastAsia"/>
                <w:highlight w:val="none"/>
                <w:lang w:val="en-US" w:eastAsia="zh-CN"/>
              </w:rPr>
              <w:t>相关技术团体</w:t>
            </w:r>
            <w:r>
              <w:rPr>
                <w:rFonts w:hint="eastAsia"/>
                <w:highlight w:val="none"/>
              </w:rPr>
              <w:t>标准。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</w:rPr>
              <w:t>三潭枇杷植物饮料加工技术规程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是团体标准编制的其中之一，</w:t>
            </w:r>
            <w:r>
              <w:t>为保证标准编制工作的顺利进行，</w:t>
            </w:r>
            <w:r>
              <w:rPr>
                <w:color w:val="auto"/>
              </w:rPr>
              <w:t>成立</w:t>
            </w:r>
            <w:r>
              <w:rPr>
                <w:rFonts w:hint="eastAsia"/>
                <w:color w:val="auto"/>
              </w:rPr>
              <w:t>歙采缤纷农文旅融合发展协会、歙县新安江乡村发展有限公司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安徽天全生生物科技有限公司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/>
                <w:color w:val="auto"/>
              </w:rPr>
              <w:t>中量大黄山高质量发展研究院有限公司、中国计量大学</w:t>
            </w:r>
            <w:r>
              <w:rPr>
                <w:rFonts w:hint="eastAsia"/>
                <w:color w:val="auto"/>
                <w:lang w:val="en-US" w:eastAsia="zh-CN"/>
              </w:rPr>
              <w:t>等单位组成</w:t>
            </w:r>
            <w:r>
              <w:rPr>
                <w:color w:val="auto"/>
              </w:rPr>
              <w:t>标准编制起草小组，明确起草组人员和相关职责。</w:t>
            </w:r>
          </w:p>
          <w:p w14:paraId="13C3A5E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（2）标准起草过程</w:t>
            </w:r>
          </w:p>
          <w:p w14:paraId="25B0D5A4">
            <w:pPr>
              <w:spacing w:line="360" w:lineRule="auto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2024年4月23日在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安徽天全生生物科技有限公司</w:t>
            </w:r>
            <w:r>
              <w:rPr>
                <w:rFonts w:hint="eastAsia"/>
                <w:color w:val="auto"/>
              </w:rPr>
              <w:t>召开了首次起草组工作会议。讨论了标准制定的总体思路、确定标准制定计划，明确标准起草的目的、意义及基本框架；</w:t>
            </w:r>
            <w:r>
              <w:rPr>
                <w:rFonts w:hint="eastAsia"/>
                <w:color w:val="auto"/>
                <w:lang w:val="en-US" w:eastAsia="zh-CN"/>
              </w:rPr>
              <w:t>研讨了该标准</w:t>
            </w:r>
            <w:r>
              <w:rPr>
                <w:rFonts w:hint="eastAsia"/>
                <w:color w:val="auto"/>
              </w:rPr>
              <w:t>的各项环节与操作流程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2024年6月至9月，标准起草组再次前往了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安徽天全生生物科技有限公司</w:t>
            </w:r>
            <w:r>
              <w:rPr>
                <w:rFonts w:hint="eastAsia"/>
                <w:color w:val="auto"/>
                <w:lang w:val="en-US" w:eastAsia="zh-CN"/>
              </w:rPr>
              <w:t>进行实地调研与考察，就</w:t>
            </w:r>
            <w:r>
              <w:rPr>
                <w:rFonts w:hint="eastAsia" w:ascii="等线" w:hAnsi="等线"/>
                <w:color w:val="auto"/>
                <w:sz w:val="20"/>
                <w:szCs w:val="20"/>
              </w:rPr>
              <w:t>三潭枇杷植物饮料加工的原辅料要求、</w:t>
            </w:r>
            <w:r>
              <w:rPr>
                <w:rFonts w:hint="eastAsia" w:ascii="等线" w:hAnsi="等线"/>
                <w:color w:val="auto"/>
                <w:sz w:val="20"/>
                <w:szCs w:val="20"/>
                <w:lang w:val="en-US" w:eastAsia="zh-CN"/>
              </w:rPr>
              <w:t>生产设备、环境</w:t>
            </w:r>
            <w:r>
              <w:rPr>
                <w:rFonts w:hint="eastAsia" w:ascii="等线" w:hAnsi="等线"/>
                <w:color w:val="auto"/>
                <w:sz w:val="20"/>
                <w:szCs w:val="20"/>
              </w:rPr>
              <w:t>生产加工要求、 加工工艺、贮存和追溯</w:t>
            </w:r>
            <w:r>
              <w:rPr>
                <w:rFonts w:hint="eastAsia"/>
                <w:color w:val="auto"/>
                <w:lang w:val="en-US" w:eastAsia="zh-CN"/>
              </w:rPr>
              <w:t>的经验做法进行了深入交流，</w:t>
            </w:r>
            <w:r>
              <w:rPr>
                <w:rFonts w:hint="eastAsia"/>
                <w:color w:val="auto"/>
              </w:rPr>
              <w:t>并收集查阅相关资料，</w:t>
            </w:r>
            <w:r>
              <w:rPr>
                <w:rFonts w:hint="eastAsia"/>
                <w:color w:val="auto"/>
                <w:lang w:val="en-US" w:eastAsia="zh-CN"/>
              </w:rPr>
              <w:t>形成了《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三潭枇杷植物饮料加工技术规程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》</w:t>
            </w:r>
            <w:r>
              <w:rPr>
                <w:rFonts w:hint="eastAsia"/>
                <w:color w:val="auto"/>
              </w:rPr>
              <w:t>工作组讨论稿。</w:t>
            </w:r>
          </w:p>
          <w:p w14:paraId="5212B607">
            <w:pPr>
              <w:numPr>
                <w:numId w:val="0"/>
              </w:num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（3）征求意见稿</w:t>
            </w:r>
          </w:p>
          <w:p w14:paraId="53DCC888">
            <w:pPr>
              <w:numPr>
                <w:ilvl w:val="0"/>
                <w:numId w:val="0"/>
              </w:numPr>
              <w:spacing w:line="360" w:lineRule="auto"/>
              <w:ind w:firstLine="630" w:firstLineChars="3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2024年9月27日</w:t>
            </w:r>
            <w:r>
              <w:rPr>
                <w:rFonts w:hint="eastAsia"/>
                <w:highlight w:val="none"/>
              </w:rPr>
              <w:t>歙县农业农村局</w:t>
            </w:r>
            <w:r>
              <w:rPr>
                <w:rFonts w:hint="eastAsia"/>
                <w:highlight w:val="none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lang w:val="en-US" w:eastAsia="zh-CN"/>
              </w:rPr>
              <w:t>歙采缤纷农文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旅融合发展协会、</w:t>
            </w:r>
            <w:r>
              <w:rPr>
                <w:rFonts w:hint="eastAsia"/>
                <w:highlight w:val="none"/>
              </w:rPr>
              <w:t>县</w:t>
            </w:r>
            <w:r>
              <w:rPr>
                <w:rFonts w:hint="eastAsia"/>
                <w:highlight w:val="none"/>
                <w:lang w:val="en-US" w:eastAsia="zh-CN"/>
              </w:rPr>
              <w:t>市场监督管理局、</w:t>
            </w:r>
            <w:r>
              <w:rPr>
                <w:rFonts w:hint="eastAsia"/>
                <w:highlight w:val="none"/>
              </w:rPr>
              <w:t>县</w:t>
            </w:r>
            <w:r>
              <w:rPr>
                <w:rFonts w:hint="eastAsia"/>
                <w:highlight w:val="none"/>
                <w:lang w:val="en-US" w:eastAsia="zh-CN"/>
              </w:rPr>
              <w:t>农业农村局法规股、农推广中心、</w:t>
            </w:r>
            <w:r>
              <w:rPr>
                <w:rFonts w:hint="eastAsia"/>
                <w:highlight w:val="none"/>
              </w:rPr>
              <w:t>歙县</w:t>
            </w:r>
            <w:r>
              <w:rPr>
                <w:rFonts w:hint="eastAsia"/>
                <w:highlight w:val="none"/>
                <w:lang w:val="en-US" w:eastAsia="zh-CN"/>
              </w:rPr>
              <w:t>新安江乡村发展有限公司、</w:t>
            </w:r>
            <w:r>
              <w:rPr>
                <w:rFonts w:hint="eastAsia"/>
                <w:color w:val="auto"/>
                <w:lang w:val="en-US" w:eastAsia="zh-CN"/>
              </w:rPr>
              <w:t>歙茶产业发展中心、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安徽天全生生物科技有限公司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、中量大黄山高质量发展研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究院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等单</w:t>
            </w:r>
            <w:r>
              <w:rPr>
                <w:rFonts w:hint="eastAsia"/>
                <w:color w:val="auto"/>
                <w:lang w:val="en-US" w:eastAsia="zh-CN"/>
              </w:rPr>
              <w:t>位召开了标准征求意见座谈会，对标准的技术内容进行了进一步的讨论，并提出了标准修改意见与建议。起草组对标准作了进一步修改完善，形成了标准征求意见稿。</w:t>
            </w:r>
          </w:p>
        </w:tc>
      </w:tr>
      <w:tr w14:paraId="2A97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606" w:type="dxa"/>
            <w:gridSpan w:val="6"/>
            <w:vAlign w:val="center"/>
          </w:tcPr>
          <w:p w14:paraId="76E19A02">
            <w:r>
              <w:rPr>
                <w:rFonts w:hint="eastAsia"/>
              </w:rPr>
              <w:t>2、制定标准的必要性和意义</w:t>
            </w:r>
          </w:p>
        </w:tc>
      </w:tr>
      <w:tr w14:paraId="6D8A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2EF1F587">
            <w:pPr>
              <w:spacing w:line="360" w:lineRule="auto"/>
              <w:ind w:firstLine="422" w:firstLineChars="200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必要性：</w:t>
            </w:r>
          </w:p>
          <w:p w14:paraId="0E69E762">
            <w:pPr>
              <w:spacing w:line="360" w:lineRule="auto"/>
              <w:ind w:firstLine="420" w:firstLineChars="200"/>
              <w:rPr>
                <w:rFonts w:hint="default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9月，农村农业部正式印发实施的《农业标准化生产实施方案（2022—2025年）》中提出，标准化是现代农业发展的重要内容，是保障农产品质量安全、增加绿色优质农产品供给的有效途径。为进一步推进质量兴农、绿色兴农、品牌强农，提升农产品质量安全管理水平，统筹加强农业标准化生产示范创建县。歙县农业生产资源丰富，特色农产品种类多。近年来，歙县依托独特资源优势，聚焦歙茶、</w:t>
            </w:r>
            <w:r>
              <w:rPr>
                <w:rFonts w:hint="eastAsia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歙</w:t>
            </w:r>
            <w:r>
              <w:rPr>
                <w:rFonts w:hint="default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菊、</w:t>
            </w:r>
            <w:r>
              <w:rPr>
                <w:rFonts w:hint="eastAsia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歙</w:t>
            </w:r>
            <w:r>
              <w:rPr>
                <w:rFonts w:hint="default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果、</w:t>
            </w:r>
            <w:r>
              <w:rPr>
                <w:rFonts w:hint="eastAsia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山核桃、</w:t>
            </w:r>
            <w:r>
              <w:rPr>
                <w:rFonts w:hint="default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皖南花猪等特色产业，坚持科学规划、精准施策，通过出台《歙县推动乡村农业</w:t>
            </w:r>
            <w:r>
              <w:rPr>
                <w:rFonts w:hint="eastAsia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林业</w:t>
            </w:r>
            <w:r>
              <w:rPr>
                <w:rFonts w:hint="eastAsia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产业振兴工作方案》等系列政策措施，大力发展乡村振兴、高效生态农业的示范产业。</w:t>
            </w:r>
            <w:r>
              <w:rPr>
                <w:rFonts w:hint="eastAsia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通过对特色农产品三潭枇杷进行深加工，对三潭枇杷植物饮料加工的原辅料要求、生产加工要求、 加工工艺、贮存和追溯</w:t>
            </w:r>
            <w:r>
              <w:rPr>
                <w:rFonts w:hint="default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，集成特色产品全产业链安全管控技术，从生产源头提升</w:t>
            </w:r>
            <w:r>
              <w:rPr>
                <w:rFonts w:hint="eastAsia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歙县特色</w:t>
            </w:r>
            <w:r>
              <w:rPr>
                <w:rFonts w:hint="default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农产品质量安全水平。</w:t>
            </w:r>
          </w:p>
          <w:p w14:paraId="36E5A116">
            <w:pPr>
              <w:spacing w:line="360" w:lineRule="auto"/>
              <w:ind w:firstLine="422" w:firstLineChars="200"/>
              <w:rPr>
                <w:rFonts w:hint="default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意义</w:t>
            </w:r>
            <w:r>
              <w:rPr>
                <w:rFonts w:hint="eastAsia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5EE6510">
            <w:pPr>
              <w:spacing w:line="360" w:lineRule="auto"/>
              <w:ind w:firstLine="420" w:firstLineChars="200"/>
              <w:rPr>
                <w:rFonts w:hint="default" w:ascii="Times New Roman Regular" w:hAnsi="Times New Roman Regular" w:cs="Times New Roman Regular" w:eastAsiaTheme="minorEastAsia"/>
                <w:b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通过《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三潭枇杷植物饮料加工技术规程</w:t>
            </w:r>
            <w:r>
              <w:rPr>
                <w:rFonts w:hint="eastAsia" w:ascii="Times New Roman Regular" w:hAnsi="Times New Roman Regular" w:cs="Times New Roman Regular" w:eastAsiaTheme="minorEastAsia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标准的制定，推动三潭枇杷深度加工，提高枇杷产业链规模，提升三潭枇杷产业附加值，大幅增加农民收入，加快农村经济发展，促进乡村振兴。而且还将带动运输、旅游、餐饮等服务业的发展，促进地方经济良性发展。参考借鉴省内其它经验，特制定本规程。</w:t>
            </w:r>
          </w:p>
          <w:p w14:paraId="58AF9E1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</w:p>
        </w:tc>
      </w:tr>
      <w:tr w14:paraId="03CF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6" w:type="dxa"/>
            <w:gridSpan w:val="6"/>
            <w:vAlign w:val="center"/>
          </w:tcPr>
          <w:p w14:paraId="67CD1776">
            <w:r>
              <w:rPr>
                <w:rFonts w:hint="eastAsia"/>
              </w:rPr>
              <w:t>3、制定标准的原则和依据，与现行法律法规、标准的关系。</w:t>
            </w:r>
          </w:p>
        </w:tc>
      </w:tr>
      <w:tr w14:paraId="3FE8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18CD7F75">
            <w:pPr>
              <w:spacing w:line="360" w:lineRule="auto"/>
              <w:ind w:firstLine="422" w:firstLineChars="200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（一）制定原则</w:t>
            </w:r>
          </w:p>
          <w:p w14:paraId="290B8C91"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标准的制定遵循“统一性、通用性、规范性、普适性”的原则，在标准要求与技术指标的设置上，结合了歙县特定区域特色农产品质量安全标准化管控策略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和管理现状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，又充分考虑到了市场需求以及标准的科学性、可操作性及前瞻性，使标准先进可行。通过执行本标准，能够对“歙采缤纷”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特色农产品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质量安全标准化管控工作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提供指导，从而提升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歙采缤纷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区域公用品牌特色农产品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标准化生产和质量安全水平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与现行法律、标准无冲突。</w:t>
            </w:r>
          </w:p>
          <w:p w14:paraId="1CB0F5C9">
            <w:pPr>
              <w:spacing w:line="360" w:lineRule="auto"/>
              <w:ind w:firstLine="422" w:firstLineChars="200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（二）编制依据</w:t>
            </w:r>
          </w:p>
          <w:p w14:paraId="5656C908"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1.按照《GB/T 1.1-2020 标准化工作导则 第1部分：标准的结构和编写》的相关规定进行编写，在术语定义、结构版式以及单位符号等方面保持一致性。</w:t>
            </w:r>
          </w:p>
          <w:p w14:paraId="608EB1B4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2.本标准中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以</w:t>
            </w:r>
            <w:r>
              <w:rPr>
                <w:rFonts w:hint="eastAsia"/>
                <w:color w:val="auto"/>
                <w:lang w:val="en-US" w:eastAsia="zh-CN"/>
              </w:rPr>
              <w:t>就</w:t>
            </w:r>
            <w:r>
              <w:rPr>
                <w:rFonts w:hint="eastAsia" w:ascii="等线" w:hAnsi="等线"/>
                <w:color w:val="auto"/>
                <w:sz w:val="20"/>
                <w:szCs w:val="20"/>
              </w:rPr>
              <w:t>三潭枇杷植物饮料加工的原辅料要求、生产加工要求、 加工工艺、贮存和</w:t>
            </w:r>
            <w:r>
              <w:rPr>
                <w:rFonts w:hint="eastAsia" w:ascii="等线" w:hAnsi="等线"/>
                <w:color w:val="auto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/>
                <w:color w:val="auto"/>
                <w:lang w:val="en-US" w:eastAsia="zh-CN"/>
              </w:rPr>
              <w:t>经验，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结合了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歙县特定区域特色农产品质量安全标准化管理现状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和发展需求进行编写。</w:t>
            </w:r>
          </w:p>
          <w:p w14:paraId="1E4C4011">
            <w:pPr>
              <w:spacing w:line="360" w:lineRule="auto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（三）与现有法律法规、相关标准的关系</w:t>
            </w:r>
          </w:p>
          <w:p w14:paraId="7232D8A7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严格按照相关法律法规要求编制。与国家、行业、地方标准协调一致、无冲突和矛盾。</w:t>
            </w:r>
          </w:p>
        </w:tc>
      </w:tr>
      <w:tr w14:paraId="36FB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06" w:type="dxa"/>
            <w:gridSpan w:val="6"/>
            <w:vAlign w:val="center"/>
          </w:tcPr>
          <w:p w14:paraId="6C405223">
            <w:r>
              <w:rPr>
                <w:rFonts w:hint="eastAsia"/>
              </w:rPr>
              <w:t>4、主要条款的说明，主要技术指标、参数、试验验证的论述（详细说明）</w:t>
            </w:r>
          </w:p>
        </w:tc>
      </w:tr>
      <w:tr w14:paraId="079F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28217C85">
            <w:pPr>
              <w:spacing w:line="360" w:lineRule="auto"/>
              <w:ind w:firstLine="400" w:firstLineChars="20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bookmarkStart w:id="0" w:name="_Toc25972"/>
            <w:bookmarkStart w:id="1" w:name="_Hlk130544216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本文件规定了三潭枇杷植物饮料加工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的原辅料、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加工场所与环境、加工设备、工艺流程、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加工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运输与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贮存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生产记录等内容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。本文件适用于安徽黄山歙县行政区域内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三潭枇杷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为主要原料制成的植物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饮料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生产。</w:t>
            </w:r>
          </w:p>
          <w:bookmarkEnd w:id="0"/>
          <w:bookmarkEnd w:id="1"/>
          <w:p w14:paraId="535637BA">
            <w:pPr>
              <w:pStyle w:val="36"/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主要技术参数</w:t>
            </w:r>
          </w:p>
          <w:p w14:paraId="74D349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360" w:lineRule="auto"/>
              <w:jc w:val="left"/>
              <w:textAlignment w:val="baseline"/>
              <w:outlineLvl w:val="1"/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0"/>
                <w:szCs w:val="20"/>
                <w:lang w:eastAsia="en-US"/>
              </w:rPr>
              <w:t xml:space="preserve">三潭枇杷植物饮料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San Tan Peach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p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lant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rink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3"/>
                <w:kern w:val="0"/>
                <w:sz w:val="20"/>
                <w:szCs w:val="20"/>
                <w:lang w:val="en-US" w:eastAsia="zh-CN"/>
              </w:rPr>
              <w:t>)定义</w:t>
            </w:r>
          </w:p>
          <w:p w14:paraId="7276E39F">
            <w:pPr>
              <w:pStyle w:val="36"/>
              <w:numPr>
                <w:ilvl w:val="2"/>
                <w:numId w:val="0"/>
              </w:numPr>
              <w:spacing w:line="360" w:lineRule="auto"/>
              <w:ind w:firstLine="400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以三潭枇杷果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淡竹叶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橘皮为原料，经提取、调配、杀菌等工序加工而成的植物饮料。</w:t>
            </w:r>
          </w:p>
          <w:p w14:paraId="2F052EC7">
            <w:pPr>
              <w:pStyle w:val="38"/>
              <w:numPr>
                <w:numId w:val="0"/>
              </w:numPr>
              <w:spacing w:before="313" w:beforeLines="100" w:after="313" w:afterLines="100" w:line="360" w:lineRule="auto"/>
              <w:ind w:leftChars="0"/>
              <w:outlineLvl w:val="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bookmarkStart w:id="2" w:name="_Toc23084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 原辅料</w:t>
            </w:r>
            <w:bookmarkEnd w:id="2"/>
          </w:p>
          <w:p w14:paraId="2BEA7AC2">
            <w:pPr>
              <w:pStyle w:val="38"/>
              <w:numPr>
                <w:numId w:val="0"/>
              </w:numPr>
              <w:spacing w:before="313" w:beforeLines="100" w:after="313" w:afterLines="100" w:line="360" w:lineRule="auto"/>
              <w:ind w:leftChars="0"/>
              <w:outlineLvl w:val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包括了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三潭枇杷果、叶及淡竹叶与橘皮浓缩液、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雪梨浓缩液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苹果浓缩液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等材料，应符合国家的相关食品安全标准规定。</w:t>
            </w:r>
            <w:bookmarkStart w:id="3" w:name="_Toc6249"/>
          </w:p>
          <w:p w14:paraId="021EB42C">
            <w:pPr>
              <w:pStyle w:val="38"/>
              <w:numPr>
                <w:ilvl w:val="0"/>
                <w:numId w:val="5"/>
              </w:numPr>
              <w:spacing w:before="313" w:beforeLines="100" w:after="313" w:afterLines="100" w:line="360" w:lineRule="auto"/>
              <w:ind w:leftChars="0"/>
              <w:outlineLvl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加工</w:t>
            </w:r>
            <w:bookmarkEnd w:id="3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场所与环境</w:t>
            </w:r>
          </w:p>
          <w:p w14:paraId="0015C0CE">
            <w:pPr>
              <w:pStyle w:val="38"/>
              <w:numPr>
                <w:numId w:val="0"/>
              </w:numPr>
              <w:spacing w:before="313" w:beforeLines="100" w:after="313" w:afterLines="100" w:line="360" w:lineRule="auto"/>
              <w:ind w:leftChars="0" w:firstLine="400" w:firstLineChars="200"/>
              <w:outlineLvl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应符合GB 14881、GB12695的规定</w:t>
            </w:r>
          </w:p>
          <w:p w14:paraId="2EB5B982">
            <w:pPr>
              <w:pStyle w:val="1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4、加工设备</w:t>
            </w:r>
          </w:p>
          <w:p w14:paraId="3AAEBBA2">
            <w:pPr>
              <w:pStyle w:val="38"/>
              <w:numPr>
                <w:ilvl w:val="0"/>
                <w:numId w:val="0"/>
              </w:numPr>
              <w:spacing w:before="313" w:beforeLines="100" w:after="313" w:afterLines="100" w:line="240" w:lineRule="auto"/>
              <w:ind w:firstLine="400" w:firstLineChars="20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包括但不限于烘干设备、提取设备、浓缩设备、过滤设备、杀菌设备和灌装设备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应符合GB 12695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和GB14881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的规定。</w:t>
            </w:r>
          </w:p>
          <w:p w14:paraId="066871CC">
            <w:pPr>
              <w:pStyle w:val="38"/>
              <w:numPr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4" w:name="_Toc21684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工艺流程</w:t>
            </w:r>
            <w:bookmarkEnd w:id="4"/>
          </w:p>
          <w:p w14:paraId="2D63E6C8">
            <w:pPr>
              <w:pStyle w:val="36"/>
              <w:numPr>
                <w:ilvl w:val="0"/>
                <w:numId w:val="0"/>
              </w:numPr>
              <w:spacing w:line="360" w:lineRule="auto"/>
              <w:ind w:firstLine="400" w:firstLineChars="20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bookmarkStart w:id="5" w:name="_Toc5697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  <w:t>三潭枇杷果→清洗→去核→打浆→熬制→浓缩→冷藏备用</w:t>
            </w:r>
          </w:p>
          <w:p w14:paraId="55DCFBF1">
            <w:pPr>
              <w:pStyle w:val="36"/>
              <w:numPr>
                <w:ilvl w:val="0"/>
                <w:numId w:val="0"/>
              </w:numPr>
              <w:spacing w:line="360" w:lineRule="auto"/>
              <w:ind w:left="0" w:firstLine="400" w:firstLineChars="20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  <w:t>三潭枇杷叶→阴干→去毛→清洗→切丝→加水熬制→浓缩→冷藏备用</w:t>
            </w:r>
          </w:p>
          <w:p w14:paraId="0E9A2C53">
            <w:pPr>
              <w:pStyle w:val="36"/>
              <w:numPr>
                <w:ilvl w:val="0"/>
                <w:numId w:val="0"/>
              </w:numPr>
              <w:spacing w:line="360" w:lineRule="auto"/>
              <w:ind w:left="0" w:firstLine="400" w:firstLineChars="20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  <w:t>将三潭枇杷果、叶浓缩液与雪梨浓缩液、苹果浓缩液加纯净水调配后熬煮过滤杀菌后罐装贮藏。</w:t>
            </w:r>
          </w:p>
          <w:bookmarkEnd w:id="5"/>
          <w:p w14:paraId="0D2D20D6">
            <w:pPr>
              <w:pStyle w:val="38"/>
              <w:numPr>
                <w:ilvl w:val="0"/>
                <w:numId w:val="0"/>
              </w:numPr>
              <w:spacing w:before="313" w:beforeLines="100" w:after="313" w:afterLines="100" w:line="360" w:lineRule="auto"/>
              <w:outlineLvl w:val="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6 生产过程 </w:t>
            </w:r>
          </w:p>
          <w:p w14:paraId="57B0A684">
            <w:pPr>
              <w:pStyle w:val="38"/>
              <w:numPr>
                <w:ilvl w:val="0"/>
                <w:numId w:val="0"/>
              </w:numPr>
              <w:spacing w:before="313" w:beforeLines="100" w:after="313" w:afterLines="100"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清洗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去核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打浆、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叶切丝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  <w:t>熬制、浓缩、调配、杀菌、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热灌装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等过程，规定了各种技术参数包括温度，杀菌方法、时间等。</w:t>
            </w:r>
          </w:p>
          <w:p w14:paraId="30A7E7DE">
            <w:pPr>
              <w:pStyle w:val="38"/>
              <w:numPr>
                <w:ilvl w:val="0"/>
                <w:numId w:val="0"/>
              </w:numPr>
              <w:spacing w:before="313" w:beforeLines="100" w:after="313" w:afterLines="100" w:line="360" w:lineRule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bookmarkStart w:id="6" w:name="_Toc7164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运输与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贮存</w:t>
            </w:r>
            <w:bookmarkEnd w:id="6"/>
          </w:p>
          <w:p w14:paraId="448D98E8">
            <w:pPr>
              <w:pStyle w:val="17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规定运输工具应清洁卫生、无异味、无污染；原料、辅料、半成品、成品应分开放置等要求</w:t>
            </w:r>
          </w:p>
          <w:p w14:paraId="0EDB8D9C">
            <w:pPr>
              <w:pStyle w:val="17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bookmarkStart w:id="7" w:name="_Toc2524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8 生产记录</w:t>
            </w:r>
            <w:bookmarkEnd w:id="7"/>
          </w:p>
          <w:p w14:paraId="45272E7E">
            <w:pPr>
              <w:pStyle w:val="17"/>
              <w:spacing w:line="360" w:lineRule="auto"/>
              <w:ind w:firstLine="200" w:firstLineChars="100"/>
            </w:pPr>
            <w:bookmarkStart w:id="8" w:name="_GoBack"/>
            <w:bookmarkEnd w:id="8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应建立生产过程记录，对生产过程中采购、加工、贮存等环节详细记录，记录内容应完整、真实，确保从原料采购到产品贮存的所有环节都可进行有效追溯。</w:t>
            </w:r>
          </w:p>
        </w:tc>
      </w:tr>
      <w:tr w14:paraId="3595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06" w:type="dxa"/>
            <w:gridSpan w:val="6"/>
            <w:vAlign w:val="center"/>
          </w:tcPr>
          <w:p w14:paraId="57A42BD7">
            <w:r>
              <w:rPr>
                <w:rFonts w:hint="eastAsia"/>
              </w:rPr>
              <w:t>5、标准中涉及专利，应有明确的知识产权说明</w:t>
            </w:r>
          </w:p>
        </w:tc>
      </w:tr>
      <w:tr w14:paraId="0741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3BF907CD">
            <w:pPr>
              <w:ind w:firstLine="420" w:firstLineChars="200"/>
            </w:pPr>
            <w:r>
              <w:rPr>
                <w:rFonts w:hint="eastAsia"/>
              </w:rPr>
              <w:t>本标准不涉及专利和知识产权方面。</w:t>
            </w:r>
          </w:p>
        </w:tc>
      </w:tr>
      <w:tr w14:paraId="0F0C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606" w:type="dxa"/>
            <w:gridSpan w:val="6"/>
            <w:vAlign w:val="center"/>
          </w:tcPr>
          <w:p w14:paraId="07D7AC44">
            <w:r>
              <w:rPr>
                <w:rFonts w:hint="eastAsia"/>
              </w:rPr>
              <w:t>6、采用国际标准或国外先进标准的，说明采标过程，以及国内外同类标准水平的对比情况</w:t>
            </w:r>
          </w:p>
        </w:tc>
      </w:tr>
      <w:tr w14:paraId="051B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252D9D8D">
            <w:pPr>
              <w:spacing w:line="360" w:lineRule="auto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当前现有标准仍缺乏对</w:t>
            </w:r>
            <w:r>
              <w:rPr>
                <w:rFonts w:hint="eastAsia" w:eastAsia="宋体"/>
                <w:lang w:val="en-US" w:eastAsia="zh-CN"/>
              </w:rPr>
              <w:t>歙县</w:t>
            </w:r>
            <w:r>
              <w:rPr>
                <w:rFonts w:hint="eastAsia" w:eastAsia="宋体"/>
              </w:rPr>
              <w:t>特色农产品的针对性措施。加强农产品质量安全管理是当前供给侧结构改革的重要任务，本标准的制定和实施符合当前国家标准和法律法规的要求，不存在冲突</w:t>
            </w:r>
            <w:r>
              <w:rPr>
                <w:rFonts w:hint="eastAsia" w:eastAsia="宋体"/>
                <w:lang w:eastAsia="zh-CN"/>
              </w:rPr>
              <w:t>。</w:t>
            </w:r>
          </w:p>
        </w:tc>
      </w:tr>
      <w:tr w14:paraId="1B2E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06" w:type="dxa"/>
            <w:gridSpan w:val="6"/>
            <w:vAlign w:val="center"/>
          </w:tcPr>
          <w:p w14:paraId="09CF2A4B">
            <w:r>
              <w:rPr>
                <w:rFonts w:hint="eastAsia"/>
              </w:rPr>
              <w:t>7、重大分歧意见的处理经过和依据</w:t>
            </w:r>
          </w:p>
        </w:tc>
      </w:tr>
      <w:tr w14:paraId="7FC8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7BA8BD69">
            <w:pPr>
              <w:ind w:firstLine="420" w:firstLineChars="200"/>
            </w:pPr>
            <w:r>
              <w:rPr>
                <w:rFonts w:hint="eastAsia"/>
              </w:rPr>
              <w:t>标准在编制过程中没有重大意见分歧。</w:t>
            </w:r>
          </w:p>
        </w:tc>
      </w:tr>
      <w:tr w14:paraId="72D3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06" w:type="dxa"/>
            <w:gridSpan w:val="6"/>
            <w:vAlign w:val="center"/>
          </w:tcPr>
          <w:p w14:paraId="6DCB3697">
            <w:r>
              <w:rPr>
                <w:rFonts w:hint="eastAsia"/>
              </w:rPr>
              <w:t>8、贯彻标准的要求和措施建议（包括组织措施、技术措施、过渡办法、实施日期等）</w:t>
            </w:r>
          </w:p>
        </w:tc>
      </w:tr>
      <w:tr w14:paraId="45D9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0074A21C">
            <w:pPr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1.由标准归口单位牵头，起草单位具体实施，开展该标准的宣贯；</w:t>
            </w:r>
          </w:p>
          <w:p w14:paraId="2C83B311">
            <w:pPr>
              <w:ind w:firstLine="210" w:firstLineChars="100"/>
            </w:pPr>
            <w:r>
              <w:rPr>
                <w:rFonts w:hint="default" w:ascii="Times New Roman" w:hAnsi="Times New Roman" w:cs="Times New Roman"/>
              </w:rPr>
              <w:t>2.标准起草单位应继续开展研究，改进和完善标准的相关内容。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 xml:space="preserve"> </w:t>
            </w:r>
          </w:p>
        </w:tc>
      </w:tr>
      <w:tr w14:paraId="5DB2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6" w:type="dxa"/>
            <w:gridSpan w:val="6"/>
            <w:vAlign w:val="center"/>
          </w:tcPr>
          <w:p w14:paraId="19DB5CF4"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9、废止现行相关标准的建议</w:t>
            </w:r>
          </w:p>
        </w:tc>
      </w:tr>
      <w:tr w14:paraId="1E42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31EF9784">
            <w:pPr>
              <w:ind w:firstLine="210" w:firstLineChars="100"/>
            </w:pPr>
            <w:r>
              <w:rPr>
                <w:rFonts w:hint="eastAsia"/>
              </w:rPr>
              <w:t>无。</w:t>
            </w:r>
          </w:p>
        </w:tc>
      </w:tr>
      <w:tr w14:paraId="0E0B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6" w:type="dxa"/>
            <w:gridSpan w:val="6"/>
            <w:vAlign w:val="center"/>
          </w:tcPr>
          <w:p w14:paraId="14DABB0F"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10、其它应予说明的事项 </w:t>
            </w:r>
          </w:p>
        </w:tc>
      </w:tr>
      <w:tr w14:paraId="5D93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71BD0A6E">
            <w:pPr>
              <w:ind w:firstLine="210" w:firstLineChars="100"/>
            </w:pPr>
            <w:r>
              <w:rPr>
                <w:rFonts w:hint="eastAsia"/>
              </w:rPr>
              <w:t>无。</w:t>
            </w:r>
          </w:p>
        </w:tc>
      </w:tr>
    </w:tbl>
    <w:p w14:paraId="32F43C04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60C0ED-50F3-4ABD-9E10-B1244D600E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A67F51-2086-44D0-BA2A-CF948C6957F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F8618D6-B9E2-4BA5-8EF4-9D07EC12169B}"/>
  </w:font>
  <w:font w:name="Times New Roman Regular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  <w:embedRegular r:id="rId4" w:fontKey="{17ADC70C-01D8-4FDB-B68B-EB94C791D76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29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28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8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7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ligatures w14:val="none"/>
        <w14:numForm w14:val="default"/>
        <w14:numSpacing w14:val="default"/>
      </w:rPr>
    </w:lvl>
    <w:lvl w:ilvl="3" w:tentative="0">
      <w:start w:val="1"/>
      <w:numFmt w:val="decimal"/>
      <w:pStyle w:val="22"/>
      <w:suff w:val="nothing"/>
      <w:lvlText w:val="%1%2.%3.%4　"/>
      <w:lvlJc w:val="left"/>
      <w:pPr>
        <w:ind w:left="851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23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4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5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6DBF04F4"/>
    <w:multiLevelType w:val="multilevel"/>
    <w:tmpl w:val="6DBF04F4"/>
    <w:lvl w:ilvl="0" w:tentative="0">
      <w:start w:val="1"/>
      <w:numFmt w:val="none"/>
      <w:pStyle w:val="35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4">
    <w:nsid w:val="6DE11702"/>
    <w:multiLevelType w:val="singleLevel"/>
    <w:tmpl w:val="6DE1170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TRkMmE2MThkMzJiMmU1NmI0MmM0NWRkOWUyOTEifQ=="/>
  </w:docVars>
  <w:rsids>
    <w:rsidRoot w:val="00172A27"/>
    <w:rsid w:val="000022DE"/>
    <w:rsid w:val="00012E9F"/>
    <w:rsid w:val="000850B3"/>
    <w:rsid w:val="0010308A"/>
    <w:rsid w:val="0011123B"/>
    <w:rsid w:val="0013306B"/>
    <w:rsid w:val="00147DF5"/>
    <w:rsid w:val="00147ED4"/>
    <w:rsid w:val="001C04F8"/>
    <w:rsid w:val="002153B2"/>
    <w:rsid w:val="002161F9"/>
    <w:rsid w:val="00216B2A"/>
    <w:rsid w:val="002340B1"/>
    <w:rsid w:val="002757CA"/>
    <w:rsid w:val="002771D4"/>
    <w:rsid w:val="00286895"/>
    <w:rsid w:val="002C11D4"/>
    <w:rsid w:val="002E73FD"/>
    <w:rsid w:val="00306059"/>
    <w:rsid w:val="0033708A"/>
    <w:rsid w:val="003C5624"/>
    <w:rsid w:val="00420F5B"/>
    <w:rsid w:val="004371C6"/>
    <w:rsid w:val="00446F3B"/>
    <w:rsid w:val="00462D87"/>
    <w:rsid w:val="004A3F6F"/>
    <w:rsid w:val="004C2BAE"/>
    <w:rsid w:val="004C4C1D"/>
    <w:rsid w:val="00597AB4"/>
    <w:rsid w:val="005F6745"/>
    <w:rsid w:val="00634542"/>
    <w:rsid w:val="00642A8D"/>
    <w:rsid w:val="00675AB9"/>
    <w:rsid w:val="006A4E71"/>
    <w:rsid w:val="006A5F8C"/>
    <w:rsid w:val="006B260D"/>
    <w:rsid w:val="00745F7A"/>
    <w:rsid w:val="007937E9"/>
    <w:rsid w:val="007A2C38"/>
    <w:rsid w:val="007C41B0"/>
    <w:rsid w:val="007D6A55"/>
    <w:rsid w:val="007F3722"/>
    <w:rsid w:val="00822167"/>
    <w:rsid w:val="008760FE"/>
    <w:rsid w:val="008C28CC"/>
    <w:rsid w:val="00906526"/>
    <w:rsid w:val="009245BD"/>
    <w:rsid w:val="00925AD9"/>
    <w:rsid w:val="0098632D"/>
    <w:rsid w:val="00997741"/>
    <w:rsid w:val="009B0B61"/>
    <w:rsid w:val="009C472F"/>
    <w:rsid w:val="00A46D14"/>
    <w:rsid w:val="00A61997"/>
    <w:rsid w:val="00A74BEC"/>
    <w:rsid w:val="00A77479"/>
    <w:rsid w:val="00AA42F5"/>
    <w:rsid w:val="00AF2CB7"/>
    <w:rsid w:val="00B2603B"/>
    <w:rsid w:val="00B63332"/>
    <w:rsid w:val="00B96EA7"/>
    <w:rsid w:val="00C32E9C"/>
    <w:rsid w:val="00C965A8"/>
    <w:rsid w:val="00CA74AB"/>
    <w:rsid w:val="00D20DB0"/>
    <w:rsid w:val="00D3044D"/>
    <w:rsid w:val="00D3087E"/>
    <w:rsid w:val="00D46C43"/>
    <w:rsid w:val="00DA6D1D"/>
    <w:rsid w:val="00DB2F2E"/>
    <w:rsid w:val="00DD47EB"/>
    <w:rsid w:val="00E03EF6"/>
    <w:rsid w:val="00E261B0"/>
    <w:rsid w:val="00E37388"/>
    <w:rsid w:val="00E51B5D"/>
    <w:rsid w:val="00EA4969"/>
    <w:rsid w:val="00EF3817"/>
    <w:rsid w:val="00EF434A"/>
    <w:rsid w:val="00F00B7F"/>
    <w:rsid w:val="00F60092"/>
    <w:rsid w:val="00F65CCD"/>
    <w:rsid w:val="00F811DB"/>
    <w:rsid w:val="00FD70E9"/>
    <w:rsid w:val="00FE10AE"/>
    <w:rsid w:val="016C4088"/>
    <w:rsid w:val="01A87AFF"/>
    <w:rsid w:val="01FF3BC3"/>
    <w:rsid w:val="027A41B7"/>
    <w:rsid w:val="02AE074F"/>
    <w:rsid w:val="03315E11"/>
    <w:rsid w:val="03BB7FBE"/>
    <w:rsid w:val="040B70FB"/>
    <w:rsid w:val="04507C7A"/>
    <w:rsid w:val="046E7993"/>
    <w:rsid w:val="04F44E1F"/>
    <w:rsid w:val="05AD6B0F"/>
    <w:rsid w:val="06DC2FF3"/>
    <w:rsid w:val="06E67100"/>
    <w:rsid w:val="07073135"/>
    <w:rsid w:val="07635D15"/>
    <w:rsid w:val="080448A2"/>
    <w:rsid w:val="0950231A"/>
    <w:rsid w:val="09D25A3C"/>
    <w:rsid w:val="09F641CE"/>
    <w:rsid w:val="0A200B7B"/>
    <w:rsid w:val="0A353D9E"/>
    <w:rsid w:val="0A7E6A14"/>
    <w:rsid w:val="0A982E07"/>
    <w:rsid w:val="0AD21CBD"/>
    <w:rsid w:val="0C05627A"/>
    <w:rsid w:val="0CFB1362"/>
    <w:rsid w:val="0DB374DB"/>
    <w:rsid w:val="0DE95727"/>
    <w:rsid w:val="0DF12ABE"/>
    <w:rsid w:val="0E3B11CE"/>
    <w:rsid w:val="0E5819A8"/>
    <w:rsid w:val="0E59465B"/>
    <w:rsid w:val="0FF10BD9"/>
    <w:rsid w:val="1035627D"/>
    <w:rsid w:val="10383759"/>
    <w:rsid w:val="10645A7C"/>
    <w:rsid w:val="10C20BDE"/>
    <w:rsid w:val="11ED1C8A"/>
    <w:rsid w:val="12957C2C"/>
    <w:rsid w:val="129C545E"/>
    <w:rsid w:val="13C5028B"/>
    <w:rsid w:val="14221993"/>
    <w:rsid w:val="1498010F"/>
    <w:rsid w:val="16D52CED"/>
    <w:rsid w:val="174D2F66"/>
    <w:rsid w:val="183E0F7A"/>
    <w:rsid w:val="1A2521DD"/>
    <w:rsid w:val="1AAA5065"/>
    <w:rsid w:val="1AB970E1"/>
    <w:rsid w:val="1BA530A6"/>
    <w:rsid w:val="1C0A168B"/>
    <w:rsid w:val="1C59001C"/>
    <w:rsid w:val="1C6D7D89"/>
    <w:rsid w:val="1C7A6810"/>
    <w:rsid w:val="1D4A03BA"/>
    <w:rsid w:val="1D8B7396"/>
    <w:rsid w:val="1E220F0E"/>
    <w:rsid w:val="1E256C04"/>
    <w:rsid w:val="1F6C755F"/>
    <w:rsid w:val="1F775289"/>
    <w:rsid w:val="1F9D5212"/>
    <w:rsid w:val="1FE65F6B"/>
    <w:rsid w:val="1FF73E2D"/>
    <w:rsid w:val="20014525"/>
    <w:rsid w:val="212D0991"/>
    <w:rsid w:val="2163348C"/>
    <w:rsid w:val="22325497"/>
    <w:rsid w:val="22767B26"/>
    <w:rsid w:val="22AF6AD1"/>
    <w:rsid w:val="236D32C5"/>
    <w:rsid w:val="237617C8"/>
    <w:rsid w:val="239857CE"/>
    <w:rsid w:val="23E00ED4"/>
    <w:rsid w:val="23E427C1"/>
    <w:rsid w:val="25407ECB"/>
    <w:rsid w:val="26A12BEB"/>
    <w:rsid w:val="27287556"/>
    <w:rsid w:val="27D21829"/>
    <w:rsid w:val="2824337C"/>
    <w:rsid w:val="28E658F8"/>
    <w:rsid w:val="29090C74"/>
    <w:rsid w:val="290D31CB"/>
    <w:rsid w:val="299B6018"/>
    <w:rsid w:val="2A6B59EA"/>
    <w:rsid w:val="2AA06C63"/>
    <w:rsid w:val="2B6771C1"/>
    <w:rsid w:val="2D125120"/>
    <w:rsid w:val="2D2500D2"/>
    <w:rsid w:val="2DF56760"/>
    <w:rsid w:val="2E573A78"/>
    <w:rsid w:val="2EA74B17"/>
    <w:rsid w:val="2ECC598B"/>
    <w:rsid w:val="2F3350E6"/>
    <w:rsid w:val="30A130DC"/>
    <w:rsid w:val="31065D45"/>
    <w:rsid w:val="31A7472C"/>
    <w:rsid w:val="31C66B0D"/>
    <w:rsid w:val="32C86C8A"/>
    <w:rsid w:val="33430AFD"/>
    <w:rsid w:val="335523BF"/>
    <w:rsid w:val="336B4F04"/>
    <w:rsid w:val="339D324E"/>
    <w:rsid w:val="33A96F5E"/>
    <w:rsid w:val="34F8658D"/>
    <w:rsid w:val="3533129B"/>
    <w:rsid w:val="35C61F45"/>
    <w:rsid w:val="364049F9"/>
    <w:rsid w:val="36964832"/>
    <w:rsid w:val="36B135E3"/>
    <w:rsid w:val="371511B8"/>
    <w:rsid w:val="37B7401D"/>
    <w:rsid w:val="3897135D"/>
    <w:rsid w:val="38EC419A"/>
    <w:rsid w:val="3A8D5509"/>
    <w:rsid w:val="3B23427C"/>
    <w:rsid w:val="3B3F7940"/>
    <w:rsid w:val="3B8B5C2B"/>
    <w:rsid w:val="3BFF6D0C"/>
    <w:rsid w:val="3D0E0B44"/>
    <w:rsid w:val="3D2814E9"/>
    <w:rsid w:val="3D7B3D3F"/>
    <w:rsid w:val="3DD445E9"/>
    <w:rsid w:val="3DE15660"/>
    <w:rsid w:val="3DE44298"/>
    <w:rsid w:val="3F465067"/>
    <w:rsid w:val="3FC31100"/>
    <w:rsid w:val="3FD00372"/>
    <w:rsid w:val="40DF5AE6"/>
    <w:rsid w:val="421B2041"/>
    <w:rsid w:val="4249440B"/>
    <w:rsid w:val="42622978"/>
    <w:rsid w:val="42D00586"/>
    <w:rsid w:val="43056584"/>
    <w:rsid w:val="433E6B9F"/>
    <w:rsid w:val="43851473"/>
    <w:rsid w:val="43937113"/>
    <w:rsid w:val="466461CA"/>
    <w:rsid w:val="46780E1B"/>
    <w:rsid w:val="46841EB6"/>
    <w:rsid w:val="471E4372"/>
    <w:rsid w:val="47226FD9"/>
    <w:rsid w:val="47A143A2"/>
    <w:rsid w:val="47CF7161"/>
    <w:rsid w:val="47EE5397"/>
    <w:rsid w:val="48071DDB"/>
    <w:rsid w:val="48073C47"/>
    <w:rsid w:val="487970CD"/>
    <w:rsid w:val="496E6505"/>
    <w:rsid w:val="49B01B37"/>
    <w:rsid w:val="4A2A32C5"/>
    <w:rsid w:val="4A353721"/>
    <w:rsid w:val="4A3B7646"/>
    <w:rsid w:val="4A8F0E29"/>
    <w:rsid w:val="4AAF5F1A"/>
    <w:rsid w:val="4AC5494B"/>
    <w:rsid w:val="4C1A474F"/>
    <w:rsid w:val="4C1A51E9"/>
    <w:rsid w:val="4CD60F91"/>
    <w:rsid w:val="4DCE103A"/>
    <w:rsid w:val="4E7F7A2B"/>
    <w:rsid w:val="4EB66F0E"/>
    <w:rsid w:val="4EB83716"/>
    <w:rsid w:val="4FE04F2F"/>
    <w:rsid w:val="4FE17A31"/>
    <w:rsid w:val="52F6660A"/>
    <w:rsid w:val="53C42E3E"/>
    <w:rsid w:val="54BC10AE"/>
    <w:rsid w:val="55FE4324"/>
    <w:rsid w:val="56187F25"/>
    <w:rsid w:val="57660472"/>
    <w:rsid w:val="57BB579A"/>
    <w:rsid w:val="57D32355"/>
    <w:rsid w:val="58466FCB"/>
    <w:rsid w:val="58C67F77"/>
    <w:rsid w:val="59AD772B"/>
    <w:rsid w:val="59D414BC"/>
    <w:rsid w:val="5A4BCBC6"/>
    <w:rsid w:val="5A4D5052"/>
    <w:rsid w:val="5AA40826"/>
    <w:rsid w:val="5C6204E4"/>
    <w:rsid w:val="5C9F4EFC"/>
    <w:rsid w:val="5CAB25BA"/>
    <w:rsid w:val="5CFE59FE"/>
    <w:rsid w:val="5D4E5F83"/>
    <w:rsid w:val="5DA423BC"/>
    <w:rsid w:val="5E021BE6"/>
    <w:rsid w:val="5F390066"/>
    <w:rsid w:val="5FED4FC8"/>
    <w:rsid w:val="600A2FD4"/>
    <w:rsid w:val="608B1080"/>
    <w:rsid w:val="60E750C3"/>
    <w:rsid w:val="619E1C26"/>
    <w:rsid w:val="6271733B"/>
    <w:rsid w:val="62817644"/>
    <w:rsid w:val="628D10EE"/>
    <w:rsid w:val="63FA3360"/>
    <w:rsid w:val="640B23D1"/>
    <w:rsid w:val="641F3A4E"/>
    <w:rsid w:val="64B33C3A"/>
    <w:rsid w:val="65A92947"/>
    <w:rsid w:val="65D96A84"/>
    <w:rsid w:val="66084C94"/>
    <w:rsid w:val="669A1275"/>
    <w:rsid w:val="67A10EC4"/>
    <w:rsid w:val="681349F0"/>
    <w:rsid w:val="68180AC9"/>
    <w:rsid w:val="688721DA"/>
    <w:rsid w:val="695A0B28"/>
    <w:rsid w:val="69D1246D"/>
    <w:rsid w:val="6A002D52"/>
    <w:rsid w:val="6A5E63F6"/>
    <w:rsid w:val="6B3E2749"/>
    <w:rsid w:val="6B8A7A4D"/>
    <w:rsid w:val="6C42770F"/>
    <w:rsid w:val="6D1B7C09"/>
    <w:rsid w:val="6DA934D3"/>
    <w:rsid w:val="6DAE04D3"/>
    <w:rsid w:val="6E0E64AC"/>
    <w:rsid w:val="6E172210"/>
    <w:rsid w:val="6E179F9A"/>
    <w:rsid w:val="6E593469"/>
    <w:rsid w:val="6EB5235D"/>
    <w:rsid w:val="6FCB2FDC"/>
    <w:rsid w:val="71237A99"/>
    <w:rsid w:val="72331306"/>
    <w:rsid w:val="725564D7"/>
    <w:rsid w:val="73027B3B"/>
    <w:rsid w:val="731E4777"/>
    <w:rsid w:val="74593BA8"/>
    <w:rsid w:val="74AD3484"/>
    <w:rsid w:val="74E27C24"/>
    <w:rsid w:val="74E4497B"/>
    <w:rsid w:val="76326989"/>
    <w:rsid w:val="76880357"/>
    <w:rsid w:val="76960CC6"/>
    <w:rsid w:val="777829C4"/>
    <w:rsid w:val="78BF7B35"/>
    <w:rsid w:val="79641244"/>
    <w:rsid w:val="79C1605A"/>
    <w:rsid w:val="7B5528DC"/>
    <w:rsid w:val="7B8C2698"/>
    <w:rsid w:val="7C9042DB"/>
    <w:rsid w:val="7CA12173"/>
    <w:rsid w:val="7D4F1BCF"/>
    <w:rsid w:val="7EDE46AC"/>
    <w:rsid w:val="7F343E02"/>
    <w:rsid w:val="7F594416"/>
    <w:rsid w:val="7F977441"/>
    <w:rsid w:val="7FA44441"/>
    <w:rsid w:val="7FB156AC"/>
    <w:rsid w:val="93BB39B1"/>
    <w:rsid w:val="BFDFD6F5"/>
    <w:rsid w:val="BFF1F597"/>
    <w:rsid w:val="DFEF89FB"/>
    <w:rsid w:val="F77F65F5"/>
    <w:rsid w:val="FF7FBACC"/>
    <w:rsid w:val="FFDEB5F7"/>
    <w:rsid w:val="FFE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alloon Text"/>
    <w:basedOn w:val="1"/>
    <w:link w:val="32"/>
    <w:qFormat/>
    <w:uiPriority w:val="0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31"/>
    <w:semiHidden/>
    <w:unhideWhenUsed/>
    <w:qFormat/>
    <w:uiPriority w:val="0"/>
    <w:rPr>
      <w:b/>
      <w:bCs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styleId="16">
    <w:name w:val="annotation reference"/>
    <w:basedOn w:val="12"/>
    <w:semiHidden/>
    <w:unhideWhenUsed/>
    <w:qFormat/>
    <w:uiPriority w:val="0"/>
    <w:rPr>
      <w:sz w:val="21"/>
      <w:szCs w:val="21"/>
    </w:r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页眉 字符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0">
    <w:name w:val="标准文件_段"/>
    <w:link w:val="2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标准文件_段 Char"/>
    <w:link w:val="20"/>
    <w:qFormat/>
    <w:uiPriority w:val="0"/>
    <w:rPr>
      <w:rFonts w:ascii="宋体"/>
      <w:sz w:val="21"/>
    </w:rPr>
  </w:style>
  <w:style w:type="paragraph" w:customStyle="1" w:styleId="22">
    <w:name w:val="标准文件_二级条标题"/>
    <w:next w:val="20"/>
    <w:qFormat/>
    <w:uiPriority w:val="0"/>
    <w:pPr>
      <w:widowControl w:val="0"/>
      <w:numPr>
        <w:ilvl w:val="3"/>
        <w:numId w:val="1"/>
      </w:numPr>
      <w:spacing w:before="50" w:beforeLines="50" w:after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标准文件_三级条标题"/>
    <w:basedOn w:val="22"/>
    <w:next w:val="20"/>
    <w:qFormat/>
    <w:uiPriority w:val="0"/>
    <w:pPr>
      <w:widowControl/>
      <w:numPr>
        <w:ilvl w:val="4"/>
      </w:numPr>
      <w:outlineLvl w:val="3"/>
    </w:pPr>
  </w:style>
  <w:style w:type="paragraph" w:customStyle="1" w:styleId="24">
    <w:name w:val="标准文件_四级条标题"/>
    <w:next w:val="20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五级条标题"/>
    <w:next w:val="20"/>
    <w:qFormat/>
    <w:uiPriority w:val="0"/>
    <w:pPr>
      <w:widowControl w:val="0"/>
      <w:numPr>
        <w:ilvl w:val="6"/>
        <w:numId w:val="1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">
    <w:name w:val="标准文件_章标题"/>
    <w:next w:val="20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标准文件_一级条标题"/>
    <w:basedOn w:val="26"/>
    <w:next w:val="20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8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9">
    <w:name w:val="标准文件_正文表标题"/>
    <w:next w:val="20"/>
    <w:qFormat/>
    <w:uiPriority w:val="0"/>
    <w:pPr>
      <w:numPr>
        <w:ilvl w:val="0"/>
        <w:numId w:val="2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30">
    <w:name w:val="批注文字 字符"/>
    <w:basedOn w:val="12"/>
    <w:link w:val="3"/>
    <w:semiHidden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1">
    <w:name w:val="批注主题 字符"/>
    <w:basedOn w:val="30"/>
    <w:link w:val="9"/>
    <w:semiHidden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32">
    <w:name w:val="批注框文本 字符"/>
    <w:basedOn w:val="12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标准文件_二级无标题"/>
    <w:basedOn w:val="22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35">
    <w:name w:val="标准文件_注："/>
    <w:next w:val="20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6">
    <w:name w:val="一级条标题"/>
    <w:next w:val="17"/>
    <w:qFormat/>
    <w:uiPriority w:val="0"/>
    <w:pPr>
      <w:numPr>
        <w:ilvl w:val="1"/>
        <w:numId w:val="4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7">
    <w:name w:val="封面标准名称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80" w:lineRule="exact"/>
      <w:ind w:left="0" w:right="0"/>
      <w:jc w:val="center"/>
      <w:textAlignment w:val="center"/>
    </w:pPr>
    <w:rPr>
      <w:rFonts w:hint="default" w:ascii="黑体" w:hAnsi="宋体" w:eastAsia="黑体" w:cs="黑体"/>
      <w:kern w:val="0"/>
      <w:sz w:val="52"/>
      <w:szCs w:val="52"/>
      <w:lang w:val="en-US" w:eastAsia="zh-CN" w:bidi="ar"/>
    </w:rPr>
  </w:style>
  <w:style w:type="paragraph" w:customStyle="1" w:styleId="38">
    <w:name w:val="章标题"/>
    <w:next w:val="17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3455</Words>
  <Characters>3695</Characters>
  <Lines>1</Lines>
  <Paragraphs>1</Paragraphs>
  <TotalTime>11</TotalTime>
  <ScaleCrop>false</ScaleCrop>
  <LinksUpToDate>false</LinksUpToDate>
  <CharactersWithSpaces>3778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Mac</dc:creator>
  <cp:lastModifiedBy>52431</cp:lastModifiedBy>
  <dcterms:modified xsi:type="dcterms:W3CDTF">2024-09-28T02:55:35Z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A8A63CE0718F420AA9B5F3D4066B9D59_13</vt:lpwstr>
  </property>
</Properties>
</file>