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B8A66">
      <w:pPr>
        <w:jc w:val="center"/>
      </w:pPr>
    </w:p>
    <w:p w14:paraId="593942B9">
      <w:pPr>
        <w:jc w:val="center"/>
      </w:pPr>
    </w:p>
    <w:p w14:paraId="659B2CC8">
      <w:pPr>
        <w:jc w:val="center"/>
      </w:pPr>
    </w:p>
    <w:p w14:paraId="213BD375">
      <w:pPr>
        <w:jc w:val="center"/>
      </w:pPr>
    </w:p>
    <w:p w14:paraId="0039A836">
      <w:pPr>
        <w:jc w:val="center"/>
      </w:pPr>
    </w:p>
    <w:p w14:paraId="7A636720">
      <w:pPr>
        <w:jc w:val="center"/>
      </w:pPr>
    </w:p>
    <w:p w14:paraId="514997F3">
      <w:pPr>
        <w:jc w:val="center"/>
      </w:pPr>
    </w:p>
    <w:p w14:paraId="49AE0FDD">
      <w:pPr>
        <w:jc w:val="center"/>
      </w:pPr>
    </w:p>
    <w:p w14:paraId="35116E70">
      <w:pPr>
        <w:jc w:val="center"/>
      </w:pPr>
    </w:p>
    <w:p w14:paraId="3727828C">
      <w:pPr>
        <w:jc w:val="center"/>
      </w:pPr>
    </w:p>
    <w:p w14:paraId="7BB4F1A5">
      <w:pPr>
        <w:jc w:val="center"/>
      </w:pPr>
    </w:p>
    <w:p w14:paraId="328B3B8E">
      <w:pPr>
        <w:jc w:val="center"/>
      </w:pPr>
    </w:p>
    <w:p w14:paraId="2BD1425D">
      <w:pPr>
        <w:jc w:val="center"/>
      </w:pPr>
    </w:p>
    <w:p w14:paraId="02157524">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《市政基础设施混凝土预制桩基施工规范》</w:t>
      </w:r>
    </w:p>
    <w:p w14:paraId="3C632EE4">
      <w:pPr>
        <w:jc w:val="center"/>
        <w:rPr>
          <w:rFonts w:ascii="迷你简小标宋" w:hAnsi="宋体" w:eastAsia="迷你简小标宋"/>
          <w:sz w:val="44"/>
          <w:szCs w:val="44"/>
        </w:rPr>
      </w:pPr>
    </w:p>
    <w:p w14:paraId="7F1DEFB8">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04331DF2">
      <w:pPr>
        <w:jc w:val="center"/>
      </w:pPr>
    </w:p>
    <w:p w14:paraId="09613C05">
      <w:pPr>
        <w:jc w:val="center"/>
      </w:pPr>
    </w:p>
    <w:p w14:paraId="5B74DB2D">
      <w:pPr>
        <w:jc w:val="center"/>
      </w:pPr>
    </w:p>
    <w:p w14:paraId="683F6DF7">
      <w:pPr>
        <w:jc w:val="center"/>
      </w:pPr>
    </w:p>
    <w:p w14:paraId="55BEB47A">
      <w:pPr>
        <w:jc w:val="center"/>
      </w:pPr>
    </w:p>
    <w:p w14:paraId="6AA58E52">
      <w:pPr>
        <w:jc w:val="center"/>
      </w:pPr>
    </w:p>
    <w:p w14:paraId="6A8AE569">
      <w:pPr>
        <w:jc w:val="center"/>
      </w:pPr>
    </w:p>
    <w:p w14:paraId="74B52851">
      <w:pPr>
        <w:jc w:val="center"/>
      </w:pPr>
    </w:p>
    <w:p w14:paraId="21BA0B61">
      <w:pPr>
        <w:jc w:val="center"/>
      </w:pPr>
    </w:p>
    <w:p w14:paraId="27246070">
      <w:pPr>
        <w:jc w:val="center"/>
      </w:pPr>
    </w:p>
    <w:p w14:paraId="3C20C83F">
      <w:pPr>
        <w:jc w:val="center"/>
      </w:pPr>
    </w:p>
    <w:p w14:paraId="0C5E22C0">
      <w:pPr>
        <w:jc w:val="center"/>
      </w:pPr>
    </w:p>
    <w:p w14:paraId="35FCAE1C">
      <w:pPr>
        <w:jc w:val="center"/>
      </w:pPr>
    </w:p>
    <w:p w14:paraId="4BF4A153">
      <w:pPr>
        <w:jc w:val="center"/>
      </w:pPr>
    </w:p>
    <w:p w14:paraId="4B178020">
      <w:pPr>
        <w:jc w:val="center"/>
      </w:pPr>
    </w:p>
    <w:p w14:paraId="6E818308">
      <w:pPr>
        <w:jc w:val="center"/>
      </w:pPr>
    </w:p>
    <w:p w14:paraId="75715288">
      <w:pPr>
        <w:jc w:val="center"/>
        <w:rPr>
          <w:rFonts w:ascii="宋体" w:hAnsi="宋体" w:eastAsia="宋体"/>
          <w:sz w:val="28"/>
          <w:szCs w:val="28"/>
        </w:rPr>
      </w:pPr>
      <w:r>
        <w:rPr>
          <w:rFonts w:hint="eastAsia" w:ascii="宋体" w:hAnsi="宋体" w:eastAsia="宋体"/>
          <w:sz w:val="28"/>
          <w:szCs w:val="28"/>
        </w:rPr>
        <w:t xml:space="preserve">团标制定工作组 </w:t>
      </w:r>
    </w:p>
    <w:p w14:paraId="0CCD12C2">
      <w:pPr>
        <w:jc w:val="center"/>
        <w:rPr>
          <w:rFonts w:ascii="宋体" w:hAnsi="宋体" w:eastAsia="宋体"/>
          <w:sz w:val="28"/>
          <w:szCs w:val="28"/>
        </w:rPr>
      </w:pPr>
    </w:p>
    <w:p w14:paraId="5357A0F3">
      <w:pPr>
        <w:jc w:val="center"/>
        <w:rPr>
          <w:rFonts w:ascii="宋体" w:hAnsi="宋体" w:eastAsia="宋体"/>
          <w:sz w:val="28"/>
          <w:szCs w:val="28"/>
        </w:rPr>
      </w:pPr>
      <w:r>
        <w:rPr>
          <w:rFonts w:hint="eastAsia" w:ascii="宋体" w:hAnsi="宋体" w:eastAsia="宋体"/>
          <w:sz w:val="28"/>
          <w:szCs w:val="28"/>
        </w:rPr>
        <w:t>二零二四年</w:t>
      </w:r>
      <w:r>
        <w:rPr>
          <w:rFonts w:hint="eastAsia" w:ascii="宋体" w:hAnsi="宋体" w:eastAsia="宋体"/>
          <w:sz w:val="28"/>
          <w:szCs w:val="28"/>
          <w:lang w:val="en-US" w:eastAsia="zh-CN"/>
        </w:rPr>
        <w:t>九</w:t>
      </w:r>
      <w:r>
        <w:rPr>
          <w:rFonts w:hint="eastAsia" w:ascii="宋体" w:hAnsi="宋体" w:eastAsia="宋体"/>
          <w:sz w:val="28"/>
          <w:szCs w:val="28"/>
        </w:rPr>
        <w:t>月</w:t>
      </w:r>
    </w:p>
    <w:p w14:paraId="6FDE9E4F">
      <w:pPr>
        <w:jc w:val="center"/>
        <w:rPr>
          <w:rFonts w:ascii="宋体" w:hAnsi="宋体" w:eastAsia="宋体"/>
          <w:sz w:val="28"/>
          <w:szCs w:val="28"/>
        </w:rPr>
      </w:pPr>
    </w:p>
    <w:p w14:paraId="58D9FEBF">
      <w:pPr>
        <w:jc w:val="center"/>
        <w:rPr>
          <w:rFonts w:ascii="宋体" w:hAnsi="宋体" w:eastAsia="宋体"/>
          <w:sz w:val="28"/>
          <w:szCs w:val="28"/>
        </w:rPr>
      </w:pPr>
    </w:p>
    <w:p w14:paraId="6C4FC105">
      <w:pPr>
        <w:jc w:val="center"/>
        <w:rPr>
          <w:rFonts w:ascii="宋体" w:hAnsi="宋体" w:eastAsia="宋体"/>
          <w:sz w:val="28"/>
          <w:szCs w:val="28"/>
        </w:rPr>
      </w:pPr>
    </w:p>
    <w:p w14:paraId="3F3BB37F">
      <w:pPr>
        <w:jc w:val="center"/>
        <w:rPr>
          <w:rFonts w:ascii="宋体" w:hAnsi="宋体" w:eastAsia="宋体"/>
          <w:sz w:val="28"/>
          <w:szCs w:val="28"/>
        </w:rPr>
      </w:pPr>
    </w:p>
    <w:p w14:paraId="191EAA6D">
      <w:pPr>
        <w:jc w:val="center"/>
        <w:rPr>
          <w:rFonts w:ascii="宋体" w:hAnsi="宋体" w:eastAsia="宋体"/>
          <w:sz w:val="28"/>
          <w:szCs w:val="28"/>
        </w:rPr>
      </w:pPr>
    </w:p>
    <w:p w14:paraId="4317426B">
      <w:pPr>
        <w:jc w:val="center"/>
        <w:rPr>
          <w:rFonts w:ascii="宋体" w:hAnsi="宋体" w:eastAsia="宋体"/>
          <w:sz w:val="28"/>
          <w:szCs w:val="28"/>
        </w:rPr>
      </w:pPr>
    </w:p>
    <w:p w14:paraId="6A73ADA7">
      <w:pPr>
        <w:spacing w:line="360" w:lineRule="auto"/>
        <w:jc w:val="left"/>
        <w:rPr>
          <w:rFonts w:ascii="宋体" w:hAnsi="宋体" w:eastAsia="宋体"/>
          <w:b/>
          <w:bCs/>
          <w:sz w:val="28"/>
          <w:szCs w:val="28"/>
        </w:rPr>
      </w:pPr>
      <w:r>
        <w:rPr>
          <w:rFonts w:hint="eastAsia" w:ascii="宋体" w:hAnsi="宋体" w:eastAsia="宋体"/>
          <w:b/>
          <w:bCs/>
          <w:sz w:val="28"/>
          <w:szCs w:val="28"/>
        </w:rPr>
        <w:t>一、工作简况</w:t>
      </w:r>
    </w:p>
    <w:p w14:paraId="6B2E6C0F">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76E23D15">
      <w:pPr>
        <w:spacing w:line="360" w:lineRule="auto"/>
        <w:ind w:firstLine="560" w:firstLineChars="200"/>
        <w:jc w:val="left"/>
        <w:rPr>
          <w:rFonts w:hint="eastAsia" w:ascii="宋体" w:hAnsi="宋体" w:eastAsia="宋体" w:cs="宋体"/>
          <w:b/>
          <w:bCs/>
          <w:sz w:val="28"/>
          <w:szCs w:val="28"/>
        </w:rPr>
      </w:pPr>
      <w:r>
        <w:rPr>
          <w:rFonts w:hint="eastAsia" w:ascii="宋体" w:hAnsi="宋体" w:eastAsia="宋体" w:cs="宋体"/>
          <w:kern w:val="0"/>
          <w:sz w:val="28"/>
          <w:szCs w:val="28"/>
        </w:rPr>
        <w:t>根据 2020 年全国标准化工作要点，大力推动实施标准化战略，持续深化标准化工作改革，加强标准体系建设，提升引领高质量发展的能力。为响应市场需求，需要制定完善的市政基础设施混凝土预制桩基施工规范，满足</w:t>
      </w:r>
      <w:r>
        <w:rPr>
          <w:rFonts w:hint="eastAsia" w:ascii="宋体" w:hAnsi="宋体" w:eastAsia="宋体" w:cs="宋体"/>
          <w:kern w:val="0"/>
          <w:sz w:val="28"/>
          <w:szCs w:val="28"/>
          <w:lang w:val="en-US" w:eastAsia="zh-CN"/>
        </w:rPr>
        <w:t>施工</w:t>
      </w:r>
      <w:r>
        <w:rPr>
          <w:rFonts w:hint="eastAsia" w:ascii="宋体" w:hAnsi="宋体" w:eastAsia="宋体" w:cs="宋体"/>
          <w:kern w:val="0"/>
          <w:sz w:val="28"/>
          <w:szCs w:val="28"/>
        </w:rPr>
        <w:t>质量提升需要。依据《中华人民共和国标准化法》，以及《团体标准管理规定》相关规定，</w:t>
      </w:r>
      <w:r>
        <w:rPr>
          <w:rFonts w:hint="eastAsia" w:ascii="宋体" w:hAnsi="宋体" w:eastAsia="宋体" w:cs="宋体"/>
          <w:kern w:val="0"/>
          <w:sz w:val="28"/>
          <w:szCs w:val="28"/>
          <w:lang w:eastAsia="zh-CN"/>
        </w:rPr>
        <w:t>中国中小企业协会</w:t>
      </w:r>
      <w:r>
        <w:rPr>
          <w:rFonts w:hint="eastAsia" w:ascii="宋体" w:hAnsi="宋体" w:eastAsia="宋体" w:cs="宋体"/>
          <w:kern w:val="0"/>
          <w:sz w:val="28"/>
          <w:szCs w:val="28"/>
        </w:rPr>
        <w:t>决定立项并联合新疆中信虹雨建设工程有限公司、新疆万林建设工程有限公司等相关单位共同制定《市政基础设施混凝土预制桩基施工规范》团体标准。</w:t>
      </w:r>
    </w:p>
    <w:p w14:paraId="13148B30">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0D3A2997">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市政基础设施混凝土预制桩基工程因兼具隐蔽工程、岩土工程复杂性、工艺多样性以及过程控制复杂性等诸多控制难点。桩基础与自然地质条件相互作用、相互影响，自然地质条件地下空间分布的多样性，也决定了桩基础的工艺多样性和质量控制隐蔽性、复杂性，也要求从业人员具备较高的综合工程素质和丰富的岩土工程相关经验:同时，由于以上特性，其质量问题难以发现、原因分析和过程追溯困难，并且制定处理措施往往过程复杂，周期漫长，处理费用耗资巨大，而造成不必要的经济损失和社会负面影响。因此有必要针对市政基础设施混凝土预制桩基施工编制相应的标准。</w:t>
      </w:r>
    </w:p>
    <w:p w14:paraId="45069F72">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本标准的制定和使用有利于市政基础设施混凝土预制桩基的控制，统一市政基础设施混凝土预制桩基施工质量的控制标准，规范市政基础设施混凝土预制桩基工程的勘察、设计、施工、检测、过程验收和信息化等过程，为市政基础设施混凝土预制桩基工程质量控制提供安全可靠的技术保障，也使得相关建设主管部门有据可依，具有显著的社会经济效益。</w:t>
      </w:r>
    </w:p>
    <w:p w14:paraId="0AC5DB19">
      <w:pPr>
        <w:numPr>
          <w:ilvl w:val="0"/>
          <w:numId w:val="0"/>
        </w:numPr>
        <w:spacing w:line="360" w:lineRule="auto"/>
        <w:ind w:firstLine="560" w:firstLineChars="200"/>
        <w:jc w:val="left"/>
        <w:rPr>
          <w:rFonts w:ascii="宋体" w:hAnsi="宋体" w:eastAsia="宋体"/>
          <w:b w:val="0"/>
          <w:bCs w:val="0"/>
          <w:sz w:val="28"/>
          <w:szCs w:val="28"/>
        </w:rPr>
      </w:pPr>
      <w:r>
        <w:rPr>
          <w:rFonts w:hint="eastAsia" w:ascii="宋体" w:hAnsi="宋体" w:eastAsia="宋体"/>
          <w:b w:val="0"/>
          <w:bCs w:val="0"/>
          <w:sz w:val="28"/>
          <w:szCs w:val="28"/>
        </w:rPr>
        <w:t>本项目旨在借助标准化手段，针对项目所属细分行业的特点，制定相应的标准，填补本行业标准空白，从而规范市场，促进产业标准化应用水平升级，引领行业高质量发展。</w:t>
      </w:r>
    </w:p>
    <w:p w14:paraId="0B45FD3D">
      <w:pPr>
        <w:keepNext w:val="0"/>
        <w:keepLines w:val="0"/>
        <w:pageBreakBefore w:val="0"/>
        <w:widowControl w:val="0"/>
        <w:numPr>
          <w:ilvl w:val="0"/>
          <w:numId w:val="1"/>
        </w:numPr>
        <w:kinsoku/>
        <w:wordWrap/>
        <w:overflowPunct/>
        <w:topLinePunct w:val="0"/>
        <w:autoSpaceDE/>
        <w:autoSpaceDN/>
        <w:bidi w:val="0"/>
        <w:adjustRightInd/>
        <w:snapToGrid/>
        <w:spacing w:before="150" w:beforeLines="50" w:line="360" w:lineRule="auto"/>
        <w:ind w:left="0" w:leftChars="0" w:firstLine="0" w:firstLineChars="0"/>
        <w:jc w:val="left"/>
        <w:textAlignment w:val="auto"/>
        <w:rPr>
          <w:rFonts w:ascii="宋体" w:hAnsi="宋体" w:eastAsia="宋体"/>
          <w:sz w:val="28"/>
          <w:szCs w:val="28"/>
        </w:rPr>
      </w:pPr>
      <w:r>
        <w:rPr>
          <w:rFonts w:ascii="宋体" w:hAnsi="宋体" w:eastAsia="宋体"/>
          <w:b/>
          <w:bCs/>
          <w:sz w:val="28"/>
          <w:szCs w:val="28"/>
        </w:rPr>
        <w:t>编制过程</w:t>
      </w:r>
      <w:r>
        <w:rPr>
          <w:rFonts w:ascii="宋体" w:hAnsi="宋体" w:eastAsia="宋体"/>
          <w:sz w:val="28"/>
          <w:szCs w:val="28"/>
        </w:rPr>
        <w:t xml:space="preserve"> </w:t>
      </w:r>
    </w:p>
    <w:p w14:paraId="41FA2200">
      <w:pPr>
        <w:spacing w:line="540" w:lineRule="exact"/>
        <w:rPr>
          <w:rFonts w:hint="eastAsia"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1、起草阶段</w:t>
      </w:r>
    </w:p>
    <w:p w14:paraId="6D99F8B5">
      <w:pPr>
        <w:spacing w:line="540" w:lineRule="exact"/>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202</w:t>
      </w:r>
      <w:r>
        <w:rPr>
          <w:rFonts w:hint="eastAsia" w:ascii="宋体" w:hAnsi="宋体" w:eastAsia="宋体" w:cs="Times New Roman"/>
          <w:kern w:val="0"/>
          <w:sz w:val="28"/>
          <w:szCs w:val="28"/>
          <w:lang w:val="en-US" w:eastAsia="zh-CN"/>
        </w:rPr>
        <w:t>4</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9</w:t>
      </w:r>
      <w:r>
        <w:rPr>
          <w:rFonts w:hint="eastAsia" w:ascii="宋体" w:hAnsi="宋体" w:eastAsia="宋体" w:cs="Times New Roman"/>
          <w:kern w:val="0"/>
          <w:sz w:val="28"/>
          <w:szCs w:val="28"/>
        </w:rPr>
        <w:t>月，新疆中信虹雨建设工程有限公司、新疆万林建设工程有限公司按照“</w:t>
      </w:r>
      <w:r>
        <w:rPr>
          <w:rFonts w:hint="eastAsia" w:ascii="宋体" w:hAnsi="宋体" w:eastAsia="宋体" w:cs="Times New Roman"/>
          <w:kern w:val="0"/>
          <w:sz w:val="28"/>
          <w:szCs w:val="28"/>
          <w:lang w:eastAsia="zh-CN"/>
        </w:rPr>
        <w:t>中国中小企业协会</w:t>
      </w:r>
      <w:r>
        <w:rPr>
          <w:rFonts w:hint="eastAsia" w:ascii="宋体" w:hAnsi="宋体" w:eastAsia="宋体" w:cs="Times New Roman"/>
          <w:kern w:val="0"/>
          <w:sz w:val="28"/>
          <w:szCs w:val="28"/>
        </w:rPr>
        <w:t>关于《</w:t>
      </w:r>
      <w:r>
        <w:rPr>
          <w:rFonts w:hint="eastAsia" w:ascii="宋体" w:hAnsi="宋体" w:eastAsia="宋体" w:cs="宋体"/>
          <w:kern w:val="0"/>
          <w:sz w:val="28"/>
          <w:szCs w:val="28"/>
        </w:rPr>
        <w:t>市政基础设施混凝土预制桩基施工规范</w:t>
      </w:r>
      <w:r>
        <w:rPr>
          <w:rFonts w:hint="eastAsia" w:ascii="宋体" w:hAnsi="宋体" w:eastAsia="宋体" w:cs="Times New Roman"/>
          <w:kern w:val="0"/>
          <w:sz w:val="28"/>
          <w:szCs w:val="28"/>
        </w:rPr>
        <w:t>》团体标准立项的公告”要求，成立了标准起草工作组。</w:t>
      </w:r>
    </w:p>
    <w:p w14:paraId="38096498">
      <w:pPr>
        <w:spacing w:line="540" w:lineRule="exact"/>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工作组对国内外</w:t>
      </w:r>
      <w:r>
        <w:rPr>
          <w:rFonts w:hint="eastAsia" w:ascii="宋体" w:hAnsi="宋体" w:eastAsia="宋体" w:cs="宋体"/>
          <w:kern w:val="0"/>
          <w:sz w:val="28"/>
          <w:szCs w:val="28"/>
        </w:rPr>
        <w:t>市政基础设施混凝土预制桩基施工</w:t>
      </w:r>
      <w:r>
        <w:rPr>
          <w:rFonts w:hint="eastAsia" w:ascii="宋体" w:hAnsi="宋体" w:eastAsia="宋体" w:cs="Times New Roman"/>
          <w:kern w:val="0"/>
          <w:sz w:val="28"/>
          <w:szCs w:val="28"/>
        </w:rPr>
        <w:t>技术的现状与发展情况进行了全面调研，同时广泛搜集和检索了</w:t>
      </w:r>
      <w:r>
        <w:rPr>
          <w:rFonts w:hint="eastAsia" w:ascii="宋体" w:hAnsi="宋体" w:eastAsia="宋体" w:cs="宋体"/>
          <w:kern w:val="0"/>
          <w:sz w:val="28"/>
          <w:szCs w:val="28"/>
        </w:rPr>
        <w:t>桩基施工</w:t>
      </w:r>
      <w:r>
        <w:rPr>
          <w:rFonts w:hint="eastAsia" w:ascii="宋体" w:hAnsi="宋体" w:eastAsia="宋体" w:cs="Times New Roman"/>
          <w:kern w:val="0"/>
          <w:sz w:val="28"/>
          <w:szCs w:val="28"/>
        </w:rPr>
        <w:t>技术资料，并进行了大量的研制、试验及验证。在此基础上编制了《</w:t>
      </w:r>
      <w:r>
        <w:rPr>
          <w:rFonts w:hint="eastAsia" w:ascii="宋体" w:hAnsi="宋体" w:eastAsia="宋体" w:cs="宋体"/>
          <w:kern w:val="0"/>
          <w:sz w:val="28"/>
          <w:szCs w:val="28"/>
        </w:rPr>
        <w:t>市政基础设施混凝土预制桩基施工规范</w:t>
      </w:r>
      <w:r>
        <w:rPr>
          <w:rFonts w:hint="eastAsia" w:ascii="宋体" w:hAnsi="宋体" w:eastAsia="宋体" w:cs="Times New Roman"/>
          <w:kern w:val="0"/>
          <w:sz w:val="28"/>
          <w:szCs w:val="28"/>
        </w:rPr>
        <w:t>》标准草案。</w:t>
      </w:r>
    </w:p>
    <w:p w14:paraId="75DACBEB">
      <w:pPr>
        <w:spacing w:line="540" w:lineRule="exact"/>
        <w:rPr>
          <w:rFonts w:hint="eastAsia"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2、征求意见阶段</w:t>
      </w:r>
    </w:p>
    <w:p w14:paraId="18F58716">
      <w:pPr>
        <w:spacing w:line="540" w:lineRule="exact"/>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形成标准草案稿之后，起草组召开了多次专家研讨会，从标准框架、标准起草等角度广泛征求多方意见， 从理论完善和实践应用方面提升标准的适用性和实用性。经过理论研究和方法验证，明确和规范</w:t>
      </w:r>
      <w:r>
        <w:rPr>
          <w:rFonts w:hint="eastAsia" w:ascii="宋体" w:hAnsi="宋体" w:eastAsia="宋体" w:cs="宋体"/>
          <w:kern w:val="0"/>
          <w:sz w:val="28"/>
          <w:szCs w:val="28"/>
        </w:rPr>
        <w:t>市政基础设施混凝土预制桩基施工</w:t>
      </w:r>
      <w:r>
        <w:rPr>
          <w:rFonts w:hint="eastAsia" w:ascii="宋体" w:hAnsi="宋体" w:eastAsia="宋体" w:cs="宋体"/>
          <w:kern w:val="0"/>
          <w:sz w:val="28"/>
          <w:szCs w:val="28"/>
          <w:lang w:val="en-US" w:eastAsia="zh-CN"/>
        </w:rPr>
        <w:t>的技术内容</w:t>
      </w:r>
      <w:r>
        <w:rPr>
          <w:rFonts w:hint="eastAsia" w:ascii="宋体" w:hAnsi="宋体" w:eastAsia="宋体" w:cs="Times New Roman"/>
          <w:kern w:val="0"/>
          <w:sz w:val="28"/>
          <w:szCs w:val="28"/>
        </w:rPr>
        <w:t>。于202</w:t>
      </w:r>
      <w:r>
        <w:rPr>
          <w:rFonts w:hint="eastAsia" w:ascii="宋体" w:hAnsi="宋体" w:eastAsia="宋体" w:cs="Times New Roman"/>
          <w:kern w:val="0"/>
          <w:sz w:val="28"/>
          <w:szCs w:val="28"/>
          <w:lang w:val="en-US" w:eastAsia="zh-CN"/>
        </w:rPr>
        <w:t>4</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9</w:t>
      </w:r>
      <w:r>
        <w:rPr>
          <w:rFonts w:hint="eastAsia" w:ascii="宋体" w:hAnsi="宋体" w:eastAsia="宋体" w:cs="Times New Roman"/>
          <w:kern w:val="0"/>
          <w:sz w:val="28"/>
          <w:szCs w:val="28"/>
        </w:rPr>
        <w:t>月提交《</w:t>
      </w:r>
      <w:bookmarkStart w:id="0" w:name="OLE_LINK1"/>
      <w:r>
        <w:rPr>
          <w:rFonts w:hint="eastAsia" w:ascii="宋体" w:hAnsi="宋体" w:eastAsia="宋体" w:cs="宋体"/>
          <w:kern w:val="0"/>
          <w:sz w:val="28"/>
          <w:szCs w:val="28"/>
        </w:rPr>
        <w:t>市政基础设施混凝土预制桩基施工</w:t>
      </w:r>
      <w:bookmarkEnd w:id="0"/>
      <w:r>
        <w:rPr>
          <w:rFonts w:hint="eastAsia" w:ascii="宋体" w:hAnsi="宋体" w:eastAsia="宋体" w:cs="宋体"/>
          <w:kern w:val="0"/>
          <w:sz w:val="28"/>
          <w:szCs w:val="28"/>
        </w:rPr>
        <w:t>规范</w:t>
      </w:r>
      <w:r>
        <w:rPr>
          <w:rFonts w:hint="eastAsia" w:ascii="宋体" w:hAnsi="宋体" w:eastAsia="宋体" w:cs="Times New Roman"/>
          <w:kern w:val="0"/>
          <w:sz w:val="28"/>
          <w:szCs w:val="28"/>
        </w:rPr>
        <w:t>》标准征求意见稿及征求意见稿编制说明，拟定于202</w:t>
      </w:r>
      <w:r>
        <w:rPr>
          <w:rFonts w:hint="eastAsia" w:ascii="宋体" w:hAnsi="宋体" w:eastAsia="宋体" w:cs="Times New Roman"/>
          <w:kern w:val="0"/>
          <w:sz w:val="28"/>
          <w:szCs w:val="28"/>
          <w:lang w:val="en-US" w:eastAsia="zh-CN"/>
        </w:rPr>
        <w:t>4</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10</w:t>
      </w:r>
      <w:r>
        <w:rPr>
          <w:rFonts w:hint="eastAsia" w:ascii="宋体" w:hAnsi="宋体" w:eastAsia="宋体" w:cs="Times New Roman"/>
          <w:kern w:val="0"/>
          <w:sz w:val="28"/>
          <w:szCs w:val="28"/>
        </w:rPr>
        <w:t>月网上公示征求意见稿，广泛征求各方意见和建议。</w:t>
      </w:r>
    </w:p>
    <w:p w14:paraId="24E1736D">
      <w:pPr>
        <w:spacing w:line="540" w:lineRule="exact"/>
        <w:jc w:val="left"/>
        <w:rPr>
          <w:rFonts w:hint="eastAsia"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3、专家审核阶段</w:t>
      </w:r>
    </w:p>
    <w:p w14:paraId="70E217B8">
      <w:pPr>
        <w:spacing w:line="540" w:lineRule="exact"/>
        <w:ind w:firstLine="560" w:firstLineChars="200"/>
        <w:jc w:val="left"/>
        <w:rPr>
          <w:rFonts w:hint="eastAsia" w:ascii="宋体" w:hAnsi="宋体" w:eastAsia="宋体" w:cs="Times New Roman"/>
          <w:kern w:val="0"/>
          <w:sz w:val="28"/>
          <w:szCs w:val="28"/>
        </w:rPr>
      </w:pPr>
      <w:r>
        <w:rPr>
          <w:rFonts w:hint="eastAsia" w:ascii="宋体" w:hAnsi="宋体" w:eastAsia="宋体" w:cs="Times New Roman"/>
          <w:kern w:val="0"/>
          <w:sz w:val="28"/>
          <w:szCs w:val="28"/>
        </w:rPr>
        <w:t>拟定于2023年</w:t>
      </w:r>
      <w:r>
        <w:rPr>
          <w:rFonts w:hint="eastAsia" w:ascii="宋体" w:hAnsi="宋体" w:eastAsia="宋体" w:cs="Times New Roman"/>
          <w:kern w:val="0"/>
          <w:sz w:val="28"/>
          <w:szCs w:val="28"/>
          <w:lang w:val="en-US" w:eastAsia="zh-CN"/>
        </w:rPr>
        <w:t>11</w:t>
      </w:r>
      <w:r>
        <w:rPr>
          <w:rFonts w:hint="eastAsia" w:ascii="宋体" w:hAnsi="宋体" w:eastAsia="宋体" w:cs="Times New Roman"/>
          <w:kern w:val="0"/>
          <w:sz w:val="28"/>
          <w:szCs w:val="28"/>
        </w:rPr>
        <w:t>月召集专家审核标准，汇总专家审核意见之后，修改标准并发布。</w:t>
      </w:r>
    </w:p>
    <w:p w14:paraId="2639F09D">
      <w:pPr>
        <w:keepNext w:val="0"/>
        <w:keepLines w:val="0"/>
        <w:pageBreakBefore w:val="0"/>
        <w:widowControl w:val="0"/>
        <w:numPr>
          <w:ilvl w:val="0"/>
          <w:numId w:val="1"/>
        </w:numPr>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3E2A57BC">
      <w:pPr>
        <w:numPr>
          <w:ilvl w:val="0"/>
          <w:numId w:val="0"/>
        </w:numPr>
        <w:spacing w:line="360" w:lineRule="auto"/>
        <w:ind w:leftChars="0"/>
        <w:jc w:val="left"/>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本文件由新疆中信虹雨建设工程有限公司、新疆万林建设工程有限公司等负责起草。</w:t>
      </w:r>
    </w:p>
    <w:p w14:paraId="37B2CB16">
      <w:pPr>
        <w:numPr>
          <w:ilvl w:val="0"/>
          <w:numId w:val="0"/>
        </w:numPr>
        <w:spacing w:line="360" w:lineRule="auto"/>
        <w:ind w:leftChars="0"/>
        <w:jc w:val="left"/>
        <w:rPr>
          <w:rFonts w:hint="default" w:ascii="宋体" w:hAnsi="宋体" w:eastAsia="宋体"/>
          <w:sz w:val="28"/>
          <w:szCs w:val="28"/>
          <w:lang w:val="en-US" w:eastAsia="zh-CN"/>
        </w:rPr>
      </w:pPr>
      <w:r>
        <w:rPr>
          <w:rFonts w:hint="eastAsia" w:ascii="宋体" w:hAnsi="宋体" w:eastAsia="宋体"/>
          <w:sz w:val="28"/>
          <w:szCs w:val="28"/>
          <w:lang w:val="en-US" w:eastAsia="zh-CN"/>
        </w:rPr>
        <w:t>所做的工作：标准工作的总体策划、组织；立项及协调工作组工作；标准文本及编制说明的起草和编写；协助标准文本及编制说明的编写；对国内外相关标准的调研和搜集；对</w:t>
      </w:r>
      <w:r>
        <w:rPr>
          <w:rFonts w:hint="eastAsia" w:ascii="宋体" w:hAnsi="宋体" w:eastAsia="宋体" w:cs="宋体"/>
          <w:kern w:val="0"/>
          <w:sz w:val="28"/>
          <w:szCs w:val="28"/>
        </w:rPr>
        <w:t>市政基础设施混凝土预制桩基施工</w:t>
      </w:r>
      <w:r>
        <w:rPr>
          <w:rFonts w:hint="eastAsia" w:ascii="宋体" w:hAnsi="宋体" w:eastAsia="宋体"/>
          <w:sz w:val="28"/>
          <w:szCs w:val="28"/>
          <w:lang w:val="en-US" w:eastAsia="zh-CN"/>
        </w:rPr>
        <w:t>技术要求和验收方法的测试及验证等。</w:t>
      </w:r>
    </w:p>
    <w:p w14:paraId="7DF0582A">
      <w:pPr>
        <w:numPr>
          <w:ilvl w:val="0"/>
          <w:numId w:val="2"/>
        </w:numPr>
        <w:spacing w:line="360" w:lineRule="auto"/>
        <w:jc w:val="left"/>
        <w:rPr>
          <w:rFonts w:hint="eastAsia" w:ascii="宋体" w:hAnsi="宋体" w:eastAsia="宋体"/>
          <w:b/>
          <w:bCs/>
          <w:sz w:val="28"/>
          <w:szCs w:val="28"/>
        </w:rPr>
      </w:pPr>
      <w:r>
        <w:rPr>
          <w:rFonts w:hint="eastAsia" w:ascii="宋体" w:hAnsi="宋体" w:eastAsia="宋体"/>
          <w:b/>
          <w:bCs/>
          <w:sz w:val="28"/>
          <w:szCs w:val="28"/>
        </w:rPr>
        <w:t>标准编制原则和主要内容</w:t>
      </w:r>
    </w:p>
    <w:p w14:paraId="59640B9A">
      <w:pPr>
        <w:numPr>
          <w:ilvl w:val="0"/>
          <w:numId w:val="3"/>
        </w:numPr>
        <w:spacing w:line="360" w:lineRule="auto"/>
        <w:jc w:val="left"/>
        <w:rPr>
          <w:rFonts w:ascii="宋体" w:hAnsi="宋体" w:eastAsia="宋体"/>
          <w:b/>
          <w:bCs/>
          <w:sz w:val="28"/>
          <w:szCs w:val="28"/>
        </w:rPr>
      </w:pPr>
      <w:r>
        <w:rPr>
          <w:rFonts w:ascii="宋体" w:hAnsi="宋体" w:eastAsia="宋体"/>
          <w:b/>
          <w:bCs/>
          <w:sz w:val="28"/>
          <w:szCs w:val="28"/>
        </w:rPr>
        <w:t>标准制定原则</w:t>
      </w:r>
    </w:p>
    <w:p w14:paraId="79023327">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本文件的制定符合产业发展和市场需要原则，本着先进性、科学性、合理性、可操作性、适用性、一致性和规范性原则来进行本文件的制定。</w:t>
      </w:r>
    </w:p>
    <w:p w14:paraId="7AC49A1C">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本文件起草过程中，主要按照GB/T 1.1-2020《标准化工作导则第1部分：标准化文件的结构和起草规则》进行编写。本文件制定过程中，主要参考了以下标准或文件。</w:t>
      </w:r>
    </w:p>
    <w:p w14:paraId="65AF1330">
      <w:pPr>
        <w:numPr>
          <w:ilvl w:val="0"/>
          <w:numId w:val="0"/>
        </w:numPr>
        <w:spacing w:line="360" w:lineRule="auto"/>
        <w:jc w:val="left"/>
        <w:rPr>
          <w:rFonts w:hint="eastAsia" w:ascii="宋体" w:hAnsi="宋体" w:eastAsia="宋体"/>
          <w:b w:val="0"/>
          <w:bCs w:val="0"/>
          <w:sz w:val="28"/>
          <w:szCs w:val="28"/>
        </w:rPr>
      </w:pPr>
      <w:r>
        <w:rPr>
          <w:rFonts w:hint="eastAsia" w:ascii="宋体" w:hAnsi="宋体" w:eastAsia="宋体"/>
          <w:b w:val="0"/>
          <w:bCs w:val="0"/>
          <w:sz w:val="28"/>
          <w:szCs w:val="28"/>
        </w:rPr>
        <w:t>GB 50202  建筑地基基础工程施工质量验收标准</w:t>
      </w:r>
    </w:p>
    <w:p w14:paraId="17A890DE">
      <w:pPr>
        <w:numPr>
          <w:ilvl w:val="0"/>
          <w:numId w:val="0"/>
        </w:numPr>
        <w:spacing w:line="360" w:lineRule="auto"/>
        <w:jc w:val="left"/>
        <w:rPr>
          <w:rFonts w:hint="eastAsia" w:ascii="宋体" w:hAnsi="宋体" w:eastAsia="宋体"/>
          <w:b w:val="0"/>
          <w:bCs w:val="0"/>
          <w:sz w:val="28"/>
          <w:szCs w:val="28"/>
        </w:rPr>
      </w:pPr>
      <w:r>
        <w:rPr>
          <w:rFonts w:hint="eastAsia" w:ascii="宋体" w:hAnsi="宋体" w:eastAsia="宋体"/>
          <w:b w:val="0"/>
          <w:bCs w:val="0"/>
          <w:sz w:val="28"/>
          <w:szCs w:val="28"/>
        </w:rPr>
        <w:t>GB 50300  建筑工程施工质量验收统一标准</w:t>
      </w:r>
    </w:p>
    <w:p w14:paraId="3327FF49">
      <w:pPr>
        <w:numPr>
          <w:ilvl w:val="0"/>
          <w:numId w:val="0"/>
        </w:numPr>
        <w:spacing w:line="360" w:lineRule="auto"/>
        <w:jc w:val="left"/>
        <w:rPr>
          <w:rFonts w:hint="eastAsia" w:ascii="宋体" w:hAnsi="宋体" w:eastAsia="宋体"/>
          <w:b w:val="0"/>
          <w:bCs w:val="0"/>
          <w:sz w:val="28"/>
          <w:szCs w:val="28"/>
        </w:rPr>
      </w:pPr>
      <w:r>
        <w:rPr>
          <w:rFonts w:hint="eastAsia" w:ascii="宋体" w:hAnsi="宋体" w:eastAsia="宋体"/>
          <w:b w:val="0"/>
          <w:bCs w:val="0"/>
          <w:sz w:val="28"/>
          <w:szCs w:val="28"/>
        </w:rPr>
        <w:t>GB 50330  建筑边坡工程技术规范</w:t>
      </w:r>
    </w:p>
    <w:p w14:paraId="08C76417">
      <w:pPr>
        <w:numPr>
          <w:ilvl w:val="0"/>
          <w:numId w:val="0"/>
        </w:numPr>
        <w:spacing w:line="360" w:lineRule="auto"/>
        <w:jc w:val="left"/>
        <w:rPr>
          <w:rFonts w:hint="eastAsia" w:ascii="宋体" w:hAnsi="宋体" w:eastAsia="宋体"/>
          <w:b w:val="0"/>
          <w:bCs w:val="0"/>
          <w:sz w:val="28"/>
          <w:szCs w:val="28"/>
        </w:rPr>
      </w:pPr>
      <w:r>
        <w:rPr>
          <w:rFonts w:hint="eastAsia" w:ascii="宋体" w:hAnsi="宋体" w:eastAsia="宋体"/>
          <w:b w:val="0"/>
          <w:bCs w:val="0"/>
          <w:sz w:val="28"/>
          <w:szCs w:val="28"/>
        </w:rPr>
        <w:t>GB 55003  建筑与市政地基基础通用规范</w:t>
      </w:r>
    </w:p>
    <w:p w14:paraId="369AA151">
      <w:pPr>
        <w:numPr>
          <w:ilvl w:val="0"/>
          <w:numId w:val="0"/>
        </w:numPr>
        <w:spacing w:line="360" w:lineRule="auto"/>
        <w:jc w:val="left"/>
        <w:rPr>
          <w:rFonts w:hint="eastAsia" w:ascii="宋体" w:hAnsi="宋体" w:eastAsia="宋体"/>
          <w:b w:val="0"/>
          <w:bCs w:val="0"/>
          <w:sz w:val="28"/>
          <w:szCs w:val="28"/>
        </w:rPr>
      </w:pPr>
      <w:r>
        <w:rPr>
          <w:rFonts w:hint="eastAsia" w:ascii="宋体" w:hAnsi="宋体" w:eastAsia="宋体"/>
          <w:b w:val="0"/>
          <w:bCs w:val="0"/>
          <w:sz w:val="28"/>
          <w:szCs w:val="28"/>
        </w:rPr>
        <w:t>CJJ 2  城市桥梁工程施工与质量验收规范</w:t>
      </w:r>
    </w:p>
    <w:p w14:paraId="176BDE85">
      <w:pPr>
        <w:numPr>
          <w:ilvl w:val="0"/>
          <w:numId w:val="0"/>
        </w:numPr>
        <w:spacing w:line="360" w:lineRule="auto"/>
        <w:jc w:val="left"/>
        <w:rPr>
          <w:rFonts w:hint="default" w:ascii="宋体" w:hAnsi="宋体" w:eastAsia="宋体"/>
          <w:b w:val="0"/>
          <w:bCs w:val="0"/>
          <w:sz w:val="28"/>
          <w:szCs w:val="28"/>
          <w:lang w:val="en-US" w:eastAsia="zh-CN"/>
        </w:rPr>
      </w:pPr>
      <w:r>
        <w:rPr>
          <w:rFonts w:hint="eastAsia" w:ascii="宋体" w:hAnsi="宋体" w:eastAsia="宋体"/>
          <w:b w:val="0"/>
          <w:bCs w:val="0"/>
          <w:sz w:val="28"/>
          <w:szCs w:val="28"/>
        </w:rPr>
        <w:t>JGJ/T 406  预应力混凝土管桩技术标准</w:t>
      </w:r>
      <w:r>
        <w:rPr>
          <w:rFonts w:hint="eastAsia" w:ascii="宋体" w:hAnsi="宋体" w:eastAsia="宋体"/>
          <w:b w:val="0"/>
          <w:bCs w:val="0"/>
          <w:sz w:val="28"/>
          <w:szCs w:val="28"/>
          <w:lang w:val="en-US" w:eastAsia="zh-CN"/>
        </w:rPr>
        <w:t xml:space="preserve">  </w:t>
      </w:r>
    </w:p>
    <w:p w14:paraId="4E39612A">
      <w:pPr>
        <w:numPr>
          <w:ilvl w:val="0"/>
          <w:numId w:val="3"/>
        </w:numPr>
        <w:spacing w:line="360" w:lineRule="auto"/>
        <w:ind w:left="0" w:leftChars="0" w:firstLine="0" w:firstLineChars="0"/>
        <w:jc w:val="left"/>
        <w:rPr>
          <w:rFonts w:ascii="宋体" w:hAnsi="宋体" w:eastAsia="宋体"/>
          <w:sz w:val="28"/>
          <w:szCs w:val="28"/>
        </w:rPr>
      </w:pPr>
      <w:r>
        <w:rPr>
          <w:rFonts w:ascii="宋体" w:hAnsi="宋体" w:eastAsia="宋体"/>
          <w:b/>
          <w:bCs/>
          <w:sz w:val="28"/>
          <w:szCs w:val="28"/>
        </w:rPr>
        <w:t xml:space="preserve">标准主要技术内容 </w:t>
      </w:r>
      <w:r>
        <w:rPr>
          <w:rFonts w:ascii="宋体" w:hAnsi="宋体" w:eastAsia="宋体"/>
          <w:sz w:val="28"/>
          <w:szCs w:val="28"/>
        </w:rPr>
        <w:t xml:space="preserve"> </w:t>
      </w:r>
    </w:p>
    <w:p w14:paraId="6495E149">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本标准征求意见稿包括</w:t>
      </w:r>
      <w:r>
        <w:rPr>
          <w:rFonts w:hint="eastAsia" w:ascii="宋体" w:hAnsi="宋体" w:eastAsia="宋体"/>
          <w:sz w:val="28"/>
          <w:szCs w:val="28"/>
          <w:lang w:val="en-US" w:eastAsia="zh-CN"/>
        </w:rPr>
        <w:t>8</w:t>
      </w:r>
      <w:r>
        <w:rPr>
          <w:rFonts w:hint="eastAsia" w:ascii="宋体" w:hAnsi="宋体" w:eastAsia="宋体"/>
          <w:sz w:val="28"/>
          <w:szCs w:val="28"/>
        </w:rPr>
        <w:t xml:space="preserve">个部分，主要内容如下： </w:t>
      </w:r>
    </w:p>
    <w:p w14:paraId="3FC1CB70">
      <w:pPr>
        <w:numPr>
          <w:ilvl w:val="0"/>
          <w:numId w:val="0"/>
        </w:numPr>
        <w:spacing w:line="360" w:lineRule="auto"/>
        <w:ind w:leftChars="0"/>
        <w:jc w:val="left"/>
        <w:rPr>
          <w:rFonts w:hint="eastAsia" w:ascii="宋体" w:hAnsi="宋体" w:eastAsia="宋体"/>
          <w:sz w:val="28"/>
          <w:szCs w:val="28"/>
        </w:rPr>
      </w:pPr>
      <w:r>
        <w:rPr>
          <w:rFonts w:hint="eastAsia" w:ascii="宋体" w:hAnsi="宋体" w:eastAsia="宋体"/>
          <w:sz w:val="28"/>
          <w:szCs w:val="28"/>
        </w:rPr>
        <w:t xml:space="preserve">1、范围 </w:t>
      </w:r>
    </w:p>
    <w:p w14:paraId="7D6B5884">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 xml:space="preserve">介绍本文件的主要内容以及本文件所适用的领域。 </w:t>
      </w:r>
    </w:p>
    <w:p w14:paraId="33636BB9">
      <w:pPr>
        <w:numPr>
          <w:ilvl w:val="0"/>
          <w:numId w:val="0"/>
        </w:numPr>
        <w:spacing w:line="360" w:lineRule="auto"/>
        <w:ind w:leftChars="0"/>
        <w:jc w:val="left"/>
        <w:rPr>
          <w:rFonts w:hint="eastAsia" w:ascii="宋体" w:hAnsi="宋体" w:eastAsia="宋体"/>
          <w:sz w:val="28"/>
          <w:szCs w:val="28"/>
        </w:rPr>
      </w:pPr>
      <w:r>
        <w:rPr>
          <w:rFonts w:hint="eastAsia" w:ascii="宋体" w:hAnsi="宋体" w:eastAsia="宋体"/>
          <w:sz w:val="28"/>
          <w:szCs w:val="28"/>
        </w:rPr>
        <w:t xml:space="preserve">2、规范性引用文件 </w:t>
      </w:r>
    </w:p>
    <w:p w14:paraId="3CDCA62D">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 xml:space="preserve">列出了本文件引用的标准文件。 </w:t>
      </w:r>
    </w:p>
    <w:p w14:paraId="4CDE692C">
      <w:pPr>
        <w:numPr>
          <w:ilvl w:val="0"/>
          <w:numId w:val="0"/>
        </w:numPr>
        <w:spacing w:line="360" w:lineRule="auto"/>
        <w:ind w:leftChars="0"/>
        <w:jc w:val="left"/>
        <w:rPr>
          <w:rFonts w:hint="eastAsia" w:ascii="宋体" w:hAnsi="宋体" w:eastAsia="宋体"/>
          <w:sz w:val="28"/>
          <w:szCs w:val="28"/>
        </w:rPr>
      </w:pPr>
      <w:r>
        <w:rPr>
          <w:rFonts w:hint="eastAsia" w:ascii="宋体" w:hAnsi="宋体" w:eastAsia="宋体"/>
          <w:sz w:val="28"/>
          <w:szCs w:val="28"/>
        </w:rPr>
        <w:t xml:space="preserve">3、术语和定义 </w:t>
      </w:r>
    </w:p>
    <w:p w14:paraId="1B77044D">
      <w:pPr>
        <w:numPr>
          <w:ilvl w:val="0"/>
          <w:numId w:val="0"/>
        </w:numPr>
        <w:spacing w:line="360" w:lineRule="auto"/>
        <w:ind w:leftChars="0" w:firstLine="560" w:firstLineChars="200"/>
        <w:jc w:val="left"/>
        <w:rPr>
          <w:rFonts w:hint="default" w:ascii="宋体" w:hAnsi="宋体" w:eastAsia="宋体"/>
          <w:sz w:val="28"/>
          <w:szCs w:val="28"/>
          <w:lang w:val="en-US" w:eastAsia="zh-CN"/>
        </w:rPr>
      </w:pPr>
      <w:r>
        <w:rPr>
          <w:rFonts w:hint="eastAsia" w:ascii="宋体" w:hAnsi="宋体" w:eastAsia="宋体"/>
          <w:sz w:val="28"/>
          <w:szCs w:val="28"/>
        </w:rPr>
        <w:t>列出了本文件</w:t>
      </w:r>
      <w:r>
        <w:rPr>
          <w:rFonts w:hint="eastAsia" w:ascii="宋体" w:hAnsi="宋体" w:eastAsia="宋体"/>
          <w:sz w:val="28"/>
          <w:szCs w:val="28"/>
          <w:lang w:val="en-US" w:eastAsia="zh-CN"/>
        </w:rPr>
        <w:t>需要</w:t>
      </w:r>
      <w:r>
        <w:rPr>
          <w:rFonts w:hint="eastAsia" w:ascii="宋体" w:hAnsi="宋体" w:eastAsia="宋体"/>
          <w:sz w:val="28"/>
          <w:szCs w:val="28"/>
        </w:rPr>
        <w:t>界定的术语和定义</w:t>
      </w:r>
      <w:r>
        <w:rPr>
          <w:rFonts w:hint="eastAsia" w:ascii="宋体" w:hAnsi="宋体" w:eastAsia="宋体"/>
          <w:sz w:val="28"/>
          <w:szCs w:val="28"/>
          <w:lang w:eastAsia="zh-CN"/>
        </w:rPr>
        <w:t>，</w:t>
      </w:r>
      <w:r>
        <w:rPr>
          <w:rFonts w:hint="eastAsia" w:ascii="宋体" w:hAnsi="宋体" w:eastAsia="宋体"/>
          <w:sz w:val="28"/>
          <w:szCs w:val="28"/>
          <w:lang w:val="en-US" w:eastAsia="zh-CN"/>
        </w:rPr>
        <w:t>包括桩基、预制桩机械成孔植桩法、桩身完整性等。</w:t>
      </w:r>
    </w:p>
    <w:p w14:paraId="59AC5AF8">
      <w:pPr>
        <w:numPr>
          <w:ilvl w:val="0"/>
          <w:numId w:val="0"/>
        </w:numPr>
        <w:spacing w:line="360" w:lineRule="auto"/>
        <w:ind w:leftChars="0"/>
        <w:jc w:val="left"/>
        <w:rPr>
          <w:rFonts w:hint="eastAsia" w:ascii="宋体" w:hAnsi="宋体" w:eastAsia="宋体"/>
          <w:sz w:val="28"/>
          <w:szCs w:val="28"/>
          <w:lang w:val="en-US" w:eastAsia="zh-CN"/>
        </w:rPr>
      </w:pPr>
      <w:r>
        <w:rPr>
          <w:rFonts w:hint="eastAsia" w:ascii="宋体" w:hAnsi="宋体" w:eastAsia="宋体"/>
          <w:sz w:val="28"/>
          <w:szCs w:val="28"/>
        </w:rPr>
        <w:t>4、</w:t>
      </w:r>
      <w:r>
        <w:rPr>
          <w:rFonts w:hint="eastAsia" w:ascii="宋体" w:hAnsi="宋体" w:eastAsia="宋体"/>
          <w:sz w:val="28"/>
          <w:szCs w:val="28"/>
          <w:lang w:val="en-US" w:eastAsia="zh-CN"/>
        </w:rPr>
        <w:t>基本要求</w:t>
      </w:r>
    </w:p>
    <w:p w14:paraId="5DBF074F">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lang w:val="en-US" w:eastAsia="zh-CN"/>
        </w:rPr>
        <w:t>对</w:t>
      </w:r>
      <w:r>
        <w:rPr>
          <w:rFonts w:hint="eastAsia" w:ascii="宋体" w:hAnsi="宋体" w:eastAsia="宋体" w:cs="宋体"/>
          <w:kern w:val="0"/>
          <w:sz w:val="28"/>
          <w:szCs w:val="28"/>
        </w:rPr>
        <w:t>市政基础设施混凝土预制桩基施工</w:t>
      </w:r>
      <w:r>
        <w:rPr>
          <w:rFonts w:hint="eastAsia" w:ascii="宋体" w:hAnsi="宋体" w:eastAsia="宋体" w:cs="宋体"/>
          <w:kern w:val="0"/>
          <w:sz w:val="28"/>
          <w:szCs w:val="28"/>
          <w:lang w:val="en-US" w:eastAsia="zh-CN"/>
        </w:rPr>
        <w:t>的原则、资料要求、前置程序等方面进行规范</w:t>
      </w:r>
      <w:r>
        <w:rPr>
          <w:rFonts w:hint="eastAsia" w:ascii="宋体" w:hAnsi="宋体" w:eastAsia="宋体"/>
          <w:sz w:val="28"/>
          <w:szCs w:val="28"/>
        </w:rPr>
        <w:t>。</w:t>
      </w:r>
    </w:p>
    <w:p w14:paraId="4A2E0D04">
      <w:pPr>
        <w:numPr>
          <w:ilvl w:val="0"/>
          <w:numId w:val="0"/>
        </w:numPr>
        <w:spacing w:line="360" w:lineRule="auto"/>
        <w:ind w:leftChars="0"/>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r>
        <w:rPr>
          <w:rFonts w:hint="eastAsia" w:ascii="宋体" w:hAnsi="宋体" w:eastAsia="宋体"/>
          <w:sz w:val="28"/>
          <w:szCs w:val="28"/>
        </w:rPr>
        <w:t>、</w:t>
      </w:r>
      <w:r>
        <w:rPr>
          <w:rFonts w:hint="eastAsia" w:ascii="宋体" w:hAnsi="宋体" w:eastAsia="宋体"/>
          <w:sz w:val="28"/>
          <w:szCs w:val="28"/>
          <w:lang w:val="en-US" w:eastAsia="zh-CN"/>
        </w:rPr>
        <w:t>勘察</w:t>
      </w:r>
    </w:p>
    <w:p w14:paraId="5CED13E2">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cs="宋体"/>
          <w:kern w:val="0"/>
          <w:sz w:val="28"/>
          <w:szCs w:val="28"/>
          <w:lang w:val="en-US" w:eastAsia="zh-CN"/>
        </w:rPr>
        <w:t>对</w:t>
      </w:r>
      <w:r>
        <w:rPr>
          <w:rFonts w:hint="eastAsia" w:ascii="宋体" w:hAnsi="宋体" w:eastAsia="宋体" w:cs="宋体"/>
          <w:kern w:val="0"/>
          <w:sz w:val="28"/>
          <w:szCs w:val="28"/>
        </w:rPr>
        <w:t>市政基础设施混凝土预制桩基施工</w:t>
      </w:r>
      <w:r>
        <w:rPr>
          <w:rFonts w:hint="eastAsia" w:ascii="宋体" w:hAnsi="宋体" w:eastAsia="宋体" w:cs="宋体"/>
          <w:kern w:val="0"/>
          <w:sz w:val="28"/>
          <w:szCs w:val="28"/>
          <w:lang w:val="en-US" w:eastAsia="zh-CN"/>
        </w:rPr>
        <w:t>勘察进行规范，包括勘察点间距、勘探深度、勘察报告等方面</w:t>
      </w:r>
      <w:r>
        <w:rPr>
          <w:rFonts w:hint="eastAsia" w:ascii="宋体" w:hAnsi="宋体" w:eastAsia="宋体"/>
          <w:sz w:val="28"/>
          <w:szCs w:val="28"/>
        </w:rPr>
        <w:t>。</w:t>
      </w:r>
    </w:p>
    <w:p w14:paraId="15A003D1">
      <w:pPr>
        <w:numPr>
          <w:ilvl w:val="0"/>
          <w:numId w:val="4"/>
        </w:numPr>
        <w:spacing w:line="360" w:lineRule="auto"/>
        <w:ind w:leftChars="0"/>
        <w:jc w:val="left"/>
        <w:rPr>
          <w:rFonts w:hint="eastAsia" w:ascii="宋体" w:hAnsi="宋体" w:eastAsia="宋体"/>
          <w:sz w:val="28"/>
          <w:szCs w:val="28"/>
          <w:lang w:val="en-US" w:eastAsia="zh-CN"/>
        </w:rPr>
      </w:pPr>
      <w:r>
        <w:rPr>
          <w:rFonts w:hint="eastAsia" w:ascii="宋体" w:hAnsi="宋体" w:eastAsia="宋体"/>
          <w:sz w:val="28"/>
          <w:szCs w:val="28"/>
          <w:lang w:val="en-US" w:eastAsia="zh-CN"/>
        </w:rPr>
        <w:t>设计</w:t>
      </w:r>
    </w:p>
    <w:p w14:paraId="7232C5A3">
      <w:pPr>
        <w:numPr>
          <w:ilvl w:val="0"/>
          <w:numId w:val="0"/>
        </w:numPr>
        <w:spacing w:line="360" w:lineRule="auto"/>
        <w:ind w:firstLine="56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规定了</w:t>
      </w:r>
      <w:bookmarkStart w:id="1" w:name="OLE_LINK2"/>
      <w:r>
        <w:rPr>
          <w:rFonts w:hint="eastAsia" w:ascii="宋体" w:hAnsi="宋体" w:eastAsia="宋体" w:cs="宋体"/>
          <w:kern w:val="0"/>
          <w:sz w:val="28"/>
          <w:szCs w:val="28"/>
        </w:rPr>
        <w:t>市政基础设施混凝土预制桩基施工</w:t>
      </w:r>
      <w:bookmarkEnd w:id="1"/>
      <w:r>
        <w:rPr>
          <w:rFonts w:hint="eastAsia" w:ascii="宋体" w:hAnsi="宋体" w:eastAsia="宋体" w:cs="宋体"/>
          <w:kern w:val="0"/>
          <w:sz w:val="28"/>
          <w:szCs w:val="28"/>
          <w:lang w:val="en-US" w:eastAsia="zh-CN"/>
        </w:rPr>
        <w:t>设计应符合的要求。</w:t>
      </w:r>
    </w:p>
    <w:p w14:paraId="1C44AFD9">
      <w:pPr>
        <w:numPr>
          <w:ilvl w:val="0"/>
          <w:numId w:val="4"/>
        </w:numPr>
        <w:spacing w:line="360" w:lineRule="auto"/>
        <w:ind w:left="0" w:leftChars="0" w:firstLine="0" w:firstLineChars="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施工</w:t>
      </w:r>
    </w:p>
    <w:p w14:paraId="703A9C42">
      <w:pPr>
        <w:numPr>
          <w:ilvl w:val="0"/>
          <w:numId w:val="0"/>
        </w:numPr>
        <w:spacing w:line="360" w:lineRule="auto"/>
        <w:ind w:leftChars="0" w:firstLine="56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规范</w:t>
      </w:r>
      <w:r>
        <w:rPr>
          <w:rFonts w:hint="eastAsia" w:ascii="宋体" w:hAnsi="宋体" w:eastAsia="宋体" w:cs="宋体"/>
          <w:kern w:val="0"/>
          <w:sz w:val="28"/>
          <w:szCs w:val="28"/>
        </w:rPr>
        <w:t>市政基础设施混凝土预制桩基施工</w:t>
      </w:r>
      <w:r>
        <w:rPr>
          <w:rFonts w:hint="eastAsia" w:ascii="宋体" w:hAnsi="宋体" w:eastAsia="宋体" w:cs="宋体"/>
          <w:kern w:val="0"/>
          <w:sz w:val="28"/>
          <w:szCs w:val="28"/>
          <w:lang w:val="en-US" w:eastAsia="zh-CN"/>
        </w:rPr>
        <w:t>要求，包括静压沉桩施工、锤击沉桩施工、焊接接桩施工和机械快速连接接桩施工方面的施工规范。</w:t>
      </w:r>
    </w:p>
    <w:p w14:paraId="2128071C">
      <w:pPr>
        <w:numPr>
          <w:ilvl w:val="0"/>
          <w:numId w:val="4"/>
        </w:numPr>
        <w:spacing w:line="360" w:lineRule="auto"/>
        <w:ind w:left="0" w:leftChars="0" w:firstLine="0" w:firstLineChars="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过程管理与验收</w:t>
      </w:r>
    </w:p>
    <w:p w14:paraId="7F7FB8E9">
      <w:pPr>
        <w:numPr>
          <w:numId w:val="0"/>
        </w:numPr>
        <w:spacing w:line="360" w:lineRule="auto"/>
        <w:ind w:leftChars="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 xml:space="preserve">    对</w:t>
      </w:r>
      <w:r>
        <w:rPr>
          <w:rFonts w:hint="eastAsia" w:ascii="宋体" w:hAnsi="宋体" w:eastAsia="宋体" w:cs="宋体"/>
          <w:kern w:val="0"/>
          <w:sz w:val="28"/>
          <w:szCs w:val="28"/>
        </w:rPr>
        <w:t>市政基础设施混凝土预制桩基施工</w:t>
      </w:r>
      <w:r>
        <w:rPr>
          <w:rFonts w:hint="eastAsia" w:ascii="宋体" w:hAnsi="宋体" w:eastAsia="宋体" w:cs="宋体"/>
          <w:kern w:val="0"/>
          <w:sz w:val="28"/>
          <w:szCs w:val="28"/>
          <w:lang w:val="en-US" w:eastAsia="zh-CN"/>
        </w:rPr>
        <w:t>的监理和验收进行规范。</w:t>
      </w:r>
    </w:p>
    <w:p w14:paraId="6FF7A8BA">
      <w:pPr>
        <w:numPr>
          <w:ilvl w:val="0"/>
          <w:numId w:val="3"/>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0E6A319B">
      <w:pPr>
        <w:numPr>
          <w:ilvl w:val="0"/>
          <w:numId w:val="0"/>
        </w:numPr>
        <w:spacing w:line="360" w:lineRule="auto"/>
        <w:ind w:leftChars="0" w:firstLine="560" w:firstLineChars="200"/>
        <w:jc w:val="left"/>
        <w:rPr>
          <w:rFonts w:hint="eastAsia" w:ascii="宋体" w:hAnsi="宋体" w:eastAsia="宋体" w:cs="宋体"/>
          <w:kern w:val="0"/>
          <w:sz w:val="28"/>
          <w:szCs w:val="28"/>
          <w:lang w:eastAsia="zh-CN"/>
        </w:rPr>
      </w:pPr>
      <w:r>
        <w:rPr>
          <w:rFonts w:hint="eastAsia" w:ascii="宋体" w:hAnsi="宋体" w:eastAsia="宋体" w:cs="宋体"/>
          <w:kern w:val="0"/>
          <w:sz w:val="28"/>
          <w:szCs w:val="28"/>
        </w:rPr>
        <w:t>结合国内外的行业测试和企业内部管控项目进行试验验证</w:t>
      </w:r>
      <w:r>
        <w:rPr>
          <w:rFonts w:hint="eastAsia" w:ascii="宋体" w:hAnsi="宋体" w:eastAsia="宋体" w:cs="宋体"/>
          <w:kern w:val="0"/>
          <w:sz w:val="28"/>
          <w:szCs w:val="28"/>
          <w:lang w:eastAsia="zh-CN"/>
        </w:rPr>
        <w:t>。</w:t>
      </w:r>
    </w:p>
    <w:p w14:paraId="50144947">
      <w:pPr>
        <w:numPr>
          <w:ilvl w:val="0"/>
          <w:numId w:val="3"/>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5BEBD4DA">
      <w:pPr>
        <w:numPr>
          <w:ilvl w:val="0"/>
          <w:numId w:val="0"/>
        </w:numPr>
        <w:spacing w:line="360" w:lineRule="auto"/>
        <w:ind w:leftChars="0"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无。</w:t>
      </w:r>
    </w:p>
    <w:p w14:paraId="4359610A">
      <w:pPr>
        <w:numPr>
          <w:ilvl w:val="0"/>
          <w:numId w:val="3"/>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31C97131">
      <w:pPr>
        <w:numPr>
          <w:ilvl w:val="0"/>
          <w:numId w:val="0"/>
        </w:numPr>
        <w:spacing w:line="360" w:lineRule="auto"/>
        <w:ind w:leftChars="0" w:firstLine="560" w:firstLineChars="200"/>
        <w:jc w:val="left"/>
        <w:rPr>
          <w:rFonts w:ascii="宋体" w:hAnsi="宋体" w:eastAsia="宋体"/>
          <w:sz w:val="28"/>
          <w:szCs w:val="28"/>
        </w:rPr>
      </w:pPr>
      <w:r>
        <w:rPr>
          <w:rFonts w:hint="eastAsia" w:ascii="宋体" w:hAnsi="宋体" w:eastAsia="宋体" w:cs="宋体"/>
          <w:kern w:val="0"/>
          <w:sz w:val="28"/>
          <w:szCs w:val="28"/>
        </w:rPr>
        <w:t>市政基础设施混凝土预制桩基施工</w:t>
      </w:r>
      <w:r>
        <w:rPr>
          <w:rFonts w:hint="eastAsia" w:ascii="宋体" w:hAnsi="宋体" w:eastAsia="宋体" w:cs="宋体"/>
          <w:kern w:val="0"/>
          <w:sz w:val="28"/>
          <w:szCs w:val="28"/>
          <w:lang w:val="en-US" w:eastAsia="zh-CN"/>
        </w:rPr>
        <w:t>规范</w:t>
      </w:r>
      <w:r>
        <w:rPr>
          <w:rFonts w:hint="eastAsia" w:ascii="宋体" w:hAnsi="宋体" w:eastAsia="宋体"/>
          <w:sz w:val="28"/>
          <w:szCs w:val="28"/>
        </w:rPr>
        <w:t>应满足市场及环境需求。对相关企业标准化管理水平的提升、科技成果认定、及今后</w:t>
      </w:r>
      <w:r>
        <w:rPr>
          <w:rFonts w:hint="eastAsia" w:ascii="宋体" w:hAnsi="宋体" w:eastAsia="宋体"/>
          <w:sz w:val="28"/>
          <w:szCs w:val="28"/>
          <w:lang w:val="en-US" w:eastAsia="zh-CN"/>
        </w:rPr>
        <w:t>施工技术</w:t>
      </w:r>
      <w:r>
        <w:rPr>
          <w:rFonts w:hint="eastAsia" w:ascii="宋体" w:hAnsi="宋体" w:eastAsia="宋体"/>
          <w:sz w:val="28"/>
          <w:szCs w:val="28"/>
        </w:rPr>
        <w:t>的</w:t>
      </w:r>
      <w:r>
        <w:rPr>
          <w:rFonts w:hint="eastAsia" w:ascii="宋体" w:hAnsi="宋体" w:eastAsia="宋体"/>
          <w:sz w:val="28"/>
          <w:szCs w:val="28"/>
          <w:lang w:val="en-US" w:eastAsia="zh-CN"/>
        </w:rPr>
        <w:t>发展</w:t>
      </w:r>
      <w:r>
        <w:rPr>
          <w:rFonts w:hint="eastAsia" w:ascii="宋体" w:hAnsi="宋体" w:eastAsia="宋体"/>
          <w:sz w:val="28"/>
          <w:szCs w:val="28"/>
        </w:rPr>
        <w:t>具有重要</w:t>
      </w:r>
      <w:r>
        <w:rPr>
          <w:rFonts w:hint="eastAsia" w:ascii="宋体" w:hAnsi="宋体" w:eastAsia="宋体"/>
          <w:sz w:val="28"/>
          <w:szCs w:val="28"/>
          <w:lang w:val="en-US" w:eastAsia="zh-CN"/>
        </w:rPr>
        <w:t>意义。</w:t>
      </w:r>
    </w:p>
    <w:p w14:paraId="32E918C9">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40C9E21A">
      <w:pPr>
        <w:numPr>
          <w:ilvl w:val="0"/>
          <w:numId w:val="0"/>
        </w:numPr>
        <w:spacing w:line="360" w:lineRule="auto"/>
        <w:ind w:leftChars="0" w:firstLine="560" w:firstLineChars="200"/>
        <w:jc w:val="left"/>
        <w:rPr>
          <w:rFonts w:hint="eastAsia" w:ascii="宋体" w:hAnsi="宋体" w:eastAsia="宋体"/>
          <w:b w:val="0"/>
          <w:bCs w:val="0"/>
          <w:sz w:val="28"/>
          <w:szCs w:val="28"/>
          <w:lang w:eastAsia="zh-CN"/>
        </w:rPr>
      </w:pPr>
      <w:r>
        <w:rPr>
          <w:rFonts w:hint="eastAsia" w:ascii="宋体" w:hAnsi="宋体" w:eastAsia="宋体"/>
          <w:b w:val="0"/>
          <w:bCs w:val="0"/>
          <w:sz w:val="28"/>
          <w:szCs w:val="28"/>
        </w:rPr>
        <w:t>符合现行相关法律、法规、规章及相关标准，与强制性标准协调一致</w:t>
      </w:r>
      <w:r>
        <w:rPr>
          <w:rFonts w:hint="eastAsia" w:ascii="宋体" w:hAnsi="宋体" w:eastAsia="宋体"/>
          <w:b w:val="0"/>
          <w:bCs w:val="0"/>
          <w:sz w:val="28"/>
          <w:szCs w:val="28"/>
          <w:lang w:eastAsia="zh-CN"/>
        </w:rPr>
        <w:t>。</w:t>
      </w:r>
    </w:p>
    <w:p w14:paraId="74536542">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重大分歧意见的处理经过和依据</w:t>
      </w:r>
    </w:p>
    <w:p w14:paraId="494A6967">
      <w:pPr>
        <w:numPr>
          <w:ilvl w:val="0"/>
          <w:numId w:val="0"/>
        </w:numPr>
        <w:spacing w:line="360" w:lineRule="auto"/>
        <w:ind w:leftChars="0" w:firstLine="560" w:firstLineChars="200"/>
        <w:jc w:val="left"/>
        <w:rPr>
          <w:rFonts w:hint="eastAsia" w:ascii="宋体" w:hAnsi="宋体" w:eastAsia="宋体"/>
          <w:b w:val="0"/>
          <w:bCs w:val="0"/>
          <w:sz w:val="28"/>
          <w:szCs w:val="28"/>
          <w:lang w:val="en-US" w:eastAsia="zh-CN"/>
        </w:rPr>
      </w:pPr>
      <w:r>
        <w:rPr>
          <w:rFonts w:hint="eastAsia" w:ascii="宋体" w:hAnsi="宋体" w:eastAsia="宋体"/>
          <w:b w:val="0"/>
          <w:bCs w:val="0"/>
          <w:sz w:val="28"/>
          <w:szCs w:val="28"/>
          <w:lang w:val="en-US" w:eastAsia="zh-CN"/>
        </w:rPr>
        <w:t>无。</w:t>
      </w:r>
    </w:p>
    <w:p w14:paraId="244A3473">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标准性质的建议说明</w:t>
      </w:r>
    </w:p>
    <w:p w14:paraId="6183B695">
      <w:pPr>
        <w:numPr>
          <w:ilvl w:val="0"/>
          <w:numId w:val="0"/>
        </w:numPr>
        <w:spacing w:line="360" w:lineRule="auto"/>
        <w:ind w:leftChars="0"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本标准为团体标准，供社会各界自愿使用。</w:t>
      </w:r>
    </w:p>
    <w:p w14:paraId="57C95F70">
      <w:pPr>
        <w:numPr>
          <w:ilvl w:val="0"/>
          <w:numId w:val="3"/>
        </w:numPr>
        <w:spacing w:line="360" w:lineRule="auto"/>
        <w:ind w:left="0" w:leftChars="0" w:firstLine="0" w:firstLineChars="0"/>
        <w:jc w:val="left"/>
        <w:rPr>
          <w:rFonts w:hint="eastAsia" w:ascii="宋体" w:hAnsi="宋体" w:eastAsia="宋体"/>
          <w:b/>
          <w:bCs/>
          <w:sz w:val="28"/>
          <w:szCs w:val="28"/>
          <w:lang w:eastAsia="zh-CN"/>
        </w:rPr>
      </w:pPr>
      <w:r>
        <w:rPr>
          <w:rFonts w:hint="eastAsia" w:ascii="宋体" w:hAnsi="宋体" w:eastAsia="宋体"/>
          <w:b/>
          <w:bCs/>
          <w:sz w:val="28"/>
          <w:szCs w:val="28"/>
        </w:rPr>
        <w:t>贯彻标准的要求和措施建议</w:t>
      </w:r>
    </w:p>
    <w:p w14:paraId="1D70DCAF">
      <w:pPr>
        <w:numPr>
          <w:ilvl w:val="0"/>
          <w:numId w:val="0"/>
        </w:numPr>
        <w:spacing w:line="360" w:lineRule="auto"/>
        <w:ind w:firstLine="560" w:firstLineChars="200"/>
        <w:jc w:val="left"/>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无。</w:t>
      </w:r>
    </w:p>
    <w:p w14:paraId="0F7B4684">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废止现行相关标准的建议</w:t>
      </w:r>
    </w:p>
    <w:p w14:paraId="2464AE9D">
      <w:pPr>
        <w:numPr>
          <w:ilvl w:val="0"/>
          <w:numId w:val="0"/>
        </w:numPr>
        <w:spacing w:line="360" w:lineRule="auto"/>
        <w:ind w:leftChars="0"/>
        <w:jc w:val="left"/>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 xml:space="preserve">   本标准为首次发布。</w:t>
      </w:r>
    </w:p>
    <w:p w14:paraId="51824916">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其他应予说明的事项</w:t>
      </w:r>
    </w:p>
    <w:p w14:paraId="207360BD">
      <w:pPr>
        <w:numPr>
          <w:ilvl w:val="0"/>
          <w:numId w:val="0"/>
        </w:numPr>
        <w:spacing w:line="360" w:lineRule="auto"/>
        <w:ind w:leftChars="0"/>
        <w:jc w:val="left"/>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 xml:space="preserve">   无。</w:t>
      </w:r>
    </w:p>
    <w:p w14:paraId="53430716">
      <w:pPr>
        <w:topLinePunct/>
        <w:spacing w:line="360" w:lineRule="auto"/>
        <w:ind w:firstLine="560" w:firstLineChars="200"/>
        <w:jc w:val="right"/>
        <w:rPr>
          <w:rFonts w:ascii="宋体" w:hAnsi="宋体" w:eastAsia="宋体"/>
          <w:sz w:val="28"/>
          <w:szCs w:val="28"/>
        </w:rPr>
      </w:pPr>
      <w:r>
        <w:rPr>
          <w:rFonts w:ascii="宋体" w:hAnsi="宋体" w:eastAsia="宋体"/>
          <w:sz w:val="28"/>
          <w:szCs w:val="28"/>
        </w:rPr>
        <w:t xml:space="preserve">  </w:t>
      </w:r>
    </w:p>
    <w:p w14:paraId="3833E7B7">
      <w:pPr>
        <w:tabs>
          <w:tab w:val="left" w:pos="253"/>
        </w:tabs>
        <w:topLinePunct/>
        <w:spacing w:line="360" w:lineRule="auto"/>
        <w:ind w:firstLine="280" w:firstLineChars="100"/>
        <w:jc w:val="right"/>
        <w:rPr>
          <w:rFonts w:hint="eastAsia" w:ascii="宋体" w:hAnsi="宋体" w:eastAsia="宋体"/>
          <w:sz w:val="28"/>
          <w:szCs w:val="28"/>
          <w:lang w:val="en-US" w:eastAsia="zh-CN"/>
        </w:rPr>
      </w:pPr>
      <w:r>
        <w:rPr>
          <w:rFonts w:hint="eastAsia" w:ascii="宋体" w:hAnsi="宋体" w:eastAsia="宋体"/>
          <w:sz w:val="28"/>
          <w:szCs w:val="28"/>
          <w:lang w:eastAsia="zh-CN"/>
        </w:rPr>
        <w:tab/>
      </w:r>
      <w:r>
        <w:rPr>
          <w:rFonts w:hint="eastAsia" w:ascii="宋体" w:hAnsi="宋体" w:eastAsia="宋体"/>
          <w:sz w:val="28"/>
          <w:szCs w:val="28"/>
        </w:rPr>
        <w:t>《</w:t>
      </w:r>
      <w:r>
        <w:rPr>
          <w:rFonts w:hint="eastAsia" w:ascii="宋体" w:hAnsi="宋体" w:eastAsia="宋体" w:cs="宋体"/>
          <w:kern w:val="0"/>
          <w:sz w:val="28"/>
          <w:szCs w:val="28"/>
        </w:rPr>
        <w:t>市政基础设施混凝土预制桩基施工</w:t>
      </w:r>
      <w:bookmarkStart w:id="2" w:name="_GoBack"/>
      <w:bookmarkEnd w:id="2"/>
      <w:r>
        <w:rPr>
          <w:rFonts w:hint="eastAsia" w:ascii="宋体" w:hAnsi="宋体" w:eastAsia="宋体" w:cs="宋体"/>
          <w:kern w:val="0"/>
          <w:sz w:val="28"/>
          <w:szCs w:val="28"/>
          <w:lang w:val="en-US" w:eastAsia="zh-CN"/>
        </w:rPr>
        <w:t>规范</w:t>
      </w:r>
      <w:r>
        <w:rPr>
          <w:rFonts w:hint="eastAsia" w:ascii="宋体" w:hAnsi="宋体" w:eastAsia="宋体"/>
          <w:sz w:val="28"/>
          <w:szCs w:val="28"/>
        </w:rPr>
        <w:t>》</w:t>
      </w:r>
      <w:r>
        <w:rPr>
          <w:rFonts w:hint="eastAsia" w:ascii="宋体" w:hAnsi="宋体" w:eastAsia="宋体"/>
          <w:sz w:val="28"/>
          <w:szCs w:val="28"/>
          <w:lang w:val="en-US" w:eastAsia="zh-CN"/>
        </w:rPr>
        <w:t>起草组</w:t>
      </w:r>
    </w:p>
    <w:p w14:paraId="6AECA066">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lang w:val="en-US" w:eastAsia="zh-CN"/>
        </w:rPr>
        <w:t>2024</w:t>
      </w:r>
      <w:r>
        <w:rPr>
          <w:rFonts w:ascii="宋体" w:hAnsi="宋体" w:eastAsia="宋体"/>
          <w:sz w:val="28"/>
          <w:szCs w:val="28"/>
        </w:rPr>
        <w:t>年</w:t>
      </w:r>
      <w:r>
        <w:rPr>
          <w:rFonts w:hint="eastAsia" w:ascii="宋体" w:hAnsi="宋体" w:eastAsia="宋体"/>
          <w:sz w:val="28"/>
          <w:szCs w:val="28"/>
          <w:lang w:val="en-US" w:eastAsia="zh-CN"/>
        </w:rPr>
        <w:t>09</w:t>
      </w:r>
      <w:r>
        <w:rPr>
          <w:rFonts w:ascii="宋体" w:hAnsi="宋体" w:eastAsia="宋体"/>
          <w:sz w:val="28"/>
          <w:szCs w:val="28"/>
        </w:rPr>
        <w:t>月</w:t>
      </w:r>
      <w:r>
        <w:rPr>
          <w:rFonts w:hint="eastAsia" w:ascii="宋体" w:hAnsi="宋体" w:eastAsia="宋体"/>
          <w:sz w:val="28"/>
          <w:szCs w:val="28"/>
          <w:lang w:val="en-US" w:eastAsia="zh-CN"/>
        </w:rPr>
        <w:t>20</w:t>
      </w:r>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宋体">
    <w:panose1 w:val="02010600030101010101"/>
    <w:charset w:val="86"/>
    <w:family w:val="auto"/>
    <w:pitch w:val="variable"/>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8F5A2"/>
    <w:multiLevelType w:val="singleLevel"/>
    <w:tmpl w:val="9B18F5A2"/>
    <w:lvl w:ilvl="0" w:tentative="0">
      <w:start w:val="2"/>
      <w:numFmt w:val="chineseCounting"/>
      <w:suff w:val="space"/>
      <w:lvlText w:val="%1、"/>
      <w:lvlJc w:val="left"/>
      <w:rPr>
        <w:rFonts w:hint="eastAsia"/>
      </w:rPr>
    </w:lvl>
  </w:abstractNum>
  <w:abstractNum w:abstractNumId="1">
    <w:nsid w:val="A7303B05"/>
    <w:multiLevelType w:val="singleLevel"/>
    <w:tmpl w:val="A7303B05"/>
    <w:lvl w:ilvl="0" w:tentative="0">
      <w:start w:val="2"/>
      <w:numFmt w:val="chineseCounting"/>
      <w:suff w:val="nothing"/>
      <w:lvlText w:val="（%1）"/>
      <w:lvlJc w:val="left"/>
      <w:rPr>
        <w:rFonts w:hint="eastAsia"/>
      </w:rPr>
    </w:lvl>
  </w:abstractNum>
  <w:abstractNum w:abstractNumId="2">
    <w:nsid w:val="E890BFA5"/>
    <w:multiLevelType w:val="singleLevel"/>
    <w:tmpl w:val="E890BFA5"/>
    <w:lvl w:ilvl="0" w:tentative="0">
      <w:start w:val="6"/>
      <w:numFmt w:val="decimal"/>
      <w:suff w:val="nothing"/>
      <w:lvlText w:val="%1、"/>
      <w:lvlJc w:val="left"/>
    </w:lvl>
  </w:abstractNum>
  <w:abstractNum w:abstractNumId="3">
    <w:nsid w:val="514D817E"/>
    <w:multiLevelType w:val="singleLevel"/>
    <w:tmpl w:val="514D817E"/>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10"/>
  <w:drawingGridVerticalSpacing w:val="2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0YTI4NTUzOGQ3OTcwYjk3NjAwNWUwMDUyZjBiMGIifQ=="/>
  </w:docVars>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0D422A52"/>
    <w:rsid w:val="4A322CB3"/>
    <w:rsid w:val="608E3F48"/>
    <w:rsid w:val="638E2325"/>
    <w:rsid w:val="6B582350"/>
    <w:rsid w:val="7D7864E4"/>
    <w:rsid w:val="7F0136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rPr>
      <w:sz w:val="24"/>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日期 字符"/>
    <w:basedOn w:val="8"/>
    <w:link w:val="2"/>
    <w:semiHidden/>
    <w:qFormat/>
    <w:uiPriority w:val="99"/>
  </w:style>
  <w:style w:type="character" w:customStyle="1" w:styleId="11">
    <w:name w:val="未处理的提及1"/>
    <w:basedOn w:val="8"/>
    <w:semiHidden/>
    <w:unhideWhenUsed/>
    <w:qFormat/>
    <w:uiPriority w:val="99"/>
    <w:rPr>
      <w:color w:val="605E5C"/>
      <w:shd w:val="clear" w:color="auto" w:fill="E1DFDD"/>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批注框文本 字符"/>
    <w:basedOn w:val="8"/>
    <w:link w:val="3"/>
    <w:semiHidden/>
    <w:qFormat/>
    <w:uiPriority w:val="99"/>
    <w:rPr>
      <w:sz w:val="18"/>
      <w:szCs w:val="18"/>
    </w:rPr>
  </w:style>
  <w:style w:type="paragraph" w:customStyle="1" w:styleId="15">
    <w:name w:val="标准文件_段"/>
    <w:basedOn w:val="1"/>
    <w:link w:val="16"/>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character" w:customStyle="1" w:styleId="16">
    <w:name w:val="标准文件_段 Char"/>
    <w:basedOn w:val="8"/>
    <w:link w:val="15"/>
    <w:uiPriority w:val="0"/>
    <w:rPr>
      <w:rFonts w:hint="eastAsia" w:ascii="宋体" w:hAnsi="Times New Roman" w:eastAsia="宋体" w:cs="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6</Pages>
  <Words>2194</Words>
  <Characters>2254</Characters>
  <Lines>2</Lines>
  <Paragraphs>1</Paragraphs>
  <TotalTime>11</TotalTime>
  <ScaleCrop>false</ScaleCrop>
  <LinksUpToDate>false</LinksUpToDate>
  <CharactersWithSpaces>2323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YU</cp:lastModifiedBy>
  <cp:lastPrinted>2022-05-11T05:51:00Z</cp:lastPrinted>
  <dcterms:modified xsi:type="dcterms:W3CDTF">2024-09-26T03:00:16Z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E74AD880ED1E481D969A33F3DE7C53B9_12</vt:lpwstr>
  </property>
</Properties>
</file>