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AA1D8" w14:textId="77777777" w:rsidR="0050547B" w:rsidRDefault="0050547B">
      <w:pPr>
        <w:jc w:val="center"/>
      </w:pPr>
    </w:p>
    <w:p w14:paraId="1816F1F3" w14:textId="77777777" w:rsidR="0050547B" w:rsidRDefault="0050547B">
      <w:pPr>
        <w:jc w:val="center"/>
      </w:pPr>
    </w:p>
    <w:p w14:paraId="72C78938" w14:textId="77777777" w:rsidR="0050547B" w:rsidRDefault="0050547B">
      <w:pPr>
        <w:jc w:val="center"/>
      </w:pPr>
    </w:p>
    <w:p w14:paraId="76FF30C2" w14:textId="77777777" w:rsidR="0050547B" w:rsidRDefault="0050547B">
      <w:pPr>
        <w:jc w:val="center"/>
      </w:pPr>
    </w:p>
    <w:p w14:paraId="68E29A34" w14:textId="77777777" w:rsidR="0050547B" w:rsidRDefault="0050547B">
      <w:pPr>
        <w:jc w:val="center"/>
      </w:pPr>
    </w:p>
    <w:p w14:paraId="4121F046" w14:textId="77777777" w:rsidR="0050547B" w:rsidRDefault="0050547B">
      <w:pPr>
        <w:jc w:val="center"/>
      </w:pPr>
    </w:p>
    <w:p w14:paraId="0787AEC4" w14:textId="77777777" w:rsidR="0050547B" w:rsidRDefault="0050547B">
      <w:pPr>
        <w:jc w:val="center"/>
      </w:pPr>
    </w:p>
    <w:p w14:paraId="3C06AF73" w14:textId="77777777" w:rsidR="0050547B" w:rsidRDefault="0050547B">
      <w:pPr>
        <w:jc w:val="center"/>
      </w:pPr>
    </w:p>
    <w:p w14:paraId="4A9E8A14" w14:textId="77777777" w:rsidR="0050547B" w:rsidRDefault="0050547B">
      <w:pPr>
        <w:jc w:val="center"/>
      </w:pPr>
    </w:p>
    <w:p w14:paraId="7B9EC154" w14:textId="77777777" w:rsidR="0050547B" w:rsidRDefault="0050547B">
      <w:pPr>
        <w:jc w:val="center"/>
      </w:pPr>
    </w:p>
    <w:p w14:paraId="4F3EAA95" w14:textId="77777777" w:rsidR="0050547B" w:rsidRDefault="0050547B">
      <w:pPr>
        <w:jc w:val="center"/>
      </w:pPr>
    </w:p>
    <w:p w14:paraId="0DA9C78F" w14:textId="77777777" w:rsidR="0050547B" w:rsidRDefault="0050547B">
      <w:pPr>
        <w:jc w:val="center"/>
      </w:pPr>
    </w:p>
    <w:p w14:paraId="60E995C3" w14:textId="77777777" w:rsidR="0050547B" w:rsidRDefault="0050547B">
      <w:pPr>
        <w:jc w:val="center"/>
      </w:pPr>
    </w:p>
    <w:p w14:paraId="515F8374" w14:textId="25EF9DB5" w:rsidR="0050547B" w:rsidRDefault="00B8211A">
      <w:pPr>
        <w:jc w:val="center"/>
        <w:rPr>
          <w:rFonts w:ascii="迷你简小标宋" w:eastAsia="迷你简小标宋" w:hAnsi="宋体"/>
          <w:w w:val="90"/>
          <w:sz w:val="44"/>
          <w:szCs w:val="44"/>
        </w:rPr>
      </w:pPr>
      <w:r>
        <w:rPr>
          <w:rFonts w:ascii="迷你简小标宋" w:eastAsia="迷你简小标宋" w:hAnsi="宋体" w:hint="eastAsia"/>
          <w:w w:val="90"/>
          <w:sz w:val="44"/>
          <w:szCs w:val="44"/>
        </w:rPr>
        <w:t>《</w:t>
      </w:r>
      <w:r w:rsidR="00BD1165">
        <w:rPr>
          <w:rFonts w:ascii="迷你简小标宋" w:eastAsia="迷你简小标宋" w:hAnsi="宋体" w:hint="eastAsia"/>
          <w:w w:val="90"/>
          <w:sz w:val="44"/>
          <w:szCs w:val="44"/>
        </w:rPr>
        <w:t>装配式混凝土建筑墙体保温工程施工规范</w:t>
      </w:r>
      <w:r>
        <w:rPr>
          <w:rFonts w:ascii="迷你简小标宋" w:eastAsia="迷你简小标宋" w:hAnsi="宋体" w:hint="eastAsia"/>
          <w:w w:val="90"/>
          <w:sz w:val="44"/>
          <w:szCs w:val="44"/>
        </w:rPr>
        <w:t>》</w:t>
      </w:r>
    </w:p>
    <w:p w14:paraId="63C02B97" w14:textId="77777777" w:rsidR="0050547B" w:rsidRDefault="0050547B">
      <w:pPr>
        <w:jc w:val="center"/>
        <w:rPr>
          <w:rFonts w:ascii="迷你简小标宋" w:eastAsia="迷你简小标宋" w:hAnsi="宋体"/>
          <w:sz w:val="44"/>
          <w:szCs w:val="44"/>
        </w:rPr>
      </w:pPr>
    </w:p>
    <w:p w14:paraId="30E8A644" w14:textId="77777777" w:rsidR="0050547B" w:rsidRDefault="00B8211A">
      <w:pPr>
        <w:jc w:val="center"/>
        <w:rPr>
          <w:rFonts w:ascii="迷你简小标宋" w:eastAsia="迷你简小标宋" w:hAnsi="宋体"/>
          <w:sz w:val="44"/>
          <w:szCs w:val="44"/>
        </w:rPr>
      </w:pPr>
      <w:r>
        <w:rPr>
          <w:rFonts w:ascii="迷你简小标宋" w:eastAsia="迷你简小标宋" w:hAnsi="宋体" w:hint="eastAsia"/>
          <w:sz w:val="44"/>
          <w:szCs w:val="44"/>
        </w:rPr>
        <w:t>编制说明</w:t>
      </w:r>
    </w:p>
    <w:p w14:paraId="4303482F" w14:textId="77777777" w:rsidR="0050547B" w:rsidRDefault="0050547B">
      <w:pPr>
        <w:jc w:val="center"/>
      </w:pPr>
    </w:p>
    <w:p w14:paraId="72141466" w14:textId="77777777" w:rsidR="0050547B" w:rsidRDefault="0050547B">
      <w:pPr>
        <w:jc w:val="center"/>
      </w:pPr>
    </w:p>
    <w:p w14:paraId="41887162" w14:textId="77777777" w:rsidR="0050547B" w:rsidRDefault="0050547B">
      <w:pPr>
        <w:jc w:val="center"/>
      </w:pPr>
    </w:p>
    <w:p w14:paraId="236F8B4D" w14:textId="77777777" w:rsidR="0050547B" w:rsidRDefault="0050547B">
      <w:pPr>
        <w:jc w:val="center"/>
      </w:pPr>
    </w:p>
    <w:p w14:paraId="39111ED9" w14:textId="77777777" w:rsidR="0050547B" w:rsidRDefault="0050547B">
      <w:pPr>
        <w:jc w:val="center"/>
      </w:pPr>
    </w:p>
    <w:p w14:paraId="03C0B37E" w14:textId="77777777" w:rsidR="0050547B" w:rsidRDefault="0050547B">
      <w:pPr>
        <w:jc w:val="center"/>
      </w:pPr>
    </w:p>
    <w:p w14:paraId="21237BFC" w14:textId="77777777" w:rsidR="0050547B" w:rsidRDefault="0050547B">
      <w:pPr>
        <w:jc w:val="center"/>
      </w:pPr>
    </w:p>
    <w:p w14:paraId="6F037B50" w14:textId="77777777" w:rsidR="0050547B" w:rsidRDefault="0050547B">
      <w:pPr>
        <w:jc w:val="center"/>
      </w:pPr>
    </w:p>
    <w:p w14:paraId="71E52777" w14:textId="77777777" w:rsidR="0050547B" w:rsidRDefault="0050547B">
      <w:pPr>
        <w:jc w:val="center"/>
      </w:pPr>
    </w:p>
    <w:p w14:paraId="788D0C10" w14:textId="77777777" w:rsidR="0050547B" w:rsidRDefault="0050547B">
      <w:pPr>
        <w:jc w:val="center"/>
      </w:pPr>
    </w:p>
    <w:p w14:paraId="521BD9D3" w14:textId="77777777" w:rsidR="0050547B" w:rsidRDefault="0050547B">
      <w:pPr>
        <w:jc w:val="center"/>
      </w:pPr>
    </w:p>
    <w:p w14:paraId="01CAB58A" w14:textId="77777777" w:rsidR="0050547B" w:rsidRDefault="0050547B">
      <w:pPr>
        <w:jc w:val="center"/>
      </w:pPr>
    </w:p>
    <w:p w14:paraId="6912D74A" w14:textId="77777777" w:rsidR="0050547B" w:rsidRDefault="0050547B">
      <w:pPr>
        <w:jc w:val="center"/>
      </w:pPr>
    </w:p>
    <w:p w14:paraId="7A5A4A30" w14:textId="77777777" w:rsidR="0050547B" w:rsidRDefault="0050547B">
      <w:pPr>
        <w:jc w:val="center"/>
      </w:pPr>
    </w:p>
    <w:p w14:paraId="6E6534DC" w14:textId="77777777" w:rsidR="0050547B" w:rsidRDefault="0050547B">
      <w:pPr>
        <w:jc w:val="center"/>
      </w:pPr>
    </w:p>
    <w:p w14:paraId="138B2AFA" w14:textId="77777777" w:rsidR="0050547B" w:rsidRDefault="0050547B">
      <w:pPr>
        <w:jc w:val="center"/>
      </w:pPr>
    </w:p>
    <w:p w14:paraId="27293282" w14:textId="77777777" w:rsidR="0050547B" w:rsidRDefault="00B8211A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团标制定</w:t>
      </w:r>
      <w:proofErr w:type="gramEnd"/>
      <w:r>
        <w:rPr>
          <w:rFonts w:ascii="宋体" w:eastAsia="宋体" w:hAnsi="宋体" w:hint="eastAsia"/>
          <w:sz w:val="28"/>
          <w:szCs w:val="28"/>
        </w:rPr>
        <w:t>工作组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4D230E34" w14:textId="77777777" w:rsidR="0050547B" w:rsidRDefault="0050547B">
      <w:pPr>
        <w:jc w:val="center"/>
        <w:rPr>
          <w:rFonts w:ascii="宋体" w:eastAsia="宋体" w:hAnsi="宋体"/>
          <w:sz w:val="28"/>
          <w:szCs w:val="28"/>
        </w:rPr>
      </w:pPr>
    </w:p>
    <w:p w14:paraId="15180FEC" w14:textId="4E8534D7" w:rsidR="0050547B" w:rsidRDefault="00B8211A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二零二四年</w:t>
      </w:r>
      <w:r w:rsidR="00BD1165">
        <w:rPr>
          <w:rFonts w:ascii="宋体" w:eastAsia="宋体" w:hAnsi="宋体" w:hint="eastAsia"/>
          <w:sz w:val="28"/>
          <w:szCs w:val="28"/>
        </w:rPr>
        <w:t>九</w:t>
      </w:r>
      <w:r>
        <w:rPr>
          <w:rFonts w:ascii="宋体" w:eastAsia="宋体" w:hAnsi="宋体" w:hint="eastAsia"/>
          <w:sz w:val="28"/>
          <w:szCs w:val="28"/>
        </w:rPr>
        <w:t>月</w:t>
      </w:r>
    </w:p>
    <w:p w14:paraId="2CC36873" w14:textId="77777777" w:rsidR="0050547B" w:rsidRDefault="0050547B">
      <w:pPr>
        <w:jc w:val="center"/>
        <w:rPr>
          <w:rFonts w:ascii="宋体" w:eastAsia="宋体" w:hAnsi="宋体"/>
          <w:sz w:val="28"/>
          <w:szCs w:val="28"/>
        </w:rPr>
      </w:pPr>
    </w:p>
    <w:p w14:paraId="1BBFB988" w14:textId="77777777" w:rsidR="0050547B" w:rsidRDefault="0050547B">
      <w:pPr>
        <w:jc w:val="center"/>
        <w:rPr>
          <w:rFonts w:ascii="宋体" w:eastAsia="宋体" w:hAnsi="宋体"/>
          <w:sz w:val="28"/>
          <w:szCs w:val="28"/>
        </w:rPr>
      </w:pPr>
    </w:p>
    <w:p w14:paraId="58A66D0B" w14:textId="77777777" w:rsidR="0050547B" w:rsidRDefault="0050547B">
      <w:pPr>
        <w:jc w:val="center"/>
        <w:rPr>
          <w:rFonts w:ascii="宋体" w:eastAsia="宋体" w:hAnsi="宋体"/>
          <w:sz w:val="28"/>
          <w:szCs w:val="28"/>
        </w:rPr>
      </w:pPr>
    </w:p>
    <w:p w14:paraId="3CB81D4F" w14:textId="77777777" w:rsidR="0050547B" w:rsidRDefault="0050547B">
      <w:pPr>
        <w:jc w:val="center"/>
        <w:rPr>
          <w:rFonts w:ascii="宋体" w:eastAsia="宋体" w:hAnsi="宋体"/>
          <w:sz w:val="28"/>
          <w:szCs w:val="28"/>
        </w:rPr>
      </w:pPr>
    </w:p>
    <w:p w14:paraId="030F4BDF" w14:textId="77777777" w:rsidR="0050547B" w:rsidRDefault="0050547B">
      <w:pPr>
        <w:jc w:val="center"/>
        <w:rPr>
          <w:rFonts w:ascii="宋体" w:eastAsia="宋体" w:hAnsi="宋体"/>
          <w:sz w:val="28"/>
          <w:szCs w:val="28"/>
        </w:rPr>
      </w:pPr>
    </w:p>
    <w:p w14:paraId="3957A729" w14:textId="77777777" w:rsidR="0050547B" w:rsidRDefault="0050547B">
      <w:pPr>
        <w:jc w:val="center"/>
        <w:rPr>
          <w:rFonts w:ascii="宋体" w:eastAsia="宋体" w:hAnsi="宋体"/>
          <w:sz w:val="28"/>
          <w:szCs w:val="28"/>
        </w:rPr>
      </w:pPr>
    </w:p>
    <w:p w14:paraId="7843F284" w14:textId="77777777" w:rsidR="0050547B" w:rsidRDefault="00B8211A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一、工作简况</w:t>
      </w:r>
    </w:p>
    <w:p w14:paraId="3CB203DC" w14:textId="77777777" w:rsidR="0050547B" w:rsidRDefault="00B8211A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（一）任务来源</w:t>
      </w:r>
    </w:p>
    <w:p w14:paraId="6DA20B84" w14:textId="7CD3C1F4" w:rsidR="0050547B" w:rsidRDefault="00B8211A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中国中小企业协会下达的</w:t>
      </w:r>
      <w:r>
        <w:rPr>
          <w:rFonts w:ascii="宋体" w:eastAsia="宋体" w:hAnsi="宋体"/>
          <w:sz w:val="28"/>
          <w:szCs w:val="28"/>
        </w:rPr>
        <w:t>2024</w:t>
      </w:r>
      <w:r>
        <w:rPr>
          <w:rFonts w:ascii="宋体" w:eastAsia="宋体" w:hAnsi="宋体"/>
          <w:sz w:val="28"/>
          <w:szCs w:val="28"/>
        </w:rPr>
        <w:t>年团体标准修订编制计划，将《</w:t>
      </w:r>
      <w:r w:rsidR="00BD1165">
        <w:rPr>
          <w:rFonts w:ascii="宋体" w:eastAsia="宋体" w:hAnsi="宋体" w:hint="eastAsia"/>
          <w:sz w:val="28"/>
          <w:szCs w:val="28"/>
        </w:rPr>
        <w:t>装配式混凝土建筑墙体保温工程施工规范</w:t>
      </w:r>
      <w:r>
        <w:rPr>
          <w:rFonts w:ascii="宋体" w:eastAsia="宋体" w:hAnsi="宋体"/>
          <w:sz w:val="28"/>
          <w:szCs w:val="28"/>
        </w:rPr>
        <w:t>》列为标准编制项目，并于</w:t>
      </w:r>
      <w:r>
        <w:rPr>
          <w:rFonts w:ascii="宋体" w:eastAsia="宋体" w:hAnsi="宋体"/>
          <w:sz w:val="28"/>
          <w:szCs w:val="28"/>
        </w:rPr>
        <w:t>2024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0</w:t>
      </w:r>
      <w:r w:rsidR="00BD1165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/>
          <w:sz w:val="28"/>
          <w:szCs w:val="28"/>
        </w:rPr>
        <w:t>月在全国团体标准信息平台上进行了立项公告。</w:t>
      </w:r>
    </w:p>
    <w:p w14:paraId="34DC8EE4" w14:textId="77777777" w:rsidR="0050547B" w:rsidRDefault="00B8211A">
      <w:pPr>
        <w:spacing w:line="360" w:lineRule="auto"/>
        <w:jc w:val="left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（二）编制</w:t>
      </w:r>
      <w:r>
        <w:rPr>
          <w:rFonts w:ascii="宋体" w:eastAsia="宋体" w:hAnsi="宋体"/>
          <w:b/>
          <w:bCs/>
          <w:sz w:val="28"/>
          <w:szCs w:val="28"/>
        </w:rPr>
        <w:t>背景及目的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0943E7C1" w14:textId="0F3095FE" w:rsidR="00BD1165" w:rsidRDefault="00BD1165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    </w:t>
      </w:r>
      <w:r w:rsidRPr="00BD1165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Pr="00BD1165">
        <w:rPr>
          <w:rFonts w:ascii="宋体" w:eastAsia="宋体" w:hAnsi="宋体"/>
          <w:sz w:val="28"/>
          <w:szCs w:val="28"/>
        </w:rPr>
        <w:t>随着GB/T</w:t>
      </w:r>
      <w:r w:rsidRPr="00BD1165">
        <w:rPr>
          <w:rFonts w:ascii="宋体" w:eastAsia="宋体" w:hAnsi="宋体" w:hint="eastAsia"/>
          <w:sz w:val="28"/>
          <w:szCs w:val="28"/>
        </w:rPr>
        <w:t> </w:t>
      </w:r>
      <w:r w:rsidRPr="00BD1165">
        <w:rPr>
          <w:rFonts w:ascii="宋体" w:eastAsia="宋体" w:hAnsi="宋体"/>
          <w:sz w:val="28"/>
          <w:szCs w:val="28"/>
        </w:rPr>
        <w:t>51350</w:t>
      </w:r>
      <w:r w:rsidRPr="00BD1165">
        <w:rPr>
          <w:rFonts w:ascii="宋体" w:eastAsia="宋体" w:hAnsi="宋体" w:hint="eastAsia"/>
          <w:sz w:val="28"/>
          <w:szCs w:val="28"/>
        </w:rPr>
        <w:t>—</w:t>
      </w:r>
      <w:r w:rsidRPr="00BD1165">
        <w:rPr>
          <w:rFonts w:ascii="宋体" w:eastAsia="宋体" w:hAnsi="宋体"/>
          <w:sz w:val="28"/>
          <w:szCs w:val="28"/>
        </w:rPr>
        <w:t>2019《近零能耗建筑技术标准》的发布实施，超低能耗、近零能耗建筑逐渐成为推动建筑节能减排、提升建筑室内环境水平、调整建筑能源消费结构、促进建筑节能产业转型升级的重要抓手，也明确了建筑节能向高质量发展的方向。我国装配式建筑已进入快速发展阶段，发展装配式建筑已成为实现住宅产业化和建筑工业化的重要途径。由于“工厂预制、现场拼装”的特性，导致装配式建筑存在节点连接稳固、板缝拼接密实、连接件分布合理等多个关键技术点。而超低能耗建筑的被动式设计策略，高效保温围护系统、极佳的气密性、无热桥设</w:t>
      </w:r>
      <w:r w:rsidRPr="00BD1165">
        <w:rPr>
          <w:rFonts w:ascii="宋体" w:eastAsia="宋体" w:hAnsi="宋体" w:hint="eastAsia"/>
          <w:sz w:val="28"/>
          <w:szCs w:val="28"/>
        </w:rPr>
        <w:t>计是实现超低能耗建筑的关键。预制轻钢混凝土复合外保温墙体，以轻钢</w:t>
      </w:r>
      <w:proofErr w:type="gramStart"/>
      <w:r w:rsidRPr="00BD1165">
        <w:rPr>
          <w:rFonts w:ascii="宋体" w:eastAsia="宋体" w:hAnsi="宋体" w:hint="eastAsia"/>
          <w:sz w:val="28"/>
          <w:szCs w:val="28"/>
        </w:rPr>
        <w:t>龙骨及覆面板</w:t>
      </w:r>
      <w:proofErr w:type="gramEnd"/>
      <w:r w:rsidRPr="00BD1165">
        <w:rPr>
          <w:rFonts w:ascii="宋体" w:eastAsia="宋体" w:hAnsi="宋体" w:hint="eastAsia"/>
          <w:sz w:val="28"/>
          <w:szCs w:val="28"/>
        </w:rPr>
        <w:t>作为墙体结构，通过</w:t>
      </w:r>
      <w:proofErr w:type="gramStart"/>
      <w:r w:rsidRPr="00BD1165">
        <w:rPr>
          <w:rFonts w:ascii="宋体" w:eastAsia="宋体" w:hAnsi="宋体" w:hint="eastAsia"/>
          <w:sz w:val="28"/>
          <w:szCs w:val="28"/>
        </w:rPr>
        <w:t>螺栓式断热桥</w:t>
      </w:r>
      <w:proofErr w:type="gramEnd"/>
      <w:r w:rsidRPr="00BD1165">
        <w:rPr>
          <w:rFonts w:ascii="宋体" w:eastAsia="宋体" w:hAnsi="宋体" w:hint="eastAsia"/>
          <w:sz w:val="28"/>
          <w:szCs w:val="28"/>
        </w:rPr>
        <w:t>保温锚栓将保温板锚固于墙体结构上，在轻钢龙骨的间隙浇筑轻质混凝土，形成可在工厂生产的预制保温结构一体化外墙。装配式混凝土建筑墙体相比于传统建筑模式有着施工速度快、环境污染小、建筑质量可有效控制等优点，其保温性能也更好。</w:t>
      </w:r>
    </w:p>
    <w:p w14:paraId="115758C6" w14:textId="626D542A" w:rsidR="00BD1165" w:rsidRPr="00BD1165" w:rsidRDefault="00BD1165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  <w:r w:rsidRPr="00BD1165">
        <w:rPr>
          <w:rFonts w:ascii="宋体" w:eastAsia="宋体" w:hAnsi="宋体" w:hint="eastAsia"/>
          <w:sz w:val="28"/>
          <w:szCs w:val="28"/>
        </w:rPr>
        <w:t>相较于传统建筑模式的施工，装配式混凝土建筑墙体保温工程需要更精湛的施工技术，确保墙体的保温质量和保温效果。但截止目前，尚未有针对装配式混凝土建筑墙体保温工程的施工规范。《装配式混凝土建筑墙体保温工程施工规范》团体标准的制定，将填补行业内该领域的标准空白，并借助标准化手段，规范装配式混凝土建筑墙体保</w:t>
      </w:r>
      <w:r w:rsidRPr="00BD1165">
        <w:rPr>
          <w:rFonts w:ascii="宋体" w:eastAsia="宋体" w:hAnsi="宋体" w:hint="eastAsia"/>
          <w:sz w:val="28"/>
          <w:szCs w:val="28"/>
        </w:rPr>
        <w:lastRenderedPageBreak/>
        <w:t>温工程的施工内容和流程，推动建筑行业施工流程的标准化、系统化。</w:t>
      </w:r>
    </w:p>
    <w:p w14:paraId="6B02FF04" w14:textId="77777777" w:rsidR="0050547B" w:rsidRDefault="00B8211A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（三）</w:t>
      </w:r>
      <w:r>
        <w:rPr>
          <w:rFonts w:ascii="宋体" w:eastAsia="宋体" w:hAnsi="宋体"/>
          <w:b/>
          <w:bCs/>
          <w:sz w:val="28"/>
          <w:szCs w:val="28"/>
        </w:rPr>
        <w:t>编制过程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5D2E21E3" w14:textId="224499E6" w:rsidR="0050547B" w:rsidRDefault="00B8211A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2024 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0</w:t>
      </w:r>
      <w:r w:rsidR="00BD1165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月，完成《</w:t>
      </w:r>
      <w:r w:rsidR="00BD1165">
        <w:rPr>
          <w:rFonts w:ascii="宋体" w:eastAsia="宋体" w:hAnsi="宋体" w:hint="eastAsia"/>
          <w:sz w:val="28"/>
          <w:szCs w:val="28"/>
        </w:rPr>
        <w:t>装配式混凝土建筑墙体保温工程施工规范</w:t>
      </w:r>
      <w:r>
        <w:rPr>
          <w:rFonts w:ascii="宋体" w:eastAsia="宋体" w:hAnsi="宋体" w:hint="eastAsia"/>
          <w:sz w:val="28"/>
          <w:szCs w:val="28"/>
        </w:rPr>
        <w:t>》的立项。标准立项计划下达后，根据相关文件的要求，明确小组成员工作任务并制定了详细的工作计划。</w:t>
      </w:r>
    </w:p>
    <w:p w14:paraId="6D1EC4CF" w14:textId="6550DA70" w:rsidR="0050547B" w:rsidRDefault="00B8211A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2024 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0</w:t>
      </w:r>
      <w:r w:rsidR="00BD1165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月至</w:t>
      </w:r>
      <w:r>
        <w:rPr>
          <w:rFonts w:ascii="宋体" w:eastAsia="宋体" w:hAnsi="宋体" w:hint="eastAsia"/>
          <w:sz w:val="28"/>
          <w:szCs w:val="28"/>
        </w:rPr>
        <w:t>2024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0</w:t>
      </w:r>
      <w:r w:rsidR="00BD1165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月，标准编制组对国内外的相关行业、标准、科研成果、专著等开展广泛、深入的调研，在此基础上完成《</w:t>
      </w:r>
      <w:r w:rsidR="00BD1165">
        <w:rPr>
          <w:rFonts w:ascii="宋体" w:eastAsia="宋体" w:hAnsi="宋体" w:hint="eastAsia"/>
          <w:sz w:val="28"/>
          <w:szCs w:val="28"/>
        </w:rPr>
        <w:t>装配式混凝土建筑墙体保温工程施工规范</w:t>
      </w:r>
      <w:r>
        <w:rPr>
          <w:rFonts w:ascii="宋体" w:eastAsia="宋体" w:hAnsi="宋体" w:hint="eastAsia"/>
          <w:sz w:val="28"/>
          <w:szCs w:val="28"/>
        </w:rPr>
        <w:t>》的草案。随后标准制定小组与相关专家经多次研究、讨论对草案进行数次修改，于</w:t>
      </w:r>
      <w:r>
        <w:rPr>
          <w:rFonts w:ascii="宋体" w:eastAsia="宋体" w:hAnsi="宋体" w:hint="eastAsia"/>
          <w:sz w:val="28"/>
          <w:szCs w:val="28"/>
        </w:rPr>
        <w:t>2024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0</w:t>
      </w:r>
      <w:r w:rsidR="00BD1165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底</w:t>
      </w:r>
      <w:r>
        <w:rPr>
          <w:rFonts w:ascii="宋体" w:eastAsia="宋体" w:hAnsi="宋体" w:hint="eastAsia"/>
          <w:sz w:val="28"/>
          <w:szCs w:val="28"/>
        </w:rPr>
        <w:t>提交《</w:t>
      </w:r>
      <w:bookmarkStart w:id="0" w:name="OLE_LINK7"/>
      <w:bookmarkStart w:id="1" w:name="OLE_LINK8"/>
      <w:r w:rsidR="00BD1165">
        <w:rPr>
          <w:rFonts w:ascii="宋体" w:eastAsia="宋体" w:hAnsi="宋体" w:hint="eastAsia"/>
          <w:sz w:val="28"/>
          <w:szCs w:val="28"/>
        </w:rPr>
        <w:t>装配式混凝土建筑墙体保温工程施工</w:t>
      </w:r>
      <w:bookmarkEnd w:id="0"/>
      <w:bookmarkEnd w:id="1"/>
      <w:r w:rsidR="00BD1165">
        <w:rPr>
          <w:rFonts w:ascii="宋体" w:eastAsia="宋体" w:hAnsi="宋体" w:hint="eastAsia"/>
          <w:sz w:val="28"/>
          <w:szCs w:val="28"/>
        </w:rPr>
        <w:t>规范</w:t>
      </w:r>
      <w:r>
        <w:rPr>
          <w:rFonts w:ascii="宋体" w:eastAsia="宋体" w:hAnsi="宋体" w:hint="eastAsia"/>
          <w:sz w:val="28"/>
          <w:szCs w:val="28"/>
        </w:rPr>
        <w:t>》标准征求意见稿及征求意见稿编制说明，拟定于</w:t>
      </w:r>
      <w:r>
        <w:rPr>
          <w:rFonts w:ascii="宋体" w:eastAsia="宋体" w:hAnsi="宋体" w:hint="eastAsia"/>
          <w:sz w:val="28"/>
          <w:szCs w:val="28"/>
        </w:rPr>
        <w:t>2024</w:t>
      </w:r>
      <w:r>
        <w:rPr>
          <w:rFonts w:ascii="宋体" w:eastAsia="宋体" w:hAnsi="宋体" w:hint="eastAsia"/>
          <w:sz w:val="28"/>
          <w:szCs w:val="28"/>
        </w:rPr>
        <w:t>年</w:t>
      </w:r>
      <w:r w:rsidR="00BD1165"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月在网上公示征求意见稿，广泛征求各方意见和建议。</w:t>
      </w:r>
    </w:p>
    <w:p w14:paraId="416536A2" w14:textId="77777777" w:rsidR="0050547B" w:rsidRDefault="00B8211A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制定小组将根据各方意见和建议对标准进行修改后形成送审稿。</w:t>
      </w:r>
    </w:p>
    <w:p w14:paraId="137922CD" w14:textId="77777777" w:rsidR="0050547B" w:rsidRDefault="0050547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6E231759" w14:textId="77777777" w:rsidR="0050547B" w:rsidRDefault="00B8211A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（四）主要起草单位及起草人所做的工作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2C4A876A" w14:textId="3E1FE54F" w:rsidR="0050547B" w:rsidRDefault="00B8211A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由</w:t>
      </w:r>
      <w:r w:rsidR="00BD1165" w:rsidRPr="00BD1165">
        <w:rPr>
          <w:rFonts w:ascii="宋体" w:eastAsia="宋体" w:hAnsi="宋体" w:hint="eastAsia"/>
          <w:sz w:val="28"/>
          <w:szCs w:val="28"/>
        </w:rPr>
        <w:t>克</w:t>
      </w:r>
      <w:proofErr w:type="gramStart"/>
      <w:r w:rsidR="00BD1165" w:rsidRPr="00BD1165">
        <w:rPr>
          <w:rFonts w:ascii="宋体" w:eastAsia="宋体" w:hAnsi="宋体" w:hint="eastAsia"/>
          <w:sz w:val="28"/>
          <w:szCs w:val="28"/>
        </w:rPr>
        <w:t>孜</w:t>
      </w:r>
      <w:proofErr w:type="gramEnd"/>
      <w:r w:rsidR="00BD1165" w:rsidRPr="00BD1165">
        <w:rPr>
          <w:rFonts w:ascii="宋体" w:eastAsia="宋体" w:hAnsi="宋体" w:hint="eastAsia"/>
          <w:sz w:val="28"/>
          <w:szCs w:val="28"/>
        </w:rPr>
        <w:t>勒苏柯尔克孜自治州第一建筑安装工程有限责任公司、</w:t>
      </w:r>
      <w:proofErr w:type="gramStart"/>
      <w:r w:rsidR="00BD1165" w:rsidRPr="00BD1165">
        <w:rPr>
          <w:rFonts w:ascii="宋体" w:eastAsia="宋体" w:hAnsi="宋体" w:hint="eastAsia"/>
          <w:sz w:val="28"/>
          <w:szCs w:val="28"/>
        </w:rPr>
        <w:t>皓泰工程</w:t>
      </w:r>
      <w:proofErr w:type="gramEnd"/>
      <w:r w:rsidR="00BD1165" w:rsidRPr="00BD1165">
        <w:rPr>
          <w:rFonts w:ascii="宋体" w:eastAsia="宋体" w:hAnsi="宋体" w:hint="eastAsia"/>
          <w:sz w:val="28"/>
          <w:szCs w:val="28"/>
        </w:rPr>
        <w:t>建设集团有限公司</w:t>
      </w:r>
      <w:r>
        <w:rPr>
          <w:rFonts w:ascii="宋体" w:eastAsia="宋体" w:hAnsi="宋体" w:hint="eastAsia"/>
          <w:sz w:val="28"/>
          <w:szCs w:val="28"/>
        </w:rPr>
        <w:t>等相关单位的专家成立的标准制定小组，在广泛调研、查阅和研究国际、国内的现行标准，结合行业现行技术痛点和空白</w:t>
      </w:r>
      <w:r>
        <w:rPr>
          <w:rFonts w:ascii="宋体" w:eastAsia="宋体" w:hAnsi="宋体" w:hint="eastAsia"/>
          <w:sz w:val="28"/>
          <w:szCs w:val="28"/>
        </w:rPr>
        <w:t>，组织、协调和策划了标准征求意见稿的草拟和修改过程。</w:t>
      </w:r>
    </w:p>
    <w:p w14:paraId="0AC767FA" w14:textId="77777777" w:rsidR="0050547B" w:rsidRDefault="0050547B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</w:p>
    <w:p w14:paraId="2EFBC026" w14:textId="77777777" w:rsidR="0050547B" w:rsidRDefault="00B8211A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>标准编制原则和主要内容</w:t>
      </w:r>
    </w:p>
    <w:p w14:paraId="335CEC89" w14:textId="77777777" w:rsidR="0050547B" w:rsidRDefault="00B8211A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</w:t>
      </w:r>
      <w:r>
        <w:rPr>
          <w:rFonts w:ascii="宋体" w:eastAsia="宋体" w:hAnsi="宋体"/>
          <w:b/>
          <w:bCs/>
          <w:sz w:val="28"/>
          <w:szCs w:val="28"/>
        </w:rPr>
        <w:t>标准制定原则</w:t>
      </w:r>
    </w:p>
    <w:p w14:paraId="0FC4D720" w14:textId="77777777" w:rsidR="0050547B" w:rsidRDefault="00B8211A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本标准依据相关行业标准，标准编制遵循“前瞻性、实用性、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统一性、规范性”的原则，注重标准的可操作性，严格按照</w:t>
      </w:r>
      <w:r>
        <w:rPr>
          <w:rFonts w:ascii="宋体" w:eastAsia="宋体" w:hAnsi="宋体" w:hint="eastAsia"/>
          <w:sz w:val="28"/>
          <w:szCs w:val="28"/>
        </w:rPr>
        <w:t xml:space="preserve"> GB/T 1.1-2020</w:t>
      </w:r>
      <w:r>
        <w:rPr>
          <w:rFonts w:ascii="宋体" w:eastAsia="宋体" w:hAnsi="宋体" w:hint="eastAsia"/>
          <w:sz w:val="28"/>
          <w:szCs w:val="28"/>
        </w:rPr>
        <w:t>《标准化工作导则第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部分：标准化文件的结构和起草规则》</w:t>
      </w:r>
      <w:r>
        <w:rPr>
          <w:rFonts w:ascii="宋体" w:eastAsia="宋体" w:hAnsi="宋体" w:hint="eastAsia"/>
          <w:sz w:val="28"/>
          <w:szCs w:val="28"/>
        </w:rPr>
        <w:lastRenderedPageBreak/>
        <w:t>的要求进行编写。</w:t>
      </w:r>
    </w:p>
    <w:p w14:paraId="79F088E2" w14:textId="77777777" w:rsidR="0050547B" w:rsidRDefault="0050547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3CC4EFB7" w14:textId="77777777" w:rsidR="0050547B" w:rsidRDefault="00B8211A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标准主要技术内容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54246026" w14:textId="77777777" w:rsidR="0050547B" w:rsidRDefault="00B8211A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、规范性引用文件：列出了本文件引用的其他规范性文件。</w:t>
      </w:r>
    </w:p>
    <w:p w14:paraId="52C7518A" w14:textId="4EA9A2CC" w:rsidR="0050547B" w:rsidRDefault="00B8211A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="00143C8F">
        <w:rPr>
          <w:rFonts w:ascii="宋体" w:eastAsia="宋体" w:hAnsi="宋体" w:hint="eastAsia"/>
          <w:sz w:val="28"/>
          <w:szCs w:val="28"/>
        </w:rPr>
        <w:t>施工准备</w:t>
      </w:r>
      <w:r>
        <w:rPr>
          <w:rFonts w:ascii="宋体" w:eastAsia="宋体" w:hAnsi="宋体" w:hint="eastAsia"/>
          <w:sz w:val="28"/>
          <w:szCs w:val="28"/>
        </w:rPr>
        <w:t>：从</w:t>
      </w:r>
      <w:r w:rsidR="00143C8F">
        <w:rPr>
          <w:rFonts w:ascii="宋体" w:eastAsia="宋体" w:hAnsi="宋体" w:hint="eastAsia"/>
          <w:sz w:val="28"/>
          <w:szCs w:val="28"/>
        </w:rPr>
        <w:t>施工单位资质、材料的验收、管理对</w:t>
      </w:r>
      <w:r w:rsidR="00143C8F">
        <w:rPr>
          <w:rFonts w:ascii="宋体" w:eastAsia="宋体" w:hAnsi="宋体" w:hint="eastAsia"/>
          <w:sz w:val="28"/>
          <w:szCs w:val="28"/>
        </w:rPr>
        <w:t>装配式混凝土建筑墙体保温工程施工</w:t>
      </w:r>
      <w:r w:rsidR="00143C8F">
        <w:rPr>
          <w:rFonts w:ascii="宋体" w:eastAsia="宋体" w:hAnsi="宋体" w:hint="eastAsia"/>
          <w:sz w:val="28"/>
          <w:szCs w:val="28"/>
        </w:rPr>
        <w:t>的准备工作</w:t>
      </w:r>
      <w:r>
        <w:rPr>
          <w:rFonts w:ascii="宋体" w:eastAsia="宋体" w:hAnsi="宋体" w:hint="eastAsia"/>
          <w:sz w:val="28"/>
          <w:szCs w:val="28"/>
        </w:rPr>
        <w:t>进行规范。</w:t>
      </w:r>
    </w:p>
    <w:p w14:paraId="068CED31" w14:textId="2AABEF98" w:rsidR="0050547B" w:rsidRDefault="00B8211A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="00143C8F">
        <w:rPr>
          <w:rFonts w:ascii="宋体" w:eastAsia="宋体" w:hAnsi="宋体" w:hint="eastAsia"/>
          <w:sz w:val="28"/>
          <w:szCs w:val="28"/>
        </w:rPr>
        <w:t>施工工艺</w:t>
      </w:r>
      <w:r>
        <w:rPr>
          <w:rFonts w:ascii="宋体" w:eastAsia="宋体" w:hAnsi="宋体" w:hint="eastAsia"/>
          <w:sz w:val="28"/>
          <w:szCs w:val="28"/>
        </w:rPr>
        <w:t>：</w:t>
      </w:r>
      <w:r w:rsidR="00143C8F">
        <w:rPr>
          <w:rFonts w:ascii="宋体" w:eastAsia="宋体" w:hAnsi="宋体" w:hint="eastAsia"/>
          <w:sz w:val="28"/>
          <w:szCs w:val="28"/>
        </w:rPr>
        <w:t>从预制墙体安装、组件安装、混凝土浇筑、保温装饰板安装、施工</w:t>
      </w:r>
      <w:proofErr w:type="gramStart"/>
      <w:r w:rsidR="00143C8F">
        <w:rPr>
          <w:rFonts w:ascii="宋体" w:eastAsia="宋体" w:hAnsi="宋体" w:hint="eastAsia"/>
          <w:sz w:val="28"/>
          <w:szCs w:val="28"/>
        </w:rPr>
        <w:t>安全几</w:t>
      </w:r>
      <w:proofErr w:type="gramEnd"/>
      <w:r w:rsidR="00143C8F">
        <w:rPr>
          <w:rFonts w:ascii="宋体" w:eastAsia="宋体" w:hAnsi="宋体" w:hint="eastAsia"/>
          <w:sz w:val="28"/>
          <w:szCs w:val="28"/>
        </w:rPr>
        <w:t>方面对</w:t>
      </w:r>
      <w:r w:rsidR="00143C8F">
        <w:rPr>
          <w:rFonts w:ascii="宋体" w:eastAsia="宋体" w:hAnsi="宋体" w:hint="eastAsia"/>
          <w:sz w:val="28"/>
          <w:szCs w:val="28"/>
        </w:rPr>
        <w:t>装配式混凝土建筑墙体保温工程施工</w:t>
      </w:r>
      <w:r w:rsidR="00143C8F">
        <w:rPr>
          <w:rFonts w:ascii="宋体" w:eastAsia="宋体" w:hAnsi="宋体" w:hint="eastAsia"/>
          <w:sz w:val="28"/>
          <w:szCs w:val="28"/>
        </w:rPr>
        <w:t>工艺</w:t>
      </w:r>
      <w:r>
        <w:rPr>
          <w:rFonts w:ascii="宋体" w:eastAsia="宋体" w:hAnsi="宋体" w:hint="eastAsia"/>
          <w:sz w:val="28"/>
          <w:szCs w:val="28"/>
        </w:rPr>
        <w:t>进行规范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D5207D0" w14:textId="5AD1E116" w:rsidR="0050547B" w:rsidRDefault="00B8211A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r w:rsidR="00143C8F">
        <w:rPr>
          <w:rFonts w:ascii="宋体" w:eastAsia="宋体" w:hAnsi="宋体" w:hint="eastAsia"/>
          <w:sz w:val="28"/>
          <w:szCs w:val="28"/>
        </w:rPr>
        <w:t>验收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从</w:t>
      </w:r>
      <w:r w:rsidR="00143C8F">
        <w:rPr>
          <w:rFonts w:ascii="宋体" w:eastAsia="宋体" w:hAnsi="宋体" w:hint="eastAsia"/>
          <w:sz w:val="28"/>
          <w:szCs w:val="28"/>
        </w:rPr>
        <w:t>一般规定、合格判定、档案建立几方面对</w:t>
      </w:r>
      <w:r w:rsidR="00143C8F">
        <w:rPr>
          <w:rFonts w:ascii="宋体" w:eastAsia="宋体" w:hAnsi="宋体" w:hint="eastAsia"/>
          <w:sz w:val="28"/>
          <w:szCs w:val="28"/>
        </w:rPr>
        <w:t>装配式混凝土建筑墙体保温工程施工</w:t>
      </w:r>
      <w:r w:rsidR="00143C8F">
        <w:rPr>
          <w:rFonts w:ascii="宋体" w:eastAsia="宋体" w:hAnsi="宋体" w:hint="eastAsia"/>
          <w:sz w:val="28"/>
          <w:szCs w:val="28"/>
        </w:rPr>
        <w:t>的验收进行</w:t>
      </w:r>
      <w:r>
        <w:rPr>
          <w:rFonts w:ascii="宋体" w:eastAsia="宋体" w:hAnsi="宋体" w:hint="eastAsia"/>
          <w:sz w:val="28"/>
          <w:szCs w:val="28"/>
        </w:rPr>
        <w:t>规范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7E4FCF0" w14:textId="77777777" w:rsidR="0050547B" w:rsidRDefault="0050547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428016BF" w14:textId="77777777" w:rsidR="0050547B" w:rsidRDefault="00B8211A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（三）主要试验（或验证）情况分析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54FF0CBF" w14:textId="77777777" w:rsidR="0050547B" w:rsidRDefault="00B8211A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>结合国内外行业情况及公司的实践进行验证。</w:t>
      </w:r>
    </w:p>
    <w:p w14:paraId="04279386" w14:textId="77777777" w:rsidR="0050547B" w:rsidRDefault="00B8211A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（四）标准中涉及专利的情况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306A0664" w14:textId="77777777" w:rsidR="0050547B" w:rsidRDefault="00B8211A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无。</w:t>
      </w:r>
    </w:p>
    <w:p w14:paraId="7C3B48BC" w14:textId="77777777" w:rsidR="0050547B" w:rsidRDefault="00B8211A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（五）预期达到的效益（经济、效益、生态等），</w:t>
      </w:r>
      <w:r>
        <w:rPr>
          <w:rFonts w:ascii="宋体" w:eastAsia="宋体" w:hAnsi="宋体"/>
          <w:b/>
          <w:bCs/>
          <w:sz w:val="28"/>
          <w:szCs w:val="28"/>
        </w:rPr>
        <w:t>对产业发展的作用</w:t>
      </w:r>
      <w:r>
        <w:rPr>
          <w:rFonts w:ascii="宋体" w:eastAsia="宋体" w:hAnsi="宋体" w:hint="eastAsia"/>
          <w:b/>
          <w:bCs/>
          <w:sz w:val="28"/>
          <w:szCs w:val="28"/>
        </w:rPr>
        <w:t>的情况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1092B250" w14:textId="3CAD0DB9" w:rsidR="0050547B" w:rsidRDefault="00143C8F" w:rsidP="00143C8F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143C8F">
        <w:rPr>
          <w:rFonts w:ascii="宋体" w:eastAsia="宋体" w:hAnsi="宋体" w:hint="eastAsia"/>
          <w:sz w:val="28"/>
          <w:szCs w:val="28"/>
        </w:rPr>
        <w:t>装配式混凝土建筑墙体保温工程与传统建筑模式相比，符合国家大力发展装配式建筑</w:t>
      </w:r>
      <w:proofErr w:type="gramStart"/>
      <w:r w:rsidRPr="00143C8F">
        <w:rPr>
          <w:rFonts w:ascii="宋体" w:eastAsia="宋体" w:hAnsi="宋体" w:hint="eastAsia"/>
          <w:sz w:val="28"/>
          <w:szCs w:val="28"/>
        </w:rPr>
        <w:t>“</w:t>
      </w:r>
      <w:proofErr w:type="gramEnd"/>
      <w:r w:rsidRPr="00143C8F">
        <w:rPr>
          <w:rFonts w:ascii="宋体" w:eastAsia="宋体" w:hAnsi="宋体" w:hint="eastAsia"/>
          <w:sz w:val="28"/>
          <w:szCs w:val="28"/>
        </w:rPr>
        <w:t>提高工程质量、提高劳动效率、降低建安消耗、降低建安成本、节能、节地、节水、节材、环境保护，由“拖泥带水”向“干净利索”转变的建筑节能高质量发展路径。《装配式混凝土建筑墙体保温工程施工规范》的制定将为装配式混凝土建筑墙体保温工程施工提供技术参考，应用前景广阔。</w:t>
      </w:r>
    </w:p>
    <w:p w14:paraId="3B89BB9C" w14:textId="77777777" w:rsidR="0050547B" w:rsidRDefault="0050547B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14:paraId="4052CFA4" w14:textId="77777777" w:rsidR="0050547B" w:rsidRDefault="00B8211A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（六）在标准体系中的位置，与现行相关法律、法规、规章及相关标准，特别是强制性标准的协调性</w:t>
      </w:r>
    </w:p>
    <w:p w14:paraId="13AE8F70" w14:textId="77777777" w:rsidR="0050547B" w:rsidRDefault="00B8211A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符合现行相关法律、法规、规章及相关标准，与强制性标准协调一致。</w:t>
      </w:r>
    </w:p>
    <w:p w14:paraId="16CCCFBC" w14:textId="77777777" w:rsidR="0050547B" w:rsidRDefault="0050547B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</w:p>
    <w:p w14:paraId="6FCC9087" w14:textId="77777777" w:rsidR="0050547B" w:rsidRDefault="00B8211A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（七）重大分歧意见的处理经过和依据</w:t>
      </w:r>
    </w:p>
    <w:p w14:paraId="0E5F383C" w14:textId="77777777" w:rsidR="0050547B" w:rsidRDefault="00B8211A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5069E657" w14:textId="77777777" w:rsidR="0050547B" w:rsidRDefault="0050547B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</w:p>
    <w:p w14:paraId="22602397" w14:textId="77777777" w:rsidR="0050547B" w:rsidRDefault="00B8211A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（八）标准性质的建议说明</w:t>
      </w:r>
    </w:p>
    <w:p w14:paraId="42254865" w14:textId="77777777" w:rsidR="0050547B" w:rsidRDefault="00B8211A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本标准为团体标准，供社会各界自愿使用。</w:t>
      </w:r>
    </w:p>
    <w:p w14:paraId="68F3BF5E" w14:textId="77777777" w:rsidR="0050547B" w:rsidRDefault="0050547B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</w:p>
    <w:p w14:paraId="6CE13BAF" w14:textId="77777777" w:rsidR="0050547B" w:rsidRDefault="00B8211A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（九）</w:t>
      </w:r>
      <w:r>
        <w:rPr>
          <w:rFonts w:ascii="宋体" w:eastAsia="宋体" w:hAnsi="宋体" w:hint="eastAsia"/>
          <w:b/>
          <w:bCs/>
          <w:sz w:val="28"/>
          <w:szCs w:val="28"/>
        </w:rPr>
        <w:t>贯彻标准的要求和措施建议</w:t>
      </w:r>
    </w:p>
    <w:p w14:paraId="3B7F3CA2" w14:textId="77777777" w:rsidR="0050547B" w:rsidRDefault="00B8211A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、组织线下宣传活动、线</w:t>
      </w:r>
      <w:proofErr w:type="gramStart"/>
      <w:r>
        <w:rPr>
          <w:rFonts w:ascii="宋体" w:eastAsia="宋体" w:hAnsi="宋体" w:hint="eastAsia"/>
          <w:sz w:val="28"/>
          <w:szCs w:val="28"/>
        </w:rPr>
        <w:t>上渠道</w:t>
      </w:r>
      <w:proofErr w:type="gramEnd"/>
      <w:r>
        <w:rPr>
          <w:rFonts w:ascii="宋体" w:eastAsia="宋体" w:hAnsi="宋体" w:hint="eastAsia"/>
          <w:sz w:val="28"/>
          <w:szCs w:val="28"/>
        </w:rPr>
        <w:t>推广，进行标准的内容宣传。</w:t>
      </w:r>
    </w:p>
    <w:p w14:paraId="52062E1F" w14:textId="77777777" w:rsidR="0050547B" w:rsidRDefault="00B8211A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、组织相关专家进行培训和讲座，介绍本标准并进行答疑。</w:t>
      </w:r>
    </w:p>
    <w:p w14:paraId="7FC241E7" w14:textId="77777777" w:rsidR="0050547B" w:rsidRDefault="00B8211A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、与相关协会、机构、企业等合作伙伴共通普及和推广。</w:t>
      </w:r>
    </w:p>
    <w:p w14:paraId="703EC3D1" w14:textId="77777777" w:rsidR="0050547B" w:rsidRDefault="0050547B">
      <w:pPr>
        <w:spacing w:line="360" w:lineRule="auto"/>
        <w:ind w:firstLine="562"/>
        <w:jc w:val="left"/>
        <w:rPr>
          <w:rFonts w:ascii="宋体" w:eastAsia="宋体" w:hAnsi="宋体"/>
          <w:b/>
          <w:bCs/>
          <w:sz w:val="28"/>
          <w:szCs w:val="28"/>
        </w:rPr>
      </w:pPr>
    </w:p>
    <w:p w14:paraId="1879A7D0" w14:textId="77777777" w:rsidR="0050547B" w:rsidRDefault="00B8211A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（十）废止现行相关标准的建议</w:t>
      </w:r>
    </w:p>
    <w:p w14:paraId="49D95B53" w14:textId="77777777" w:rsidR="0050547B" w:rsidRDefault="00B8211A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3C2C94C3" w14:textId="77777777" w:rsidR="0050547B" w:rsidRDefault="0050547B">
      <w:pPr>
        <w:spacing w:line="360" w:lineRule="auto"/>
        <w:ind w:firstLine="562"/>
        <w:jc w:val="left"/>
        <w:rPr>
          <w:rFonts w:ascii="宋体" w:eastAsia="宋体" w:hAnsi="宋体"/>
          <w:b/>
          <w:bCs/>
          <w:sz w:val="28"/>
          <w:szCs w:val="28"/>
        </w:rPr>
      </w:pPr>
    </w:p>
    <w:p w14:paraId="0FA622AC" w14:textId="77777777" w:rsidR="0050547B" w:rsidRDefault="00B8211A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（十一）其他应予说明的事项</w:t>
      </w:r>
    </w:p>
    <w:p w14:paraId="4C3E94A5" w14:textId="77777777" w:rsidR="0050547B" w:rsidRDefault="00B8211A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1B50F440" w14:textId="77777777" w:rsidR="0050547B" w:rsidRDefault="0050547B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</w:p>
    <w:p w14:paraId="220A30ED" w14:textId="77777777" w:rsidR="0050547B" w:rsidRDefault="00B8211A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</w:t>
      </w:r>
    </w:p>
    <w:p w14:paraId="57209444" w14:textId="289EAB0F" w:rsidR="0050547B" w:rsidRDefault="00B8211A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《</w:t>
      </w:r>
      <w:r w:rsidR="00BD1165">
        <w:rPr>
          <w:rFonts w:ascii="宋体" w:eastAsia="宋体" w:hAnsi="宋体" w:hint="eastAsia"/>
          <w:sz w:val="28"/>
          <w:szCs w:val="28"/>
        </w:rPr>
        <w:t>装配式混凝土建筑墙体保温工程施工规范</w:t>
      </w:r>
      <w:r>
        <w:rPr>
          <w:rFonts w:ascii="宋体" w:eastAsia="宋体" w:hAnsi="宋体" w:hint="eastAsia"/>
          <w:sz w:val="28"/>
          <w:szCs w:val="28"/>
        </w:rPr>
        <w:t>》起草组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432DAEE" w14:textId="21664DB2" w:rsidR="0050547B" w:rsidRDefault="00B8211A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2024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0</w:t>
      </w:r>
      <w:r w:rsidR="007E1D50">
        <w:rPr>
          <w:rFonts w:ascii="宋体" w:eastAsia="宋体" w:hAnsi="宋体" w:hint="eastAsia"/>
          <w:sz w:val="28"/>
          <w:szCs w:val="28"/>
        </w:rPr>
        <w:t>9</w:t>
      </w:r>
      <w:bookmarkStart w:id="2" w:name="_GoBack"/>
      <w:bookmarkEnd w:id="2"/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日</w:t>
      </w:r>
    </w:p>
    <w:sectPr w:rsidR="0050547B">
      <w:type w:val="continuous"/>
      <w:pgSz w:w="11906" w:h="16841"/>
      <w:pgMar w:top="1440" w:right="1800" w:bottom="1440" w:left="180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5140A" w14:textId="77777777" w:rsidR="00B8211A" w:rsidRDefault="00B8211A" w:rsidP="00BD1165">
      <w:r>
        <w:separator/>
      </w:r>
    </w:p>
  </w:endnote>
  <w:endnote w:type="continuationSeparator" w:id="0">
    <w:p w14:paraId="4176C592" w14:textId="77777777" w:rsidR="00B8211A" w:rsidRDefault="00B8211A" w:rsidP="00BD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迷你简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AD665" w14:textId="77777777" w:rsidR="00B8211A" w:rsidRDefault="00B8211A" w:rsidP="00BD1165">
      <w:r>
        <w:separator/>
      </w:r>
    </w:p>
  </w:footnote>
  <w:footnote w:type="continuationSeparator" w:id="0">
    <w:p w14:paraId="6DDE0B7C" w14:textId="77777777" w:rsidR="00B8211A" w:rsidRDefault="00B8211A" w:rsidP="00BD1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FkYmM4NmFlNTE3OTBhMTQwMGMzYWFiZjdiOGEifQ=="/>
  </w:docVars>
  <w:rsids>
    <w:rsidRoot w:val="00080FCE"/>
    <w:rsid w:val="00004E32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0F7338"/>
    <w:rsid w:val="00100F6C"/>
    <w:rsid w:val="00100FA1"/>
    <w:rsid w:val="0010711D"/>
    <w:rsid w:val="001171FC"/>
    <w:rsid w:val="00122E25"/>
    <w:rsid w:val="00124E74"/>
    <w:rsid w:val="00143C8F"/>
    <w:rsid w:val="001552ED"/>
    <w:rsid w:val="00172D1B"/>
    <w:rsid w:val="00184316"/>
    <w:rsid w:val="001A1C3A"/>
    <w:rsid w:val="001A3971"/>
    <w:rsid w:val="001A5B35"/>
    <w:rsid w:val="001A7B8A"/>
    <w:rsid w:val="001C17B8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0547B"/>
    <w:rsid w:val="00514855"/>
    <w:rsid w:val="0052542A"/>
    <w:rsid w:val="00543CA9"/>
    <w:rsid w:val="00555D75"/>
    <w:rsid w:val="00560FA5"/>
    <w:rsid w:val="00566FEC"/>
    <w:rsid w:val="00587745"/>
    <w:rsid w:val="005C7B43"/>
    <w:rsid w:val="005E5DA6"/>
    <w:rsid w:val="00612447"/>
    <w:rsid w:val="006379F1"/>
    <w:rsid w:val="00647F5C"/>
    <w:rsid w:val="006770FA"/>
    <w:rsid w:val="006771DA"/>
    <w:rsid w:val="0068107B"/>
    <w:rsid w:val="00683BC8"/>
    <w:rsid w:val="00685E69"/>
    <w:rsid w:val="006903E9"/>
    <w:rsid w:val="00693278"/>
    <w:rsid w:val="00696DC6"/>
    <w:rsid w:val="006A2989"/>
    <w:rsid w:val="006A7619"/>
    <w:rsid w:val="00705A1E"/>
    <w:rsid w:val="007236F7"/>
    <w:rsid w:val="00780878"/>
    <w:rsid w:val="00793EA3"/>
    <w:rsid w:val="007A285E"/>
    <w:rsid w:val="007B647A"/>
    <w:rsid w:val="007D143A"/>
    <w:rsid w:val="007D4ACF"/>
    <w:rsid w:val="007E1D50"/>
    <w:rsid w:val="007E71D6"/>
    <w:rsid w:val="007E765D"/>
    <w:rsid w:val="007F46FC"/>
    <w:rsid w:val="007F784F"/>
    <w:rsid w:val="00802198"/>
    <w:rsid w:val="00820BE7"/>
    <w:rsid w:val="00831C13"/>
    <w:rsid w:val="008374F8"/>
    <w:rsid w:val="00837D93"/>
    <w:rsid w:val="00855EF3"/>
    <w:rsid w:val="008639DD"/>
    <w:rsid w:val="00873DB6"/>
    <w:rsid w:val="00895E54"/>
    <w:rsid w:val="008C674C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11A"/>
    <w:rsid w:val="00B82572"/>
    <w:rsid w:val="00B83264"/>
    <w:rsid w:val="00BB60E1"/>
    <w:rsid w:val="00BD1165"/>
    <w:rsid w:val="00BE3B0F"/>
    <w:rsid w:val="00BF39EE"/>
    <w:rsid w:val="00BF54BF"/>
    <w:rsid w:val="00C116C2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7235B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39B3B77"/>
    <w:rsid w:val="077633E2"/>
    <w:rsid w:val="0D9633F1"/>
    <w:rsid w:val="0F913D0D"/>
    <w:rsid w:val="1BF34DB3"/>
    <w:rsid w:val="1D9236E6"/>
    <w:rsid w:val="1E8E65A3"/>
    <w:rsid w:val="208337BA"/>
    <w:rsid w:val="20A57BD4"/>
    <w:rsid w:val="233E073A"/>
    <w:rsid w:val="24101808"/>
    <w:rsid w:val="29081BE4"/>
    <w:rsid w:val="290C6DA5"/>
    <w:rsid w:val="29177872"/>
    <w:rsid w:val="292F6A67"/>
    <w:rsid w:val="35E6686D"/>
    <w:rsid w:val="39096AFA"/>
    <w:rsid w:val="3BE850F7"/>
    <w:rsid w:val="459A64D3"/>
    <w:rsid w:val="46EA14CF"/>
    <w:rsid w:val="49BB2DCC"/>
    <w:rsid w:val="4C070C02"/>
    <w:rsid w:val="4C324162"/>
    <w:rsid w:val="5200731B"/>
    <w:rsid w:val="525E7A5F"/>
    <w:rsid w:val="52833022"/>
    <w:rsid w:val="53334A48"/>
    <w:rsid w:val="53AF7E46"/>
    <w:rsid w:val="5AE40D1D"/>
    <w:rsid w:val="5CA72002"/>
    <w:rsid w:val="5F994A9B"/>
    <w:rsid w:val="68AE1786"/>
    <w:rsid w:val="68EA193E"/>
    <w:rsid w:val="6A6D6639"/>
    <w:rsid w:val="733221CE"/>
    <w:rsid w:val="7FF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1189-D5A4-4847-A248-4B039810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327</Words>
  <Characters>1870</Characters>
  <Application>Microsoft Office Word</Application>
  <DocSecurity>0</DocSecurity>
  <Lines>15</Lines>
  <Paragraphs>4</Paragraphs>
  <ScaleCrop>false</ScaleCrop>
  <Company>Windsoft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福云</dc:creator>
  <cp:lastModifiedBy>2023</cp:lastModifiedBy>
  <cp:revision>44</cp:revision>
  <cp:lastPrinted>2022-05-11T05:51:00Z</cp:lastPrinted>
  <dcterms:created xsi:type="dcterms:W3CDTF">2022-04-21T01:39:00Z</dcterms:created>
  <dcterms:modified xsi:type="dcterms:W3CDTF">2024-09-25T06:39:00Z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363D128E8E8C4C2EBD8506CCEEF208AF_12</vt:lpwstr>
  </property>
</Properties>
</file>