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57506">
      <w:pPr>
        <w:adjustRightInd w:val="0"/>
        <w:snapToGrid w:val="0"/>
        <w:spacing w:line="500" w:lineRule="exact"/>
        <w:jc w:val="center"/>
        <w:rPr>
          <w:rFonts w:ascii="Times New Roman" w:hAnsi="Times New Roman" w:eastAsia="仿宋_GB2312" w:cs="Times New Roman"/>
          <w:b/>
          <w:bCs/>
          <w:kern w:val="0"/>
          <w:sz w:val="32"/>
          <w:szCs w:val="32"/>
        </w:rPr>
      </w:pPr>
      <w:bookmarkStart w:id="0" w:name="_Toc481651147"/>
      <w:r>
        <w:rPr>
          <w:rFonts w:ascii="Times New Roman" w:hAnsi="Times New Roman" w:eastAsia="仿宋_GB2312" w:cs="Times New Roman"/>
          <w:b/>
          <w:bCs/>
          <w:kern w:val="0"/>
          <w:sz w:val="32"/>
          <w:szCs w:val="32"/>
        </w:rPr>
        <w:t>《</w:t>
      </w:r>
      <w:r>
        <w:rPr>
          <w:rFonts w:hint="eastAsia" w:ascii="Times New Roman" w:hAnsi="Times New Roman" w:eastAsia="仿宋_GB2312" w:cs="Times New Roman"/>
          <w:b/>
          <w:bCs/>
          <w:kern w:val="0"/>
          <w:sz w:val="32"/>
          <w:szCs w:val="32"/>
        </w:rPr>
        <w:t xml:space="preserve">中国钢铁产品放心品牌评价规范 </w:t>
      </w:r>
      <w:r>
        <w:rPr>
          <w:rFonts w:hint="eastAsia" w:ascii="Times New Roman" w:hAnsi="Times New Roman" w:eastAsia="仿宋_GB2312" w:cs="Times New Roman"/>
          <w:b/>
          <w:bCs/>
          <w:kern w:val="0"/>
          <w:sz w:val="32"/>
          <w:szCs w:val="32"/>
          <w:lang w:eastAsia="zh-CN"/>
        </w:rPr>
        <w:t>预应力钢丝及钢绞线用热轧盘条</w:t>
      </w:r>
      <w:r>
        <w:rPr>
          <w:rFonts w:ascii="Times New Roman" w:hAnsi="Times New Roman" w:eastAsia="仿宋_GB2312" w:cs="Times New Roman"/>
          <w:b/>
          <w:bCs/>
          <w:kern w:val="0"/>
          <w:sz w:val="32"/>
          <w:szCs w:val="32"/>
        </w:rPr>
        <w:t>》团体标准编制说明</w:t>
      </w:r>
    </w:p>
    <w:p w14:paraId="67BE9914">
      <w:pPr>
        <w:jc w:val="center"/>
        <w:rPr>
          <w:rFonts w:ascii="Times New Roman" w:hAnsi="Times New Roman" w:eastAsia="黑体" w:cs="Times New Roman"/>
          <w:b/>
          <w:bCs/>
          <w:sz w:val="32"/>
          <w:szCs w:val="32"/>
        </w:rPr>
      </w:pPr>
    </w:p>
    <w:bookmarkEnd w:id="0"/>
    <w:p w14:paraId="666AC169">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一、任务来源</w:t>
      </w:r>
    </w:p>
    <w:p w14:paraId="3FD127CD">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贯彻落实中共中央、国务院印发的《国家标准化发展纲要》中大力发展团体标准的有关要求，制定满足市场和创新需要的团体标准，落实国家关于钢铁行业高质量发展的政策导向，满足钢铁行业对</w:t>
      </w:r>
      <w:r>
        <w:rPr>
          <w:rFonts w:hint="eastAsia" w:ascii="Times New Roman" w:hAnsi="Times New Roman" w:eastAsia="仿宋_GB2312" w:cs="Times New Roman"/>
          <w:sz w:val="28"/>
          <w:szCs w:val="28"/>
          <w:lang w:eastAsia="zh-CN"/>
        </w:rPr>
        <w:t>预应力钢丝及钢绞线用热轧盘条</w:t>
      </w:r>
      <w:r>
        <w:rPr>
          <w:rFonts w:hint="eastAsia" w:ascii="Times New Roman" w:hAnsi="Times New Roman" w:eastAsia="仿宋_GB2312" w:cs="Times New Roman"/>
          <w:sz w:val="28"/>
          <w:szCs w:val="28"/>
        </w:rPr>
        <w:t>放心品牌</w:t>
      </w:r>
      <w:r>
        <w:rPr>
          <w:rFonts w:ascii="Times New Roman" w:hAnsi="Times New Roman" w:eastAsia="仿宋_GB2312" w:cs="Times New Roman"/>
          <w:sz w:val="28"/>
          <w:szCs w:val="28"/>
        </w:rPr>
        <w:t>评价标准</w:t>
      </w:r>
      <w:r>
        <w:rPr>
          <w:rFonts w:hint="eastAsia" w:ascii="Times New Roman" w:hAnsi="Times New Roman" w:eastAsia="仿宋_GB2312" w:cs="Times New Roman"/>
          <w:sz w:val="28"/>
          <w:szCs w:val="28"/>
        </w:rPr>
        <w:t xml:space="preserve">的实际需求，提出《中国钢铁产品放心品牌评价规范 </w:t>
      </w:r>
      <w:r>
        <w:rPr>
          <w:rFonts w:hint="eastAsia" w:ascii="Times New Roman" w:hAnsi="Times New Roman" w:eastAsia="仿宋_GB2312" w:cs="Times New Roman"/>
          <w:sz w:val="28"/>
          <w:szCs w:val="28"/>
          <w:lang w:eastAsia="zh-CN"/>
        </w:rPr>
        <w:t>预应力钢丝及钢绞线用热轧盘条</w:t>
      </w:r>
      <w:r>
        <w:rPr>
          <w:rFonts w:hint="eastAsia" w:ascii="Times New Roman" w:hAnsi="Times New Roman" w:eastAsia="仿宋_GB2312" w:cs="Times New Roman"/>
          <w:sz w:val="28"/>
          <w:szCs w:val="28"/>
        </w:rPr>
        <w:t>》团体标准制定项目。</w:t>
      </w:r>
    </w:p>
    <w:p w14:paraId="368FFBCD">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本文件由中国特钢企业协会提出并归口，冶金工业规划研究院作为标准组织协调单位。根据中国特钢企业协会团体标准化工作委员会202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年第</w:t>
      </w:r>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批团体标准制修订计划，由</w:t>
      </w:r>
      <w:r>
        <w:rPr>
          <w:rFonts w:hint="eastAsia" w:ascii="Times New Roman" w:hAnsi="Times New Roman" w:eastAsia="仿宋_GB2312" w:cs="Times New Roman"/>
          <w:sz w:val="28"/>
          <w:szCs w:val="28"/>
          <w:highlight w:val="yellow"/>
          <w:lang w:val="en-US" w:eastAsia="zh-CN"/>
        </w:rPr>
        <w:t>XXXXX</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冶金工业规划研究院</w:t>
      </w:r>
      <w:r>
        <w:rPr>
          <w:rFonts w:hint="eastAsia" w:ascii="Times New Roman" w:hAnsi="Times New Roman" w:eastAsia="仿宋_GB2312" w:cs="Times New Roman"/>
          <w:sz w:val="28"/>
          <w:szCs w:val="28"/>
        </w:rPr>
        <w:t>等单位负责标准编制</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并共同参与前期研究、调研和标准的编制、修改、技术数据验证以及标准推广等工作。</w:t>
      </w:r>
    </w:p>
    <w:p w14:paraId="6C7DF142">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二、制定本文件的目的和意义</w:t>
      </w:r>
    </w:p>
    <w:p w14:paraId="69217E53">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预应力钢丝及钢绞线用热轧盘条‌主要用于预应力混凝土结构中，‌以增强混凝土的承载能力和提高建筑结构的稳定性。‌这种材料在建筑、‌桥梁、‌道路等基础设施建设中扮演着重要角色，‌通过预应力技术的应用，‌可以有效提高建筑物的安全性和耐久性‌。为保障 预应力钢丝及钢绞线用热轧盘条产品质量，满足下游客户采购需求，提高产业链上下游行业互信，拟开展《中国钢铁产品放心品牌评价规范  预应力钢丝及钢绞线用热轧盘条》团体标准研制工作。标准将综合考虑产品层面的质量一致性、质量反馈、产品认证、荣誉奖项，企业层面的质量保证能力、创新能力、企业诚信、服务水平、信息化水平等内容，围绕传递企业产品质量保障能力和产品品牌价值，制定科学合理、先进适用的技术指标，打造细分领域中国钢铁产品放心品牌。</w:t>
      </w:r>
    </w:p>
    <w:p w14:paraId="0CB16A6D">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下一步，将发挥标准引领性、先进性作用，引导、保护企业质量创新和质量提升的积极性，并强化标准应用实施效果，以该标准为依据，开展 预应力钢丝及钢绞线用热轧盘条的放心品牌认证工作，培育行业信任，打造细分领域钢材产品优质供货商。落实党中央质量提升行动政策要求，为产品优质优价提供标准与认证技术支撑，打造细分赛道中国钢铁放心品牌，提升企业品牌行业影响力，推动 预应力钢丝及钢绞线用热轧盘条行业企业实现高质量发展。</w:t>
      </w:r>
    </w:p>
    <w:p w14:paraId="0DAE7CAE">
      <w:pPr>
        <w:spacing w:line="360" w:lineRule="auto"/>
        <w:ind w:firstLine="560"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三、主要编制过程</w:t>
      </w:r>
    </w:p>
    <w:p w14:paraId="77CC7D6A">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月，中国特钢企业协会团体标准化工作委员会（以下简称团标委）秘书处给各位委员发出团体标准立项函审单。到立项函审截止日期，没有委员提出不同意见。</w:t>
      </w:r>
    </w:p>
    <w:p w14:paraId="7C2C29FA">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月，团标委正式下达团体标准立项计划（2022年第</w:t>
      </w:r>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批）。团体标准立项后，冶金工业规划研究院相关人员组成文件起草组，提出了文件编制计划和任务分工，并开始文件编制工作。</w:t>
      </w:r>
    </w:p>
    <w:p w14:paraId="17F9B1BF">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8</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行了起草标准的调研、问题分析和相关资料收集等准备工作，完成了标准制定提纲、标准草案。</w:t>
      </w:r>
    </w:p>
    <w:p w14:paraId="37354D02">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8</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召开标准启动会，围绕标准草案进行讨论，并按照与会意见和建议作进一步修改。</w:t>
      </w:r>
    </w:p>
    <w:p w14:paraId="22DA6F29">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：形成征求意见稿并发出征求意见。</w:t>
      </w:r>
    </w:p>
    <w:p w14:paraId="1B9F4965">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月：完成征求意见处理、形成</w:t>
      </w:r>
      <w:r>
        <w:rPr>
          <w:rFonts w:hint="eastAsia" w:ascii="Times New Roman" w:hAnsi="Times New Roman" w:eastAsia="仿宋_GB2312" w:cs="Times New Roman"/>
          <w:sz w:val="28"/>
          <w:szCs w:val="28"/>
        </w:rPr>
        <w:t>标准</w:t>
      </w:r>
      <w:r>
        <w:rPr>
          <w:rFonts w:ascii="Times New Roman" w:hAnsi="Times New Roman" w:eastAsia="仿宋_GB2312" w:cs="Times New Roman"/>
          <w:sz w:val="28"/>
          <w:szCs w:val="28"/>
        </w:rPr>
        <w:t>送审稿。</w:t>
      </w:r>
    </w:p>
    <w:p w14:paraId="5D14C678">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完成该标准审定会和标准报批稿，上报中国特钢企业协会审批</w:t>
      </w:r>
      <w:r>
        <w:rPr>
          <w:rFonts w:ascii="Times New Roman" w:hAnsi="Times New Roman" w:eastAsia="仿宋_GB2312" w:cs="Times New Roman"/>
          <w:sz w:val="28"/>
          <w:szCs w:val="28"/>
        </w:rPr>
        <w:t>。</w:t>
      </w:r>
    </w:p>
    <w:p w14:paraId="75E2A49E">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完成该标准发布、实施</w:t>
      </w:r>
      <w:r>
        <w:rPr>
          <w:rFonts w:ascii="Times New Roman" w:hAnsi="Times New Roman" w:eastAsia="仿宋_GB2312" w:cs="Times New Roman"/>
          <w:sz w:val="28"/>
          <w:szCs w:val="28"/>
        </w:rPr>
        <w:t>。</w:t>
      </w:r>
    </w:p>
    <w:p w14:paraId="6954A335">
      <w:pPr>
        <w:spacing w:line="360" w:lineRule="auto"/>
        <w:ind w:firstLine="560"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四、标准编制原则</w:t>
      </w:r>
    </w:p>
    <w:p w14:paraId="04339388">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认证是传递信任的重要手段，以钢铁产品质量稳定性评价标准为依据，开展中国钢铁产品放心品牌认证，能进一步凸显钢铁企业产品质量优势，快速有效地向市场和下游用户传递信心，促进实现下游行业用的放心，帮助钢铁企业培育树立放心品牌。</w:t>
      </w:r>
    </w:p>
    <w:p w14:paraId="64476728">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标准是</w:t>
      </w:r>
      <w:r>
        <w:rPr>
          <w:rFonts w:ascii="Times New Roman" w:hAnsi="Times New Roman" w:eastAsia="仿宋_GB2312" w:cs="Times New Roman"/>
          <w:sz w:val="28"/>
          <w:szCs w:val="28"/>
        </w:rPr>
        <w:t>认证</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基础，为了更加科学</w:t>
      </w:r>
      <w:r>
        <w:rPr>
          <w:rFonts w:hint="eastAsia" w:ascii="Times New Roman" w:hAnsi="Times New Roman" w:eastAsia="仿宋_GB2312" w:cs="Times New Roman"/>
          <w:sz w:val="28"/>
          <w:szCs w:val="28"/>
        </w:rPr>
        <w:t>规范</w:t>
      </w:r>
      <w:r>
        <w:rPr>
          <w:rFonts w:ascii="Times New Roman" w:hAnsi="Times New Roman" w:eastAsia="仿宋_GB2312" w:cs="Times New Roman"/>
          <w:sz w:val="28"/>
          <w:szCs w:val="28"/>
        </w:rPr>
        <w:t>地开展</w:t>
      </w:r>
      <w:r>
        <w:rPr>
          <w:rFonts w:hint="eastAsia" w:ascii="Times New Roman" w:hAnsi="Times New Roman" w:eastAsia="仿宋_GB2312" w:cs="Times New Roman"/>
          <w:sz w:val="28"/>
          <w:szCs w:val="28"/>
        </w:rPr>
        <w:t>放心品牌</w:t>
      </w:r>
      <w:r>
        <w:rPr>
          <w:rFonts w:ascii="Times New Roman" w:hAnsi="Times New Roman" w:eastAsia="仿宋_GB2312" w:cs="Times New Roman"/>
          <w:sz w:val="28"/>
          <w:szCs w:val="28"/>
        </w:rPr>
        <w:t>认证工作，</w:t>
      </w:r>
      <w:r>
        <w:rPr>
          <w:rFonts w:hint="eastAsia" w:ascii="Times New Roman" w:hAnsi="Times New Roman" w:eastAsia="仿宋_GB2312" w:cs="Times New Roman"/>
          <w:sz w:val="28"/>
          <w:szCs w:val="28"/>
        </w:rPr>
        <w:t>先行</w:t>
      </w:r>
      <w:r>
        <w:rPr>
          <w:rFonts w:ascii="Times New Roman" w:hAnsi="Times New Roman" w:eastAsia="仿宋_GB2312" w:cs="Times New Roman"/>
          <w:sz w:val="28"/>
          <w:szCs w:val="28"/>
        </w:rPr>
        <w:t>开展放心品牌认证</w:t>
      </w:r>
      <w:r>
        <w:rPr>
          <w:rFonts w:hint="eastAsia" w:ascii="Times New Roman" w:hAnsi="Times New Roman" w:eastAsia="仿宋_GB2312" w:cs="Times New Roman"/>
          <w:sz w:val="28"/>
          <w:szCs w:val="28"/>
        </w:rPr>
        <w:t>依据</w:t>
      </w:r>
      <w:r>
        <w:rPr>
          <w:rFonts w:ascii="Times New Roman" w:hAnsi="Times New Roman" w:eastAsia="仿宋_GB2312" w:cs="Times New Roman"/>
          <w:sz w:val="28"/>
          <w:szCs w:val="28"/>
        </w:rPr>
        <w:t>标准</w:t>
      </w:r>
      <w:r>
        <w:rPr>
          <w:rFonts w:hint="eastAsia" w:ascii="Times New Roman" w:hAnsi="Times New Roman" w:eastAsia="仿宋_GB2312" w:cs="Times New Roman"/>
          <w:sz w:val="28"/>
          <w:szCs w:val="28"/>
        </w:rPr>
        <w:t>研制十分重要</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本文件主要为规范</w:t>
      </w:r>
      <w:r>
        <w:rPr>
          <w:rFonts w:hint="eastAsia" w:ascii="Times New Roman" w:hAnsi="Times New Roman" w:eastAsia="仿宋_GB2312" w:cs="Times New Roman"/>
          <w:sz w:val="28"/>
          <w:szCs w:val="28"/>
          <w:lang w:eastAsia="zh-CN"/>
        </w:rPr>
        <w:t>预应力钢丝及钢绞线用热轧盘条</w:t>
      </w:r>
      <w:r>
        <w:rPr>
          <w:rFonts w:hint="eastAsia" w:ascii="Times New Roman" w:hAnsi="Times New Roman" w:eastAsia="仿宋_GB2312" w:cs="Times New Roman"/>
          <w:sz w:val="28"/>
          <w:szCs w:val="28"/>
        </w:rPr>
        <w:t>产品放心品牌评价，因此本文件在编制过程中综合考虑企业生产层面和质量控制层面进行评价指标体系设计。</w:t>
      </w:r>
    </w:p>
    <w:p w14:paraId="48A0D3C4">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本文件根据GB/T 29186《</w:t>
      </w:r>
      <w:r>
        <w:rPr>
          <w:rFonts w:hint="eastAsia" w:ascii="Times New Roman" w:hAnsi="Times New Roman" w:eastAsia="仿宋_GB2312" w:cs="Times New Roman"/>
          <w:sz w:val="28"/>
          <w:szCs w:val="28"/>
        </w:rPr>
        <w:t>品牌价值要素评价</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系列标准</w:t>
      </w:r>
      <w:r>
        <w:rPr>
          <w:rFonts w:ascii="Times New Roman" w:hAnsi="Times New Roman" w:eastAsia="仿宋_GB2312" w:cs="Times New Roman"/>
          <w:sz w:val="28"/>
          <w:szCs w:val="28"/>
        </w:rPr>
        <w:t>进行编制。《</w:t>
      </w:r>
      <w:r>
        <w:rPr>
          <w:rFonts w:hint="eastAsia" w:ascii="Times New Roman" w:hAnsi="Times New Roman" w:eastAsia="仿宋_GB2312" w:cs="Times New Roman"/>
          <w:sz w:val="28"/>
          <w:szCs w:val="28"/>
        </w:rPr>
        <w:t xml:space="preserve">中国钢铁产品放心品牌评价规范 </w:t>
      </w:r>
      <w:r>
        <w:rPr>
          <w:rFonts w:hint="eastAsia" w:ascii="Times New Roman" w:hAnsi="Times New Roman" w:eastAsia="仿宋_GB2312" w:cs="Times New Roman"/>
          <w:sz w:val="28"/>
          <w:szCs w:val="28"/>
          <w:lang w:eastAsia="zh-CN"/>
        </w:rPr>
        <w:t>预应力钢丝及钢绞线用热轧盘条</w:t>
      </w:r>
      <w:r>
        <w:rPr>
          <w:rFonts w:ascii="Times New Roman" w:hAnsi="Times New Roman" w:eastAsia="仿宋_GB2312" w:cs="Times New Roman"/>
          <w:sz w:val="28"/>
          <w:szCs w:val="28"/>
        </w:rPr>
        <w:t>》文件编制所参考的依据为国家有关法律法规以及国家、行业产品或服务标准、国内或国际先进产品标准等。</w:t>
      </w:r>
    </w:p>
    <w:p w14:paraId="7A729085">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五、主要技术内容</w:t>
      </w:r>
    </w:p>
    <w:p w14:paraId="0C6EAF15">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（一）文件编写格式</w:t>
      </w:r>
    </w:p>
    <w:p w14:paraId="5607BCB8">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文件内容符合GB/T 1.1—2020《标准化工作导则</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第1部分：标准化文件的结构和起草规则》的规定。</w:t>
      </w:r>
    </w:p>
    <w:p w14:paraId="1619D409">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（二）关于适用范围</w:t>
      </w:r>
    </w:p>
    <w:p w14:paraId="2D8D94E6">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本文件规定了</w:t>
      </w:r>
      <w:r>
        <w:rPr>
          <w:rFonts w:hint="eastAsia" w:ascii="Times New Roman" w:hAnsi="Times New Roman" w:eastAsia="仿宋_GB2312" w:cs="Times New Roman"/>
          <w:sz w:val="28"/>
          <w:szCs w:val="28"/>
          <w:lang w:eastAsia="zh-CN"/>
        </w:rPr>
        <w:t>预应力钢丝及钢绞线用热轧盘条</w:t>
      </w:r>
      <w:r>
        <w:rPr>
          <w:rFonts w:hint="eastAsia" w:ascii="Times New Roman" w:hAnsi="Times New Roman" w:eastAsia="仿宋_GB2312" w:cs="Times New Roman"/>
          <w:sz w:val="28"/>
          <w:szCs w:val="28"/>
        </w:rPr>
        <w:t>产品的中国钢铁产品放心品牌的评价原则、评价内容和评价方法。</w:t>
      </w:r>
    </w:p>
    <w:p w14:paraId="3EEF2DBA">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本文件适用于认证机构对</w:t>
      </w:r>
      <w:r>
        <w:rPr>
          <w:rFonts w:hint="eastAsia" w:ascii="Times New Roman" w:hAnsi="Times New Roman" w:eastAsia="仿宋_GB2312" w:cs="Times New Roman"/>
          <w:sz w:val="28"/>
          <w:szCs w:val="28"/>
          <w:lang w:eastAsia="zh-CN"/>
        </w:rPr>
        <w:t>预应力钢丝及钢绞线用热轧盘条</w:t>
      </w:r>
      <w:r>
        <w:rPr>
          <w:rFonts w:hint="eastAsia" w:ascii="Times New Roman" w:hAnsi="Times New Roman" w:eastAsia="仿宋_GB2312" w:cs="Times New Roman"/>
          <w:sz w:val="28"/>
          <w:szCs w:val="28"/>
        </w:rPr>
        <w:t>产品的放心品牌进行评价和认证，也适用于组织内部进行自我评价。</w:t>
      </w:r>
    </w:p>
    <w:p w14:paraId="575C9DA5">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w:t>
      </w:r>
      <w:r>
        <w:rPr>
          <w:rFonts w:hint="eastAsia" w:ascii="Times New Roman" w:hAnsi="Times New Roman" w:eastAsia="仿宋_GB2312" w:cs="Times New Roman"/>
          <w:sz w:val="28"/>
          <w:szCs w:val="28"/>
        </w:rPr>
        <w:t>评价原则</w:t>
      </w:r>
    </w:p>
    <w:p w14:paraId="076E3F81">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主要围绕公平性、全面性、规范性、保密性进行评价原则设计，具体内容为：</w:t>
      </w:r>
    </w:p>
    <w:p w14:paraId="623E76C5">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1. </w:t>
      </w:r>
      <w:r>
        <w:rPr>
          <w:rFonts w:hint="eastAsia" w:ascii="Times New Roman" w:hAnsi="Times New Roman" w:eastAsia="仿宋_GB2312" w:cs="Times New Roman"/>
          <w:sz w:val="28"/>
          <w:szCs w:val="28"/>
        </w:rPr>
        <w:t>公平性</w:t>
      </w:r>
    </w:p>
    <w:p w14:paraId="1CEEE962">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评价应公平、公正，应按照工作程序和有关要求执行，各组织应独立做出判断。</w:t>
      </w:r>
    </w:p>
    <w:p w14:paraId="628C0CDB">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2．全面性</w:t>
      </w:r>
    </w:p>
    <w:p w14:paraId="4CA3E845">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评价实施过程应选取本文件的全部内容。</w:t>
      </w:r>
    </w:p>
    <w:p w14:paraId="720D97F9">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规范性</w:t>
      </w:r>
    </w:p>
    <w:p w14:paraId="1EFC1B9A">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评价的开展应基于已有的客观数据、规范性材料或其他已被普遍接受的协议或惯例，评价依据的信息内容应真实准确，与客观实际情况相一致。</w:t>
      </w:r>
    </w:p>
    <w:p w14:paraId="7BD5042D">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保密性</w:t>
      </w:r>
    </w:p>
    <w:p w14:paraId="4F4CFDA7">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应对评价过程中获得的企业的商业、技术秘密进行保密。</w:t>
      </w:r>
    </w:p>
    <w:p w14:paraId="033DCEF3">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评价内容</w:t>
      </w:r>
    </w:p>
    <w:p w14:paraId="387AE634">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1. </w:t>
      </w:r>
      <w:r>
        <w:rPr>
          <w:rFonts w:hint="eastAsia" w:ascii="Times New Roman" w:hAnsi="Times New Roman" w:eastAsia="仿宋_GB2312" w:cs="Times New Roman"/>
          <w:sz w:val="28"/>
          <w:szCs w:val="28"/>
        </w:rPr>
        <w:t>基本要求</w:t>
      </w:r>
    </w:p>
    <w:p w14:paraId="24D7DFED">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本章节主要围绕企业稳定经营、质量安全情况、企业信用、净资产情况、生产运营情况提出要求。</w:t>
      </w:r>
    </w:p>
    <w:p w14:paraId="25EC1038">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企业在中国境内依法注册并具有法人资格，连续稳定生产 3 年以上。</w:t>
      </w:r>
    </w:p>
    <w:p w14:paraId="4F241720">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企业经营状况良好，净资产为正。</w:t>
      </w:r>
    </w:p>
    <w:p w14:paraId="2460C18B">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产品应为量产产品，应满足GB/T 24238 的要求。</w:t>
      </w:r>
    </w:p>
    <w:p w14:paraId="10793710">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企业应按照 GB/T 19001、GB/T 23331、GB/T 24001、GB/T 45001 建立并运行相应质量、能源、环境、职业健康安全体系。</w:t>
      </w:r>
    </w:p>
    <w:p w14:paraId="276FB0E2">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企业近 3 年无严重违法违规行为，无较大及以上环境、安全、质量事故。</w:t>
      </w:r>
    </w:p>
    <w:p w14:paraId="49C9FD6E">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企业应未列入国家信用信息严重失信主体相关名录。</w:t>
      </w:r>
    </w:p>
    <w:p w14:paraId="2651B294">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2. </w:t>
      </w:r>
      <w:r>
        <w:rPr>
          <w:rFonts w:hint="eastAsia" w:ascii="Times New Roman" w:hAnsi="Times New Roman" w:eastAsia="仿宋_GB2312" w:cs="Times New Roman"/>
          <w:sz w:val="28"/>
          <w:szCs w:val="28"/>
        </w:rPr>
        <w:t>评价指标</w:t>
      </w:r>
    </w:p>
    <w:p w14:paraId="641C2E68">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技术指标主要围绕企业层面和产品层面进行设计，企业层面评价要素包括质量保证、创新能力、企业诚信、服务水平、信息化水平。产品层面评价要素包括质量一致性、质量反馈、质量认证、荣誉奖项。产品评价指标体系见附录A。</w:t>
      </w:r>
    </w:p>
    <w:p w14:paraId="657D3C1A">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五</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评价方法</w:t>
      </w:r>
    </w:p>
    <w:p w14:paraId="54798FB9">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在满足5.1基本要求的前提下，根据5.2评价指标对企业的各项评价要素进行打分评价。评价结果分为5星、4星、3星，各等级对应的划分依据见表1。</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0"/>
        <w:gridCol w:w="2995"/>
        <w:gridCol w:w="2994"/>
      </w:tblGrid>
      <w:tr w14:paraId="5EA3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Merge w:val="restart"/>
            <w:vAlign w:val="center"/>
          </w:tcPr>
          <w:p w14:paraId="31894317">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评价等级</w:t>
            </w:r>
          </w:p>
        </w:tc>
        <w:tc>
          <w:tcPr>
            <w:tcW w:w="3511" w:type="pct"/>
            <w:gridSpan w:val="2"/>
            <w:vAlign w:val="center"/>
          </w:tcPr>
          <w:p w14:paraId="61FC22A8">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应同时满足</w:t>
            </w:r>
          </w:p>
        </w:tc>
      </w:tr>
      <w:tr w14:paraId="035A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Merge w:val="continue"/>
            <w:vAlign w:val="center"/>
          </w:tcPr>
          <w:p w14:paraId="306058DE">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p>
        </w:tc>
        <w:tc>
          <w:tcPr>
            <w:tcW w:w="1756" w:type="pct"/>
            <w:vAlign w:val="center"/>
          </w:tcPr>
          <w:p w14:paraId="66A2F250">
            <w:pPr>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宋体" w:cs="Times New Roman"/>
                <w:bCs/>
                <w:color w:val="000000"/>
                <w:kern w:val="0"/>
                <w:sz w:val="20"/>
                <w:szCs w:val="21"/>
              </w:rPr>
              <w:t>5</w:t>
            </w:r>
            <w:r>
              <w:rPr>
                <w:rFonts w:ascii="Times New Roman" w:hAnsi="Times New Roman" w:eastAsia="宋体" w:cs="Times New Roman"/>
                <w:bCs/>
                <w:color w:val="000000"/>
                <w:kern w:val="0"/>
                <w:sz w:val="20"/>
                <w:szCs w:val="21"/>
              </w:rPr>
              <w:t>.1基本要求</w:t>
            </w:r>
          </w:p>
        </w:tc>
        <w:tc>
          <w:tcPr>
            <w:tcW w:w="1755" w:type="pct"/>
            <w:vAlign w:val="center"/>
          </w:tcPr>
          <w:p w14:paraId="13BF76FE">
            <w:pPr>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宋体" w:cs="Times New Roman"/>
                <w:bCs/>
                <w:color w:val="000000"/>
                <w:kern w:val="0"/>
                <w:sz w:val="20"/>
                <w:szCs w:val="21"/>
              </w:rPr>
              <w:t>5</w:t>
            </w:r>
            <w:r>
              <w:rPr>
                <w:rFonts w:ascii="Times New Roman" w:hAnsi="Times New Roman" w:eastAsia="宋体" w:cs="Times New Roman"/>
                <w:bCs/>
                <w:color w:val="000000"/>
                <w:kern w:val="0"/>
                <w:sz w:val="20"/>
                <w:szCs w:val="21"/>
              </w:rPr>
              <w:t>.2评价指标得分</w:t>
            </w:r>
          </w:p>
        </w:tc>
      </w:tr>
      <w:tr w14:paraId="25D3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Align w:val="center"/>
          </w:tcPr>
          <w:p w14:paraId="6E4BA0DA">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5星级</w:t>
            </w:r>
          </w:p>
        </w:tc>
        <w:tc>
          <w:tcPr>
            <w:tcW w:w="1756" w:type="pct"/>
            <w:vMerge w:val="restart"/>
            <w:vAlign w:val="center"/>
          </w:tcPr>
          <w:p w14:paraId="0EE38C1D">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宋体" w:cs="Times New Roman"/>
                <w:bCs/>
                <w:color w:val="000000"/>
                <w:kern w:val="0"/>
                <w:sz w:val="20"/>
                <w:szCs w:val="21"/>
              </w:rPr>
              <w:t>全部满足</w:t>
            </w:r>
          </w:p>
        </w:tc>
        <w:tc>
          <w:tcPr>
            <w:tcW w:w="1755" w:type="pct"/>
            <w:vAlign w:val="center"/>
          </w:tcPr>
          <w:p w14:paraId="52AC08B6">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仿宋_GB2312" w:cs="Times New Roman"/>
                <w:bCs/>
                <w:color w:val="000000"/>
                <w:kern w:val="0"/>
                <w:sz w:val="20"/>
                <w:szCs w:val="21"/>
              </w:rPr>
              <w:t>≥</w:t>
            </w:r>
            <w:r>
              <w:rPr>
                <w:rFonts w:ascii="Times New Roman" w:hAnsi="Times New Roman" w:eastAsia="宋体" w:cs="Times New Roman"/>
                <w:bCs/>
                <w:color w:val="000000"/>
                <w:kern w:val="0"/>
                <w:sz w:val="20"/>
                <w:szCs w:val="21"/>
              </w:rPr>
              <w:t>90</w:t>
            </w:r>
          </w:p>
        </w:tc>
      </w:tr>
      <w:tr w14:paraId="265F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Align w:val="center"/>
          </w:tcPr>
          <w:p w14:paraId="1BEE7504">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4星级</w:t>
            </w:r>
          </w:p>
        </w:tc>
        <w:tc>
          <w:tcPr>
            <w:tcW w:w="1756" w:type="pct"/>
            <w:vMerge w:val="continue"/>
            <w:vAlign w:val="center"/>
          </w:tcPr>
          <w:p w14:paraId="048F6335">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p>
        </w:tc>
        <w:tc>
          <w:tcPr>
            <w:tcW w:w="1755" w:type="pct"/>
            <w:vAlign w:val="center"/>
          </w:tcPr>
          <w:p w14:paraId="4353589A">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仿宋_GB2312" w:cs="Times New Roman"/>
                <w:bCs/>
                <w:color w:val="000000"/>
                <w:kern w:val="0"/>
                <w:sz w:val="20"/>
                <w:szCs w:val="21"/>
              </w:rPr>
              <w:t>≥</w:t>
            </w:r>
            <w:r>
              <w:rPr>
                <w:rFonts w:ascii="Times New Roman" w:hAnsi="Times New Roman" w:eastAsia="宋体" w:cs="Times New Roman"/>
                <w:bCs/>
                <w:color w:val="000000"/>
                <w:kern w:val="0"/>
                <w:sz w:val="20"/>
                <w:szCs w:val="21"/>
              </w:rPr>
              <w:t>75~</w:t>
            </w:r>
            <w:r>
              <w:rPr>
                <w:rFonts w:hint="eastAsia" w:ascii="Times New Roman" w:hAnsi="Times New Roman" w:eastAsia="宋体" w:cs="Times New Roman"/>
                <w:bCs/>
                <w:color w:val="000000"/>
                <w:kern w:val="0"/>
                <w:sz w:val="20"/>
                <w:szCs w:val="21"/>
              </w:rPr>
              <w:t>＜</w:t>
            </w:r>
            <w:r>
              <w:rPr>
                <w:rFonts w:ascii="Times New Roman" w:hAnsi="Times New Roman" w:eastAsia="宋体" w:cs="Times New Roman"/>
                <w:bCs/>
                <w:color w:val="000000"/>
                <w:kern w:val="0"/>
                <w:sz w:val="20"/>
                <w:szCs w:val="21"/>
              </w:rPr>
              <w:t>90</w:t>
            </w:r>
          </w:p>
        </w:tc>
      </w:tr>
      <w:tr w14:paraId="0BC7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489" w:type="pct"/>
            <w:vAlign w:val="center"/>
          </w:tcPr>
          <w:p w14:paraId="0DF5634C">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3星级</w:t>
            </w:r>
          </w:p>
        </w:tc>
        <w:tc>
          <w:tcPr>
            <w:tcW w:w="1756" w:type="pct"/>
            <w:vMerge w:val="continue"/>
            <w:vAlign w:val="center"/>
          </w:tcPr>
          <w:p w14:paraId="3F810271">
            <w:pPr>
              <w:widowControl/>
              <w:tabs>
                <w:tab w:val="left" w:pos="360"/>
                <w:tab w:val="center" w:pos="4201"/>
                <w:tab w:val="right" w:leader="dot" w:pos="9298"/>
              </w:tabs>
              <w:overflowPunct w:val="0"/>
              <w:autoSpaceDE w:val="0"/>
              <w:autoSpaceDN w:val="0"/>
              <w:jc w:val="center"/>
              <w:textAlignment w:val="baseline"/>
              <w:outlineLvl w:val="4"/>
              <w:rPr>
                <w:rFonts w:ascii="Times New Roman" w:hAnsi="Times New Roman" w:eastAsia="宋体" w:cs="Times New Roman"/>
                <w:bCs/>
                <w:color w:val="000000"/>
                <w:kern w:val="0"/>
                <w:sz w:val="20"/>
                <w:szCs w:val="21"/>
              </w:rPr>
            </w:pPr>
          </w:p>
        </w:tc>
        <w:tc>
          <w:tcPr>
            <w:tcW w:w="1755" w:type="pct"/>
            <w:vAlign w:val="center"/>
          </w:tcPr>
          <w:p w14:paraId="5EAB1CF5">
            <w:pPr>
              <w:widowControl/>
              <w:tabs>
                <w:tab w:val="left" w:pos="360"/>
                <w:tab w:val="center" w:pos="4201"/>
                <w:tab w:val="right" w:leader="dot" w:pos="9298"/>
              </w:tabs>
              <w:overflowPunct w:val="0"/>
              <w:autoSpaceDE w:val="0"/>
              <w:autoSpaceDN w:val="0"/>
              <w:jc w:val="center"/>
              <w:textAlignment w:val="baseline"/>
              <w:outlineLvl w:val="4"/>
              <w:rPr>
                <w:rFonts w:ascii="Times New Roman" w:hAnsi="Times New Roman" w:eastAsia="宋体" w:cs="Times New Roman"/>
                <w:bCs/>
                <w:color w:val="000000"/>
                <w:kern w:val="0"/>
                <w:sz w:val="20"/>
                <w:szCs w:val="21"/>
              </w:rPr>
            </w:pPr>
            <w:r>
              <w:rPr>
                <w:rFonts w:hint="eastAsia" w:ascii="Times New Roman" w:hAnsi="Times New Roman" w:eastAsia="仿宋_GB2312" w:cs="Times New Roman"/>
                <w:bCs/>
                <w:color w:val="000000"/>
                <w:kern w:val="0"/>
                <w:sz w:val="20"/>
                <w:szCs w:val="21"/>
              </w:rPr>
              <w:t>≥</w:t>
            </w:r>
            <w:r>
              <w:rPr>
                <w:rFonts w:ascii="Times New Roman" w:hAnsi="Times New Roman" w:eastAsia="仿宋_GB2312" w:cs="Times New Roman"/>
                <w:bCs/>
                <w:color w:val="000000"/>
                <w:kern w:val="0"/>
                <w:sz w:val="20"/>
                <w:szCs w:val="21"/>
              </w:rPr>
              <w:t>60~</w:t>
            </w:r>
            <w:r>
              <w:rPr>
                <w:rFonts w:hint="eastAsia" w:ascii="Times New Roman" w:hAnsi="Times New Roman" w:eastAsia="仿宋_GB2312" w:cs="Times New Roman"/>
                <w:bCs/>
                <w:color w:val="000000"/>
                <w:kern w:val="0"/>
                <w:sz w:val="20"/>
                <w:szCs w:val="21"/>
              </w:rPr>
              <w:t>＜</w:t>
            </w:r>
            <w:r>
              <w:rPr>
                <w:rFonts w:ascii="Times New Roman" w:hAnsi="Times New Roman" w:eastAsia="仿宋_GB2312" w:cs="Times New Roman"/>
                <w:bCs/>
                <w:color w:val="000000"/>
                <w:kern w:val="0"/>
                <w:sz w:val="20"/>
                <w:szCs w:val="21"/>
              </w:rPr>
              <w:t>75</w:t>
            </w:r>
          </w:p>
        </w:tc>
      </w:tr>
    </w:tbl>
    <w:p w14:paraId="21A34ABE">
      <w:pPr>
        <w:spacing w:line="360" w:lineRule="auto"/>
        <w:ind w:firstLine="560" w:firstLineChars="200"/>
        <w:rPr>
          <w:rFonts w:ascii="Times New Roman" w:hAnsi="Times New Roman" w:eastAsia="仿宋_GB2312" w:cs="Times New Roman"/>
          <w:sz w:val="28"/>
          <w:szCs w:val="28"/>
        </w:rPr>
      </w:pPr>
    </w:p>
    <w:p w14:paraId="691F8995">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（六）附录：</w:t>
      </w:r>
      <w:r>
        <w:rPr>
          <w:rFonts w:ascii="Times New Roman" w:hAnsi="Times New Roman" w:eastAsia="仿宋_GB2312" w:cs="Times New Roman"/>
          <w:sz w:val="28"/>
          <w:szCs w:val="28"/>
        </w:rPr>
        <w:t>评价指标体系</w:t>
      </w:r>
    </w:p>
    <w:tbl>
      <w:tblPr>
        <w:tblStyle w:val="5"/>
        <w:tblpPr w:leftFromText="180" w:rightFromText="180" w:vertAnchor="text" w:tblpY="1"/>
        <w:tblOverlap w:val="never"/>
        <w:tblW w:w="4998" w:type="pct"/>
        <w:tblInd w:w="0" w:type="dxa"/>
        <w:tblLayout w:type="autofit"/>
        <w:tblCellMar>
          <w:top w:w="0" w:type="dxa"/>
          <w:left w:w="108" w:type="dxa"/>
          <w:bottom w:w="0" w:type="dxa"/>
          <w:right w:w="108" w:type="dxa"/>
        </w:tblCellMar>
      </w:tblPr>
      <w:tblGrid>
        <w:gridCol w:w="427"/>
        <w:gridCol w:w="481"/>
        <w:gridCol w:w="1340"/>
        <w:gridCol w:w="3009"/>
        <w:gridCol w:w="1338"/>
        <w:gridCol w:w="854"/>
        <w:gridCol w:w="1077"/>
      </w:tblGrid>
      <w:tr w14:paraId="4EC8F833">
        <w:tblPrEx>
          <w:tblCellMar>
            <w:top w:w="0" w:type="dxa"/>
            <w:left w:w="108" w:type="dxa"/>
            <w:bottom w:w="0" w:type="dxa"/>
            <w:right w:w="108" w:type="dxa"/>
          </w:tblCellMar>
        </w:tblPrEx>
        <w:trPr>
          <w:trHeight w:val="285" w:hRule="atLeast"/>
          <w:tblHeader/>
        </w:trPr>
        <w:tc>
          <w:tcPr>
            <w:tcW w:w="1297"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14:paraId="7811707F">
            <w:pPr>
              <w:widowControl/>
              <w:jc w:val="center"/>
              <w:rPr>
                <w:b/>
                <w:bCs/>
                <w:color w:val="000000"/>
                <w:kern w:val="0"/>
                <w:szCs w:val="21"/>
              </w:rPr>
            </w:pPr>
            <w:r>
              <w:rPr>
                <w:b/>
                <w:bCs/>
                <w:color w:val="000000"/>
                <w:kern w:val="0"/>
                <w:szCs w:val="21"/>
              </w:rPr>
              <w:t>评价要素</w:t>
            </w:r>
          </w:p>
        </w:tc>
        <w:tc>
          <w:tcPr>
            <w:tcW w:w="2560" w:type="pct"/>
            <w:gridSpan w:val="2"/>
            <w:tcBorders>
              <w:top w:val="single" w:color="auto" w:sz="8" w:space="0"/>
              <w:left w:val="nil"/>
              <w:bottom w:val="single" w:color="auto" w:sz="8" w:space="0"/>
              <w:right w:val="single" w:color="000000" w:sz="8" w:space="0"/>
            </w:tcBorders>
            <w:shd w:val="clear" w:color="auto" w:fill="auto"/>
            <w:vAlign w:val="center"/>
          </w:tcPr>
          <w:p w14:paraId="34F9CD42">
            <w:pPr>
              <w:widowControl/>
              <w:jc w:val="center"/>
              <w:rPr>
                <w:b/>
                <w:bCs/>
                <w:color w:val="000000"/>
                <w:kern w:val="0"/>
                <w:szCs w:val="21"/>
              </w:rPr>
            </w:pPr>
            <w:r>
              <w:rPr>
                <w:b/>
                <w:bCs/>
                <w:color w:val="000000"/>
                <w:kern w:val="0"/>
                <w:szCs w:val="21"/>
              </w:rPr>
              <w:t>评价内容</w:t>
            </w:r>
          </w:p>
        </w:tc>
        <w:tc>
          <w:tcPr>
            <w:tcW w:w="506"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79405B01">
            <w:pPr>
              <w:widowControl/>
              <w:jc w:val="center"/>
              <w:rPr>
                <w:b/>
                <w:bCs/>
                <w:color w:val="000000"/>
                <w:kern w:val="0"/>
                <w:szCs w:val="21"/>
              </w:rPr>
            </w:pPr>
            <w:r>
              <w:rPr>
                <w:b/>
                <w:bCs/>
                <w:color w:val="000000"/>
                <w:kern w:val="0"/>
                <w:szCs w:val="21"/>
              </w:rPr>
              <w:t>分值权重</w:t>
            </w:r>
            <w:r>
              <w:rPr>
                <w:b/>
                <w:bCs/>
                <w:color w:val="000000"/>
                <w:kern w:val="0"/>
                <w:szCs w:val="21"/>
              </w:rPr>
              <w:br w:type="textWrapping"/>
            </w:r>
            <w:r>
              <w:rPr>
                <w:b/>
                <w:bCs/>
                <w:color w:val="000000"/>
                <w:kern w:val="0"/>
                <w:szCs w:val="21"/>
              </w:rPr>
              <w:t>（满分100）</w:t>
            </w:r>
          </w:p>
        </w:tc>
        <w:tc>
          <w:tcPr>
            <w:tcW w:w="635"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213178CB">
            <w:pPr>
              <w:widowControl/>
              <w:jc w:val="center"/>
              <w:rPr>
                <w:b/>
                <w:bCs/>
                <w:color w:val="000000"/>
                <w:kern w:val="0"/>
                <w:szCs w:val="21"/>
              </w:rPr>
            </w:pPr>
            <w:r>
              <w:rPr>
                <w:b/>
                <w:bCs/>
                <w:color w:val="000000"/>
                <w:kern w:val="0"/>
                <w:szCs w:val="21"/>
              </w:rPr>
              <w:t>备注</w:t>
            </w:r>
          </w:p>
        </w:tc>
      </w:tr>
      <w:tr w14:paraId="67BAF0EB">
        <w:tblPrEx>
          <w:tblCellMar>
            <w:top w:w="0" w:type="dxa"/>
            <w:left w:w="108" w:type="dxa"/>
            <w:bottom w:w="0" w:type="dxa"/>
            <w:right w:w="108" w:type="dxa"/>
          </w:tblCellMar>
        </w:tblPrEx>
        <w:trPr>
          <w:trHeight w:val="285" w:hRule="atLeast"/>
          <w:tblHeader/>
        </w:trPr>
        <w:tc>
          <w:tcPr>
            <w:tcW w:w="218" w:type="pct"/>
            <w:tcBorders>
              <w:top w:val="nil"/>
              <w:left w:val="single" w:color="auto" w:sz="8" w:space="0"/>
              <w:bottom w:val="single" w:color="auto" w:sz="8" w:space="0"/>
              <w:right w:val="single" w:color="auto" w:sz="4" w:space="0"/>
            </w:tcBorders>
            <w:shd w:val="clear" w:color="auto" w:fill="auto"/>
            <w:vAlign w:val="center"/>
          </w:tcPr>
          <w:p w14:paraId="11439929">
            <w:pPr>
              <w:widowControl/>
              <w:jc w:val="center"/>
              <w:rPr>
                <w:b/>
                <w:bCs/>
                <w:color w:val="000000"/>
                <w:kern w:val="0"/>
                <w:szCs w:val="21"/>
              </w:rPr>
            </w:pPr>
            <w:r>
              <w:rPr>
                <w:b/>
                <w:bCs/>
                <w:color w:val="000000"/>
                <w:kern w:val="0"/>
                <w:szCs w:val="21"/>
              </w:rPr>
              <w:t>一级指标</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14:paraId="434ABC5A">
            <w:pPr>
              <w:widowControl/>
              <w:jc w:val="center"/>
              <w:rPr>
                <w:b/>
                <w:bCs/>
                <w:color w:val="000000"/>
                <w:kern w:val="0"/>
                <w:szCs w:val="21"/>
              </w:rPr>
            </w:pPr>
            <w:r>
              <w:rPr>
                <w:b/>
                <w:bCs/>
                <w:color w:val="000000"/>
                <w:kern w:val="0"/>
                <w:szCs w:val="21"/>
              </w:rPr>
              <w:t>二级指标</w:t>
            </w:r>
          </w:p>
        </w:tc>
        <w:tc>
          <w:tcPr>
            <w:tcW w:w="790" w:type="pct"/>
            <w:tcBorders>
              <w:top w:val="nil"/>
              <w:left w:val="single" w:color="auto" w:sz="4" w:space="0"/>
              <w:bottom w:val="single" w:color="auto" w:sz="8" w:space="0"/>
              <w:right w:val="single" w:color="auto" w:sz="8" w:space="0"/>
            </w:tcBorders>
            <w:shd w:val="clear" w:color="auto" w:fill="auto"/>
            <w:vAlign w:val="center"/>
          </w:tcPr>
          <w:p w14:paraId="5B9945C3">
            <w:pPr>
              <w:widowControl/>
              <w:jc w:val="center"/>
              <w:rPr>
                <w:b/>
                <w:bCs/>
                <w:color w:val="000000"/>
                <w:kern w:val="0"/>
                <w:szCs w:val="21"/>
              </w:rPr>
            </w:pPr>
            <w:r>
              <w:rPr>
                <w:b/>
                <w:bCs/>
                <w:color w:val="000000"/>
                <w:kern w:val="0"/>
                <w:szCs w:val="21"/>
              </w:rPr>
              <w:t>三级指标</w:t>
            </w:r>
          </w:p>
        </w:tc>
        <w:tc>
          <w:tcPr>
            <w:tcW w:w="1770" w:type="pct"/>
            <w:tcBorders>
              <w:top w:val="nil"/>
              <w:left w:val="nil"/>
              <w:bottom w:val="single" w:color="auto" w:sz="8" w:space="0"/>
              <w:right w:val="single" w:color="auto" w:sz="8" w:space="0"/>
            </w:tcBorders>
            <w:shd w:val="clear" w:color="auto" w:fill="auto"/>
            <w:vAlign w:val="center"/>
          </w:tcPr>
          <w:p w14:paraId="6E1F7A8E">
            <w:pPr>
              <w:widowControl/>
              <w:jc w:val="center"/>
              <w:rPr>
                <w:b/>
                <w:bCs/>
                <w:color w:val="000000"/>
                <w:kern w:val="0"/>
                <w:szCs w:val="21"/>
              </w:rPr>
            </w:pPr>
            <w:r>
              <w:rPr>
                <w:b/>
                <w:bCs/>
                <w:color w:val="000000"/>
                <w:kern w:val="0"/>
                <w:szCs w:val="21"/>
              </w:rPr>
              <w:t>评分标准</w:t>
            </w:r>
          </w:p>
        </w:tc>
        <w:tc>
          <w:tcPr>
            <w:tcW w:w="789" w:type="pct"/>
            <w:tcBorders>
              <w:top w:val="nil"/>
              <w:left w:val="nil"/>
              <w:bottom w:val="single" w:color="auto" w:sz="8" w:space="0"/>
              <w:right w:val="single" w:color="auto" w:sz="8" w:space="0"/>
            </w:tcBorders>
            <w:shd w:val="clear" w:color="auto" w:fill="auto"/>
            <w:vAlign w:val="center"/>
          </w:tcPr>
          <w:p w14:paraId="39E0351D">
            <w:pPr>
              <w:widowControl/>
              <w:jc w:val="center"/>
              <w:rPr>
                <w:b/>
                <w:bCs/>
                <w:color w:val="000000"/>
                <w:kern w:val="0"/>
                <w:szCs w:val="21"/>
              </w:rPr>
            </w:pPr>
            <w:r>
              <w:rPr>
                <w:b/>
                <w:bCs/>
                <w:color w:val="000000"/>
                <w:kern w:val="0"/>
                <w:szCs w:val="21"/>
              </w:rPr>
              <w:t>评分</w:t>
            </w:r>
          </w:p>
        </w:tc>
        <w:tc>
          <w:tcPr>
            <w:tcW w:w="506" w:type="pct"/>
            <w:vMerge w:val="continue"/>
            <w:tcBorders>
              <w:top w:val="single" w:color="auto" w:sz="8" w:space="0"/>
              <w:left w:val="single" w:color="auto" w:sz="8" w:space="0"/>
              <w:bottom w:val="single" w:color="000000" w:sz="8" w:space="0"/>
              <w:right w:val="single" w:color="auto" w:sz="8" w:space="0"/>
            </w:tcBorders>
            <w:vAlign w:val="center"/>
          </w:tcPr>
          <w:p w14:paraId="592DBE1A">
            <w:pPr>
              <w:widowControl/>
              <w:jc w:val="left"/>
              <w:rPr>
                <w:b/>
                <w:bCs/>
                <w:color w:val="000000"/>
                <w:kern w:val="0"/>
                <w:szCs w:val="21"/>
              </w:rPr>
            </w:pPr>
          </w:p>
        </w:tc>
        <w:tc>
          <w:tcPr>
            <w:tcW w:w="635" w:type="pct"/>
            <w:vMerge w:val="continue"/>
            <w:tcBorders>
              <w:top w:val="single" w:color="auto" w:sz="8" w:space="0"/>
              <w:left w:val="single" w:color="auto" w:sz="8" w:space="0"/>
              <w:bottom w:val="single" w:color="000000" w:sz="8" w:space="0"/>
              <w:right w:val="single" w:color="auto" w:sz="8" w:space="0"/>
            </w:tcBorders>
            <w:vAlign w:val="center"/>
          </w:tcPr>
          <w:p w14:paraId="0347876E">
            <w:pPr>
              <w:widowControl/>
              <w:jc w:val="left"/>
              <w:rPr>
                <w:b/>
                <w:bCs/>
                <w:color w:val="000000"/>
                <w:kern w:val="0"/>
                <w:szCs w:val="21"/>
              </w:rPr>
            </w:pPr>
          </w:p>
        </w:tc>
      </w:tr>
      <w:tr w14:paraId="14404D7C">
        <w:tblPrEx>
          <w:tblCellMar>
            <w:top w:w="0" w:type="dxa"/>
            <w:left w:w="108" w:type="dxa"/>
            <w:bottom w:w="0" w:type="dxa"/>
            <w:right w:w="108" w:type="dxa"/>
          </w:tblCellMar>
        </w:tblPrEx>
        <w:trPr>
          <w:trHeight w:val="20" w:hRule="atLeast"/>
        </w:trPr>
        <w:tc>
          <w:tcPr>
            <w:tcW w:w="218" w:type="pct"/>
            <w:vMerge w:val="restart"/>
            <w:tcBorders>
              <w:top w:val="nil"/>
              <w:left w:val="single" w:color="auto" w:sz="8" w:space="0"/>
              <w:bottom w:val="single" w:color="000000" w:sz="8" w:space="0"/>
              <w:right w:val="single" w:color="auto" w:sz="4" w:space="0"/>
            </w:tcBorders>
            <w:shd w:val="clear" w:color="auto" w:fill="auto"/>
            <w:vAlign w:val="center"/>
          </w:tcPr>
          <w:p w14:paraId="3B8E7BCD">
            <w:pPr>
              <w:widowControl/>
              <w:jc w:val="center"/>
              <w:rPr>
                <w:color w:val="000000"/>
                <w:kern w:val="0"/>
                <w:szCs w:val="21"/>
              </w:rPr>
            </w:pPr>
            <w:r>
              <w:rPr>
                <w:color w:val="000000"/>
                <w:kern w:val="0"/>
                <w:szCs w:val="21"/>
              </w:rPr>
              <w:t>企业层</w:t>
            </w:r>
          </w:p>
        </w:tc>
        <w:tc>
          <w:tcPr>
            <w:tcW w:w="2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15AFE7">
            <w:pPr>
              <w:widowControl/>
              <w:jc w:val="center"/>
              <w:rPr>
                <w:color w:val="000000"/>
                <w:kern w:val="0"/>
                <w:szCs w:val="21"/>
              </w:rPr>
            </w:pPr>
            <w:r>
              <w:rPr>
                <w:color w:val="000000"/>
                <w:kern w:val="0"/>
                <w:szCs w:val="21"/>
              </w:rPr>
              <w:t>质量保证</w:t>
            </w:r>
          </w:p>
        </w:tc>
        <w:tc>
          <w:tcPr>
            <w:tcW w:w="790" w:type="pct"/>
            <w:vMerge w:val="restart"/>
            <w:tcBorders>
              <w:top w:val="nil"/>
              <w:left w:val="single" w:color="auto" w:sz="4" w:space="0"/>
              <w:bottom w:val="single" w:color="000000" w:sz="8" w:space="0"/>
              <w:right w:val="single" w:color="auto" w:sz="8" w:space="0"/>
            </w:tcBorders>
            <w:shd w:val="clear" w:color="auto" w:fill="auto"/>
            <w:vAlign w:val="center"/>
          </w:tcPr>
          <w:p w14:paraId="3434751A">
            <w:pPr>
              <w:widowControl/>
              <w:jc w:val="center"/>
              <w:rPr>
                <w:color w:val="000000"/>
                <w:kern w:val="0"/>
                <w:szCs w:val="21"/>
              </w:rPr>
            </w:pPr>
            <w:r>
              <w:rPr>
                <w:rFonts w:hint="eastAsia"/>
                <w:color w:val="000000"/>
                <w:kern w:val="0"/>
                <w:szCs w:val="21"/>
              </w:rPr>
              <w:t>生产装备水平</w:t>
            </w:r>
            <w:r>
              <w:rPr>
                <w:color w:val="000000"/>
                <w:kern w:val="0"/>
                <w:szCs w:val="21"/>
              </w:rPr>
              <w:br w:type="textWrapping"/>
            </w:r>
          </w:p>
        </w:tc>
        <w:tc>
          <w:tcPr>
            <w:tcW w:w="1770" w:type="pct"/>
            <w:tcBorders>
              <w:top w:val="nil"/>
              <w:left w:val="nil"/>
              <w:bottom w:val="single" w:color="auto" w:sz="8" w:space="0"/>
              <w:right w:val="single" w:color="auto" w:sz="8" w:space="0"/>
            </w:tcBorders>
            <w:shd w:val="clear" w:color="auto" w:fill="auto"/>
            <w:vAlign w:val="center"/>
          </w:tcPr>
          <w:p w14:paraId="24AA5BF6">
            <w:pPr>
              <w:widowControl/>
              <w:jc w:val="left"/>
              <w:rPr>
                <w:color w:val="000000"/>
                <w:kern w:val="0"/>
                <w:szCs w:val="21"/>
              </w:rPr>
            </w:pPr>
            <w:r>
              <w:rPr>
                <w:rFonts w:hint="eastAsia"/>
                <w:color w:val="000000"/>
                <w:kern w:val="0"/>
                <w:szCs w:val="21"/>
              </w:rPr>
              <w:t>基本水平：企业应配备转炉或电弧炉、</w:t>
            </w:r>
            <w:r>
              <w:rPr>
                <w:color w:val="000000"/>
                <w:kern w:val="0"/>
                <w:szCs w:val="21"/>
              </w:rPr>
              <w:t>LF</w:t>
            </w:r>
            <w:r>
              <w:rPr>
                <w:rFonts w:hint="eastAsia"/>
                <w:color w:val="000000"/>
                <w:kern w:val="0"/>
                <w:szCs w:val="21"/>
              </w:rPr>
              <w:t>精炼炉</w:t>
            </w:r>
            <w:r>
              <w:rPr>
                <w:rFonts w:hint="eastAsia"/>
                <w:color w:val="000000"/>
                <w:kern w:val="0"/>
                <w:szCs w:val="21"/>
                <w:lang w:eastAsia="zh-CN"/>
              </w:rPr>
              <w:t>、</w:t>
            </w:r>
            <w:r>
              <w:rPr>
                <w:rFonts w:hint="eastAsia"/>
                <w:color w:val="000000"/>
                <w:kern w:val="0"/>
                <w:szCs w:val="21"/>
              </w:rPr>
              <w:t>连铸机、加热炉、高速轧机等生产设备</w:t>
            </w:r>
          </w:p>
        </w:tc>
        <w:tc>
          <w:tcPr>
            <w:tcW w:w="789" w:type="pct"/>
            <w:tcBorders>
              <w:top w:val="nil"/>
              <w:left w:val="nil"/>
              <w:bottom w:val="single" w:color="auto" w:sz="8" w:space="0"/>
              <w:right w:val="single" w:color="auto" w:sz="8" w:space="0"/>
            </w:tcBorders>
            <w:shd w:val="clear" w:color="auto" w:fill="auto"/>
            <w:vAlign w:val="center"/>
          </w:tcPr>
          <w:p w14:paraId="6A1C7E1A">
            <w:pPr>
              <w:widowControl/>
              <w:jc w:val="center"/>
              <w:rPr>
                <w:color w:val="000000"/>
                <w:kern w:val="0"/>
                <w:szCs w:val="21"/>
              </w:rPr>
            </w:pPr>
            <w:r>
              <w:rPr>
                <w:color w:val="000000"/>
                <w:kern w:val="0"/>
                <w:szCs w:val="21"/>
              </w:rPr>
              <w:t>1</w:t>
            </w:r>
          </w:p>
        </w:tc>
        <w:tc>
          <w:tcPr>
            <w:tcW w:w="506" w:type="pct"/>
            <w:vMerge w:val="restart"/>
            <w:tcBorders>
              <w:top w:val="nil"/>
              <w:left w:val="single" w:color="auto" w:sz="8" w:space="0"/>
              <w:bottom w:val="single" w:color="000000" w:sz="8" w:space="0"/>
              <w:right w:val="single" w:color="auto" w:sz="8" w:space="0"/>
            </w:tcBorders>
            <w:shd w:val="clear" w:color="auto" w:fill="auto"/>
            <w:vAlign w:val="center"/>
          </w:tcPr>
          <w:p w14:paraId="2E29CA8C">
            <w:pPr>
              <w:widowControl/>
              <w:jc w:val="center"/>
              <w:rPr>
                <w:rFonts w:hint="eastAsia" w:eastAsia="宋体"/>
                <w:color w:val="000000"/>
                <w:kern w:val="0"/>
                <w:szCs w:val="21"/>
                <w:lang w:eastAsia="zh-CN"/>
              </w:rPr>
            </w:pPr>
            <w:r>
              <w:rPr>
                <w:rFonts w:hint="eastAsia"/>
                <w:color w:val="000000"/>
                <w:kern w:val="0"/>
                <w:szCs w:val="21"/>
                <w:lang w:val="en-US" w:eastAsia="zh-CN"/>
              </w:rPr>
              <w:t>5</w:t>
            </w:r>
          </w:p>
        </w:tc>
        <w:tc>
          <w:tcPr>
            <w:tcW w:w="635" w:type="pct"/>
            <w:vMerge w:val="restart"/>
            <w:tcBorders>
              <w:top w:val="nil"/>
              <w:left w:val="single" w:color="auto" w:sz="8" w:space="0"/>
              <w:bottom w:val="single" w:color="000000" w:sz="8" w:space="0"/>
              <w:right w:val="single" w:color="auto" w:sz="8" w:space="0"/>
            </w:tcBorders>
            <w:shd w:val="clear" w:color="auto" w:fill="auto"/>
            <w:vAlign w:val="center"/>
          </w:tcPr>
          <w:p w14:paraId="15946E09">
            <w:pPr>
              <w:widowControl/>
              <w:jc w:val="center"/>
              <w:rPr>
                <w:color w:val="000000"/>
                <w:kern w:val="0"/>
                <w:szCs w:val="21"/>
              </w:rPr>
            </w:pPr>
            <w:r>
              <w:rPr>
                <w:color w:val="000000"/>
                <w:kern w:val="0"/>
                <w:szCs w:val="21"/>
              </w:rPr>
              <w:t>若存在《产业结构调整指导目录》限制类装备，此项0分</w:t>
            </w:r>
          </w:p>
        </w:tc>
      </w:tr>
      <w:tr w14:paraId="34E82856">
        <w:tblPrEx>
          <w:tblCellMar>
            <w:top w:w="0" w:type="dxa"/>
            <w:left w:w="108" w:type="dxa"/>
            <w:bottom w:w="0" w:type="dxa"/>
            <w:right w:w="108" w:type="dxa"/>
          </w:tblCellMar>
        </w:tblPrEx>
        <w:trPr>
          <w:trHeight w:val="20" w:hRule="atLeast"/>
        </w:trPr>
        <w:tc>
          <w:tcPr>
            <w:tcW w:w="218" w:type="pct"/>
            <w:vMerge w:val="continue"/>
            <w:tcBorders>
              <w:top w:val="nil"/>
              <w:left w:val="single" w:color="auto" w:sz="8" w:space="0"/>
              <w:bottom w:val="single" w:color="000000" w:sz="8" w:space="0"/>
              <w:right w:val="single" w:color="auto" w:sz="4" w:space="0"/>
            </w:tcBorders>
            <w:vAlign w:val="center"/>
          </w:tcPr>
          <w:p w14:paraId="44CA9579">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6FDA542C">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782E7F23">
            <w:pPr>
              <w:widowControl/>
              <w:jc w:val="left"/>
              <w:rPr>
                <w:color w:val="000000"/>
                <w:kern w:val="0"/>
                <w:szCs w:val="21"/>
              </w:rPr>
            </w:pPr>
          </w:p>
        </w:tc>
        <w:tc>
          <w:tcPr>
            <w:tcW w:w="1770" w:type="pct"/>
            <w:tcBorders>
              <w:top w:val="nil"/>
              <w:left w:val="nil"/>
              <w:bottom w:val="single" w:color="auto" w:sz="8" w:space="0"/>
              <w:right w:val="single" w:color="auto" w:sz="8" w:space="0"/>
            </w:tcBorders>
            <w:shd w:val="clear" w:color="auto" w:fill="auto"/>
            <w:vAlign w:val="center"/>
          </w:tcPr>
          <w:p w14:paraId="4317911A">
            <w:pPr>
              <w:widowControl/>
              <w:jc w:val="left"/>
              <w:rPr>
                <w:color w:val="000000"/>
                <w:kern w:val="0"/>
                <w:szCs w:val="21"/>
              </w:rPr>
            </w:pPr>
            <w:r>
              <w:rPr>
                <w:rFonts w:hint="eastAsia"/>
                <w:color w:val="000000"/>
                <w:kern w:val="0"/>
                <w:szCs w:val="21"/>
              </w:rPr>
              <w:t>先进水平：除基本水平外，企业</w:t>
            </w:r>
            <w:r>
              <w:rPr>
                <w:rFonts w:hint="eastAsia"/>
                <w:kern w:val="0"/>
                <w:szCs w:val="21"/>
              </w:rPr>
              <w:t>配备</w:t>
            </w:r>
            <w:r>
              <w:rPr>
                <w:rFonts w:ascii="宋体" w:hAnsi="宋体" w:cs="宋体"/>
                <w:szCs w:val="21"/>
              </w:rPr>
              <w:t>KR铁水预处理</w:t>
            </w:r>
            <w:r>
              <w:rPr>
                <w:rFonts w:hint="eastAsia" w:ascii="宋体" w:hAnsi="宋体" w:cs="宋体"/>
                <w:szCs w:val="21"/>
              </w:rPr>
              <w:t>、</w:t>
            </w:r>
            <w:r>
              <w:rPr>
                <w:rFonts w:hint="eastAsia"/>
                <w:kern w:val="0"/>
                <w:szCs w:val="21"/>
              </w:rPr>
              <w:t xml:space="preserve"> </w:t>
            </w:r>
            <w:r>
              <w:rPr>
                <w:kern w:val="0"/>
                <w:szCs w:val="21"/>
              </w:rPr>
              <w:t>RH</w:t>
            </w:r>
            <w:r>
              <w:rPr>
                <w:rFonts w:hint="eastAsia"/>
                <w:kern w:val="0"/>
                <w:szCs w:val="21"/>
              </w:rPr>
              <w:t>炉</w:t>
            </w:r>
            <w:r>
              <w:rPr>
                <w:rFonts w:hint="eastAsia"/>
                <w:kern w:val="0"/>
                <w:szCs w:val="21"/>
                <w:lang w:val="en-US" w:eastAsia="zh-CN"/>
              </w:rPr>
              <w:t>/VD炉</w:t>
            </w:r>
            <w:r>
              <w:rPr>
                <w:rFonts w:hint="eastAsia"/>
                <w:kern w:val="0"/>
                <w:szCs w:val="21"/>
              </w:rPr>
              <w:t>、斯太尔摩风冷线、蓄热加热炉</w:t>
            </w:r>
          </w:p>
        </w:tc>
        <w:tc>
          <w:tcPr>
            <w:tcW w:w="789" w:type="pct"/>
            <w:tcBorders>
              <w:top w:val="nil"/>
              <w:left w:val="nil"/>
              <w:bottom w:val="single" w:color="auto" w:sz="8" w:space="0"/>
              <w:right w:val="single" w:color="auto" w:sz="8" w:space="0"/>
            </w:tcBorders>
            <w:shd w:val="clear" w:color="auto" w:fill="auto"/>
            <w:vAlign w:val="center"/>
          </w:tcPr>
          <w:p w14:paraId="5552B62E">
            <w:pPr>
              <w:widowControl/>
              <w:jc w:val="center"/>
              <w:rPr>
                <w:color w:val="000000"/>
                <w:kern w:val="0"/>
                <w:szCs w:val="21"/>
              </w:rPr>
            </w:pPr>
            <w:r>
              <w:rPr>
                <w:rFonts w:hint="eastAsia"/>
                <w:color w:val="000000"/>
                <w:kern w:val="0"/>
                <w:szCs w:val="21"/>
              </w:rPr>
              <w:t>每项加</w:t>
            </w:r>
            <w:r>
              <w:rPr>
                <w:color w:val="000000"/>
                <w:kern w:val="0"/>
                <w:szCs w:val="21"/>
              </w:rPr>
              <w:t>1</w:t>
            </w:r>
            <w:r>
              <w:rPr>
                <w:rFonts w:hint="eastAsia"/>
                <w:color w:val="000000"/>
                <w:kern w:val="0"/>
                <w:szCs w:val="21"/>
              </w:rPr>
              <w:t>分，最多</w:t>
            </w:r>
            <w:r>
              <w:rPr>
                <w:rFonts w:hint="eastAsia"/>
                <w:color w:val="000000"/>
                <w:kern w:val="0"/>
                <w:szCs w:val="21"/>
                <w:lang w:val="en-US" w:eastAsia="zh-CN"/>
              </w:rPr>
              <w:t>5</w:t>
            </w:r>
            <w:r>
              <w:rPr>
                <w:rFonts w:hint="eastAsia"/>
                <w:color w:val="000000"/>
                <w:kern w:val="0"/>
                <w:szCs w:val="21"/>
              </w:rPr>
              <w:t>分</w:t>
            </w:r>
          </w:p>
        </w:tc>
        <w:tc>
          <w:tcPr>
            <w:tcW w:w="506" w:type="pct"/>
            <w:vMerge w:val="continue"/>
            <w:tcBorders>
              <w:top w:val="nil"/>
              <w:left w:val="single" w:color="auto" w:sz="8" w:space="0"/>
              <w:bottom w:val="single" w:color="000000" w:sz="8" w:space="0"/>
              <w:right w:val="single" w:color="auto" w:sz="8" w:space="0"/>
            </w:tcBorders>
            <w:vAlign w:val="center"/>
          </w:tcPr>
          <w:p w14:paraId="26E2AD49">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244106E2">
            <w:pPr>
              <w:widowControl/>
              <w:jc w:val="left"/>
              <w:rPr>
                <w:color w:val="000000"/>
                <w:kern w:val="0"/>
                <w:szCs w:val="21"/>
              </w:rPr>
            </w:pPr>
          </w:p>
        </w:tc>
      </w:tr>
      <w:tr w14:paraId="554D708F">
        <w:tblPrEx>
          <w:tblCellMar>
            <w:top w:w="0" w:type="dxa"/>
            <w:left w:w="108" w:type="dxa"/>
            <w:bottom w:w="0" w:type="dxa"/>
            <w:right w:w="108" w:type="dxa"/>
          </w:tblCellMar>
        </w:tblPrEx>
        <w:trPr>
          <w:trHeight w:val="525" w:hRule="atLeast"/>
        </w:trPr>
        <w:tc>
          <w:tcPr>
            <w:tcW w:w="218" w:type="pct"/>
            <w:vMerge w:val="continue"/>
            <w:tcBorders>
              <w:top w:val="nil"/>
              <w:left w:val="single" w:color="auto" w:sz="8" w:space="0"/>
              <w:bottom w:val="single" w:color="000000" w:sz="8" w:space="0"/>
              <w:right w:val="single" w:color="auto" w:sz="4" w:space="0"/>
            </w:tcBorders>
            <w:vAlign w:val="center"/>
          </w:tcPr>
          <w:p w14:paraId="719965C3">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2D714993">
            <w:pPr>
              <w:widowControl/>
              <w:jc w:val="left"/>
              <w:rPr>
                <w:color w:val="000000"/>
                <w:kern w:val="0"/>
                <w:szCs w:val="21"/>
              </w:rPr>
            </w:pPr>
          </w:p>
        </w:tc>
        <w:tc>
          <w:tcPr>
            <w:tcW w:w="790" w:type="pct"/>
            <w:vMerge w:val="restart"/>
            <w:tcBorders>
              <w:top w:val="nil"/>
              <w:left w:val="single" w:color="auto" w:sz="4" w:space="0"/>
              <w:bottom w:val="single" w:color="000000" w:sz="8" w:space="0"/>
              <w:right w:val="single" w:color="auto" w:sz="8" w:space="0"/>
            </w:tcBorders>
            <w:shd w:val="clear" w:color="auto" w:fill="auto"/>
            <w:vAlign w:val="center"/>
          </w:tcPr>
          <w:p w14:paraId="3F10D82A">
            <w:pPr>
              <w:widowControl/>
              <w:jc w:val="center"/>
              <w:rPr>
                <w:color w:val="000000"/>
                <w:kern w:val="0"/>
                <w:szCs w:val="21"/>
              </w:rPr>
            </w:pPr>
            <w:r>
              <w:rPr>
                <w:color w:val="000000"/>
                <w:kern w:val="0"/>
                <w:szCs w:val="21"/>
              </w:rPr>
              <w:t>检验检测能力</w:t>
            </w:r>
          </w:p>
        </w:tc>
        <w:tc>
          <w:tcPr>
            <w:tcW w:w="1770" w:type="pct"/>
            <w:tcBorders>
              <w:top w:val="nil"/>
              <w:left w:val="nil"/>
              <w:bottom w:val="single" w:color="auto" w:sz="8" w:space="0"/>
              <w:right w:val="single" w:color="auto" w:sz="8" w:space="0"/>
            </w:tcBorders>
            <w:shd w:val="clear" w:color="auto" w:fill="auto"/>
            <w:vAlign w:val="center"/>
          </w:tcPr>
          <w:p w14:paraId="1BDD9EB8">
            <w:pPr>
              <w:widowControl/>
              <w:rPr>
                <w:color w:val="000000"/>
                <w:kern w:val="0"/>
                <w:szCs w:val="21"/>
              </w:rPr>
            </w:pPr>
            <w:r>
              <w:rPr>
                <w:szCs w:val="21"/>
              </w:rPr>
              <w:t>检化验装备满足产品生产研发需求，配备有完备的检验检测设备和人员。个别型式检验项目委托外部检验</w:t>
            </w:r>
          </w:p>
        </w:tc>
        <w:tc>
          <w:tcPr>
            <w:tcW w:w="789" w:type="pct"/>
            <w:tcBorders>
              <w:top w:val="nil"/>
              <w:left w:val="nil"/>
              <w:bottom w:val="single" w:color="auto" w:sz="8" w:space="0"/>
              <w:right w:val="single" w:color="auto" w:sz="8" w:space="0"/>
            </w:tcBorders>
            <w:shd w:val="clear" w:color="auto" w:fill="auto"/>
            <w:vAlign w:val="center"/>
          </w:tcPr>
          <w:p w14:paraId="15FED6C2">
            <w:pPr>
              <w:widowControl/>
              <w:jc w:val="center"/>
              <w:rPr>
                <w:color w:val="000000"/>
                <w:kern w:val="0"/>
                <w:szCs w:val="21"/>
              </w:rPr>
            </w:pPr>
            <w:r>
              <w:rPr>
                <w:color w:val="000000"/>
                <w:kern w:val="0"/>
                <w:szCs w:val="21"/>
              </w:rPr>
              <w:t>1</w:t>
            </w:r>
          </w:p>
        </w:tc>
        <w:tc>
          <w:tcPr>
            <w:tcW w:w="506" w:type="pct"/>
            <w:vMerge w:val="restart"/>
            <w:tcBorders>
              <w:top w:val="nil"/>
              <w:left w:val="single" w:color="auto" w:sz="8" w:space="0"/>
              <w:bottom w:val="single" w:color="000000" w:sz="8" w:space="0"/>
              <w:right w:val="single" w:color="auto" w:sz="8" w:space="0"/>
            </w:tcBorders>
            <w:shd w:val="clear" w:color="auto" w:fill="auto"/>
            <w:vAlign w:val="center"/>
          </w:tcPr>
          <w:p w14:paraId="301E0D0C">
            <w:pPr>
              <w:widowControl/>
              <w:jc w:val="center"/>
              <w:rPr>
                <w:color w:val="000000"/>
                <w:kern w:val="0"/>
                <w:szCs w:val="21"/>
              </w:rPr>
            </w:pPr>
            <w:r>
              <w:rPr>
                <w:color w:val="000000"/>
                <w:kern w:val="0"/>
                <w:szCs w:val="21"/>
              </w:rPr>
              <w:t>3</w:t>
            </w:r>
          </w:p>
        </w:tc>
        <w:tc>
          <w:tcPr>
            <w:tcW w:w="635" w:type="pct"/>
            <w:vMerge w:val="restart"/>
            <w:tcBorders>
              <w:top w:val="nil"/>
              <w:left w:val="single" w:color="auto" w:sz="8" w:space="0"/>
              <w:bottom w:val="single" w:color="000000" w:sz="8" w:space="0"/>
              <w:right w:val="single" w:color="auto" w:sz="8" w:space="0"/>
            </w:tcBorders>
            <w:shd w:val="clear" w:color="auto" w:fill="auto"/>
            <w:vAlign w:val="center"/>
          </w:tcPr>
          <w:p w14:paraId="79EEA645">
            <w:pPr>
              <w:widowControl/>
              <w:jc w:val="center"/>
              <w:rPr>
                <w:color w:val="000000"/>
                <w:kern w:val="0"/>
                <w:szCs w:val="21"/>
              </w:rPr>
            </w:pPr>
            <w:r>
              <w:rPr>
                <w:color w:val="000000"/>
                <w:kern w:val="0"/>
                <w:szCs w:val="21"/>
              </w:rPr>
              <w:t>　</w:t>
            </w:r>
          </w:p>
        </w:tc>
      </w:tr>
      <w:tr w14:paraId="598CFE84">
        <w:tblPrEx>
          <w:tblCellMar>
            <w:top w:w="0" w:type="dxa"/>
            <w:left w:w="108" w:type="dxa"/>
            <w:bottom w:w="0" w:type="dxa"/>
            <w:right w:w="108" w:type="dxa"/>
          </w:tblCellMar>
        </w:tblPrEx>
        <w:trPr>
          <w:trHeight w:val="795" w:hRule="atLeast"/>
        </w:trPr>
        <w:tc>
          <w:tcPr>
            <w:tcW w:w="218" w:type="pct"/>
            <w:vMerge w:val="continue"/>
            <w:tcBorders>
              <w:top w:val="nil"/>
              <w:left w:val="single" w:color="auto" w:sz="8" w:space="0"/>
              <w:bottom w:val="single" w:color="000000" w:sz="8" w:space="0"/>
              <w:right w:val="single" w:color="auto" w:sz="4" w:space="0"/>
            </w:tcBorders>
            <w:vAlign w:val="center"/>
          </w:tcPr>
          <w:p w14:paraId="37AB2A5A">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28263E49">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1477D045">
            <w:pPr>
              <w:widowControl/>
              <w:jc w:val="left"/>
              <w:rPr>
                <w:color w:val="000000"/>
                <w:kern w:val="0"/>
                <w:szCs w:val="21"/>
              </w:rPr>
            </w:pPr>
          </w:p>
        </w:tc>
        <w:tc>
          <w:tcPr>
            <w:tcW w:w="1770" w:type="pct"/>
            <w:tcBorders>
              <w:top w:val="nil"/>
              <w:left w:val="nil"/>
              <w:bottom w:val="single" w:color="auto" w:sz="8" w:space="0"/>
              <w:right w:val="single" w:color="auto" w:sz="8" w:space="0"/>
            </w:tcBorders>
            <w:shd w:val="clear" w:color="auto" w:fill="auto"/>
            <w:vAlign w:val="center"/>
          </w:tcPr>
          <w:p w14:paraId="2321C0DB">
            <w:pPr>
              <w:widowControl/>
              <w:rPr>
                <w:color w:val="000000"/>
                <w:kern w:val="0"/>
                <w:szCs w:val="21"/>
              </w:rPr>
            </w:pPr>
            <w:r>
              <w:rPr>
                <w:szCs w:val="21"/>
              </w:rPr>
              <w:t xml:space="preserve">检化验装备满足产品生产研发需求，配备有完备的检验检测设备和人员，检测实验室通过CNAS认可 </w:t>
            </w:r>
          </w:p>
        </w:tc>
        <w:tc>
          <w:tcPr>
            <w:tcW w:w="789" w:type="pct"/>
            <w:tcBorders>
              <w:top w:val="nil"/>
              <w:left w:val="nil"/>
              <w:bottom w:val="single" w:color="auto" w:sz="8" w:space="0"/>
              <w:right w:val="single" w:color="auto" w:sz="8" w:space="0"/>
            </w:tcBorders>
            <w:shd w:val="clear" w:color="auto" w:fill="auto"/>
            <w:vAlign w:val="center"/>
          </w:tcPr>
          <w:p w14:paraId="7DAFF2FD">
            <w:pPr>
              <w:widowControl/>
              <w:jc w:val="center"/>
              <w:rPr>
                <w:color w:val="000000"/>
                <w:kern w:val="0"/>
                <w:szCs w:val="21"/>
              </w:rPr>
            </w:pPr>
            <w:r>
              <w:rPr>
                <w:color w:val="000000"/>
                <w:kern w:val="0"/>
                <w:szCs w:val="21"/>
              </w:rPr>
              <w:t>2</w:t>
            </w:r>
          </w:p>
        </w:tc>
        <w:tc>
          <w:tcPr>
            <w:tcW w:w="506" w:type="pct"/>
            <w:vMerge w:val="continue"/>
            <w:tcBorders>
              <w:top w:val="nil"/>
              <w:left w:val="single" w:color="auto" w:sz="8" w:space="0"/>
              <w:bottom w:val="single" w:color="000000" w:sz="8" w:space="0"/>
              <w:right w:val="single" w:color="auto" w:sz="8" w:space="0"/>
            </w:tcBorders>
            <w:vAlign w:val="center"/>
          </w:tcPr>
          <w:p w14:paraId="2D0FC06E">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5D8C70EA">
            <w:pPr>
              <w:widowControl/>
              <w:jc w:val="left"/>
              <w:rPr>
                <w:color w:val="000000"/>
                <w:kern w:val="0"/>
                <w:szCs w:val="21"/>
              </w:rPr>
            </w:pPr>
          </w:p>
        </w:tc>
      </w:tr>
      <w:tr w14:paraId="310E55F5">
        <w:tblPrEx>
          <w:tblCellMar>
            <w:top w:w="0" w:type="dxa"/>
            <w:left w:w="108" w:type="dxa"/>
            <w:bottom w:w="0" w:type="dxa"/>
            <w:right w:w="108" w:type="dxa"/>
          </w:tblCellMar>
        </w:tblPrEx>
        <w:trPr>
          <w:trHeight w:val="810" w:hRule="atLeast"/>
        </w:trPr>
        <w:tc>
          <w:tcPr>
            <w:tcW w:w="218" w:type="pct"/>
            <w:vMerge w:val="continue"/>
            <w:tcBorders>
              <w:top w:val="nil"/>
              <w:left w:val="single" w:color="auto" w:sz="8" w:space="0"/>
              <w:bottom w:val="single" w:color="000000" w:sz="8" w:space="0"/>
              <w:right w:val="single" w:color="auto" w:sz="4" w:space="0"/>
            </w:tcBorders>
            <w:vAlign w:val="center"/>
          </w:tcPr>
          <w:p w14:paraId="005BEDAA">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304C6FA3">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01FB8E7E">
            <w:pPr>
              <w:widowControl/>
              <w:jc w:val="left"/>
              <w:rPr>
                <w:color w:val="000000"/>
                <w:kern w:val="0"/>
                <w:szCs w:val="21"/>
              </w:rPr>
            </w:pPr>
          </w:p>
        </w:tc>
        <w:tc>
          <w:tcPr>
            <w:tcW w:w="1770" w:type="pct"/>
            <w:tcBorders>
              <w:top w:val="nil"/>
              <w:left w:val="nil"/>
              <w:bottom w:val="single" w:color="auto" w:sz="8" w:space="0"/>
              <w:right w:val="single" w:color="auto" w:sz="8" w:space="0"/>
            </w:tcBorders>
            <w:shd w:val="clear" w:color="auto" w:fill="auto"/>
            <w:vAlign w:val="center"/>
          </w:tcPr>
          <w:p w14:paraId="1FF92A8E">
            <w:pPr>
              <w:widowControl/>
              <w:rPr>
                <w:color w:val="000000"/>
                <w:kern w:val="0"/>
                <w:szCs w:val="21"/>
              </w:rPr>
            </w:pPr>
            <w:r>
              <w:rPr>
                <w:szCs w:val="21"/>
              </w:rPr>
              <w:t>检化验装备满足产品生产研发需求，配备有完备的检验检测设备和人员，具有一定的自动化智能化检测能力，检测实验室通过CMA认定、CNAS认可</w:t>
            </w:r>
          </w:p>
        </w:tc>
        <w:tc>
          <w:tcPr>
            <w:tcW w:w="789" w:type="pct"/>
            <w:tcBorders>
              <w:top w:val="nil"/>
              <w:left w:val="nil"/>
              <w:bottom w:val="single" w:color="auto" w:sz="8" w:space="0"/>
              <w:right w:val="single" w:color="auto" w:sz="8" w:space="0"/>
            </w:tcBorders>
            <w:shd w:val="clear" w:color="auto" w:fill="auto"/>
            <w:vAlign w:val="center"/>
          </w:tcPr>
          <w:p w14:paraId="6B04CC96">
            <w:pPr>
              <w:widowControl/>
              <w:jc w:val="center"/>
              <w:rPr>
                <w:color w:val="000000"/>
                <w:kern w:val="0"/>
                <w:szCs w:val="21"/>
              </w:rPr>
            </w:pPr>
            <w:r>
              <w:rPr>
                <w:color w:val="000000"/>
                <w:kern w:val="0"/>
                <w:szCs w:val="21"/>
              </w:rPr>
              <w:t>3</w:t>
            </w:r>
          </w:p>
        </w:tc>
        <w:tc>
          <w:tcPr>
            <w:tcW w:w="506" w:type="pct"/>
            <w:vMerge w:val="continue"/>
            <w:tcBorders>
              <w:top w:val="nil"/>
              <w:left w:val="single" w:color="auto" w:sz="8" w:space="0"/>
              <w:bottom w:val="single" w:color="000000" w:sz="8" w:space="0"/>
              <w:right w:val="single" w:color="auto" w:sz="8" w:space="0"/>
            </w:tcBorders>
            <w:vAlign w:val="center"/>
          </w:tcPr>
          <w:p w14:paraId="68A31B74">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363EF76D">
            <w:pPr>
              <w:widowControl/>
              <w:jc w:val="left"/>
              <w:rPr>
                <w:color w:val="000000"/>
                <w:kern w:val="0"/>
                <w:szCs w:val="21"/>
              </w:rPr>
            </w:pPr>
          </w:p>
        </w:tc>
      </w:tr>
      <w:tr w14:paraId="0F3C2CFC">
        <w:tblPrEx>
          <w:tblCellMar>
            <w:top w:w="0" w:type="dxa"/>
            <w:left w:w="108" w:type="dxa"/>
            <w:bottom w:w="0" w:type="dxa"/>
            <w:right w:w="108" w:type="dxa"/>
          </w:tblCellMar>
        </w:tblPrEx>
        <w:trPr>
          <w:trHeight w:val="555" w:hRule="atLeast"/>
        </w:trPr>
        <w:tc>
          <w:tcPr>
            <w:tcW w:w="218" w:type="pct"/>
            <w:vMerge w:val="continue"/>
            <w:tcBorders>
              <w:top w:val="nil"/>
              <w:left w:val="single" w:color="auto" w:sz="8" w:space="0"/>
              <w:bottom w:val="single" w:color="000000" w:sz="8" w:space="0"/>
              <w:right w:val="single" w:color="auto" w:sz="4" w:space="0"/>
            </w:tcBorders>
            <w:vAlign w:val="center"/>
          </w:tcPr>
          <w:p w14:paraId="7A952B95">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747D2AF4">
            <w:pPr>
              <w:widowControl/>
              <w:jc w:val="left"/>
              <w:rPr>
                <w:color w:val="000000"/>
                <w:kern w:val="0"/>
                <w:szCs w:val="21"/>
              </w:rPr>
            </w:pPr>
          </w:p>
        </w:tc>
        <w:tc>
          <w:tcPr>
            <w:tcW w:w="790" w:type="pct"/>
            <w:tcBorders>
              <w:top w:val="nil"/>
              <w:left w:val="single" w:color="auto" w:sz="4" w:space="0"/>
              <w:bottom w:val="single" w:color="auto" w:sz="8" w:space="0"/>
              <w:right w:val="single" w:color="auto" w:sz="8" w:space="0"/>
            </w:tcBorders>
            <w:shd w:val="clear" w:color="auto" w:fill="auto"/>
            <w:vAlign w:val="center"/>
          </w:tcPr>
          <w:p w14:paraId="6A2D295C">
            <w:pPr>
              <w:widowControl/>
              <w:jc w:val="center"/>
              <w:rPr>
                <w:color w:val="000000"/>
                <w:kern w:val="0"/>
                <w:szCs w:val="21"/>
              </w:rPr>
            </w:pPr>
            <w:r>
              <w:rPr>
                <w:color w:val="000000"/>
                <w:kern w:val="0"/>
                <w:szCs w:val="21"/>
              </w:rPr>
              <w:t>体系保证</w:t>
            </w:r>
          </w:p>
        </w:tc>
        <w:tc>
          <w:tcPr>
            <w:tcW w:w="1770" w:type="pct"/>
            <w:tcBorders>
              <w:top w:val="nil"/>
              <w:left w:val="nil"/>
              <w:bottom w:val="single" w:color="auto" w:sz="8" w:space="0"/>
              <w:right w:val="single" w:color="auto" w:sz="8" w:space="0"/>
            </w:tcBorders>
            <w:shd w:val="clear" w:color="auto" w:fill="auto"/>
            <w:vAlign w:val="center"/>
          </w:tcPr>
          <w:p w14:paraId="2B3E2CE7">
            <w:pPr>
              <w:widowControl/>
              <w:jc w:val="center"/>
              <w:rPr>
                <w:color w:val="000000"/>
                <w:kern w:val="0"/>
                <w:szCs w:val="21"/>
              </w:rPr>
            </w:pPr>
            <w:r>
              <w:rPr>
                <w:color w:val="000000"/>
                <w:kern w:val="0"/>
                <w:szCs w:val="21"/>
              </w:rPr>
              <w:t>企业是否通过全面风险管理体系、卓越绩效管理体系、质量管理体系认证、质量管理体系分级认证等</w:t>
            </w:r>
          </w:p>
        </w:tc>
        <w:tc>
          <w:tcPr>
            <w:tcW w:w="789" w:type="pct"/>
            <w:tcBorders>
              <w:top w:val="nil"/>
              <w:left w:val="nil"/>
              <w:bottom w:val="single" w:color="auto" w:sz="8" w:space="0"/>
              <w:right w:val="single" w:color="auto" w:sz="8" w:space="0"/>
            </w:tcBorders>
            <w:shd w:val="clear" w:color="auto" w:fill="auto"/>
            <w:vAlign w:val="center"/>
          </w:tcPr>
          <w:p w14:paraId="74E4A0AE">
            <w:pPr>
              <w:widowControl/>
              <w:jc w:val="center"/>
              <w:rPr>
                <w:color w:val="000000"/>
                <w:kern w:val="0"/>
                <w:szCs w:val="21"/>
              </w:rPr>
            </w:pPr>
            <w:r>
              <w:rPr>
                <w:color w:val="000000"/>
                <w:kern w:val="0"/>
                <w:szCs w:val="21"/>
              </w:rPr>
              <w:t>每项认证1分，最多3分</w:t>
            </w:r>
          </w:p>
        </w:tc>
        <w:tc>
          <w:tcPr>
            <w:tcW w:w="506" w:type="pct"/>
            <w:tcBorders>
              <w:top w:val="nil"/>
              <w:left w:val="nil"/>
              <w:bottom w:val="single" w:color="auto" w:sz="8" w:space="0"/>
              <w:right w:val="single" w:color="auto" w:sz="8" w:space="0"/>
            </w:tcBorders>
            <w:shd w:val="clear" w:color="auto" w:fill="auto"/>
            <w:vAlign w:val="center"/>
          </w:tcPr>
          <w:p w14:paraId="015E5B9B">
            <w:pPr>
              <w:widowControl/>
              <w:jc w:val="center"/>
              <w:rPr>
                <w:color w:val="000000"/>
                <w:kern w:val="0"/>
                <w:szCs w:val="21"/>
              </w:rPr>
            </w:pPr>
            <w:r>
              <w:rPr>
                <w:color w:val="000000"/>
                <w:kern w:val="0"/>
                <w:szCs w:val="21"/>
              </w:rPr>
              <w:t>3</w:t>
            </w:r>
          </w:p>
        </w:tc>
        <w:tc>
          <w:tcPr>
            <w:tcW w:w="635" w:type="pct"/>
            <w:tcBorders>
              <w:top w:val="nil"/>
              <w:left w:val="nil"/>
              <w:bottom w:val="single" w:color="auto" w:sz="8" w:space="0"/>
              <w:right w:val="single" w:color="auto" w:sz="8" w:space="0"/>
            </w:tcBorders>
            <w:shd w:val="clear" w:color="auto" w:fill="auto"/>
            <w:vAlign w:val="center"/>
          </w:tcPr>
          <w:p w14:paraId="0E86D63E">
            <w:pPr>
              <w:widowControl/>
              <w:jc w:val="center"/>
              <w:rPr>
                <w:color w:val="000000"/>
                <w:kern w:val="0"/>
                <w:szCs w:val="21"/>
              </w:rPr>
            </w:pPr>
            <w:r>
              <w:rPr>
                <w:color w:val="000000"/>
                <w:kern w:val="0"/>
                <w:szCs w:val="21"/>
              </w:rPr>
              <w:t>　</w:t>
            </w:r>
          </w:p>
        </w:tc>
      </w:tr>
      <w:tr w14:paraId="62C3BCDE">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2D5D1C88">
            <w:pPr>
              <w:widowControl/>
              <w:jc w:val="left"/>
              <w:rPr>
                <w:color w:val="000000"/>
                <w:kern w:val="0"/>
                <w:szCs w:val="21"/>
              </w:rPr>
            </w:pPr>
          </w:p>
        </w:tc>
        <w:tc>
          <w:tcPr>
            <w:tcW w:w="2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DD4FC5">
            <w:pPr>
              <w:widowControl/>
              <w:jc w:val="center"/>
              <w:rPr>
                <w:color w:val="000000"/>
                <w:kern w:val="0"/>
                <w:szCs w:val="21"/>
              </w:rPr>
            </w:pPr>
            <w:r>
              <w:rPr>
                <w:color w:val="000000"/>
                <w:kern w:val="0"/>
                <w:szCs w:val="21"/>
              </w:rPr>
              <w:t>创新能力</w:t>
            </w:r>
          </w:p>
        </w:tc>
        <w:tc>
          <w:tcPr>
            <w:tcW w:w="790" w:type="pct"/>
            <w:vMerge w:val="restart"/>
            <w:tcBorders>
              <w:top w:val="nil"/>
              <w:left w:val="single" w:color="auto" w:sz="4" w:space="0"/>
              <w:bottom w:val="single" w:color="000000" w:sz="8" w:space="0"/>
              <w:right w:val="single" w:color="auto" w:sz="8" w:space="0"/>
            </w:tcBorders>
            <w:shd w:val="clear" w:color="auto" w:fill="auto"/>
            <w:vAlign w:val="center"/>
          </w:tcPr>
          <w:p w14:paraId="750F8E6B">
            <w:pPr>
              <w:widowControl/>
              <w:jc w:val="center"/>
              <w:rPr>
                <w:color w:val="000000"/>
                <w:kern w:val="0"/>
                <w:szCs w:val="21"/>
              </w:rPr>
            </w:pPr>
            <w:r>
              <w:rPr>
                <w:color w:val="000000"/>
                <w:kern w:val="0"/>
                <w:szCs w:val="21"/>
              </w:rPr>
              <w:t>企业技术中心等级</w:t>
            </w:r>
          </w:p>
        </w:tc>
        <w:tc>
          <w:tcPr>
            <w:tcW w:w="1770" w:type="pct"/>
            <w:tcBorders>
              <w:top w:val="nil"/>
              <w:left w:val="nil"/>
              <w:bottom w:val="single" w:color="auto" w:sz="8" w:space="0"/>
              <w:right w:val="single" w:color="auto" w:sz="8" w:space="0"/>
            </w:tcBorders>
            <w:shd w:val="clear" w:color="auto" w:fill="auto"/>
            <w:vAlign w:val="center"/>
          </w:tcPr>
          <w:p w14:paraId="05375444">
            <w:pPr>
              <w:widowControl/>
              <w:jc w:val="center"/>
              <w:rPr>
                <w:color w:val="000000"/>
                <w:kern w:val="0"/>
                <w:szCs w:val="21"/>
              </w:rPr>
            </w:pPr>
            <w:r>
              <w:rPr>
                <w:color w:val="000000"/>
                <w:kern w:val="0"/>
                <w:szCs w:val="21"/>
              </w:rPr>
              <w:t>市级企业技术中心</w:t>
            </w:r>
          </w:p>
        </w:tc>
        <w:tc>
          <w:tcPr>
            <w:tcW w:w="789" w:type="pct"/>
            <w:tcBorders>
              <w:top w:val="nil"/>
              <w:left w:val="nil"/>
              <w:bottom w:val="single" w:color="auto" w:sz="8" w:space="0"/>
              <w:right w:val="single" w:color="auto" w:sz="8" w:space="0"/>
            </w:tcBorders>
            <w:shd w:val="clear" w:color="auto" w:fill="auto"/>
            <w:vAlign w:val="center"/>
          </w:tcPr>
          <w:p w14:paraId="6692BB0D">
            <w:pPr>
              <w:widowControl/>
              <w:jc w:val="center"/>
              <w:rPr>
                <w:color w:val="000000"/>
                <w:kern w:val="0"/>
                <w:szCs w:val="21"/>
              </w:rPr>
            </w:pPr>
            <w:r>
              <w:rPr>
                <w:color w:val="000000"/>
                <w:kern w:val="0"/>
                <w:szCs w:val="21"/>
              </w:rPr>
              <w:t>1</w:t>
            </w:r>
          </w:p>
        </w:tc>
        <w:tc>
          <w:tcPr>
            <w:tcW w:w="506" w:type="pct"/>
            <w:vMerge w:val="restart"/>
            <w:tcBorders>
              <w:top w:val="nil"/>
              <w:left w:val="single" w:color="auto" w:sz="8" w:space="0"/>
              <w:bottom w:val="single" w:color="000000" w:sz="8" w:space="0"/>
              <w:right w:val="single" w:color="auto" w:sz="8" w:space="0"/>
            </w:tcBorders>
            <w:shd w:val="clear" w:color="auto" w:fill="auto"/>
            <w:vAlign w:val="center"/>
          </w:tcPr>
          <w:p w14:paraId="3B337ACC">
            <w:pPr>
              <w:widowControl/>
              <w:jc w:val="center"/>
              <w:rPr>
                <w:color w:val="000000"/>
                <w:kern w:val="0"/>
                <w:szCs w:val="21"/>
              </w:rPr>
            </w:pPr>
            <w:r>
              <w:rPr>
                <w:color w:val="000000"/>
                <w:kern w:val="0"/>
                <w:szCs w:val="21"/>
              </w:rPr>
              <w:t>3</w:t>
            </w:r>
          </w:p>
        </w:tc>
        <w:tc>
          <w:tcPr>
            <w:tcW w:w="635" w:type="pct"/>
            <w:vMerge w:val="restart"/>
            <w:tcBorders>
              <w:top w:val="nil"/>
              <w:left w:val="single" w:color="auto" w:sz="8" w:space="0"/>
              <w:bottom w:val="single" w:color="000000" w:sz="8" w:space="0"/>
              <w:right w:val="single" w:color="auto" w:sz="8" w:space="0"/>
            </w:tcBorders>
            <w:shd w:val="clear" w:color="auto" w:fill="auto"/>
            <w:vAlign w:val="center"/>
          </w:tcPr>
          <w:p w14:paraId="30360F49">
            <w:pPr>
              <w:widowControl/>
              <w:jc w:val="center"/>
              <w:rPr>
                <w:color w:val="000000"/>
                <w:kern w:val="0"/>
                <w:szCs w:val="21"/>
              </w:rPr>
            </w:pPr>
            <w:r>
              <w:rPr>
                <w:color w:val="000000"/>
                <w:kern w:val="0"/>
                <w:szCs w:val="21"/>
              </w:rPr>
              <w:t>　</w:t>
            </w:r>
          </w:p>
        </w:tc>
      </w:tr>
      <w:tr w14:paraId="0AD2467A">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0CF4402F">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6146447E">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56F42C22">
            <w:pPr>
              <w:widowControl/>
              <w:jc w:val="left"/>
              <w:rPr>
                <w:color w:val="000000"/>
                <w:kern w:val="0"/>
                <w:szCs w:val="21"/>
              </w:rPr>
            </w:pPr>
          </w:p>
        </w:tc>
        <w:tc>
          <w:tcPr>
            <w:tcW w:w="1770" w:type="pct"/>
            <w:tcBorders>
              <w:top w:val="nil"/>
              <w:left w:val="nil"/>
              <w:bottom w:val="single" w:color="auto" w:sz="8" w:space="0"/>
              <w:right w:val="single" w:color="auto" w:sz="8" w:space="0"/>
            </w:tcBorders>
            <w:shd w:val="clear" w:color="auto" w:fill="auto"/>
            <w:vAlign w:val="center"/>
          </w:tcPr>
          <w:p w14:paraId="4D405BE7">
            <w:pPr>
              <w:widowControl/>
              <w:jc w:val="center"/>
              <w:rPr>
                <w:color w:val="000000"/>
                <w:kern w:val="0"/>
                <w:szCs w:val="21"/>
              </w:rPr>
            </w:pPr>
            <w:r>
              <w:rPr>
                <w:color w:val="000000"/>
                <w:kern w:val="0"/>
                <w:szCs w:val="21"/>
              </w:rPr>
              <w:t>省级企业技术中心</w:t>
            </w:r>
          </w:p>
        </w:tc>
        <w:tc>
          <w:tcPr>
            <w:tcW w:w="789" w:type="pct"/>
            <w:tcBorders>
              <w:top w:val="nil"/>
              <w:left w:val="nil"/>
              <w:bottom w:val="single" w:color="auto" w:sz="8" w:space="0"/>
              <w:right w:val="single" w:color="auto" w:sz="8" w:space="0"/>
            </w:tcBorders>
            <w:shd w:val="clear" w:color="auto" w:fill="auto"/>
            <w:vAlign w:val="center"/>
          </w:tcPr>
          <w:p w14:paraId="562EFAC0">
            <w:pPr>
              <w:widowControl/>
              <w:jc w:val="center"/>
              <w:rPr>
                <w:color w:val="000000"/>
                <w:kern w:val="0"/>
                <w:szCs w:val="21"/>
              </w:rPr>
            </w:pPr>
            <w:r>
              <w:rPr>
                <w:color w:val="000000"/>
                <w:kern w:val="0"/>
                <w:szCs w:val="21"/>
              </w:rPr>
              <w:t>2</w:t>
            </w:r>
          </w:p>
        </w:tc>
        <w:tc>
          <w:tcPr>
            <w:tcW w:w="506" w:type="pct"/>
            <w:vMerge w:val="continue"/>
            <w:tcBorders>
              <w:top w:val="nil"/>
              <w:left w:val="single" w:color="auto" w:sz="8" w:space="0"/>
              <w:bottom w:val="single" w:color="000000" w:sz="8" w:space="0"/>
              <w:right w:val="single" w:color="auto" w:sz="8" w:space="0"/>
            </w:tcBorders>
            <w:vAlign w:val="center"/>
          </w:tcPr>
          <w:p w14:paraId="35B52166">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6178258B">
            <w:pPr>
              <w:widowControl/>
              <w:jc w:val="left"/>
              <w:rPr>
                <w:color w:val="000000"/>
                <w:kern w:val="0"/>
                <w:szCs w:val="21"/>
              </w:rPr>
            </w:pPr>
          </w:p>
        </w:tc>
      </w:tr>
      <w:tr w14:paraId="181880C7">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34DDCBFA">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30282508">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27FC9A46">
            <w:pPr>
              <w:widowControl/>
              <w:jc w:val="left"/>
              <w:rPr>
                <w:color w:val="000000"/>
                <w:kern w:val="0"/>
                <w:szCs w:val="21"/>
              </w:rPr>
            </w:pPr>
          </w:p>
        </w:tc>
        <w:tc>
          <w:tcPr>
            <w:tcW w:w="1770" w:type="pct"/>
            <w:tcBorders>
              <w:top w:val="nil"/>
              <w:left w:val="nil"/>
              <w:bottom w:val="single" w:color="auto" w:sz="8" w:space="0"/>
              <w:right w:val="single" w:color="auto" w:sz="8" w:space="0"/>
            </w:tcBorders>
            <w:shd w:val="clear" w:color="auto" w:fill="auto"/>
            <w:vAlign w:val="center"/>
          </w:tcPr>
          <w:p w14:paraId="4D97467C">
            <w:pPr>
              <w:widowControl/>
              <w:jc w:val="center"/>
              <w:rPr>
                <w:color w:val="000000"/>
                <w:kern w:val="0"/>
                <w:szCs w:val="21"/>
              </w:rPr>
            </w:pPr>
            <w:r>
              <w:rPr>
                <w:color w:val="000000"/>
                <w:kern w:val="0"/>
                <w:szCs w:val="21"/>
              </w:rPr>
              <w:t>国家级企业技术中心</w:t>
            </w:r>
          </w:p>
        </w:tc>
        <w:tc>
          <w:tcPr>
            <w:tcW w:w="789" w:type="pct"/>
            <w:tcBorders>
              <w:top w:val="nil"/>
              <w:left w:val="nil"/>
              <w:bottom w:val="single" w:color="auto" w:sz="8" w:space="0"/>
              <w:right w:val="single" w:color="auto" w:sz="8" w:space="0"/>
            </w:tcBorders>
            <w:shd w:val="clear" w:color="auto" w:fill="auto"/>
            <w:vAlign w:val="center"/>
          </w:tcPr>
          <w:p w14:paraId="56CA1A96">
            <w:pPr>
              <w:widowControl/>
              <w:jc w:val="center"/>
              <w:rPr>
                <w:color w:val="000000"/>
                <w:kern w:val="0"/>
                <w:szCs w:val="21"/>
              </w:rPr>
            </w:pPr>
            <w:r>
              <w:rPr>
                <w:color w:val="000000"/>
                <w:kern w:val="0"/>
                <w:szCs w:val="21"/>
              </w:rPr>
              <w:t>3</w:t>
            </w:r>
          </w:p>
        </w:tc>
        <w:tc>
          <w:tcPr>
            <w:tcW w:w="506" w:type="pct"/>
            <w:vMerge w:val="continue"/>
            <w:tcBorders>
              <w:top w:val="nil"/>
              <w:left w:val="single" w:color="auto" w:sz="8" w:space="0"/>
              <w:bottom w:val="single" w:color="000000" w:sz="8" w:space="0"/>
              <w:right w:val="single" w:color="auto" w:sz="8" w:space="0"/>
            </w:tcBorders>
            <w:vAlign w:val="center"/>
          </w:tcPr>
          <w:p w14:paraId="6E417EA8">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3E21388A">
            <w:pPr>
              <w:widowControl/>
              <w:jc w:val="left"/>
              <w:rPr>
                <w:color w:val="000000"/>
                <w:kern w:val="0"/>
                <w:szCs w:val="21"/>
              </w:rPr>
            </w:pPr>
          </w:p>
        </w:tc>
      </w:tr>
      <w:tr w14:paraId="61F879FE">
        <w:tblPrEx>
          <w:tblCellMar>
            <w:top w:w="0" w:type="dxa"/>
            <w:left w:w="108" w:type="dxa"/>
            <w:bottom w:w="0" w:type="dxa"/>
            <w:right w:w="108" w:type="dxa"/>
          </w:tblCellMar>
        </w:tblPrEx>
        <w:trPr>
          <w:trHeight w:val="555" w:hRule="atLeast"/>
        </w:trPr>
        <w:tc>
          <w:tcPr>
            <w:tcW w:w="218" w:type="pct"/>
            <w:vMerge w:val="continue"/>
            <w:tcBorders>
              <w:top w:val="nil"/>
              <w:left w:val="single" w:color="auto" w:sz="8" w:space="0"/>
              <w:bottom w:val="single" w:color="000000" w:sz="8" w:space="0"/>
              <w:right w:val="single" w:color="auto" w:sz="4" w:space="0"/>
            </w:tcBorders>
            <w:vAlign w:val="center"/>
          </w:tcPr>
          <w:p w14:paraId="7DBE2C60">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2ACAB618">
            <w:pPr>
              <w:widowControl/>
              <w:jc w:val="left"/>
              <w:rPr>
                <w:color w:val="000000"/>
                <w:kern w:val="0"/>
                <w:szCs w:val="21"/>
              </w:rPr>
            </w:pPr>
          </w:p>
        </w:tc>
        <w:tc>
          <w:tcPr>
            <w:tcW w:w="790" w:type="pct"/>
            <w:tcBorders>
              <w:top w:val="nil"/>
              <w:left w:val="single" w:color="auto" w:sz="4" w:space="0"/>
              <w:bottom w:val="single" w:color="auto" w:sz="8" w:space="0"/>
              <w:right w:val="single" w:color="auto" w:sz="8" w:space="0"/>
            </w:tcBorders>
            <w:shd w:val="clear" w:color="auto" w:fill="auto"/>
            <w:vAlign w:val="center"/>
          </w:tcPr>
          <w:p w14:paraId="58CFDF7E">
            <w:pPr>
              <w:widowControl/>
              <w:jc w:val="center"/>
              <w:rPr>
                <w:color w:val="000000"/>
                <w:kern w:val="0"/>
                <w:szCs w:val="21"/>
              </w:rPr>
            </w:pPr>
            <w:r>
              <w:rPr>
                <w:color w:val="000000"/>
                <w:kern w:val="0"/>
                <w:szCs w:val="21"/>
              </w:rPr>
              <w:t>专利数量</w:t>
            </w:r>
          </w:p>
        </w:tc>
        <w:tc>
          <w:tcPr>
            <w:tcW w:w="1770" w:type="pct"/>
            <w:tcBorders>
              <w:top w:val="nil"/>
              <w:left w:val="nil"/>
              <w:bottom w:val="single" w:color="auto" w:sz="8" w:space="0"/>
              <w:right w:val="single" w:color="auto" w:sz="8" w:space="0"/>
            </w:tcBorders>
            <w:shd w:val="clear" w:color="auto" w:fill="auto"/>
            <w:vAlign w:val="center"/>
          </w:tcPr>
          <w:p w14:paraId="4D48EC15">
            <w:pPr>
              <w:widowControl/>
              <w:jc w:val="center"/>
              <w:rPr>
                <w:color w:val="000000"/>
                <w:kern w:val="0"/>
                <w:szCs w:val="21"/>
              </w:rPr>
            </w:pPr>
            <w:r>
              <w:rPr>
                <w:color w:val="000000"/>
                <w:kern w:val="0"/>
                <w:szCs w:val="21"/>
              </w:rPr>
              <w:t>近三年获授权专利数量</w:t>
            </w:r>
          </w:p>
        </w:tc>
        <w:tc>
          <w:tcPr>
            <w:tcW w:w="789" w:type="pct"/>
            <w:tcBorders>
              <w:top w:val="nil"/>
              <w:left w:val="nil"/>
              <w:bottom w:val="single" w:color="auto" w:sz="8" w:space="0"/>
              <w:right w:val="single" w:color="auto" w:sz="8" w:space="0"/>
            </w:tcBorders>
            <w:shd w:val="clear" w:color="auto" w:fill="auto"/>
            <w:vAlign w:val="center"/>
          </w:tcPr>
          <w:p w14:paraId="427A5036">
            <w:pPr>
              <w:widowControl/>
              <w:jc w:val="center"/>
              <w:rPr>
                <w:color w:val="000000"/>
                <w:kern w:val="0"/>
                <w:szCs w:val="21"/>
              </w:rPr>
            </w:pPr>
            <w:r>
              <w:rPr>
                <w:color w:val="000000"/>
                <w:kern w:val="0"/>
                <w:szCs w:val="21"/>
              </w:rPr>
              <w:t>每项发明专利0.5分每项实用新型专利0.1分，最多1分</w:t>
            </w:r>
          </w:p>
        </w:tc>
        <w:tc>
          <w:tcPr>
            <w:tcW w:w="506" w:type="pct"/>
            <w:tcBorders>
              <w:top w:val="nil"/>
              <w:left w:val="nil"/>
              <w:bottom w:val="single" w:color="auto" w:sz="8" w:space="0"/>
              <w:right w:val="single" w:color="auto" w:sz="8" w:space="0"/>
            </w:tcBorders>
            <w:shd w:val="clear" w:color="auto" w:fill="auto"/>
            <w:vAlign w:val="center"/>
          </w:tcPr>
          <w:p w14:paraId="4BEF7E79">
            <w:pPr>
              <w:widowControl/>
              <w:jc w:val="center"/>
              <w:rPr>
                <w:color w:val="000000"/>
                <w:kern w:val="0"/>
                <w:szCs w:val="21"/>
              </w:rPr>
            </w:pPr>
            <w:r>
              <w:rPr>
                <w:color w:val="000000"/>
                <w:kern w:val="0"/>
                <w:szCs w:val="21"/>
              </w:rPr>
              <w:t>1</w:t>
            </w:r>
          </w:p>
        </w:tc>
        <w:tc>
          <w:tcPr>
            <w:tcW w:w="635" w:type="pct"/>
            <w:tcBorders>
              <w:top w:val="nil"/>
              <w:left w:val="nil"/>
              <w:bottom w:val="single" w:color="auto" w:sz="8" w:space="0"/>
              <w:right w:val="single" w:color="auto" w:sz="8" w:space="0"/>
            </w:tcBorders>
            <w:shd w:val="clear" w:color="auto" w:fill="auto"/>
            <w:vAlign w:val="center"/>
          </w:tcPr>
          <w:p w14:paraId="308B9474">
            <w:pPr>
              <w:widowControl/>
              <w:jc w:val="center"/>
              <w:rPr>
                <w:color w:val="000000"/>
                <w:kern w:val="0"/>
                <w:szCs w:val="21"/>
              </w:rPr>
            </w:pPr>
            <w:r>
              <w:rPr>
                <w:color w:val="000000"/>
                <w:kern w:val="0"/>
                <w:szCs w:val="21"/>
              </w:rPr>
              <w:t>　</w:t>
            </w:r>
          </w:p>
        </w:tc>
      </w:tr>
      <w:tr w14:paraId="011164C5">
        <w:tblPrEx>
          <w:tblCellMar>
            <w:top w:w="0" w:type="dxa"/>
            <w:left w:w="108" w:type="dxa"/>
            <w:bottom w:w="0" w:type="dxa"/>
            <w:right w:w="108" w:type="dxa"/>
          </w:tblCellMar>
        </w:tblPrEx>
        <w:trPr>
          <w:trHeight w:val="312" w:hRule="atLeast"/>
        </w:trPr>
        <w:tc>
          <w:tcPr>
            <w:tcW w:w="218" w:type="pct"/>
            <w:vMerge w:val="continue"/>
            <w:tcBorders>
              <w:top w:val="nil"/>
              <w:left w:val="single" w:color="auto" w:sz="8" w:space="0"/>
              <w:bottom w:val="single" w:color="000000" w:sz="8" w:space="0"/>
              <w:right w:val="single" w:color="auto" w:sz="4" w:space="0"/>
            </w:tcBorders>
            <w:vAlign w:val="center"/>
          </w:tcPr>
          <w:p w14:paraId="004ABD02">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368836CA">
            <w:pPr>
              <w:widowControl/>
              <w:jc w:val="left"/>
              <w:rPr>
                <w:color w:val="000000"/>
                <w:kern w:val="0"/>
                <w:szCs w:val="21"/>
              </w:rPr>
            </w:pPr>
          </w:p>
        </w:tc>
        <w:tc>
          <w:tcPr>
            <w:tcW w:w="790" w:type="pct"/>
            <w:vMerge w:val="restart"/>
            <w:tcBorders>
              <w:top w:val="nil"/>
              <w:left w:val="single" w:color="auto" w:sz="4" w:space="0"/>
              <w:bottom w:val="single" w:color="000000" w:sz="8" w:space="0"/>
              <w:right w:val="single" w:color="auto" w:sz="8" w:space="0"/>
            </w:tcBorders>
            <w:shd w:val="clear" w:color="auto" w:fill="auto"/>
            <w:vAlign w:val="center"/>
          </w:tcPr>
          <w:p w14:paraId="13A4C425">
            <w:pPr>
              <w:widowControl/>
              <w:jc w:val="center"/>
              <w:rPr>
                <w:color w:val="000000"/>
                <w:kern w:val="0"/>
                <w:szCs w:val="21"/>
              </w:rPr>
            </w:pPr>
            <w:r>
              <w:rPr>
                <w:color w:val="000000"/>
                <w:kern w:val="0"/>
                <w:szCs w:val="21"/>
              </w:rPr>
              <w:t>人才结构</w:t>
            </w:r>
          </w:p>
        </w:tc>
        <w:tc>
          <w:tcPr>
            <w:tcW w:w="1770" w:type="pct"/>
            <w:vMerge w:val="restart"/>
            <w:tcBorders>
              <w:top w:val="nil"/>
              <w:left w:val="single" w:color="auto" w:sz="8" w:space="0"/>
              <w:bottom w:val="single" w:color="000000" w:sz="8" w:space="0"/>
              <w:right w:val="single" w:color="auto" w:sz="8" w:space="0"/>
            </w:tcBorders>
            <w:shd w:val="clear" w:color="auto" w:fill="auto"/>
            <w:vAlign w:val="center"/>
          </w:tcPr>
          <w:p w14:paraId="74DFF583">
            <w:pPr>
              <w:widowControl/>
              <w:jc w:val="left"/>
              <w:rPr>
                <w:szCs w:val="21"/>
              </w:rPr>
            </w:pPr>
            <w:r>
              <w:rPr>
                <w:szCs w:val="21"/>
              </w:rPr>
              <w:t>按公式计算得分：[（1×初中及以下文化人数+2×高中文化程度+3×专科文化程度+4×本科文化程度+5×硕士文化程度+6×博士文化程度）/员工总数]-1</w:t>
            </w:r>
          </w:p>
          <w:p w14:paraId="432444D1">
            <w:pPr>
              <w:widowControl/>
              <w:jc w:val="left"/>
              <w:rPr>
                <w:szCs w:val="21"/>
              </w:rPr>
            </w:pPr>
            <w:r>
              <w:rPr>
                <w:szCs w:val="21"/>
              </w:rPr>
              <w:t>技术职称和文化程度可等效对应如下：</w:t>
            </w:r>
          </w:p>
          <w:p w14:paraId="412F0761">
            <w:pPr>
              <w:widowControl/>
              <w:jc w:val="left"/>
              <w:rPr>
                <w:szCs w:val="21"/>
              </w:rPr>
            </w:pPr>
            <w:r>
              <w:rPr>
                <w:szCs w:val="21"/>
              </w:rPr>
              <w:t>高中：初级工</w:t>
            </w:r>
          </w:p>
          <w:p w14:paraId="3590DC7B">
            <w:pPr>
              <w:widowControl/>
              <w:jc w:val="left"/>
              <w:rPr>
                <w:szCs w:val="21"/>
              </w:rPr>
            </w:pPr>
            <w:r>
              <w:rPr>
                <w:szCs w:val="21"/>
              </w:rPr>
              <w:t>专科：中级工</w:t>
            </w:r>
          </w:p>
          <w:p w14:paraId="12CF5EF7">
            <w:pPr>
              <w:widowControl/>
              <w:jc w:val="left"/>
              <w:rPr>
                <w:szCs w:val="21"/>
              </w:rPr>
            </w:pPr>
            <w:r>
              <w:rPr>
                <w:szCs w:val="21"/>
              </w:rPr>
              <w:t>本科：高级工</w:t>
            </w:r>
          </w:p>
          <w:p w14:paraId="1BB71538">
            <w:pPr>
              <w:widowControl/>
              <w:jc w:val="left"/>
              <w:rPr>
                <w:szCs w:val="21"/>
              </w:rPr>
            </w:pPr>
            <w:r>
              <w:rPr>
                <w:szCs w:val="21"/>
              </w:rPr>
              <w:t>硕士：技师、工程师</w:t>
            </w:r>
          </w:p>
          <w:p w14:paraId="7B4AC783">
            <w:pPr>
              <w:widowControl/>
              <w:rPr>
                <w:szCs w:val="21"/>
              </w:rPr>
            </w:pPr>
            <w:r>
              <w:rPr>
                <w:szCs w:val="21"/>
              </w:rPr>
              <w:t>博士：高级技师、高级工程师</w:t>
            </w:r>
          </w:p>
        </w:tc>
        <w:tc>
          <w:tcPr>
            <w:tcW w:w="789" w:type="pct"/>
            <w:vMerge w:val="restart"/>
            <w:tcBorders>
              <w:top w:val="nil"/>
              <w:left w:val="single" w:color="auto" w:sz="8" w:space="0"/>
              <w:bottom w:val="single" w:color="000000" w:sz="8" w:space="0"/>
              <w:right w:val="single" w:color="auto" w:sz="8" w:space="0"/>
            </w:tcBorders>
            <w:shd w:val="clear" w:color="auto" w:fill="auto"/>
            <w:vAlign w:val="center"/>
          </w:tcPr>
          <w:p w14:paraId="0BEF8B21">
            <w:pPr>
              <w:widowControl/>
              <w:jc w:val="center"/>
              <w:rPr>
                <w:color w:val="000000"/>
                <w:kern w:val="0"/>
                <w:szCs w:val="21"/>
              </w:rPr>
            </w:pPr>
            <w:r>
              <w:rPr>
                <w:color w:val="000000"/>
                <w:kern w:val="0"/>
                <w:szCs w:val="21"/>
              </w:rPr>
              <w:t>公式计算得分</w:t>
            </w:r>
          </w:p>
        </w:tc>
        <w:tc>
          <w:tcPr>
            <w:tcW w:w="506" w:type="pct"/>
            <w:vMerge w:val="restart"/>
            <w:tcBorders>
              <w:top w:val="nil"/>
              <w:left w:val="single" w:color="auto" w:sz="8" w:space="0"/>
              <w:bottom w:val="single" w:color="000000" w:sz="8" w:space="0"/>
              <w:right w:val="single" w:color="auto" w:sz="8" w:space="0"/>
            </w:tcBorders>
            <w:shd w:val="clear" w:color="auto" w:fill="auto"/>
            <w:vAlign w:val="center"/>
          </w:tcPr>
          <w:p w14:paraId="6A769A96">
            <w:pPr>
              <w:widowControl/>
              <w:jc w:val="center"/>
              <w:rPr>
                <w:color w:val="000000"/>
                <w:kern w:val="0"/>
                <w:szCs w:val="21"/>
              </w:rPr>
            </w:pPr>
            <w:r>
              <w:rPr>
                <w:color w:val="000000"/>
                <w:kern w:val="0"/>
                <w:szCs w:val="21"/>
              </w:rPr>
              <w:t>3</w:t>
            </w:r>
          </w:p>
        </w:tc>
        <w:tc>
          <w:tcPr>
            <w:tcW w:w="635" w:type="pct"/>
            <w:vMerge w:val="restart"/>
            <w:tcBorders>
              <w:top w:val="nil"/>
              <w:left w:val="single" w:color="auto" w:sz="8" w:space="0"/>
              <w:bottom w:val="single" w:color="000000" w:sz="8" w:space="0"/>
              <w:right w:val="single" w:color="auto" w:sz="8" w:space="0"/>
            </w:tcBorders>
            <w:shd w:val="clear" w:color="auto" w:fill="auto"/>
            <w:vAlign w:val="center"/>
          </w:tcPr>
          <w:p w14:paraId="54D1FE98">
            <w:pPr>
              <w:widowControl/>
              <w:jc w:val="center"/>
              <w:rPr>
                <w:color w:val="000000"/>
                <w:kern w:val="0"/>
                <w:szCs w:val="21"/>
              </w:rPr>
            </w:pPr>
            <w:r>
              <w:rPr>
                <w:color w:val="000000"/>
                <w:kern w:val="0"/>
                <w:szCs w:val="21"/>
              </w:rPr>
              <w:t>全员小学文化0分</w:t>
            </w:r>
            <w:r>
              <w:rPr>
                <w:color w:val="000000"/>
                <w:kern w:val="0"/>
                <w:szCs w:val="21"/>
              </w:rPr>
              <w:br w:type="textWrapping"/>
            </w:r>
            <w:r>
              <w:rPr>
                <w:color w:val="000000"/>
                <w:kern w:val="0"/>
                <w:szCs w:val="21"/>
              </w:rPr>
              <w:t>全员本科文化3分</w:t>
            </w:r>
            <w:r>
              <w:rPr>
                <w:color w:val="000000"/>
                <w:kern w:val="0"/>
                <w:szCs w:val="21"/>
              </w:rPr>
              <w:br w:type="textWrapping"/>
            </w:r>
            <w:r>
              <w:rPr>
                <w:color w:val="000000"/>
                <w:kern w:val="0"/>
                <w:szCs w:val="21"/>
              </w:rPr>
              <w:t>（或等效）</w:t>
            </w:r>
          </w:p>
        </w:tc>
      </w:tr>
      <w:tr w14:paraId="6C14F238">
        <w:tblPrEx>
          <w:tblCellMar>
            <w:top w:w="0" w:type="dxa"/>
            <w:left w:w="108" w:type="dxa"/>
            <w:bottom w:w="0" w:type="dxa"/>
            <w:right w:w="108" w:type="dxa"/>
          </w:tblCellMar>
        </w:tblPrEx>
        <w:trPr>
          <w:trHeight w:val="312" w:hRule="atLeast"/>
        </w:trPr>
        <w:tc>
          <w:tcPr>
            <w:tcW w:w="218" w:type="pct"/>
            <w:vMerge w:val="continue"/>
            <w:tcBorders>
              <w:top w:val="nil"/>
              <w:left w:val="single" w:color="auto" w:sz="8" w:space="0"/>
              <w:bottom w:val="single" w:color="000000" w:sz="8" w:space="0"/>
              <w:right w:val="single" w:color="auto" w:sz="4" w:space="0"/>
            </w:tcBorders>
            <w:vAlign w:val="center"/>
          </w:tcPr>
          <w:p w14:paraId="5B56CEDB">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19D40014">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3FE268A4">
            <w:pPr>
              <w:widowControl/>
              <w:jc w:val="left"/>
              <w:rPr>
                <w:color w:val="000000"/>
                <w:kern w:val="0"/>
                <w:szCs w:val="21"/>
              </w:rPr>
            </w:pPr>
          </w:p>
        </w:tc>
        <w:tc>
          <w:tcPr>
            <w:tcW w:w="1770" w:type="pct"/>
            <w:vMerge w:val="continue"/>
            <w:tcBorders>
              <w:top w:val="nil"/>
              <w:left w:val="single" w:color="auto" w:sz="8" w:space="0"/>
              <w:bottom w:val="single" w:color="000000" w:sz="8" w:space="0"/>
              <w:right w:val="single" w:color="auto" w:sz="8" w:space="0"/>
            </w:tcBorders>
            <w:vAlign w:val="center"/>
          </w:tcPr>
          <w:p w14:paraId="6227C14E">
            <w:pPr>
              <w:widowControl/>
              <w:jc w:val="left"/>
              <w:rPr>
                <w:color w:val="000000"/>
                <w:kern w:val="0"/>
                <w:szCs w:val="21"/>
              </w:rPr>
            </w:pPr>
          </w:p>
        </w:tc>
        <w:tc>
          <w:tcPr>
            <w:tcW w:w="789" w:type="pct"/>
            <w:vMerge w:val="continue"/>
            <w:tcBorders>
              <w:top w:val="nil"/>
              <w:left w:val="single" w:color="auto" w:sz="8" w:space="0"/>
              <w:bottom w:val="single" w:color="000000" w:sz="8" w:space="0"/>
              <w:right w:val="single" w:color="auto" w:sz="8" w:space="0"/>
            </w:tcBorders>
            <w:vAlign w:val="center"/>
          </w:tcPr>
          <w:p w14:paraId="6AAB9846">
            <w:pPr>
              <w:widowControl/>
              <w:jc w:val="left"/>
              <w:rPr>
                <w:color w:val="000000"/>
                <w:kern w:val="0"/>
                <w:szCs w:val="21"/>
              </w:rPr>
            </w:pPr>
          </w:p>
        </w:tc>
        <w:tc>
          <w:tcPr>
            <w:tcW w:w="506" w:type="pct"/>
            <w:vMerge w:val="continue"/>
            <w:tcBorders>
              <w:top w:val="nil"/>
              <w:left w:val="single" w:color="auto" w:sz="8" w:space="0"/>
              <w:bottom w:val="single" w:color="000000" w:sz="8" w:space="0"/>
              <w:right w:val="single" w:color="auto" w:sz="8" w:space="0"/>
            </w:tcBorders>
            <w:vAlign w:val="center"/>
          </w:tcPr>
          <w:p w14:paraId="68590E90">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21771D8F">
            <w:pPr>
              <w:widowControl/>
              <w:jc w:val="left"/>
              <w:rPr>
                <w:color w:val="000000"/>
                <w:kern w:val="0"/>
                <w:szCs w:val="21"/>
              </w:rPr>
            </w:pPr>
          </w:p>
        </w:tc>
      </w:tr>
      <w:tr w14:paraId="76F0E6A7">
        <w:tblPrEx>
          <w:tblCellMar>
            <w:top w:w="0" w:type="dxa"/>
            <w:left w:w="108" w:type="dxa"/>
            <w:bottom w:w="0" w:type="dxa"/>
            <w:right w:w="108" w:type="dxa"/>
          </w:tblCellMar>
        </w:tblPrEx>
        <w:trPr>
          <w:trHeight w:val="312" w:hRule="atLeast"/>
        </w:trPr>
        <w:tc>
          <w:tcPr>
            <w:tcW w:w="218" w:type="pct"/>
            <w:vMerge w:val="continue"/>
            <w:tcBorders>
              <w:top w:val="nil"/>
              <w:left w:val="single" w:color="auto" w:sz="8" w:space="0"/>
              <w:bottom w:val="single" w:color="000000" w:sz="8" w:space="0"/>
              <w:right w:val="single" w:color="auto" w:sz="4" w:space="0"/>
            </w:tcBorders>
            <w:vAlign w:val="center"/>
          </w:tcPr>
          <w:p w14:paraId="130B74E2">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738DB903">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799447CE">
            <w:pPr>
              <w:widowControl/>
              <w:jc w:val="left"/>
              <w:rPr>
                <w:color w:val="000000"/>
                <w:kern w:val="0"/>
                <w:szCs w:val="21"/>
              </w:rPr>
            </w:pPr>
          </w:p>
        </w:tc>
        <w:tc>
          <w:tcPr>
            <w:tcW w:w="1770" w:type="pct"/>
            <w:vMerge w:val="continue"/>
            <w:tcBorders>
              <w:top w:val="nil"/>
              <w:left w:val="single" w:color="auto" w:sz="8" w:space="0"/>
              <w:bottom w:val="single" w:color="000000" w:sz="8" w:space="0"/>
              <w:right w:val="single" w:color="auto" w:sz="8" w:space="0"/>
            </w:tcBorders>
            <w:vAlign w:val="center"/>
          </w:tcPr>
          <w:p w14:paraId="62B48036">
            <w:pPr>
              <w:widowControl/>
              <w:jc w:val="left"/>
              <w:rPr>
                <w:color w:val="000000"/>
                <w:kern w:val="0"/>
                <w:szCs w:val="21"/>
              </w:rPr>
            </w:pPr>
          </w:p>
        </w:tc>
        <w:tc>
          <w:tcPr>
            <w:tcW w:w="789" w:type="pct"/>
            <w:vMerge w:val="continue"/>
            <w:tcBorders>
              <w:top w:val="nil"/>
              <w:left w:val="single" w:color="auto" w:sz="8" w:space="0"/>
              <w:bottom w:val="single" w:color="000000" w:sz="8" w:space="0"/>
              <w:right w:val="single" w:color="auto" w:sz="8" w:space="0"/>
            </w:tcBorders>
            <w:vAlign w:val="center"/>
          </w:tcPr>
          <w:p w14:paraId="356A8EDE">
            <w:pPr>
              <w:widowControl/>
              <w:jc w:val="left"/>
              <w:rPr>
                <w:color w:val="000000"/>
                <w:kern w:val="0"/>
                <w:szCs w:val="21"/>
              </w:rPr>
            </w:pPr>
          </w:p>
        </w:tc>
        <w:tc>
          <w:tcPr>
            <w:tcW w:w="506" w:type="pct"/>
            <w:vMerge w:val="continue"/>
            <w:tcBorders>
              <w:top w:val="nil"/>
              <w:left w:val="single" w:color="auto" w:sz="8" w:space="0"/>
              <w:bottom w:val="single" w:color="000000" w:sz="8" w:space="0"/>
              <w:right w:val="single" w:color="auto" w:sz="8" w:space="0"/>
            </w:tcBorders>
            <w:vAlign w:val="center"/>
          </w:tcPr>
          <w:p w14:paraId="339C644A">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28060069">
            <w:pPr>
              <w:widowControl/>
              <w:jc w:val="left"/>
              <w:rPr>
                <w:color w:val="000000"/>
                <w:kern w:val="0"/>
                <w:szCs w:val="21"/>
              </w:rPr>
            </w:pPr>
          </w:p>
        </w:tc>
      </w:tr>
      <w:tr w14:paraId="50037F31">
        <w:tblPrEx>
          <w:tblCellMar>
            <w:top w:w="0" w:type="dxa"/>
            <w:left w:w="108" w:type="dxa"/>
            <w:bottom w:w="0" w:type="dxa"/>
            <w:right w:w="108" w:type="dxa"/>
          </w:tblCellMar>
        </w:tblPrEx>
        <w:trPr>
          <w:trHeight w:val="312" w:hRule="atLeast"/>
        </w:trPr>
        <w:tc>
          <w:tcPr>
            <w:tcW w:w="218" w:type="pct"/>
            <w:vMerge w:val="continue"/>
            <w:tcBorders>
              <w:top w:val="nil"/>
              <w:left w:val="single" w:color="auto" w:sz="8" w:space="0"/>
              <w:bottom w:val="single" w:color="000000" w:sz="8" w:space="0"/>
              <w:right w:val="single" w:color="auto" w:sz="4" w:space="0"/>
            </w:tcBorders>
            <w:vAlign w:val="center"/>
          </w:tcPr>
          <w:p w14:paraId="489C3DB3">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31501912">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29CE1079">
            <w:pPr>
              <w:widowControl/>
              <w:jc w:val="left"/>
              <w:rPr>
                <w:color w:val="000000"/>
                <w:kern w:val="0"/>
                <w:szCs w:val="21"/>
              </w:rPr>
            </w:pPr>
          </w:p>
        </w:tc>
        <w:tc>
          <w:tcPr>
            <w:tcW w:w="1770" w:type="pct"/>
            <w:vMerge w:val="continue"/>
            <w:tcBorders>
              <w:top w:val="nil"/>
              <w:left w:val="single" w:color="auto" w:sz="8" w:space="0"/>
              <w:bottom w:val="single" w:color="000000" w:sz="8" w:space="0"/>
              <w:right w:val="single" w:color="auto" w:sz="8" w:space="0"/>
            </w:tcBorders>
            <w:vAlign w:val="center"/>
          </w:tcPr>
          <w:p w14:paraId="42A6D9B5">
            <w:pPr>
              <w:widowControl/>
              <w:jc w:val="left"/>
              <w:rPr>
                <w:color w:val="000000"/>
                <w:kern w:val="0"/>
                <w:szCs w:val="21"/>
              </w:rPr>
            </w:pPr>
          </w:p>
        </w:tc>
        <w:tc>
          <w:tcPr>
            <w:tcW w:w="789" w:type="pct"/>
            <w:vMerge w:val="continue"/>
            <w:tcBorders>
              <w:top w:val="nil"/>
              <w:left w:val="single" w:color="auto" w:sz="8" w:space="0"/>
              <w:bottom w:val="single" w:color="000000" w:sz="8" w:space="0"/>
              <w:right w:val="single" w:color="auto" w:sz="8" w:space="0"/>
            </w:tcBorders>
            <w:vAlign w:val="center"/>
          </w:tcPr>
          <w:p w14:paraId="268E9018">
            <w:pPr>
              <w:widowControl/>
              <w:jc w:val="left"/>
              <w:rPr>
                <w:color w:val="000000"/>
                <w:kern w:val="0"/>
                <w:szCs w:val="21"/>
              </w:rPr>
            </w:pPr>
          </w:p>
        </w:tc>
        <w:tc>
          <w:tcPr>
            <w:tcW w:w="506" w:type="pct"/>
            <w:vMerge w:val="continue"/>
            <w:tcBorders>
              <w:top w:val="nil"/>
              <w:left w:val="single" w:color="auto" w:sz="8" w:space="0"/>
              <w:bottom w:val="single" w:color="000000" w:sz="8" w:space="0"/>
              <w:right w:val="single" w:color="auto" w:sz="8" w:space="0"/>
            </w:tcBorders>
            <w:vAlign w:val="center"/>
          </w:tcPr>
          <w:p w14:paraId="69982183">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6BA55021">
            <w:pPr>
              <w:widowControl/>
              <w:jc w:val="left"/>
              <w:rPr>
                <w:color w:val="000000"/>
                <w:kern w:val="0"/>
                <w:szCs w:val="21"/>
              </w:rPr>
            </w:pPr>
          </w:p>
        </w:tc>
      </w:tr>
      <w:tr w14:paraId="7BE8188B">
        <w:tblPrEx>
          <w:tblCellMar>
            <w:top w:w="0" w:type="dxa"/>
            <w:left w:w="108" w:type="dxa"/>
            <w:bottom w:w="0" w:type="dxa"/>
            <w:right w:w="108" w:type="dxa"/>
          </w:tblCellMar>
        </w:tblPrEx>
        <w:trPr>
          <w:trHeight w:val="312" w:hRule="atLeast"/>
        </w:trPr>
        <w:tc>
          <w:tcPr>
            <w:tcW w:w="218" w:type="pct"/>
            <w:vMerge w:val="continue"/>
            <w:tcBorders>
              <w:top w:val="nil"/>
              <w:left w:val="single" w:color="auto" w:sz="8" w:space="0"/>
              <w:bottom w:val="single" w:color="000000" w:sz="8" w:space="0"/>
              <w:right w:val="single" w:color="auto" w:sz="4" w:space="0"/>
            </w:tcBorders>
            <w:vAlign w:val="center"/>
          </w:tcPr>
          <w:p w14:paraId="735AC446">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38E74F05">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6D797266">
            <w:pPr>
              <w:widowControl/>
              <w:jc w:val="left"/>
              <w:rPr>
                <w:color w:val="000000"/>
                <w:kern w:val="0"/>
                <w:szCs w:val="21"/>
              </w:rPr>
            </w:pPr>
          </w:p>
        </w:tc>
        <w:tc>
          <w:tcPr>
            <w:tcW w:w="1770" w:type="pct"/>
            <w:vMerge w:val="continue"/>
            <w:tcBorders>
              <w:top w:val="nil"/>
              <w:left w:val="single" w:color="auto" w:sz="8" w:space="0"/>
              <w:bottom w:val="single" w:color="000000" w:sz="8" w:space="0"/>
              <w:right w:val="single" w:color="auto" w:sz="8" w:space="0"/>
            </w:tcBorders>
            <w:vAlign w:val="center"/>
          </w:tcPr>
          <w:p w14:paraId="6F325E95">
            <w:pPr>
              <w:widowControl/>
              <w:jc w:val="left"/>
              <w:rPr>
                <w:color w:val="000000"/>
                <w:kern w:val="0"/>
                <w:szCs w:val="21"/>
              </w:rPr>
            </w:pPr>
          </w:p>
        </w:tc>
        <w:tc>
          <w:tcPr>
            <w:tcW w:w="789" w:type="pct"/>
            <w:vMerge w:val="continue"/>
            <w:tcBorders>
              <w:top w:val="nil"/>
              <w:left w:val="single" w:color="auto" w:sz="8" w:space="0"/>
              <w:bottom w:val="single" w:color="000000" w:sz="8" w:space="0"/>
              <w:right w:val="single" w:color="auto" w:sz="8" w:space="0"/>
            </w:tcBorders>
            <w:vAlign w:val="center"/>
          </w:tcPr>
          <w:p w14:paraId="5130691F">
            <w:pPr>
              <w:widowControl/>
              <w:jc w:val="left"/>
              <w:rPr>
                <w:color w:val="000000"/>
                <w:kern w:val="0"/>
                <w:szCs w:val="21"/>
              </w:rPr>
            </w:pPr>
          </w:p>
        </w:tc>
        <w:tc>
          <w:tcPr>
            <w:tcW w:w="506" w:type="pct"/>
            <w:vMerge w:val="continue"/>
            <w:tcBorders>
              <w:top w:val="nil"/>
              <w:left w:val="single" w:color="auto" w:sz="8" w:space="0"/>
              <w:bottom w:val="single" w:color="000000" w:sz="8" w:space="0"/>
              <w:right w:val="single" w:color="auto" w:sz="8" w:space="0"/>
            </w:tcBorders>
            <w:vAlign w:val="center"/>
          </w:tcPr>
          <w:p w14:paraId="771997CF">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3410BE42">
            <w:pPr>
              <w:widowControl/>
              <w:jc w:val="left"/>
              <w:rPr>
                <w:color w:val="000000"/>
                <w:kern w:val="0"/>
                <w:szCs w:val="21"/>
              </w:rPr>
            </w:pPr>
          </w:p>
        </w:tc>
      </w:tr>
      <w:tr w14:paraId="0A959F09">
        <w:tblPrEx>
          <w:tblCellMar>
            <w:top w:w="0" w:type="dxa"/>
            <w:left w:w="108" w:type="dxa"/>
            <w:bottom w:w="0" w:type="dxa"/>
            <w:right w:w="108" w:type="dxa"/>
          </w:tblCellMar>
        </w:tblPrEx>
        <w:trPr>
          <w:trHeight w:val="312" w:hRule="atLeast"/>
        </w:trPr>
        <w:tc>
          <w:tcPr>
            <w:tcW w:w="218" w:type="pct"/>
            <w:vMerge w:val="continue"/>
            <w:tcBorders>
              <w:top w:val="nil"/>
              <w:left w:val="single" w:color="auto" w:sz="8" w:space="0"/>
              <w:bottom w:val="single" w:color="000000" w:sz="8" w:space="0"/>
              <w:right w:val="single" w:color="auto" w:sz="4" w:space="0"/>
            </w:tcBorders>
            <w:vAlign w:val="center"/>
          </w:tcPr>
          <w:p w14:paraId="4A31BEDA">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3E8E7CCB">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4E860D26">
            <w:pPr>
              <w:widowControl/>
              <w:jc w:val="left"/>
              <w:rPr>
                <w:color w:val="000000"/>
                <w:kern w:val="0"/>
                <w:szCs w:val="21"/>
              </w:rPr>
            </w:pPr>
          </w:p>
        </w:tc>
        <w:tc>
          <w:tcPr>
            <w:tcW w:w="1770" w:type="pct"/>
            <w:vMerge w:val="continue"/>
            <w:tcBorders>
              <w:top w:val="nil"/>
              <w:left w:val="single" w:color="auto" w:sz="8" w:space="0"/>
              <w:bottom w:val="single" w:color="000000" w:sz="8" w:space="0"/>
              <w:right w:val="single" w:color="auto" w:sz="8" w:space="0"/>
            </w:tcBorders>
            <w:vAlign w:val="center"/>
          </w:tcPr>
          <w:p w14:paraId="6016208A">
            <w:pPr>
              <w:widowControl/>
              <w:jc w:val="left"/>
              <w:rPr>
                <w:color w:val="000000"/>
                <w:kern w:val="0"/>
                <w:szCs w:val="21"/>
              </w:rPr>
            </w:pPr>
          </w:p>
        </w:tc>
        <w:tc>
          <w:tcPr>
            <w:tcW w:w="789" w:type="pct"/>
            <w:vMerge w:val="continue"/>
            <w:tcBorders>
              <w:top w:val="nil"/>
              <w:left w:val="single" w:color="auto" w:sz="8" w:space="0"/>
              <w:bottom w:val="single" w:color="000000" w:sz="8" w:space="0"/>
              <w:right w:val="single" w:color="auto" w:sz="8" w:space="0"/>
            </w:tcBorders>
            <w:vAlign w:val="center"/>
          </w:tcPr>
          <w:p w14:paraId="7370BDBE">
            <w:pPr>
              <w:widowControl/>
              <w:jc w:val="left"/>
              <w:rPr>
                <w:color w:val="000000"/>
                <w:kern w:val="0"/>
                <w:szCs w:val="21"/>
              </w:rPr>
            </w:pPr>
          </w:p>
        </w:tc>
        <w:tc>
          <w:tcPr>
            <w:tcW w:w="506" w:type="pct"/>
            <w:vMerge w:val="continue"/>
            <w:tcBorders>
              <w:top w:val="nil"/>
              <w:left w:val="single" w:color="auto" w:sz="8" w:space="0"/>
              <w:bottom w:val="single" w:color="000000" w:sz="8" w:space="0"/>
              <w:right w:val="single" w:color="auto" w:sz="8" w:space="0"/>
            </w:tcBorders>
            <w:vAlign w:val="center"/>
          </w:tcPr>
          <w:p w14:paraId="71796BAF">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699A716A">
            <w:pPr>
              <w:widowControl/>
              <w:jc w:val="left"/>
              <w:rPr>
                <w:color w:val="000000"/>
                <w:kern w:val="0"/>
                <w:szCs w:val="21"/>
              </w:rPr>
            </w:pPr>
          </w:p>
        </w:tc>
      </w:tr>
      <w:tr w14:paraId="57CC8ED4">
        <w:tblPrEx>
          <w:tblCellMar>
            <w:top w:w="0" w:type="dxa"/>
            <w:left w:w="108" w:type="dxa"/>
            <w:bottom w:w="0" w:type="dxa"/>
            <w:right w:w="108" w:type="dxa"/>
          </w:tblCellMar>
        </w:tblPrEx>
        <w:trPr>
          <w:trHeight w:val="1080" w:hRule="atLeast"/>
        </w:trPr>
        <w:tc>
          <w:tcPr>
            <w:tcW w:w="218" w:type="pct"/>
            <w:vMerge w:val="continue"/>
            <w:tcBorders>
              <w:top w:val="nil"/>
              <w:left w:val="single" w:color="auto" w:sz="8" w:space="0"/>
              <w:bottom w:val="single" w:color="000000" w:sz="8" w:space="0"/>
              <w:right w:val="single" w:color="auto" w:sz="4" w:space="0"/>
            </w:tcBorders>
            <w:vAlign w:val="center"/>
          </w:tcPr>
          <w:p w14:paraId="7DDA3D7D">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36FB1609">
            <w:pPr>
              <w:widowControl/>
              <w:jc w:val="left"/>
              <w:rPr>
                <w:color w:val="000000"/>
                <w:kern w:val="0"/>
                <w:szCs w:val="21"/>
              </w:rPr>
            </w:pPr>
          </w:p>
        </w:tc>
        <w:tc>
          <w:tcPr>
            <w:tcW w:w="790" w:type="pct"/>
            <w:tcBorders>
              <w:top w:val="nil"/>
              <w:left w:val="single" w:color="auto" w:sz="4" w:space="0"/>
              <w:bottom w:val="nil"/>
              <w:right w:val="single" w:color="auto" w:sz="8" w:space="0"/>
            </w:tcBorders>
            <w:shd w:val="clear" w:color="auto" w:fill="auto"/>
            <w:vAlign w:val="center"/>
          </w:tcPr>
          <w:p w14:paraId="3EB81CCC">
            <w:pPr>
              <w:widowControl/>
              <w:jc w:val="center"/>
              <w:rPr>
                <w:color w:val="000000"/>
                <w:kern w:val="0"/>
                <w:szCs w:val="21"/>
              </w:rPr>
            </w:pPr>
            <w:r>
              <w:rPr>
                <w:color w:val="000000"/>
                <w:kern w:val="0"/>
                <w:szCs w:val="21"/>
              </w:rPr>
              <w:t>研发投入比例</w:t>
            </w:r>
          </w:p>
        </w:tc>
        <w:tc>
          <w:tcPr>
            <w:tcW w:w="1770" w:type="pct"/>
            <w:tcBorders>
              <w:top w:val="nil"/>
              <w:left w:val="nil"/>
              <w:bottom w:val="nil"/>
              <w:right w:val="single" w:color="auto" w:sz="8" w:space="0"/>
            </w:tcBorders>
            <w:shd w:val="clear" w:color="auto" w:fill="auto"/>
            <w:vAlign w:val="center"/>
          </w:tcPr>
          <w:p w14:paraId="477526E0">
            <w:pPr>
              <w:widowControl/>
              <w:jc w:val="center"/>
              <w:rPr>
                <w:color w:val="000000"/>
                <w:kern w:val="0"/>
                <w:szCs w:val="21"/>
              </w:rPr>
            </w:pPr>
            <w:r>
              <w:rPr>
                <w:color w:val="000000"/>
                <w:kern w:val="0"/>
                <w:szCs w:val="21"/>
              </w:rPr>
              <w:t>按公式计算得分：研发投入占比×100</w:t>
            </w:r>
            <w:r>
              <w:rPr>
                <w:color w:val="000000"/>
                <w:kern w:val="0"/>
                <w:szCs w:val="21"/>
              </w:rPr>
              <w:br w:type="textWrapping"/>
            </w:r>
            <w:r>
              <w:rPr>
                <w:color w:val="000000"/>
                <w:kern w:val="0"/>
                <w:szCs w:val="21"/>
              </w:rPr>
              <w:t>最低0分，最高3分</w:t>
            </w:r>
          </w:p>
        </w:tc>
        <w:tc>
          <w:tcPr>
            <w:tcW w:w="789" w:type="pct"/>
            <w:tcBorders>
              <w:top w:val="nil"/>
              <w:left w:val="nil"/>
              <w:bottom w:val="single" w:color="auto" w:sz="8" w:space="0"/>
              <w:right w:val="single" w:color="auto" w:sz="8" w:space="0"/>
            </w:tcBorders>
            <w:shd w:val="clear" w:color="auto" w:fill="auto"/>
            <w:vAlign w:val="center"/>
          </w:tcPr>
          <w:p w14:paraId="6C48883D">
            <w:pPr>
              <w:widowControl/>
              <w:jc w:val="center"/>
              <w:rPr>
                <w:color w:val="000000"/>
                <w:kern w:val="0"/>
                <w:szCs w:val="21"/>
              </w:rPr>
            </w:pPr>
            <w:r>
              <w:rPr>
                <w:color w:val="000000"/>
                <w:kern w:val="0"/>
                <w:szCs w:val="21"/>
              </w:rPr>
              <w:t>公式计算得分</w:t>
            </w:r>
          </w:p>
        </w:tc>
        <w:tc>
          <w:tcPr>
            <w:tcW w:w="506" w:type="pct"/>
            <w:tcBorders>
              <w:top w:val="nil"/>
              <w:left w:val="nil"/>
              <w:bottom w:val="nil"/>
              <w:right w:val="single" w:color="auto" w:sz="8" w:space="0"/>
            </w:tcBorders>
            <w:shd w:val="clear" w:color="auto" w:fill="auto"/>
            <w:vAlign w:val="center"/>
          </w:tcPr>
          <w:p w14:paraId="76E9802F">
            <w:pPr>
              <w:widowControl/>
              <w:jc w:val="center"/>
              <w:rPr>
                <w:color w:val="000000"/>
                <w:kern w:val="0"/>
                <w:szCs w:val="21"/>
              </w:rPr>
            </w:pPr>
            <w:r>
              <w:rPr>
                <w:color w:val="000000"/>
                <w:kern w:val="0"/>
                <w:szCs w:val="21"/>
              </w:rPr>
              <w:t>3</w:t>
            </w:r>
          </w:p>
        </w:tc>
        <w:tc>
          <w:tcPr>
            <w:tcW w:w="635" w:type="pct"/>
            <w:tcBorders>
              <w:top w:val="nil"/>
              <w:left w:val="nil"/>
              <w:bottom w:val="single" w:color="auto" w:sz="8" w:space="0"/>
              <w:right w:val="single" w:color="auto" w:sz="8" w:space="0"/>
            </w:tcBorders>
            <w:shd w:val="clear" w:color="auto" w:fill="auto"/>
            <w:vAlign w:val="center"/>
          </w:tcPr>
          <w:p w14:paraId="2F779016">
            <w:pPr>
              <w:widowControl/>
              <w:jc w:val="center"/>
              <w:rPr>
                <w:color w:val="000000"/>
                <w:kern w:val="0"/>
                <w:szCs w:val="21"/>
              </w:rPr>
            </w:pPr>
            <w:r>
              <w:rPr>
                <w:color w:val="000000"/>
                <w:kern w:val="0"/>
                <w:szCs w:val="21"/>
              </w:rPr>
              <w:t>研发投入占比</w:t>
            </w:r>
            <w:r>
              <w:rPr>
                <w:color w:val="000000"/>
                <w:kern w:val="0"/>
                <w:szCs w:val="21"/>
              </w:rPr>
              <w:br w:type="textWrapping"/>
            </w:r>
            <w:r>
              <w:rPr>
                <w:color w:val="000000"/>
                <w:kern w:val="0"/>
                <w:szCs w:val="21"/>
              </w:rPr>
              <w:t>0，0分</w:t>
            </w:r>
            <w:r>
              <w:rPr>
                <w:color w:val="000000"/>
                <w:kern w:val="0"/>
                <w:szCs w:val="21"/>
              </w:rPr>
              <w:br w:type="textWrapping"/>
            </w:r>
            <w:r>
              <w:rPr>
                <w:color w:val="000000"/>
                <w:kern w:val="0"/>
                <w:szCs w:val="21"/>
              </w:rPr>
              <w:t>1.5%，1.5分</w:t>
            </w:r>
            <w:r>
              <w:rPr>
                <w:color w:val="000000"/>
                <w:kern w:val="0"/>
                <w:szCs w:val="21"/>
              </w:rPr>
              <w:br w:type="textWrapping"/>
            </w:r>
            <w:r>
              <w:rPr>
                <w:color w:val="000000"/>
                <w:kern w:val="0"/>
                <w:szCs w:val="21"/>
              </w:rPr>
              <w:t>3%以上，3分</w:t>
            </w:r>
          </w:p>
        </w:tc>
      </w:tr>
      <w:tr w14:paraId="57266853">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1588BE36">
            <w:pPr>
              <w:widowControl/>
              <w:jc w:val="left"/>
              <w:rPr>
                <w:color w:val="000000"/>
                <w:kern w:val="0"/>
                <w:szCs w:val="21"/>
              </w:rPr>
            </w:pPr>
          </w:p>
        </w:tc>
        <w:tc>
          <w:tcPr>
            <w:tcW w:w="2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52EEA0">
            <w:pPr>
              <w:widowControl/>
              <w:jc w:val="center"/>
              <w:rPr>
                <w:color w:val="000000"/>
                <w:kern w:val="0"/>
                <w:szCs w:val="21"/>
              </w:rPr>
            </w:pPr>
            <w:r>
              <w:rPr>
                <w:color w:val="000000"/>
                <w:kern w:val="0"/>
                <w:szCs w:val="21"/>
              </w:rPr>
              <w:t>企业诚信</w:t>
            </w:r>
          </w:p>
        </w:tc>
        <w:tc>
          <w:tcPr>
            <w:tcW w:w="790" w:type="pct"/>
            <w:vMerge w:val="restart"/>
            <w:tcBorders>
              <w:top w:val="single" w:color="auto" w:sz="8" w:space="0"/>
              <w:left w:val="single" w:color="auto" w:sz="4" w:space="0"/>
              <w:bottom w:val="single" w:color="000000" w:sz="8" w:space="0"/>
              <w:right w:val="single" w:color="auto" w:sz="8" w:space="0"/>
            </w:tcBorders>
            <w:shd w:val="clear" w:color="auto" w:fill="auto"/>
            <w:vAlign w:val="center"/>
          </w:tcPr>
          <w:p w14:paraId="70A7B9C3">
            <w:pPr>
              <w:widowControl/>
              <w:jc w:val="center"/>
              <w:rPr>
                <w:color w:val="000000"/>
                <w:kern w:val="0"/>
                <w:szCs w:val="21"/>
              </w:rPr>
            </w:pPr>
            <w:r>
              <w:rPr>
                <w:color w:val="000000"/>
                <w:kern w:val="0"/>
                <w:szCs w:val="21"/>
              </w:rPr>
              <w:t>诚信管理体系建设</w:t>
            </w:r>
          </w:p>
        </w:tc>
        <w:tc>
          <w:tcPr>
            <w:tcW w:w="1770" w:type="pct"/>
            <w:tcBorders>
              <w:top w:val="single" w:color="auto" w:sz="8" w:space="0"/>
              <w:left w:val="nil"/>
              <w:bottom w:val="single" w:color="auto" w:sz="8" w:space="0"/>
              <w:right w:val="single" w:color="auto" w:sz="8" w:space="0"/>
            </w:tcBorders>
            <w:shd w:val="clear" w:color="auto" w:fill="auto"/>
            <w:vAlign w:val="center"/>
          </w:tcPr>
          <w:p w14:paraId="7266E083">
            <w:pPr>
              <w:widowControl/>
              <w:jc w:val="center"/>
              <w:rPr>
                <w:color w:val="000000"/>
                <w:kern w:val="0"/>
                <w:szCs w:val="21"/>
              </w:rPr>
            </w:pPr>
            <w:r>
              <w:rPr>
                <w:color w:val="000000"/>
                <w:kern w:val="0"/>
                <w:szCs w:val="21"/>
              </w:rPr>
              <w:t>未建立良好的诚信管理体系。</w:t>
            </w:r>
          </w:p>
        </w:tc>
        <w:tc>
          <w:tcPr>
            <w:tcW w:w="789" w:type="pct"/>
            <w:tcBorders>
              <w:top w:val="nil"/>
              <w:left w:val="nil"/>
              <w:bottom w:val="single" w:color="auto" w:sz="8" w:space="0"/>
              <w:right w:val="single" w:color="auto" w:sz="8" w:space="0"/>
            </w:tcBorders>
            <w:shd w:val="clear" w:color="auto" w:fill="auto"/>
            <w:vAlign w:val="center"/>
          </w:tcPr>
          <w:p w14:paraId="5350AD25">
            <w:pPr>
              <w:widowControl/>
              <w:jc w:val="center"/>
              <w:rPr>
                <w:color w:val="000000"/>
                <w:kern w:val="0"/>
                <w:szCs w:val="21"/>
              </w:rPr>
            </w:pPr>
            <w:r>
              <w:rPr>
                <w:color w:val="000000"/>
                <w:kern w:val="0"/>
                <w:szCs w:val="21"/>
              </w:rPr>
              <w:t>0</w:t>
            </w:r>
          </w:p>
        </w:tc>
        <w:tc>
          <w:tcPr>
            <w:tcW w:w="506"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1AE3E7AA">
            <w:pPr>
              <w:widowControl/>
              <w:jc w:val="center"/>
              <w:rPr>
                <w:color w:val="000000"/>
                <w:kern w:val="0"/>
                <w:szCs w:val="21"/>
              </w:rPr>
            </w:pPr>
            <w:r>
              <w:rPr>
                <w:color w:val="000000"/>
                <w:kern w:val="0"/>
                <w:szCs w:val="21"/>
              </w:rPr>
              <w:t>1</w:t>
            </w:r>
          </w:p>
        </w:tc>
        <w:tc>
          <w:tcPr>
            <w:tcW w:w="635" w:type="pct"/>
            <w:vMerge w:val="restart"/>
            <w:tcBorders>
              <w:top w:val="nil"/>
              <w:left w:val="single" w:color="auto" w:sz="8" w:space="0"/>
              <w:bottom w:val="single" w:color="000000" w:sz="8" w:space="0"/>
              <w:right w:val="single" w:color="auto" w:sz="8" w:space="0"/>
            </w:tcBorders>
            <w:shd w:val="clear" w:color="auto" w:fill="auto"/>
            <w:vAlign w:val="center"/>
          </w:tcPr>
          <w:p w14:paraId="6ED958AE">
            <w:pPr>
              <w:widowControl/>
              <w:jc w:val="center"/>
              <w:rPr>
                <w:color w:val="000000"/>
                <w:kern w:val="0"/>
                <w:szCs w:val="21"/>
              </w:rPr>
            </w:pPr>
            <w:r>
              <w:rPr>
                <w:color w:val="000000"/>
                <w:kern w:val="0"/>
                <w:szCs w:val="21"/>
              </w:rPr>
              <w:t>　</w:t>
            </w:r>
          </w:p>
        </w:tc>
      </w:tr>
      <w:tr w14:paraId="6F1CF316">
        <w:tblPrEx>
          <w:tblCellMar>
            <w:top w:w="0" w:type="dxa"/>
            <w:left w:w="108" w:type="dxa"/>
            <w:bottom w:w="0" w:type="dxa"/>
            <w:right w:w="108" w:type="dxa"/>
          </w:tblCellMar>
        </w:tblPrEx>
        <w:trPr>
          <w:trHeight w:val="525" w:hRule="atLeast"/>
        </w:trPr>
        <w:tc>
          <w:tcPr>
            <w:tcW w:w="218" w:type="pct"/>
            <w:vMerge w:val="continue"/>
            <w:tcBorders>
              <w:top w:val="nil"/>
              <w:left w:val="single" w:color="auto" w:sz="8" w:space="0"/>
              <w:bottom w:val="single" w:color="000000" w:sz="8" w:space="0"/>
              <w:right w:val="single" w:color="auto" w:sz="4" w:space="0"/>
            </w:tcBorders>
            <w:vAlign w:val="center"/>
          </w:tcPr>
          <w:p w14:paraId="75BD4527">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724F89DC">
            <w:pPr>
              <w:widowControl/>
              <w:jc w:val="left"/>
              <w:rPr>
                <w:color w:val="000000"/>
                <w:kern w:val="0"/>
                <w:szCs w:val="21"/>
              </w:rPr>
            </w:pPr>
          </w:p>
        </w:tc>
        <w:tc>
          <w:tcPr>
            <w:tcW w:w="790" w:type="pct"/>
            <w:vMerge w:val="continue"/>
            <w:tcBorders>
              <w:top w:val="single" w:color="auto" w:sz="8" w:space="0"/>
              <w:left w:val="single" w:color="auto" w:sz="4" w:space="0"/>
              <w:bottom w:val="single" w:color="000000" w:sz="8" w:space="0"/>
              <w:right w:val="single" w:color="auto" w:sz="8" w:space="0"/>
            </w:tcBorders>
            <w:vAlign w:val="center"/>
          </w:tcPr>
          <w:p w14:paraId="3D5DD2F6">
            <w:pPr>
              <w:widowControl/>
              <w:jc w:val="left"/>
              <w:rPr>
                <w:color w:val="000000"/>
                <w:kern w:val="0"/>
                <w:szCs w:val="21"/>
              </w:rPr>
            </w:pPr>
          </w:p>
        </w:tc>
        <w:tc>
          <w:tcPr>
            <w:tcW w:w="1770" w:type="pct"/>
            <w:tcBorders>
              <w:top w:val="nil"/>
              <w:left w:val="nil"/>
              <w:bottom w:val="single" w:color="auto" w:sz="8" w:space="0"/>
              <w:right w:val="single" w:color="auto" w:sz="8" w:space="0"/>
            </w:tcBorders>
            <w:shd w:val="clear" w:color="auto" w:fill="auto"/>
            <w:vAlign w:val="center"/>
          </w:tcPr>
          <w:p w14:paraId="7E81EF7F">
            <w:pPr>
              <w:widowControl/>
              <w:jc w:val="center"/>
              <w:rPr>
                <w:color w:val="000000"/>
                <w:kern w:val="0"/>
                <w:szCs w:val="21"/>
              </w:rPr>
            </w:pPr>
            <w:r>
              <w:rPr>
                <w:color w:val="000000"/>
                <w:kern w:val="0"/>
                <w:szCs w:val="21"/>
              </w:rPr>
              <w:t>通过诚信管理体系认证或建立良好的诚信管理体系，运行良好。</w:t>
            </w:r>
          </w:p>
        </w:tc>
        <w:tc>
          <w:tcPr>
            <w:tcW w:w="789" w:type="pct"/>
            <w:tcBorders>
              <w:top w:val="nil"/>
              <w:left w:val="nil"/>
              <w:bottom w:val="single" w:color="auto" w:sz="8" w:space="0"/>
              <w:right w:val="single" w:color="auto" w:sz="8" w:space="0"/>
            </w:tcBorders>
            <w:shd w:val="clear" w:color="auto" w:fill="auto"/>
            <w:vAlign w:val="center"/>
          </w:tcPr>
          <w:p w14:paraId="76314A5F">
            <w:pPr>
              <w:widowControl/>
              <w:jc w:val="center"/>
              <w:rPr>
                <w:color w:val="000000"/>
                <w:kern w:val="0"/>
                <w:szCs w:val="21"/>
              </w:rPr>
            </w:pPr>
            <w:r>
              <w:rPr>
                <w:color w:val="000000"/>
                <w:kern w:val="0"/>
                <w:szCs w:val="21"/>
              </w:rPr>
              <w:t>1</w:t>
            </w:r>
          </w:p>
        </w:tc>
        <w:tc>
          <w:tcPr>
            <w:tcW w:w="506" w:type="pct"/>
            <w:vMerge w:val="continue"/>
            <w:tcBorders>
              <w:top w:val="single" w:color="auto" w:sz="8" w:space="0"/>
              <w:left w:val="single" w:color="auto" w:sz="8" w:space="0"/>
              <w:bottom w:val="single" w:color="000000" w:sz="8" w:space="0"/>
              <w:right w:val="single" w:color="auto" w:sz="8" w:space="0"/>
            </w:tcBorders>
            <w:vAlign w:val="center"/>
          </w:tcPr>
          <w:p w14:paraId="33DC9AA4">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35113809">
            <w:pPr>
              <w:widowControl/>
              <w:jc w:val="left"/>
              <w:rPr>
                <w:color w:val="000000"/>
                <w:kern w:val="0"/>
                <w:szCs w:val="21"/>
              </w:rPr>
            </w:pPr>
          </w:p>
        </w:tc>
      </w:tr>
      <w:tr w14:paraId="3FA498E4">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1C20A5C8">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405916E2">
            <w:pPr>
              <w:widowControl/>
              <w:jc w:val="left"/>
              <w:rPr>
                <w:color w:val="000000"/>
                <w:kern w:val="0"/>
                <w:szCs w:val="21"/>
              </w:rPr>
            </w:pPr>
          </w:p>
        </w:tc>
        <w:tc>
          <w:tcPr>
            <w:tcW w:w="790" w:type="pct"/>
            <w:vMerge w:val="restart"/>
            <w:tcBorders>
              <w:top w:val="nil"/>
              <w:left w:val="single" w:color="auto" w:sz="4" w:space="0"/>
              <w:bottom w:val="single" w:color="000000" w:sz="8" w:space="0"/>
              <w:right w:val="single" w:color="auto" w:sz="8" w:space="0"/>
            </w:tcBorders>
            <w:shd w:val="clear" w:color="auto" w:fill="auto"/>
            <w:vAlign w:val="center"/>
          </w:tcPr>
          <w:p w14:paraId="7089B6CF">
            <w:pPr>
              <w:widowControl/>
              <w:jc w:val="center"/>
              <w:rPr>
                <w:color w:val="000000"/>
                <w:kern w:val="0"/>
                <w:szCs w:val="21"/>
              </w:rPr>
            </w:pPr>
            <w:r>
              <w:rPr>
                <w:color w:val="000000"/>
                <w:kern w:val="0"/>
                <w:szCs w:val="21"/>
              </w:rPr>
              <w:t>企业信用等级</w:t>
            </w:r>
          </w:p>
        </w:tc>
        <w:tc>
          <w:tcPr>
            <w:tcW w:w="1770" w:type="pct"/>
            <w:tcBorders>
              <w:top w:val="nil"/>
              <w:left w:val="nil"/>
              <w:bottom w:val="single" w:color="auto" w:sz="8" w:space="0"/>
              <w:right w:val="single" w:color="auto" w:sz="8" w:space="0"/>
            </w:tcBorders>
            <w:shd w:val="clear" w:color="auto" w:fill="auto"/>
            <w:vAlign w:val="center"/>
          </w:tcPr>
          <w:p w14:paraId="6B9A2EBE">
            <w:pPr>
              <w:widowControl/>
              <w:jc w:val="center"/>
              <w:rPr>
                <w:color w:val="000000"/>
                <w:kern w:val="0"/>
                <w:szCs w:val="21"/>
              </w:rPr>
            </w:pPr>
            <w:r>
              <w:rPr>
                <w:color w:val="000000"/>
                <w:kern w:val="0"/>
                <w:szCs w:val="21"/>
              </w:rPr>
              <w:t>发生严重失信</w:t>
            </w:r>
          </w:p>
        </w:tc>
        <w:tc>
          <w:tcPr>
            <w:tcW w:w="789" w:type="pct"/>
            <w:tcBorders>
              <w:top w:val="nil"/>
              <w:left w:val="nil"/>
              <w:bottom w:val="single" w:color="auto" w:sz="8" w:space="0"/>
              <w:right w:val="single" w:color="auto" w:sz="8" w:space="0"/>
            </w:tcBorders>
            <w:shd w:val="clear" w:color="auto" w:fill="auto"/>
            <w:vAlign w:val="center"/>
          </w:tcPr>
          <w:p w14:paraId="31B2977C">
            <w:pPr>
              <w:widowControl/>
              <w:jc w:val="center"/>
              <w:rPr>
                <w:color w:val="000000"/>
                <w:kern w:val="0"/>
                <w:szCs w:val="21"/>
              </w:rPr>
            </w:pPr>
            <w:r>
              <w:rPr>
                <w:color w:val="000000"/>
                <w:kern w:val="0"/>
                <w:szCs w:val="21"/>
              </w:rPr>
              <w:t>0</w:t>
            </w:r>
          </w:p>
        </w:tc>
        <w:tc>
          <w:tcPr>
            <w:tcW w:w="506" w:type="pct"/>
            <w:vMerge w:val="restart"/>
            <w:tcBorders>
              <w:top w:val="nil"/>
              <w:left w:val="single" w:color="auto" w:sz="8" w:space="0"/>
              <w:bottom w:val="single" w:color="000000" w:sz="8" w:space="0"/>
              <w:right w:val="single" w:color="auto" w:sz="8" w:space="0"/>
            </w:tcBorders>
            <w:shd w:val="clear" w:color="auto" w:fill="auto"/>
            <w:vAlign w:val="center"/>
          </w:tcPr>
          <w:p w14:paraId="5601AA86">
            <w:pPr>
              <w:widowControl/>
              <w:jc w:val="center"/>
              <w:rPr>
                <w:color w:val="000000"/>
                <w:kern w:val="0"/>
                <w:szCs w:val="21"/>
              </w:rPr>
            </w:pPr>
            <w:r>
              <w:rPr>
                <w:color w:val="000000"/>
                <w:kern w:val="0"/>
                <w:szCs w:val="21"/>
              </w:rPr>
              <w:t>4</w:t>
            </w:r>
          </w:p>
        </w:tc>
        <w:tc>
          <w:tcPr>
            <w:tcW w:w="635" w:type="pct"/>
            <w:vMerge w:val="restart"/>
            <w:tcBorders>
              <w:top w:val="nil"/>
              <w:left w:val="single" w:color="auto" w:sz="8" w:space="0"/>
              <w:bottom w:val="single" w:color="000000" w:sz="8" w:space="0"/>
              <w:right w:val="single" w:color="auto" w:sz="8" w:space="0"/>
            </w:tcBorders>
            <w:shd w:val="clear" w:color="auto" w:fill="auto"/>
            <w:vAlign w:val="center"/>
          </w:tcPr>
          <w:p w14:paraId="647B7436">
            <w:pPr>
              <w:widowControl/>
              <w:jc w:val="center"/>
              <w:rPr>
                <w:color w:val="000000"/>
                <w:kern w:val="0"/>
                <w:szCs w:val="21"/>
              </w:rPr>
            </w:pPr>
            <w:r>
              <w:rPr>
                <w:rFonts w:hint="eastAsia"/>
                <w:color w:val="000000"/>
                <w:kern w:val="0"/>
                <w:szCs w:val="21"/>
              </w:rPr>
              <w:t>未进行企业信用等级评价的按D级评价</w:t>
            </w:r>
          </w:p>
        </w:tc>
      </w:tr>
      <w:tr w14:paraId="0D1FF33C">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3D828249">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3AB30B7A">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24417DA2">
            <w:pPr>
              <w:widowControl/>
              <w:jc w:val="left"/>
              <w:rPr>
                <w:color w:val="000000"/>
                <w:kern w:val="0"/>
                <w:szCs w:val="21"/>
              </w:rPr>
            </w:pPr>
          </w:p>
        </w:tc>
        <w:tc>
          <w:tcPr>
            <w:tcW w:w="1770" w:type="pct"/>
            <w:tcBorders>
              <w:top w:val="nil"/>
              <w:left w:val="nil"/>
              <w:bottom w:val="single" w:color="auto" w:sz="8" w:space="0"/>
              <w:right w:val="single" w:color="auto" w:sz="8" w:space="0"/>
            </w:tcBorders>
            <w:shd w:val="clear" w:color="auto" w:fill="auto"/>
            <w:vAlign w:val="center"/>
          </w:tcPr>
          <w:p w14:paraId="49A90A2B">
            <w:pPr>
              <w:widowControl/>
              <w:jc w:val="center"/>
              <w:rPr>
                <w:color w:val="000000"/>
                <w:kern w:val="0"/>
                <w:szCs w:val="21"/>
              </w:rPr>
            </w:pPr>
            <w:r>
              <w:rPr>
                <w:color w:val="000000"/>
                <w:kern w:val="0"/>
                <w:szCs w:val="21"/>
              </w:rPr>
              <w:t>D</w:t>
            </w:r>
          </w:p>
        </w:tc>
        <w:tc>
          <w:tcPr>
            <w:tcW w:w="789" w:type="pct"/>
            <w:tcBorders>
              <w:top w:val="nil"/>
              <w:left w:val="nil"/>
              <w:bottom w:val="single" w:color="auto" w:sz="8" w:space="0"/>
              <w:right w:val="single" w:color="auto" w:sz="8" w:space="0"/>
            </w:tcBorders>
            <w:shd w:val="clear" w:color="auto" w:fill="auto"/>
            <w:vAlign w:val="center"/>
          </w:tcPr>
          <w:p w14:paraId="64CD0576">
            <w:pPr>
              <w:widowControl/>
              <w:jc w:val="center"/>
              <w:rPr>
                <w:color w:val="000000"/>
                <w:kern w:val="0"/>
                <w:szCs w:val="21"/>
              </w:rPr>
            </w:pPr>
            <w:r>
              <w:rPr>
                <w:color w:val="000000"/>
                <w:kern w:val="0"/>
                <w:szCs w:val="21"/>
              </w:rPr>
              <w:t>1</w:t>
            </w:r>
          </w:p>
        </w:tc>
        <w:tc>
          <w:tcPr>
            <w:tcW w:w="506" w:type="pct"/>
            <w:vMerge w:val="continue"/>
            <w:tcBorders>
              <w:top w:val="nil"/>
              <w:left w:val="single" w:color="auto" w:sz="8" w:space="0"/>
              <w:bottom w:val="single" w:color="000000" w:sz="8" w:space="0"/>
              <w:right w:val="single" w:color="auto" w:sz="8" w:space="0"/>
            </w:tcBorders>
            <w:vAlign w:val="center"/>
          </w:tcPr>
          <w:p w14:paraId="73DAC768">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1EECC234">
            <w:pPr>
              <w:widowControl/>
              <w:jc w:val="left"/>
              <w:rPr>
                <w:color w:val="000000"/>
                <w:kern w:val="0"/>
                <w:szCs w:val="21"/>
              </w:rPr>
            </w:pPr>
          </w:p>
        </w:tc>
      </w:tr>
      <w:tr w14:paraId="0EF6A2C1">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49E72953">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247B3BAB">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3D6AC2CC">
            <w:pPr>
              <w:widowControl/>
              <w:jc w:val="left"/>
              <w:rPr>
                <w:color w:val="000000"/>
                <w:kern w:val="0"/>
                <w:szCs w:val="21"/>
              </w:rPr>
            </w:pPr>
          </w:p>
        </w:tc>
        <w:tc>
          <w:tcPr>
            <w:tcW w:w="1770" w:type="pct"/>
            <w:tcBorders>
              <w:top w:val="nil"/>
              <w:left w:val="nil"/>
              <w:bottom w:val="single" w:color="auto" w:sz="8" w:space="0"/>
              <w:right w:val="single" w:color="auto" w:sz="8" w:space="0"/>
            </w:tcBorders>
            <w:shd w:val="clear" w:color="auto" w:fill="auto"/>
            <w:vAlign w:val="center"/>
          </w:tcPr>
          <w:p w14:paraId="787DF7B8">
            <w:pPr>
              <w:widowControl/>
              <w:jc w:val="center"/>
              <w:rPr>
                <w:color w:val="000000"/>
                <w:kern w:val="0"/>
                <w:szCs w:val="21"/>
              </w:rPr>
            </w:pPr>
            <w:r>
              <w:rPr>
                <w:color w:val="000000"/>
                <w:kern w:val="0"/>
                <w:szCs w:val="21"/>
              </w:rPr>
              <w:t>C、CC、CCC</w:t>
            </w:r>
          </w:p>
        </w:tc>
        <w:tc>
          <w:tcPr>
            <w:tcW w:w="789" w:type="pct"/>
            <w:tcBorders>
              <w:top w:val="nil"/>
              <w:left w:val="nil"/>
              <w:bottom w:val="single" w:color="auto" w:sz="8" w:space="0"/>
              <w:right w:val="single" w:color="auto" w:sz="8" w:space="0"/>
            </w:tcBorders>
            <w:shd w:val="clear" w:color="auto" w:fill="auto"/>
            <w:vAlign w:val="center"/>
          </w:tcPr>
          <w:p w14:paraId="2FB9DFB7">
            <w:pPr>
              <w:widowControl/>
              <w:jc w:val="center"/>
              <w:rPr>
                <w:color w:val="000000"/>
                <w:kern w:val="0"/>
                <w:szCs w:val="21"/>
              </w:rPr>
            </w:pPr>
            <w:r>
              <w:rPr>
                <w:color w:val="000000"/>
                <w:kern w:val="0"/>
                <w:szCs w:val="21"/>
              </w:rPr>
              <w:t>2</w:t>
            </w:r>
          </w:p>
        </w:tc>
        <w:tc>
          <w:tcPr>
            <w:tcW w:w="506" w:type="pct"/>
            <w:vMerge w:val="continue"/>
            <w:tcBorders>
              <w:top w:val="nil"/>
              <w:left w:val="single" w:color="auto" w:sz="8" w:space="0"/>
              <w:bottom w:val="single" w:color="000000" w:sz="8" w:space="0"/>
              <w:right w:val="single" w:color="auto" w:sz="8" w:space="0"/>
            </w:tcBorders>
            <w:vAlign w:val="center"/>
          </w:tcPr>
          <w:p w14:paraId="789A3F9E">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0F513F04">
            <w:pPr>
              <w:widowControl/>
              <w:jc w:val="left"/>
              <w:rPr>
                <w:color w:val="000000"/>
                <w:kern w:val="0"/>
                <w:szCs w:val="21"/>
              </w:rPr>
            </w:pPr>
          </w:p>
        </w:tc>
      </w:tr>
      <w:tr w14:paraId="0FA37A33">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690734CA">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020D7793">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5819A16F">
            <w:pPr>
              <w:widowControl/>
              <w:jc w:val="left"/>
              <w:rPr>
                <w:color w:val="000000"/>
                <w:kern w:val="0"/>
                <w:szCs w:val="21"/>
              </w:rPr>
            </w:pPr>
          </w:p>
        </w:tc>
        <w:tc>
          <w:tcPr>
            <w:tcW w:w="1770" w:type="pct"/>
            <w:tcBorders>
              <w:top w:val="nil"/>
              <w:left w:val="nil"/>
              <w:bottom w:val="single" w:color="auto" w:sz="8" w:space="0"/>
              <w:right w:val="single" w:color="auto" w:sz="8" w:space="0"/>
            </w:tcBorders>
            <w:shd w:val="clear" w:color="auto" w:fill="auto"/>
            <w:vAlign w:val="center"/>
          </w:tcPr>
          <w:p w14:paraId="25EBA211">
            <w:pPr>
              <w:widowControl/>
              <w:jc w:val="center"/>
              <w:rPr>
                <w:color w:val="000000"/>
                <w:kern w:val="0"/>
                <w:szCs w:val="21"/>
              </w:rPr>
            </w:pPr>
            <w:r>
              <w:rPr>
                <w:color w:val="000000"/>
                <w:kern w:val="0"/>
                <w:szCs w:val="21"/>
              </w:rPr>
              <w:t>B、BB、BBB</w:t>
            </w:r>
          </w:p>
        </w:tc>
        <w:tc>
          <w:tcPr>
            <w:tcW w:w="789" w:type="pct"/>
            <w:tcBorders>
              <w:top w:val="nil"/>
              <w:left w:val="nil"/>
              <w:bottom w:val="single" w:color="auto" w:sz="8" w:space="0"/>
              <w:right w:val="single" w:color="auto" w:sz="8" w:space="0"/>
            </w:tcBorders>
            <w:shd w:val="clear" w:color="auto" w:fill="auto"/>
            <w:vAlign w:val="center"/>
          </w:tcPr>
          <w:p w14:paraId="25E1C4EE">
            <w:pPr>
              <w:widowControl/>
              <w:jc w:val="center"/>
              <w:rPr>
                <w:color w:val="000000"/>
                <w:kern w:val="0"/>
                <w:szCs w:val="21"/>
              </w:rPr>
            </w:pPr>
            <w:r>
              <w:rPr>
                <w:color w:val="000000"/>
                <w:kern w:val="0"/>
                <w:szCs w:val="21"/>
              </w:rPr>
              <w:t>3</w:t>
            </w:r>
          </w:p>
        </w:tc>
        <w:tc>
          <w:tcPr>
            <w:tcW w:w="506" w:type="pct"/>
            <w:vMerge w:val="continue"/>
            <w:tcBorders>
              <w:top w:val="nil"/>
              <w:left w:val="single" w:color="auto" w:sz="8" w:space="0"/>
              <w:bottom w:val="single" w:color="000000" w:sz="8" w:space="0"/>
              <w:right w:val="single" w:color="auto" w:sz="8" w:space="0"/>
            </w:tcBorders>
            <w:vAlign w:val="center"/>
          </w:tcPr>
          <w:p w14:paraId="504C7189">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49617129">
            <w:pPr>
              <w:widowControl/>
              <w:jc w:val="left"/>
              <w:rPr>
                <w:color w:val="000000"/>
                <w:kern w:val="0"/>
                <w:szCs w:val="21"/>
              </w:rPr>
            </w:pPr>
          </w:p>
        </w:tc>
      </w:tr>
      <w:tr w14:paraId="66638CAB">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12B8F56E">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420689CA">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39B76FCB">
            <w:pPr>
              <w:widowControl/>
              <w:jc w:val="left"/>
              <w:rPr>
                <w:color w:val="000000"/>
                <w:kern w:val="0"/>
                <w:szCs w:val="21"/>
              </w:rPr>
            </w:pPr>
          </w:p>
        </w:tc>
        <w:tc>
          <w:tcPr>
            <w:tcW w:w="1770" w:type="pct"/>
            <w:tcBorders>
              <w:top w:val="nil"/>
              <w:left w:val="nil"/>
              <w:bottom w:val="single" w:color="auto" w:sz="8" w:space="0"/>
              <w:right w:val="single" w:color="auto" w:sz="8" w:space="0"/>
            </w:tcBorders>
            <w:shd w:val="clear" w:color="auto" w:fill="auto"/>
            <w:vAlign w:val="center"/>
          </w:tcPr>
          <w:p w14:paraId="36FA0E22">
            <w:pPr>
              <w:widowControl/>
              <w:jc w:val="center"/>
              <w:rPr>
                <w:color w:val="000000"/>
                <w:kern w:val="0"/>
                <w:szCs w:val="21"/>
              </w:rPr>
            </w:pPr>
            <w:r>
              <w:rPr>
                <w:color w:val="000000"/>
                <w:kern w:val="0"/>
                <w:szCs w:val="21"/>
              </w:rPr>
              <w:t>A、AA、AAA</w:t>
            </w:r>
          </w:p>
        </w:tc>
        <w:tc>
          <w:tcPr>
            <w:tcW w:w="789" w:type="pct"/>
            <w:tcBorders>
              <w:top w:val="nil"/>
              <w:left w:val="nil"/>
              <w:bottom w:val="single" w:color="auto" w:sz="8" w:space="0"/>
              <w:right w:val="single" w:color="auto" w:sz="8" w:space="0"/>
            </w:tcBorders>
            <w:shd w:val="clear" w:color="auto" w:fill="auto"/>
            <w:vAlign w:val="center"/>
          </w:tcPr>
          <w:p w14:paraId="1751E89A">
            <w:pPr>
              <w:widowControl/>
              <w:jc w:val="center"/>
              <w:rPr>
                <w:color w:val="000000"/>
                <w:kern w:val="0"/>
                <w:szCs w:val="21"/>
              </w:rPr>
            </w:pPr>
            <w:r>
              <w:rPr>
                <w:color w:val="000000"/>
                <w:kern w:val="0"/>
                <w:szCs w:val="21"/>
              </w:rPr>
              <w:t>4</w:t>
            </w:r>
          </w:p>
        </w:tc>
        <w:tc>
          <w:tcPr>
            <w:tcW w:w="506" w:type="pct"/>
            <w:vMerge w:val="continue"/>
            <w:tcBorders>
              <w:top w:val="nil"/>
              <w:left w:val="single" w:color="auto" w:sz="8" w:space="0"/>
              <w:bottom w:val="single" w:color="000000" w:sz="8" w:space="0"/>
              <w:right w:val="single" w:color="auto" w:sz="8" w:space="0"/>
            </w:tcBorders>
            <w:vAlign w:val="center"/>
          </w:tcPr>
          <w:p w14:paraId="322D43E8">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55A5525C">
            <w:pPr>
              <w:widowControl/>
              <w:jc w:val="left"/>
              <w:rPr>
                <w:color w:val="000000"/>
                <w:kern w:val="0"/>
                <w:szCs w:val="21"/>
              </w:rPr>
            </w:pPr>
          </w:p>
        </w:tc>
      </w:tr>
      <w:tr w14:paraId="6F7F650E">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5BB8251C">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454189A4">
            <w:pPr>
              <w:widowControl/>
              <w:jc w:val="left"/>
              <w:rPr>
                <w:color w:val="000000"/>
                <w:kern w:val="0"/>
                <w:szCs w:val="21"/>
              </w:rPr>
            </w:pPr>
          </w:p>
        </w:tc>
        <w:tc>
          <w:tcPr>
            <w:tcW w:w="790" w:type="pct"/>
            <w:vMerge w:val="restart"/>
            <w:tcBorders>
              <w:top w:val="nil"/>
              <w:left w:val="single" w:color="auto" w:sz="4" w:space="0"/>
              <w:bottom w:val="single" w:color="000000" w:sz="8" w:space="0"/>
              <w:right w:val="single" w:color="auto" w:sz="8" w:space="0"/>
            </w:tcBorders>
            <w:shd w:val="clear" w:color="auto" w:fill="auto"/>
            <w:vAlign w:val="center"/>
          </w:tcPr>
          <w:p w14:paraId="3E5AA040">
            <w:pPr>
              <w:widowControl/>
              <w:jc w:val="center"/>
              <w:rPr>
                <w:color w:val="000000"/>
                <w:kern w:val="0"/>
                <w:szCs w:val="21"/>
              </w:rPr>
            </w:pPr>
            <w:r>
              <w:rPr>
                <w:color w:val="000000"/>
                <w:kern w:val="0"/>
                <w:szCs w:val="21"/>
              </w:rPr>
              <w:t>管理层信用</w:t>
            </w:r>
          </w:p>
        </w:tc>
        <w:tc>
          <w:tcPr>
            <w:tcW w:w="1770" w:type="pct"/>
            <w:tcBorders>
              <w:top w:val="nil"/>
              <w:left w:val="nil"/>
              <w:bottom w:val="single" w:color="auto" w:sz="8" w:space="0"/>
              <w:right w:val="single" w:color="auto" w:sz="8" w:space="0"/>
            </w:tcBorders>
            <w:shd w:val="clear" w:color="auto" w:fill="auto"/>
            <w:vAlign w:val="center"/>
          </w:tcPr>
          <w:p w14:paraId="387FD439">
            <w:pPr>
              <w:widowControl/>
              <w:jc w:val="center"/>
              <w:rPr>
                <w:color w:val="000000"/>
                <w:kern w:val="0"/>
                <w:szCs w:val="21"/>
              </w:rPr>
            </w:pPr>
            <w:r>
              <w:rPr>
                <w:color w:val="000000"/>
                <w:kern w:val="0"/>
                <w:szCs w:val="21"/>
              </w:rPr>
              <w:t>近三年，管理层人员未列入国家失信对象名单。</w:t>
            </w:r>
          </w:p>
        </w:tc>
        <w:tc>
          <w:tcPr>
            <w:tcW w:w="789" w:type="pct"/>
            <w:tcBorders>
              <w:top w:val="nil"/>
              <w:left w:val="nil"/>
              <w:bottom w:val="single" w:color="auto" w:sz="8" w:space="0"/>
              <w:right w:val="single" w:color="auto" w:sz="8" w:space="0"/>
            </w:tcBorders>
            <w:shd w:val="clear" w:color="auto" w:fill="auto"/>
            <w:vAlign w:val="center"/>
          </w:tcPr>
          <w:p w14:paraId="50EB5B6A">
            <w:pPr>
              <w:widowControl/>
              <w:jc w:val="center"/>
              <w:rPr>
                <w:color w:val="000000"/>
                <w:kern w:val="0"/>
                <w:szCs w:val="21"/>
              </w:rPr>
            </w:pPr>
            <w:r>
              <w:rPr>
                <w:color w:val="000000"/>
                <w:kern w:val="0"/>
                <w:szCs w:val="21"/>
              </w:rPr>
              <w:t>1</w:t>
            </w:r>
          </w:p>
        </w:tc>
        <w:tc>
          <w:tcPr>
            <w:tcW w:w="506" w:type="pct"/>
            <w:vMerge w:val="restart"/>
            <w:tcBorders>
              <w:top w:val="nil"/>
              <w:left w:val="single" w:color="auto" w:sz="8" w:space="0"/>
              <w:bottom w:val="single" w:color="000000" w:sz="8" w:space="0"/>
              <w:right w:val="single" w:color="auto" w:sz="8" w:space="0"/>
            </w:tcBorders>
            <w:shd w:val="clear" w:color="auto" w:fill="auto"/>
            <w:vAlign w:val="center"/>
          </w:tcPr>
          <w:p w14:paraId="634D6F4E">
            <w:pPr>
              <w:widowControl/>
              <w:jc w:val="center"/>
              <w:rPr>
                <w:color w:val="000000"/>
                <w:kern w:val="0"/>
                <w:szCs w:val="21"/>
              </w:rPr>
            </w:pPr>
            <w:r>
              <w:rPr>
                <w:color w:val="000000"/>
                <w:kern w:val="0"/>
                <w:szCs w:val="21"/>
              </w:rPr>
              <w:t>2</w:t>
            </w:r>
          </w:p>
        </w:tc>
        <w:tc>
          <w:tcPr>
            <w:tcW w:w="635" w:type="pct"/>
            <w:vMerge w:val="restart"/>
            <w:tcBorders>
              <w:top w:val="nil"/>
              <w:left w:val="single" w:color="auto" w:sz="8" w:space="0"/>
              <w:bottom w:val="single" w:color="000000" w:sz="8" w:space="0"/>
              <w:right w:val="single" w:color="auto" w:sz="8" w:space="0"/>
            </w:tcBorders>
            <w:shd w:val="clear" w:color="auto" w:fill="auto"/>
            <w:vAlign w:val="center"/>
          </w:tcPr>
          <w:p w14:paraId="0BD8F326">
            <w:pPr>
              <w:widowControl/>
              <w:jc w:val="center"/>
              <w:rPr>
                <w:color w:val="000000"/>
                <w:kern w:val="0"/>
                <w:szCs w:val="21"/>
              </w:rPr>
            </w:pPr>
            <w:r>
              <w:rPr>
                <w:color w:val="000000"/>
                <w:kern w:val="0"/>
                <w:szCs w:val="21"/>
              </w:rPr>
              <w:t>　</w:t>
            </w:r>
          </w:p>
        </w:tc>
      </w:tr>
      <w:tr w14:paraId="6A5E1E03">
        <w:tblPrEx>
          <w:tblCellMar>
            <w:top w:w="0" w:type="dxa"/>
            <w:left w:w="108" w:type="dxa"/>
            <w:bottom w:w="0" w:type="dxa"/>
            <w:right w:w="108" w:type="dxa"/>
          </w:tblCellMar>
        </w:tblPrEx>
        <w:trPr>
          <w:trHeight w:val="525" w:hRule="atLeast"/>
        </w:trPr>
        <w:tc>
          <w:tcPr>
            <w:tcW w:w="218" w:type="pct"/>
            <w:vMerge w:val="continue"/>
            <w:tcBorders>
              <w:top w:val="nil"/>
              <w:left w:val="single" w:color="auto" w:sz="8" w:space="0"/>
              <w:bottom w:val="single" w:color="000000" w:sz="8" w:space="0"/>
              <w:right w:val="single" w:color="auto" w:sz="4" w:space="0"/>
            </w:tcBorders>
            <w:vAlign w:val="center"/>
          </w:tcPr>
          <w:p w14:paraId="302ADC0B">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2560FB5F">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328A8563">
            <w:pPr>
              <w:widowControl/>
              <w:jc w:val="left"/>
              <w:rPr>
                <w:color w:val="000000"/>
                <w:kern w:val="0"/>
                <w:szCs w:val="21"/>
              </w:rPr>
            </w:pPr>
          </w:p>
        </w:tc>
        <w:tc>
          <w:tcPr>
            <w:tcW w:w="1770" w:type="pct"/>
            <w:tcBorders>
              <w:top w:val="nil"/>
              <w:left w:val="nil"/>
              <w:bottom w:val="single" w:color="auto" w:sz="8" w:space="0"/>
              <w:right w:val="single" w:color="auto" w:sz="8" w:space="0"/>
            </w:tcBorders>
            <w:shd w:val="clear" w:color="auto" w:fill="auto"/>
            <w:vAlign w:val="center"/>
          </w:tcPr>
          <w:p w14:paraId="3893E2E3">
            <w:pPr>
              <w:widowControl/>
              <w:jc w:val="center"/>
              <w:rPr>
                <w:color w:val="000000"/>
                <w:kern w:val="0"/>
                <w:szCs w:val="21"/>
              </w:rPr>
            </w:pPr>
            <w:r>
              <w:rPr>
                <w:color w:val="000000"/>
                <w:kern w:val="0"/>
                <w:szCs w:val="21"/>
              </w:rPr>
              <w:t>近三年，管理层人员未列入国家失信对象名单，管理层人员在企业内外均无不良信用记录。</w:t>
            </w:r>
          </w:p>
        </w:tc>
        <w:tc>
          <w:tcPr>
            <w:tcW w:w="789" w:type="pct"/>
            <w:tcBorders>
              <w:top w:val="nil"/>
              <w:left w:val="nil"/>
              <w:bottom w:val="single" w:color="auto" w:sz="8" w:space="0"/>
              <w:right w:val="single" w:color="auto" w:sz="8" w:space="0"/>
            </w:tcBorders>
            <w:shd w:val="clear" w:color="auto" w:fill="auto"/>
            <w:vAlign w:val="center"/>
          </w:tcPr>
          <w:p w14:paraId="616475E0">
            <w:pPr>
              <w:widowControl/>
              <w:jc w:val="center"/>
              <w:rPr>
                <w:color w:val="000000"/>
                <w:kern w:val="0"/>
                <w:szCs w:val="21"/>
              </w:rPr>
            </w:pPr>
            <w:r>
              <w:rPr>
                <w:color w:val="000000"/>
                <w:kern w:val="0"/>
                <w:szCs w:val="21"/>
              </w:rPr>
              <w:t>2</w:t>
            </w:r>
          </w:p>
        </w:tc>
        <w:tc>
          <w:tcPr>
            <w:tcW w:w="506" w:type="pct"/>
            <w:vMerge w:val="continue"/>
            <w:tcBorders>
              <w:top w:val="nil"/>
              <w:left w:val="single" w:color="auto" w:sz="8" w:space="0"/>
              <w:bottom w:val="single" w:color="000000" w:sz="8" w:space="0"/>
              <w:right w:val="single" w:color="auto" w:sz="8" w:space="0"/>
            </w:tcBorders>
            <w:vAlign w:val="center"/>
          </w:tcPr>
          <w:p w14:paraId="7E604BFE">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75AA0F6C">
            <w:pPr>
              <w:widowControl/>
              <w:jc w:val="left"/>
              <w:rPr>
                <w:color w:val="000000"/>
                <w:kern w:val="0"/>
                <w:szCs w:val="21"/>
              </w:rPr>
            </w:pPr>
          </w:p>
        </w:tc>
      </w:tr>
      <w:tr w14:paraId="6DF6B2B6">
        <w:tblPrEx>
          <w:tblCellMar>
            <w:top w:w="0" w:type="dxa"/>
            <w:left w:w="108" w:type="dxa"/>
            <w:bottom w:w="0" w:type="dxa"/>
            <w:right w:w="108" w:type="dxa"/>
          </w:tblCellMar>
        </w:tblPrEx>
        <w:trPr>
          <w:trHeight w:val="810" w:hRule="atLeast"/>
        </w:trPr>
        <w:tc>
          <w:tcPr>
            <w:tcW w:w="218" w:type="pct"/>
            <w:vMerge w:val="continue"/>
            <w:tcBorders>
              <w:top w:val="nil"/>
              <w:left w:val="single" w:color="auto" w:sz="8" w:space="0"/>
              <w:bottom w:val="single" w:color="000000" w:sz="8" w:space="0"/>
              <w:right w:val="single" w:color="auto" w:sz="4" w:space="0"/>
            </w:tcBorders>
            <w:vAlign w:val="center"/>
          </w:tcPr>
          <w:p w14:paraId="7D95F9CD">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69D7EB5F">
            <w:pPr>
              <w:widowControl/>
              <w:jc w:val="left"/>
              <w:rPr>
                <w:color w:val="000000"/>
                <w:kern w:val="0"/>
                <w:szCs w:val="21"/>
              </w:rPr>
            </w:pPr>
          </w:p>
        </w:tc>
        <w:tc>
          <w:tcPr>
            <w:tcW w:w="790" w:type="pct"/>
            <w:tcBorders>
              <w:top w:val="nil"/>
              <w:left w:val="single" w:color="auto" w:sz="4" w:space="0"/>
              <w:bottom w:val="single" w:color="auto" w:sz="8" w:space="0"/>
              <w:right w:val="single" w:color="auto" w:sz="8" w:space="0"/>
            </w:tcBorders>
            <w:shd w:val="clear" w:color="auto" w:fill="auto"/>
            <w:vAlign w:val="center"/>
          </w:tcPr>
          <w:p w14:paraId="12A48C2C">
            <w:pPr>
              <w:widowControl/>
              <w:jc w:val="center"/>
              <w:rPr>
                <w:color w:val="000000"/>
                <w:kern w:val="0"/>
                <w:szCs w:val="21"/>
              </w:rPr>
            </w:pPr>
            <w:r>
              <w:rPr>
                <w:color w:val="000000"/>
                <w:kern w:val="0"/>
                <w:szCs w:val="21"/>
              </w:rPr>
              <w:t>偿债能力</w:t>
            </w:r>
          </w:p>
        </w:tc>
        <w:tc>
          <w:tcPr>
            <w:tcW w:w="1770" w:type="pct"/>
            <w:tcBorders>
              <w:top w:val="nil"/>
              <w:left w:val="nil"/>
              <w:bottom w:val="single" w:color="auto" w:sz="8" w:space="0"/>
              <w:right w:val="single" w:color="auto" w:sz="8" w:space="0"/>
            </w:tcBorders>
            <w:shd w:val="clear" w:color="auto" w:fill="auto"/>
            <w:vAlign w:val="center"/>
          </w:tcPr>
          <w:p w14:paraId="47CF56BD">
            <w:pPr>
              <w:widowControl/>
              <w:jc w:val="center"/>
              <w:rPr>
                <w:color w:val="000000"/>
                <w:kern w:val="0"/>
                <w:szCs w:val="21"/>
              </w:rPr>
            </w:pPr>
            <w:r>
              <w:rPr>
                <w:color w:val="000000"/>
                <w:kern w:val="0"/>
                <w:szCs w:val="21"/>
              </w:rPr>
              <w:t>按公式计算得分：-5×总资产负债率+5</w:t>
            </w:r>
            <w:r>
              <w:rPr>
                <w:color w:val="000000"/>
                <w:kern w:val="0"/>
                <w:szCs w:val="21"/>
              </w:rPr>
              <w:br w:type="textWrapping"/>
            </w:r>
            <w:r>
              <w:rPr>
                <w:color w:val="000000"/>
                <w:kern w:val="0"/>
                <w:szCs w:val="21"/>
              </w:rPr>
              <w:t>最低0分，最高3分</w:t>
            </w:r>
          </w:p>
        </w:tc>
        <w:tc>
          <w:tcPr>
            <w:tcW w:w="789" w:type="pct"/>
            <w:tcBorders>
              <w:top w:val="nil"/>
              <w:left w:val="nil"/>
              <w:bottom w:val="single" w:color="auto" w:sz="8" w:space="0"/>
              <w:right w:val="single" w:color="auto" w:sz="8" w:space="0"/>
            </w:tcBorders>
            <w:shd w:val="clear" w:color="auto" w:fill="auto"/>
            <w:vAlign w:val="center"/>
          </w:tcPr>
          <w:p w14:paraId="515BD8C2">
            <w:pPr>
              <w:widowControl/>
              <w:jc w:val="center"/>
              <w:rPr>
                <w:color w:val="000000"/>
                <w:kern w:val="0"/>
                <w:szCs w:val="21"/>
              </w:rPr>
            </w:pPr>
            <w:r>
              <w:rPr>
                <w:color w:val="000000"/>
                <w:kern w:val="0"/>
                <w:szCs w:val="21"/>
              </w:rPr>
              <w:t>公式计算得分</w:t>
            </w:r>
          </w:p>
        </w:tc>
        <w:tc>
          <w:tcPr>
            <w:tcW w:w="506" w:type="pct"/>
            <w:tcBorders>
              <w:top w:val="nil"/>
              <w:left w:val="nil"/>
              <w:bottom w:val="single" w:color="auto" w:sz="8" w:space="0"/>
              <w:right w:val="single" w:color="auto" w:sz="8" w:space="0"/>
            </w:tcBorders>
            <w:shd w:val="clear" w:color="auto" w:fill="auto"/>
            <w:vAlign w:val="center"/>
          </w:tcPr>
          <w:p w14:paraId="1DAEEBA4">
            <w:pPr>
              <w:widowControl/>
              <w:jc w:val="center"/>
              <w:rPr>
                <w:color w:val="000000"/>
                <w:kern w:val="0"/>
                <w:szCs w:val="21"/>
              </w:rPr>
            </w:pPr>
            <w:r>
              <w:rPr>
                <w:color w:val="000000"/>
                <w:kern w:val="0"/>
                <w:szCs w:val="21"/>
              </w:rPr>
              <w:t>3</w:t>
            </w:r>
          </w:p>
        </w:tc>
        <w:tc>
          <w:tcPr>
            <w:tcW w:w="635" w:type="pct"/>
            <w:tcBorders>
              <w:top w:val="nil"/>
              <w:left w:val="nil"/>
              <w:bottom w:val="single" w:color="auto" w:sz="8" w:space="0"/>
              <w:right w:val="single" w:color="auto" w:sz="8" w:space="0"/>
            </w:tcBorders>
            <w:shd w:val="clear" w:color="auto" w:fill="auto"/>
            <w:vAlign w:val="center"/>
          </w:tcPr>
          <w:p w14:paraId="6EAE4B6C">
            <w:pPr>
              <w:widowControl/>
              <w:jc w:val="center"/>
              <w:rPr>
                <w:color w:val="000000"/>
                <w:kern w:val="0"/>
                <w:szCs w:val="21"/>
              </w:rPr>
            </w:pPr>
            <w:r>
              <w:rPr>
                <w:color w:val="000000"/>
                <w:kern w:val="0"/>
                <w:szCs w:val="21"/>
              </w:rPr>
              <w:t>资产负债率</w:t>
            </w:r>
            <w:r>
              <w:rPr>
                <w:color w:val="000000"/>
                <w:kern w:val="0"/>
                <w:szCs w:val="21"/>
              </w:rPr>
              <w:br w:type="textWrapping"/>
            </w:r>
            <w:r>
              <w:rPr>
                <w:color w:val="000000"/>
                <w:kern w:val="0"/>
                <w:szCs w:val="21"/>
              </w:rPr>
              <w:t>100%以上，0分</w:t>
            </w:r>
            <w:r>
              <w:rPr>
                <w:color w:val="000000"/>
                <w:kern w:val="0"/>
                <w:szCs w:val="21"/>
              </w:rPr>
              <w:br w:type="textWrapping"/>
            </w:r>
            <w:r>
              <w:rPr>
                <w:color w:val="000000"/>
                <w:kern w:val="0"/>
                <w:szCs w:val="21"/>
              </w:rPr>
              <w:t>40%以下，3分</w:t>
            </w:r>
          </w:p>
        </w:tc>
      </w:tr>
      <w:tr w14:paraId="0F4BB202">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27068E3B">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709C471F">
            <w:pPr>
              <w:widowControl/>
              <w:jc w:val="left"/>
              <w:rPr>
                <w:color w:val="000000"/>
                <w:kern w:val="0"/>
                <w:szCs w:val="21"/>
              </w:rPr>
            </w:pPr>
          </w:p>
        </w:tc>
        <w:tc>
          <w:tcPr>
            <w:tcW w:w="790" w:type="pct"/>
            <w:vMerge w:val="restart"/>
            <w:tcBorders>
              <w:top w:val="nil"/>
              <w:left w:val="single" w:color="auto" w:sz="4" w:space="0"/>
              <w:bottom w:val="single" w:color="000000" w:sz="8" w:space="0"/>
              <w:right w:val="single" w:color="auto" w:sz="8" w:space="0"/>
            </w:tcBorders>
            <w:shd w:val="clear" w:color="auto" w:fill="auto"/>
            <w:vAlign w:val="center"/>
          </w:tcPr>
          <w:p w14:paraId="2FB90942">
            <w:pPr>
              <w:widowControl/>
              <w:jc w:val="center"/>
              <w:rPr>
                <w:color w:val="000000"/>
                <w:kern w:val="0"/>
                <w:szCs w:val="21"/>
              </w:rPr>
            </w:pPr>
            <w:r>
              <w:rPr>
                <w:color w:val="000000"/>
                <w:kern w:val="0"/>
                <w:szCs w:val="21"/>
              </w:rPr>
              <w:t>合同履约</w:t>
            </w:r>
          </w:p>
        </w:tc>
        <w:tc>
          <w:tcPr>
            <w:tcW w:w="1770" w:type="pct"/>
            <w:tcBorders>
              <w:top w:val="nil"/>
              <w:left w:val="nil"/>
              <w:bottom w:val="single" w:color="auto" w:sz="8" w:space="0"/>
              <w:right w:val="single" w:color="auto" w:sz="8" w:space="0"/>
            </w:tcBorders>
            <w:shd w:val="clear" w:color="auto" w:fill="auto"/>
            <w:vAlign w:val="center"/>
          </w:tcPr>
          <w:p w14:paraId="385AB745">
            <w:pPr>
              <w:widowControl/>
              <w:jc w:val="center"/>
              <w:rPr>
                <w:color w:val="000000"/>
                <w:kern w:val="0"/>
                <w:szCs w:val="21"/>
              </w:rPr>
            </w:pPr>
            <w:r>
              <w:rPr>
                <w:color w:val="000000"/>
                <w:kern w:val="0"/>
                <w:szCs w:val="21"/>
              </w:rPr>
              <w:t>近三年内曾发生因企业自身原因导致的合同违约。</w:t>
            </w:r>
          </w:p>
        </w:tc>
        <w:tc>
          <w:tcPr>
            <w:tcW w:w="789" w:type="pct"/>
            <w:tcBorders>
              <w:top w:val="nil"/>
              <w:left w:val="nil"/>
              <w:bottom w:val="single" w:color="auto" w:sz="8" w:space="0"/>
              <w:right w:val="single" w:color="auto" w:sz="8" w:space="0"/>
            </w:tcBorders>
            <w:shd w:val="clear" w:color="auto" w:fill="auto"/>
            <w:vAlign w:val="center"/>
          </w:tcPr>
          <w:p w14:paraId="2308CD74">
            <w:pPr>
              <w:widowControl/>
              <w:jc w:val="center"/>
              <w:rPr>
                <w:color w:val="000000"/>
                <w:kern w:val="0"/>
                <w:szCs w:val="21"/>
              </w:rPr>
            </w:pPr>
            <w:r>
              <w:rPr>
                <w:color w:val="000000"/>
                <w:kern w:val="0"/>
                <w:szCs w:val="21"/>
              </w:rPr>
              <w:t>0</w:t>
            </w:r>
          </w:p>
        </w:tc>
        <w:tc>
          <w:tcPr>
            <w:tcW w:w="506" w:type="pct"/>
            <w:vMerge w:val="restart"/>
            <w:tcBorders>
              <w:top w:val="nil"/>
              <w:left w:val="single" w:color="auto" w:sz="8" w:space="0"/>
              <w:bottom w:val="single" w:color="000000" w:sz="8" w:space="0"/>
              <w:right w:val="single" w:color="auto" w:sz="8" w:space="0"/>
            </w:tcBorders>
            <w:shd w:val="clear" w:color="auto" w:fill="auto"/>
            <w:vAlign w:val="center"/>
          </w:tcPr>
          <w:p w14:paraId="76A213FD">
            <w:pPr>
              <w:widowControl/>
              <w:jc w:val="center"/>
              <w:rPr>
                <w:color w:val="000000"/>
                <w:kern w:val="0"/>
                <w:szCs w:val="21"/>
              </w:rPr>
            </w:pPr>
            <w:r>
              <w:rPr>
                <w:color w:val="000000"/>
                <w:kern w:val="0"/>
                <w:szCs w:val="21"/>
              </w:rPr>
              <w:t>1</w:t>
            </w:r>
          </w:p>
        </w:tc>
        <w:tc>
          <w:tcPr>
            <w:tcW w:w="635" w:type="pct"/>
            <w:vMerge w:val="restart"/>
            <w:tcBorders>
              <w:top w:val="nil"/>
              <w:left w:val="single" w:color="auto" w:sz="8" w:space="0"/>
              <w:bottom w:val="single" w:color="000000" w:sz="8" w:space="0"/>
              <w:right w:val="single" w:color="auto" w:sz="8" w:space="0"/>
            </w:tcBorders>
            <w:shd w:val="clear" w:color="auto" w:fill="auto"/>
            <w:vAlign w:val="center"/>
          </w:tcPr>
          <w:p w14:paraId="2A32A307">
            <w:pPr>
              <w:widowControl/>
              <w:jc w:val="center"/>
              <w:rPr>
                <w:color w:val="000000"/>
                <w:kern w:val="0"/>
                <w:szCs w:val="21"/>
              </w:rPr>
            </w:pPr>
            <w:r>
              <w:rPr>
                <w:color w:val="000000"/>
                <w:kern w:val="0"/>
                <w:szCs w:val="21"/>
              </w:rPr>
              <w:t>　</w:t>
            </w:r>
          </w:p>
        </w:tc>
      </w:tr>
      <w:tr w14:paraId="00FAB126">
        <w:tblPrEx>
          <w:tblCellMar>
            <w:top w:w="0" w:type="dxa"/>
            <w:left w:w="108" w:type="dxa"/>
            <w:bottom w:w="0" w:type="dxa"/>
            <w:right w:w="108" w:type="dxa"/>
          </w:tblCellMar>
        </w:tblPrEx>
        <w:trPr>
          <w:trHeight w:val="315" w:hRule="atLeast"/>
        </w:trPr>
        <w:tc>
          <w:tcPr>
            <w:tcW w:w="218" w:type="pct"/>
            <w:vMerge w:val="continue"/>
            <w:tcBorders>
              <w:top w:val="nil"/>
              <w:left w:val="single" w:color="auto" w:sz="8" w:space="0"/>
              <w:bottom w:val="single" w:color="000000" w:sz="8" w:space="0"/>
              <w:right w:val="single" w:color="auto" w:sz="4" w:space="0"/>
            </w:tcBorders>
            <w:vAlign w:val="center"/>
          </w:tcPr>
          <w:p w14:paraId="53394D20">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63386F7D">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471DCE72">
            <w:pPr>
              <w:widowControl/>
              <w:jc w:val="left"/>
              <w:rPr>
                <w:color w:val="000000"/>
                <w:kern w:val="0"/>
                <w:szCs w:val="21"/>
              </w:rPr>
            </w:pPr>
          </w:p>
        </w:tc>
        <w:tc>
          <w:tcPr>
            <w:tcW w:w="1770" w:type="pct"/>
            <w:tcBorders>
              <w:top w:val="nil"/>
              <w:left w:val="nil"/>
              <w:bottom w:val="single" w:color="auto" w:sz="8" w:space="0"/>
              <w:right w:val="single" w:color="auto" w:sz="8" w:space="0"/>
            </w:tcBorders>
            <w:shd w:val="clear" w:color="auto" w:fill="auto"/>
            <w:vAlign w:val="center"/>
          </w:tcPr>
          <w:p w14:paraId="4089BD37">
            <w:pPr>
              <w:widowControl/>
              <w:jc w:val="center"/>
              <w:rPr>
                <w:color w:val="000000"/>
                <w:kern w:val="0"/>
                <w:szCs w:val="21"/>
              </w:rPr>
            </w:pPr>
            <w:r>
              <w:rPr>
                <w:color w:val="000000"/>
                <w:kern w:val="0"/>
                <w:szCs w:val="21"/>
              </w:rPr>
              <w:t>近三年，未发生因企业自身原因导致的合同违约。</w:t>
            </w:r>
          </w:p>
        </w:tc>
        <w:tc>
          <w:tcPr>
            <w:tcW w:w="789" w:type="pct"/>
            <w:tcBorders>
              <w:top w:val="nil"/>
              <w:left w:val="nil"/>
              <w:bottom w:val="single" w:color="auto" w:sz="8" w:space="0"/>
              <w:right w:val="single" w:color="auto" w:sz="8" w:space="0"/>
            </w:tcBorders>
            <w:shd w:val="clear" w:color="auto" w:fill="auto"/>
            <w:vAlign w:val="center"/>
          </w:tcPr>
          <w:p w14:paraId="49AE71F3">
            <w:pPr>
              <w:widowControl/>
              <w:jc w:val="center"/>
              <w:rPr>
                <w:color w:val="000000"/>
                <w:kern w:val="0"/>
                <w:szCs w:val="21"/>
              </w:rPr>
            </w:pPr>
            <w:r>
              <w:rPr>
                <w:color w:val="000000"/>
                <w:kern w:val="0"/>
                <w:szCs w:val="21"/>
              </w:rPr>
              <w:t>1</w:t>
            </w:r>
          </w:p>
        </w:tc>
        <w:tc>
          <w:tcPr>
            <w:tcW w:w="506" w:type="pct"/>
            <w:vMerge w:val="continue"/>
            <w:tcBorders>
              <w:top w:val="nil"/>
              <w:left w:val="single" w:color="auto" w:sz="8" w:space="0"/>
              <w:bottom w:val="single" w:color="000000" w:sz="8" w:space="0"/>
              <w:right w:val="single" w:color="auto" w:sz="8" w:space="0"/>
            </w:tcBorders>
            <w:vAlign w:val="center"/>
          </w:tcPr>
          <w:p w14:paraId="01917C48">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55F36424">
            <w:pPr>
              <w:widowControl/>
              <w:jc w:val="left"/>
              <w:rPr>
                <w:color w:val="000000"/>
                <w:kern w:val="0"/>
                <w:szCs w:val="21"/>
              </w:rPr>
            </w:pPr>
          </w:p>
        </w:tc>
      </w:tr>
      <w:tr w14:paraId="7811BF48">
        <w:tblPrEx>
          <w:tblCellMar>
            <w:top w:w="0" w:type="dxa"/>
            <w:left w:w="108" w:type="dxa"/>
            <w:bottom w:w="0" w:type="dxa"/>
            <w:right w:w="108" w:type="dxa"/>
          </w:tblCellMar>
        </w:tblPrEx>
        <w:trPr>
          <w:trHeight w:val="795" w:hRule="atLeast"/>
        </w:trPr>
        <w:tc>
          <w:tcPr>
            <w:tcW w:w="218" w:type="pct"/>
            <w:vMerge w:val="continue"/>
            <w:tcBorders>
              <w:top w:val="nil"/>
              <w:left w:val="single" w:color="auto" w:sz="8" w:space="0"/>
              <w:bottom w:val="single" w:color="000000" w:sz="8" w:space="0"/>
              <w:right w:val="single" w:color="auto" w:sz="4" w:space="0"/>
            </w:tcBorders>
            <w:vAlign w:val="center"/>
          </w:tcPr>
          <w:p w14:paraId="52BE5FC0">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292914CA">
            <w:pPr>
              <w:widowControl/>
              <w:jc w:val="left"/>
              <w:rPr>
                <w:color w:val="000000"/>
                <w:kern w:val="0"/>
                <w:szCs w:val="21"/>
              </w:rPr>
            </w:pPr>
          </w:p>
        </w:tc>
        <w:tc>
          <w:tcPr>
            <w:tcW w:w="790" w:type="pct"/>
            <w:tcBorders>
              <w:top w:val="nil"/>
              <w:left w:val="single" w:color="auto" w:sz="4" w:space="0"/>
              <w:bottom w:val="single" w:color="auto" w:sz="8" w:space="0"/>
              <w:right w:val="single" w:color="auto" w:sz="8" w:space="0"/>
            </w:tcBorders>
            <w:shd w:val="clear" w:color="auto" w:fill="auto"/>
            <w:vAlign w:val="center"/>
          </w:tcPr>
          <w:p w14:paraId="7CD72745">
            <w:pPr>
              <w:widowControl/>
              <w:jc w:val="center"/>
              <w:rPr>
                <w:color w:val="000000"/>
                <w:kern w:val="0"/>
                <w:szCs w:val="21"/>
              </w:rPr>
            </w:pPr>
            <w:r>
              <w:rPr>
                <w:color w:val="000000"/>
                <w:kern w:val="0"/>
                <w:szCs w:val="21"/>
              </w:rPr>
              <w:t>企业不良行为记录</w:t>
            </w:r>
          </w:p>
        </w:tc>
        <w:tc>
          <w:tcPr>
            <w:tcW w:w="1770" w:type="pct"/>
            <w:tcBorders>
              <w:top w:val="nil"/>
              <w:left w:val="nil"/>
              <w:bottom w:val="single" w:color="auto" w:sz="8" w:space="0"/>
              <w:right w:val="single" w:color="auto" w:sz="8" w:space="0"/>
            </w:tcBorders>
            <w:shd w:val="clear" w:color="auto" w:fill="auto"/>
            <w:vAlign w:val="center"/>
          </w:tcPr>
          <w:p w14:paraId="7733DEF2">
            <w:pPr>
              <w:widowControl/>
              <w:jc w:val="center"/>
              <w:rPr>
                <w:color w:val="000000"/>
                <w:kern w:val="0"/>
                <w:szCs w:val="21"/>
              </w:rPr>
            </w:pPr>
            <w:r>
              <w:rPr>
                <w:color w:val="000000"/>
                <w:kern w:val="0"/>
                <w:szCs w:val="21"/>
              </w:rPr>
              <w:t>企业收到能源、环保、司法、工商、质检、安监、金融、海关等部门或机构发出的不良行为记录。无不良行为记录得满分2分</w:t>
            </w:r>
          </w:p>
        </w:tc>
        <w:tc>
          <w:tcPr>
            <w:tcW w:w="789" w:type="pct"/>
            <w:tcBorders>
              <w:top w:val="nil"/>
              <w:left w:val="nil"/>
              <w:bottom w:val="single" w:color="auto" w:sz="8" w:space="0"/>
              <w:right w:val="single" w:color="auto" w:sz="8" w:space="0"/>
            </w:tcBorders>
            <w:shd w:val="clear" w:color="auto" w:fill="auto"/>
            <w:vAlign w:val="center"/>
          </w:tcPr>
          <w:p w14:paraId="5E7AD7D1">
            <w:pPr>
              <w:widowControl/>
              <w:jc w:val="center"/>
              <w:rPr>
                <w:color w:val="000000"/>
                <w:kern w:val="0"/>
                <w:szCs w:val="21"/>
              </w:rPr>
            </w:pPr>
            <w:r>
              <w:rPr>
                <w:color w:val="000000"/>
                <w:kern w:val="0"/>
                <w:szCs w:val="21"/>
              </w:rPr>
              <w:t>每条不良行为记录减0.5分，最多2分</w:t>
            </w:r>
          </w:p>
        </w:tc>
        <w:tc>
          <w:tcPr>
            <w:tcW w:w="506" w:type="pct"/>
            <w:tcBorders>
              <w:top w:val="nil"/>
              <w:left w:val="nil"/>
              <w:bottom w:val="single" w:color="auto" w:sz="8" w:space="0"/>
              <w:right w:val="single" w:color="auto" w:sz="8" w:space="0"/>
            </w:tcBorders>
            <w:shd w:val="clear" w:color="auto" w:fill="auto"/>
            <w:vAlign w:val="center"/>
          </w:tcPr>
          <w:p w14:paraId="63D20118">
            <w:pPr>
              <w:widowControl/>
              <w:jc w:val="center"/>
              <w:rPr>
                <w:color w:val="000000"/>
                <w:kern w:val="0"/>
                <w:szCs w:val="21"/>
              </w:rPr>
            </w:pPr>
            <w:r>
              <w:rPr>
                <w:color w:val="000000"/>
                <w:kern w:val="0"/>
                <w:szCs w:val="21"/>
              </w:rPr>
              <w:t>2</w:t>
            </w:r>
          </w:p>
        </w:tc>
        <w:tc>
          <w:tcPr>
            <w:tcW w:w="635" w:type="pct"/>
            <w:tcBorders>
              <w:top w:val="nil"/>
              <w:left w:val="nil"/>
              <w:bottom w:val="single" w:color="auto" w:sz="8" w:space="0"/>
              <w:right w:val="single" w:color="auto" w:sz="8" w:space="0"/>
            </w:tcBorders>
            <w:shd w:val="clear" w:color="auto" w:fill="auto"/>
            <w:vAlign w:val="center"/>
          </w:tcPr>
          <w:p w14:paraId="4C211392">
            <w:pPr>
              <w:widowControl/>
              <w:jc w:val="center"/>
              <w:rPr>
                <w:color w:val="000000"/>
                <w:kern w:val="0"/>
                <w:szCs w:val="21"/>
              </w:rPr>
            </w:pPr>
            <w:r>
              <w:rPr>
                <w:color w:val="000000"/>
                <w:kern w:val="0"/>
                <w:szCs w:val="21"/>
              </w:rPr>
              <w:t>　</w:t>
            </w:r>
          </w:p>
        </w:tc>
      </w:tr>
      <w:tr w14:paraId="6D040930">
        <w:tblPrEx>
          <w:tblCellMar>
            <w:top w:w="0" w:type="dxa"/>
            <w:left w:w="108" w:type="dxa"/>
            <w:bottom w:w="0" w:type="dxa"/>
            <w:right w:w="108" w:type="dxa"/>
          </w:tblCellMar>
        </w:tblPrEx>
        <w:trPr>
          <w:trHeight w:val="780" w:hRule="atLeast"/>
        </w:trPr>
        <w:tc>
          <w:tcPr>
            <w:tcW w:w="218" w:type="pct"/>
            <w:vMerge w:val="continue"/>
            <w:tcBorders>
              <w:top w:val="nil"/>
              <w:left w:val="single" w:color="auto" w:sz="8" w:space="0"/>
              <w:bottom w:val="single" w:color="000000" w:sz="8" w:space="0"/>
              <w:right w:val="single" w:color="auto" w:sz="4" w:space="0"/>
            </w:tcBorders>
            <w:vAlign w:val="center"/>
          </w:tcPr>
          <w:p w14:paraId="5D5CF0A9">
            <w:pPr>
              <w:widowControl/>
              <w:jc w:val="left"/>
              <w:rPr>
                <w:color w:val="000000"/>
                <w:kern w:val="0"/>
                <w:szCs w:val="21"/>
              </w:rPr>
            </w:pPr>
          </w:p>
        </w:tc>
        <w:tc>
          <w:tcPr>
            <w:tcW w:w="2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4D71F4">
            <w:pPr>
              <w:widowControl/>
              <w:jc w:val="center"/>
              <w:rPr>
                <w:color w:val="000000"/>
                <w:kern w:val="0"/>
                <w:szCs w:val="21"/>
              </w:rPr>
            </w:pPr>
            <w:r>
              <w:rPr>
                <w:color w:val="000000"/>
                <w:kern w:val="0"/>
                <w:szCs w:val="21"/>
              </w:rPr>
              <w:t>服务水平</w:t>
            </w:r>
          </w:p>
        </w:tc>
        <w:tc>
          <w:tcPr>
            <w:tcW w:w="790" w:type="pct"/>
            <w:tcBorders>
              <w:top w:val="nil"/>
              <w:left w:val="single" w:color="auto" w:sz="4" w:space="0"/>
              <w:bottom w:val="nil"/>
              <w:right w:val="single" w:color="auto" w:sz="8" w:space="0"/>
            </w:tcBorders>
            <w:shd w:val="clear" w:color="auto" w:fill="auto"/>
            <w:vAlign w:val="center"/>
          </w:tcPr>
          <w:p w14:paraId="2E715629">
            <w:pPr>
              <w:widowControl/>
              <w:jc w:val="center"/>
              <w:rPr>
                <w:color w:val="000000"/>
                <w:kern w:val="0"/>
                <w:szCs w:val="21"/>
              </w:rPr>
            </w:pPr>
            <w:r>
              <w:rPr>
                <w:color w:val="000000"/>
                <w:kern w:val="0"/>
                <w:szCs w:val="21"/>
              </w:rPr>
              <w:t>服务体系建设</w:t>
            </w:r>
          </w:p>
        </w:tc>
        <w:tc>
          <w:tcPr>
            <w:tcW w:w="1770" w:type="pct"/>
            <w:tcBorders>
              <w:top w:val="nil"/>
              <w:left w:val="nil"/>
              <w:bottom w:val="single" w:color="auto" w:sz="8" w:space="0"/>
              <w:right w:val="single" w:color="auto" w:sz="8" w:space="0"/>
            </w:tcBorders>
            <w:shd w:val="clear" w:color="auto" w:fill="auto"/>
            <w:vAlign w:val="center"/>
          </w:tcPr>
          <w:p w14:paraId="3A22B5A8">
            <w:pPr>
              <w:widowControl/>
              <w:jc w:val="center"/>
              <w:rPr>
                <w:color w:val="000000"/>
                <w:kern w:val="0"/>
                <w:szCs w:val="21"/>
              </w:rPr>
            </w:pPr>
            <w:r>
              <w:rPr>
                <w:color w:val="000000"/>
                <w:kern w:val="0"/>
                <w:szCs w:val="21"/>
              </w:rPr>
              <w:t>建立有完善的售后服务体系、配备有相关专业服务人员、具有提供服务的专业设备、为下游客户提供产品使用的咨询或培训服务</w:t>
            </w:r>
          </w:p>
        </w:tc>
        <w:tc>
          <w:tcPr>
            <w:tcW w:w="789" w:type="pct"/>
            <w:tcBorders>
              <w:top w:val="nil"/>
              <w:left w:val="nil"/>
              <w:bottom w:val="single" w:color="auto" w:sz="8" w:space="0"/>
              <w:right w:val="single" w:color="auto" w:sz="8" w:space="0"/>
            </w:tcBorders>
            <w:shd w:val="clear" w:color="auto" w:fill="auto"/>
            <w:vAlign w:val="center"/>
          </w:tcPr>
          <w:p w14:paraId="3F496088">
            <w:pPr>
              <w:widowControl/>
              <w:jc w:val="center"/>
              <w:rPr>
                <w:color w:val="000000"/>
                <w:kern w:val="0"/>
                <w:szCs w:val="21"/>
              </w:rPr>
            </w:pPr>
            <w:r>
              <w:rPr>
                <w:color w:val="000000"/>
                <w:kern w:val="0"/>
                <w:szCs w:val="21"/>
              </w:rPr>
              <w:t>每项得1分，最多4分</w:t>
            </w:r>
          </w:p>
        </w:tc>
        <w:tc>
          <w:tcPr>
            <w:tcW w:w="506" w:type="pct"/>
            <w:tcBorders>
              <w:top w:val="nil"/>
              <w:left w:val="nil"/>
              <w:bottom w:val="single" w:color="auto" w:sz="8" w:space="0"/>
              <w:right w:val="single" w:color="auto" w:sz="8" w:space="0"/>
            </w:tcBorders>
            <w:shd w:val="clear" w:color="auto" w:fill="auto"/>
            <w:vAlign w:val="center"/>
          </w:tcPr>
          <w:p w14:paraId="0A87F6E4">
            <w:pPr>
              <w:widowControl/>
              <w:jc w:val="center"/>
              <w:rPr>
                <w:color w:val="000000"/>
                <w:kern w:val="0"/>
                <w:szCs w:val="21"/>
              </w:rPr>
            </w:pPr>
            <w:r>
              <w:rPr>
                <w:color w:val="000000"/>
                <w:kern w:val="0"/>
                <w:szCs w:val="21"/>
              </w:rPr>
              <w:t>4</w:t>
            </w:r>
          </w:p>
        </w:tc>
        <w:tc>
          <w:tcPr>
            <w:tcW w:w="635" w:type="pct"/>
            <w:tcBorders>
              <w:top w:val="nil"/>
              <w:left w:val="nil"/>
              <w:bottom w:val="single" w:color="auto" w:sz="8" w:space="0"/>
              <w:right w:val="single" w:color="auto" w:sz="8" w:space="0"/>
            </w:tcBorders>
            <w:shd w:val="clear" w:color="auto" w:fill="auto"/>
            <w:vAlign w:val="center"/>
          </w:tcPr>
          <w:p w14:paraId="74AC49A3">
            <w:pPr>
              <w:widowControl/>
              <w:jc w:val="center"/>
              <w:rPr>
                <w:color w:val="000000"/>
                <w:kern w:val="0"/>
                <w:szCs w:val="21"/>
              </w:rPr>
            </w:pPr>
            <w:r>
              <w:rPr>
                <w:color w:val="000000"/>
                <w:kern w:val="0"/>
                <w:szCs w:val="21"/>
              </w:rPr>
              <w:t>　</w:t>
            </w:r>
          </w:p>
        </w:tc>
      </w:tr>
      <w:tr w14:paraId="35C0F04D">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1817A771">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5519452F">
            <w:pPr>
              <w:widowControl/>
              <w:jc w:val="left"/>
              <w:rPr>
                <w:color w:val="000000"/>
                <w:kern w:val="0"/>
                <w:szCs w:val="21"/>
              </w:rPr>
            </w:pPr>
          </w:p>
        </w:tc>
        <w:tc>
          <w:tcPr>
            <w:tcW w:w="790" w:type="pct"/>
            <w:vMerge w:val="restart"/>
            <w:tcBorders>
              <w:top w:val="single" w:color="auto" w:sz="8" w:space="0"/>
              <w:left w:val="single" w:color="auto" w:sz="4" w:space="0"/>
              <w:bottom w:val="single" w:color="000000" w:sz="8" w:space="0"/>
              <w:right w:val="single" w:color="auto" w:sz="8" w:space="0"/>
            </w:tcBorders>
            <w:shd w:val="clear" w:color="auto" w:fill="auto"/>
            <w:vAlign w:val="center"/>
          </w:tcPr>
          <w:p w14:paraId="6E984735">
            <w:pPr>
              <w:widowControl/>
              <w:jc w:val="center"/>
              <w:rPr>
                <w:color w:val="000000"/>
                <w:kern w:val="0"/>
                <w:szCs w:val="21"/>
                <w:highlight w:val="yellow"/>
              </w:rPr>
            </w:pPr>
            <w:r>
              <w:rPr>
                <w:color w:val="000000"/>
                <w:kern w:val="0"/>
                <w:szCs w:val="21"/>
              </w:rPr>
              <w:t>配送时效保障</w:t>
            </w:r>
          </w:p>
        </w:tc>
        <w:tc>
          <w:tcPr>
            <w:tcW w:w="1770" w:type="pct"/>
            <w:tcBorders>
              <w:top w:val="nil"/>
              <w:left w:val="nil"/>
              <w:bottom w:val="single" w:color="auto" w:sz="8" w:space="0"/>
              <w:right w:val="single" w:color="auto" w:sz="8" w:space="0"/>
            </w:tcBorders>
            <w:shd w:val="clear" w:color="auto" w:fill="auto"/>
            <w:vAlign w:val="center"/>
          </w:tcPr>
          <w:p w14:paraId="0C2449F3">
            <w:pPr>
              <w:widowControl/>
              <w:jc w:val="center"/>
              <w:rPr>
                <w:color w:val="000000"/>
                <w:kern w:val="0"/>
                <w:szCs w:val="21"/>
                <w:highlight w:val="yellow"/>
              </w:rPr>
            </w:pPr>
            <w:r>
              <w:rPr>
                <w:color w:val="000000"/>
                <w:kern w:val="0"/>
                <w:szCs w:val="21"/>
              </w:rPr>
              <w:t>按时交付率＜90%</w:t>
            </w:r>
          </w:p>
        </w:tc>
        <w:tc>
          <w:tcPr>
            <w:tcW w:w="789" w:type="pct"/>
            <w:tcBorders>
              <w:top w:val="nil"/>
              <w:left w:val="nil"/>
              <w:bottom w:val="single" w:color="auto" w:sz="8" w:space="0"/>
              <w:right w:val="single" w:color="auto" w:sz="8" w:space="0"/>
            </w:tcBorders>
            <w:shd w:val="clear" w:color="auto" w:fill="auto"/>
            <w:vAlign w:val="center"/>
          </w:tcPr>
          <w:p w14:paraId="6397B524">
            <w:pPr>
              <w:widowControl/>
              <w:jc w:val="center"/>
              <w:rPr>
                <w:color w:val="000000"/>
                <w:kern w:val="0"/>
                <w:szCs w:val="21"/>
              </w:rPr>
            </w:pPr>
            <w:r>
              <w:rPr>
                <w:color w:val="000000"/>
                <w:kern w:val="0"/>
                <w:szCs w:val="21"/>
              </w:rPr>
              <w:t>0</w:t>
            </w:r>
          </w:p>
        </w:tc>
        <w:tc>
          <w:tcPr>
            <w:tcW w:w="506" w:type="pct"/>
            <w:vMerge w:val="restart"/>
            <w:tcBorders>
              <w:top w:val="nil"/>
              <w:left w:val="single" w:color="auto" w:sz="8" w:space="0"/>
              <w:bottom w:val="single" w:color="000000" w:sz="8" w:space="0"/>
              <w:right w:val="single" w:color="auto" w:sz="8" w:space="0"/>
            </w:tcBorders>
            <w:shd w:val="clear" w:color="auto" w:fill="auto"/>
            <w:vAlign w:val="center"/>
          </w:tcPr>
          <w:p w14:paraId="7B6B2097">
            <w:pPr>
              <w:widowControl/>
              <w:jc w:val="center"/>
              <w:rPr>
                <w:color w:val="000000"/>
                <w:kern w:val="0"/>
                <w:szCs w:val="21"/>
              </w:rPr>
            </w:pPr>
            <w:r>
              <w:rPr>
                <w:color w:val="000000"/>
                <w:kern w:val="0"/>
                <w:szCs w:val="21"/>
              </w:rPr>
              <w:t>3</w:t>
            </w:r>
          </w:p>
        </w:tc>
        <w:tc>
          <w:tcPr>
            <w:tcW w:w="635" w:type="pct"/>
            <w:vMerge w:val="restart"/>
            <w:tcBorders>
              <w:top w:val="nil"/>
              <w:left w:val="single" w:color="auto" w:sz="8" w:space="0"/>
              <w:bottom w:val="single" w:color="000000" w:sz="8" w:space="0"/>
              <w:right w:val="single" w:color="auto" w:sz="8" w:space="0"/>
            </w:tcBorders>
            <w:shd w:val="clear" w:color="auto" w:fill="auto"/>
            <w:vAlign w:val="center"/>
          </w:tcPr>
          <w:p w14:paraId="00ABC467">
            <w:pPr>
              <w:widowControl/>
              <w:jc w:val="center"/>
              <w:rPr>
                <w:color w:val="000000"/>
                <w:kern w:val="0"/>
                <w:szCs w:val="21"/>
              </w:rPr>
            </w:pPr>
            <w:r>
              <w:rPr>
                <w:color w:val="000000"/>
                <w:kern w:val="0"/>
                <w:szCs w:val="21"/>
              </w:rPr>
              <w:t>　</w:t>
            </w:r>
          </w:p>
        </w:tc>
      </w:tr>
      <w:tr w14:paraId="46791BC1">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761836B7">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649359D0">
            <w:pPr>
              <w:widowControl/>
              <w:jc w:val="left"/>
              <w:rPr>
                <w:color w:val="000000"/>
                <w:kern w:val="0"/>
                <w:szCs w:val="21"/>
              </w:rPr>
            </w:pPr>
          </w:p>
        </w:tc>
        <w:tc>
          <w:tcPr>
            <w:tcW w:w="790" w:type="pct"/>
            <w:vMerge w:val="continue"/>
            <w:tcBorders>
              <w:top w:val="single" w:color="auto" w:sz="8" w:space="0"/>
              <w:left w:val="single" w:color="auto" w:sz="4" w:space="0"/>
              <w:bottom w:val="single" w:color="000000" w:sz="8" w:space="0"/>
              <w:right w:val="single" w:color="auto" w:sz="8" w:space="0"/>
            </w:tcBorders>
            <w:vAlign w:val="center"/>
          </w:tcPr>
          <w:p w14:paraId="03D9D12F">
            <w:pPr>
              <w:widowControl/>
              <w:jc w:val="left"/>
              <w:rPr>
                <w:color w:val="000000"/>
                <w:kern w:val="0"/>
                <w:szCs w:val="21"/>
                <w:highlight w:val="yellow"/>
              </w:rPr>
            </w:pPr>
          </w:p>
        </w:tc>
        <w:tc>
          <w:tcPr>
            <w:tcW w:w="1770" w:type="pct"/>
            <w:tcBorders>
              <w:top w:val="nil"/>
              <w:left w:val="nil"/>
              <w:bottom w:val="single" w:color="auto" w:sz="8" w:space="0"/>
              <w:right w:val="single" w:color="auto" w:sz="8" w:space="0"/>
            </w:tcBorders>
            <w:shd w:val="clear" w:color="auto" w:fill="auto"/>
            <w:vAlign w:val="center"/>
          </w:tcPr>
          <w:p w14:paraId="679D2664">
            <w:pPr>
              <w:widowControl/>
              <w:jc w:val="center"/>
              <w:rPr>
                <w:color w:val="000000"/>
                <w:kern w:val="0"/>
                <w:szCs w:val="21"/>
                <w:highlight w:val="yellow"/>
              </w:rPr>
            </w:pPr>
            <w:r>
              <w:rPr>
                <w:color w:val="000000"/>
                <w:kern w:val="0"/>
                <w:szCs w:val="21"/>
              </w:rPr>
              <w:t>按时交付率≥90%</w:t>
            </w:r>
          </w:p>
        </w:tc>
        <w:tc>
          <w:tcPr>
            <w:tcW w:w="789" w:type="pct"/>
            <w:tcBorders>
              <w:top w:val="nil"/>
              <w:left w:val="nil"/>
              <w:bottom w:val="single" w:color="auto" w:sz="8" w:space="0"/>
              <w:right w:val="single" w:color="auto" w:sz="8" w:space="0"/>
            </w:tcBorders>
            <w:shd w:val="clear" w:color="auto" w:fill="auto"/>
            <w:vAlign w:val="center"/>
          </w:tcPr>
          <w:p w14:paraId="11EE333B">
            <w:pPr>
              <w:widowControl/>
              <w:jc w:val="center"/>
              <w:rPr>
                <w:color w:val="000000"/>
                <w:kern w:val="0"/>
                <w:szCs w:val="21"/>
              </w:rPr>
            </w:pPr>
            <w:r>
              <w:rPr>
                <w:color w:val="000000"/>
                <w:kern w:val="0"/>
                <w:szCs w:val="21"/>
              </w:rPr>
              <w:t>0.5</w:t>
            </w:r>
          </w:p>
        </w:tc>
        <w:tc>
          <w:tcPr>
            <w:tcW w:w="506" w:type="pct"/>
            <w:vMerge w:val="continue"/>
            <w:tcBorders>
              <w:top w:val="nil"/>
              <w:left w:val="single" w:color="auto" w:sz="8" w:space="0"/>
              <w:bottom w:val="single" w:color="000000" w:sz="8" w:space="0"/>
              <w:right w:val="single" w:color="auto" w:sz="8" w:space="0"/>
            </w:tcBorders>
            <w:vAlign w:val="center"/>
          </w:tcPr>
          <w:p w14:paraId="74744CBC">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738FAE9D">
            <w:pPr>
              <w:widowControl/>
              <w:jc w:val="left"/>
              <w:rPr>
                <w:color w:val="000000"/>
                <w:kern w:val="0"/>
                <w:szCs w:val="21"/>
              </w:rPr>
            </w:pPr>
          </w:p>
        </w:tc>
      </w:tr>
      <w:tr w14:paraId="56D35204">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5D1849D2">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35419FAF">
            <w:pPr>
              <w:widowControl/>
              <w:jc w:val="left"/>
              <w:rPr>
                <w:color w:val="000000"/>
                <w:kern w:val="0"/>
                <w:szCs w:val="21"/>
              </w:rPr>
            </w:pPr>
          </w:p>
        </w:tc>
        <w:tc>
          <w:tcPr>
            <w:tcW w:w="790" w:type="pct"/>
            <w:vMerge w:val="continue"/>
            <w:tcBorders>
              <w:top w:val="single" w:color="auto" w:sz="8" w:space="0"/>
              <w:left w:val="single" w:color="auto" w:sz="4" w:space="0"/>
              <w:bottom w:val="single" w:color="000000" w:sz="8" w:space="0"/>
              <w:right w:val="single" w:color="auto" w:sz="8" w:space="0"/>
            </w:tcBorders>
            <w:vAlign w:val="center"/>
          </w:tcPr>
          <w:p w14:paraId="722D976B">
            <w:pPr>
              <w:widowControl/>
              <w:jc w:val="left"/>
              <w:rPr>
                <w:color w:val="000000"/>
                <w:kern w:val="0"/>
                <w:szCs w:val="21"/>
                <w:highlight w:val="yellow"/>
              </w:rPr>
            </w:pPr>
          </w:p>
        </w:tc>
        <w:tc>
          <w:tcPr>
            <w:tcW w:w="1770" w:type="pct"/>
            <w:tcBorders>
              <w:top w:val="nil"/>
              <w:left w:val="nil"/>
              <w:bottom w:val="single" w:color="auto" w:sz="8" w:space="0"/>
              <w:right w:val="single" w:color="auto" w:sz="8" w:space="0"/>
            </w:tcBorders>
            <w:shd w:val="clear" w:color="auto" w:fill="auto"/>
            <w:vAlign w:val="center"/>
          </w:tcPr>
          <w:p w14:paraId="6D15D222">
            <w:pPr>
              <w:widowControl/>
              <w:jc w:val="center"/>
              <w:rPr>
                <w:color w:val="000000"/>
                <w:kern w:val="0"/>
                <w:szCs w:val="21"/>
                <w:highlight w:val="yellow"/>
              </w:rPr>
            </w:pPr>
            <w:r>
              <w:rPr>
                <w:color w:val="000000"/>
                <w:kern w:val="0"/>
                <w:szCs w:val="21"/>
              </w:rPr>
              <w:t>按时交付率≥95%</w:t>
            </w:r>
          </w:p>
        </w:tc>
        <w:tc>
          <w:tcPr>
            <w:tcW w:w="789" w:type="pct"/>
            <w:tcBorders>
              <w:top w:val="nil"/>
              <w:left w:val="nil"/>
              <w:bottom w:val="single" w:color="auto" w:sz="8" w:space="0"/>
              <w:right w:val="single" w:color="auto" w:sz="8" w:space="0"/>
            </w:tcBorders>
            <w:shd w:val="clear" w:color="auto" w:fill="auto"/>
            <w:vAlign w:val="center"/>
          </w:tcPr>
          <w:p w14:paraId="0F29BAA9">
            <w:pPr>
              <w:widowControl/>
              <w:jc w:val="center"/>
              <w:rPr>
                <w:color w:val="000000"/>
                <w:kern w:val="0"/>
                <w:szCs w:val="21"/>
              </w:rPr>
            </w:pPr>
            <w:r>
              <w:rPr>
                <w:color w:val="000000"/>
                <w:kern w:val="0"/>
                <w:szCs w:val="21"/>
              </w:rPr>
              <w:t>1</w:t>
            </w:r>
          </w:p>
        </w:tc>
        <w:tc>
          <w:tcPr>
            <w:tcW w:w="506" w:type="pct"/>
            <w:vMerge w:val="continue"/>
            <w:tcBorders>
              <w:top w:val="nil"/>
              <w:left w:val="single" w:color="auto" w:sz="8" w:space="0"/>
              <w:bottom w:val="single" w:color="000000" w:sz="8" w:space="0"/>
              <w:right w:val="single" w:color="auto" w:sz="8" w:space="0"/>
            </w:tcBorders>
            <w:vAlign w:val="center"/>
          </w:tcPr>
          <w:p w14:paraId="52DDF5C8">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1E604FE1">
            <w:pPr>
              <w:widowControl/>
              <w:jc w:val="left"/>
              <w:rPr>
                <w:color w:val="000000"/>
                <w:kern w:val="0"/>
                <w:szCs w:val="21"/>
              </w:rPr>
            </w:pPr>
          </w:p>
        </w:tc>
      </w:tr>
      <w:tr w14:paraId="75172714">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1329A595">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6A72AC29">
            <w:pPr>
              <w:widowControl/>
              <w:jc w:val="left"/>
              <w:rPr>
                <w:color w:val="000000"/>
                <w:kern w:val="0"/>
                <w:szCs w:val="21"/>
              </w:rPr>
            </w:pPr>
          </w:p>
        </w:tc>
        <w:tc>
          <w:tcPr>
            <w:tcW w:w="790" w:type="pct"/>
            <w:vMerge w:val="continue"/>
            <w:tcBorders>
              <w:top w:val="single" w:color="auto" w:sz="8" w:space="0"/>
              <w:left w:val="single" w:color="auto" w:sz="4" w:space="0"/>
              <w:bottom w:val="single" w:color="000000" w:sz="8" w:space="0"/>
              <w:right w:val="single" w:color="auto" w:sz="8" w:space="0"/>
            </w:tcBorders>
            <w:vAlign w:val="center"/>
          </w:tcPr>
          <w:p w14:paraId="781D3585">
            <w:pPr>
              <w:widowControl/>
              <w:jc w:val="left"/>
              <w:rPr>
                <w:color w:val="000000"/>
                <w:kern w:val="0"/>
                <w:szCs w:val="21"/>
                <w:highlight w:val="yellow"/>
              </w:rPr>
            </w:pPr>
          </w:p>
        </w:tc>
        <w:tc>
          <w:tcPr>
            <w:tcW w:w="1770" w:type="pct"/>
            <w:tcBorders>
              <w:top w:val="nil"/>
              <w:left w:val="nil"/>
              <w:bottom w:val="single" w:color="auto" w:sz="8" w:space="0"/>
              <w:right w:val="single" w:color="auto" w:sz="8" w:space="0"/>
            </w:tcBorders>
            <w:shd w:val="clear" w:color="auto" w:fill="auto"/>
            <w:vAlign w:val="center"/>
          </w:tcPr>
          <w:p w14:paraId="1EBF0008">
            <w:pPr>
              <w:widowControl/>
              <w:jc w:val="center"/>
              <w:rPr>
                <w:color w:val="000000"/>
                <w:kern w:val="0"/>
                <w:szCs w:val="21"/>
                <w:highlight w:val="yellow"/>
              </w:rPr>
            </w:pPr>
            <w:r>
              <w:rPr>
                <w:color w:val="000000"/>
                <w:kern w:val="0"/>
                <w:szCs w:val="21"/>
              </w:rPr>
              <w:t>按时交付率≥99%</w:t>
            </w:r>
          </w:p>
        </w:tc>
        <w:tc>
          <w:tcPr>
            <w:tcW w:w="789" w:type="pct"/>
            <w:tcBorders>
              <w:top w:val="nil"/>
              <w:left w:val="nil"/>
              <w:bottom w:val="single" w:color="auto" w:sz="8" w:space="0"/>
              <w:right w:val="single" w:color="auto" w:sz="8" w:space="0"/>
            </w:tcBorders>
            <w:shd w:val="clear" w:color="auto" w:fill="auto"/>
            <w:vAlign w:val="center"/>
          </w:tcPr>
          <w:p w14:paraId="07CD193E">
            <w:pPr>
              <w:widowControl/>
              <w:jc w:val="center"/>
              <w:rPr>
                <w:color w:val="000000"/>
                <w:kern w:val="0"/>
                <w:szCs w:val="21"/>
              </w:rPr>
            </w:pPr>
            <w:r>
              <w:rPr>
                <w:color w:val="000000"/>
                <w:kern w:val="0"/>
                <w:szCs w:val="21"/>
              </w:rPr>
              <w:t>3</w:t>
            </w:r>
          </w:p>
        </w:tc>
        <w:tc>
          <w:tcPr>
            <w:tcW w:w="506" w:type="pct"/>
            <w:vMerge w:val="continue"/>
            <w:tcBorders>
              <w:top w:val="nil"/>
              <w:left w:val="single" w:color="auto" w:sz="8" w:space="0"/>
              <w:bottom w:val="single" w:color="000000" w:sz="8" w:space="0"/>
              <w:right w:val="single" w:color="auto" w:sz="8" w:space="0"/>
            </w:tcBorders>
            <w:vAlign w:val="center"/>
          </w:tcPr>
          <w:p w14:paraId="2D7ED2E1">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1C3647DB">
            <w:pPr>
              <w:widowControl/>
              <w:jc w:val="left"/>
              <w:rPr>
                <w:color w:val="000000"/>
                <w:kern w:val="0"/>
                <w:szCs w:val="21"/>
              </w:rPr>
            </w:pPr>
          </w:p>
        </w:tc>
      </w:tr>
      <w:tr w14:paraId="3B3BD616">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6CEECC0F">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648028AB">
            <w:pPr>
              <w:widowControl/>
              <w:jc w:val="left"/>
              <w:rPr>
                <w:color w:val="000000"/>
                <w:kern w:val="0"/>
                <w:szCs w:val="21"/>
              </w:rPr>
            </w:pPr>
          </w:p>
        </w:tc>
        <w:tc>
          <w:tcPr>
            <w:tcW w:w="790" w:type="pct"/>
            <w:vMerge w:val="restart"/>
            <w:tcBorders>
              <w:top w:val="nil"/>
              <w:left w:val="single" w:color="auto" w:sz="4" w:space="0"/>
              <w:bottom w:val="single" w:color="000000" w:sz="8" w:space="0"/>
              <w:right w:val="single" w:color="auto" w:sz="8" w:space="0"/>
            </w:tcBorders>
            <w:shd w:val="clear" w:color="auto" w:fill="auto"/>
            <w:vAlign w:val="center"/>
          </w:tcPr>
          <w:p w14:paraId="1430812C">
            <w:pPr>
              <w:widowControl/>
              <w:jc w:val="center"/>
              <w:rPr>
                <w:color w:val="000000"/>
                <w:kern w:val="0"/>
                <w:szCs w:val="21"/>
              </w:rPr>
            </w:pPr>
            <w:r>
              <w:rPr>
                <w:color w:val="000000"/>
                <w:kern w:val="0"/>
                <w:szCs w:val="21"/>
              </w:rPr>
              <w:t>质量追溯</w:t>
            </w:r>
          </w:p>
        </w:tc>
        <w:tc>
          <w:tcPr>
            <w:tcW w:w="1770" w:type="pct"/>
            <w:tcBorders>
              <w:top w:val="nil"/>
              <w:left w:val="nil"/>
              <w:bottom w:val="single" w:color="auto" w:sz="8" w:space="0"/>
              <w:right w:val="single" w:color="auto" w:sz="8" w:space="0"/>
            </w:tcBorders>
            <w:shd w:val="clear" w:color="auto" w:fill="auto"/>
            <w:vAlign w:val="center"/>
          </w:tcPr>
          <w:p w14:paraId="786B43FD">
            <w:pPr>
              <w:widowControl/>
              <w:jc w:val="center"/>
              <w:rPr>
                <w:color w:val="000000"/>
                <w:kern w:val="0"/>
                <w:szCs w:val="21"/>
              </w:rPr>
            </w:pPr>
            <w:r>
              <w:rPr>
                <w:color w:val="000000"/>
                <w:kern w:val="0"/>
                <w:szCs w:val="21"/>
              </w:rPr>
              <w:t>产品质量检测无法实现追踪溯源</w:t>
            </w:r>
          </w:p>
        </w:tc>
        <w:tc>
          <w:tcPr>
            <w:tcW w:w="789" w:type="pct"/>
            <w:tcBorders>
              <w:top w:val="nil"/>
              <w:left w:val="nil"/>
              <w:bottom w:val="single" w:color="auto" w:sz="8" w:space="0"/>
              <w:right w:val="single" w:color="auto" w:sz="8" w:space="0"/>
            </w:tcBorders>
            <w:shd w:val="clear" w:color="auto" w:fill="auto"/>
            <w:vAlign w:val="center"/>
          </w:tcPr>
          <w:p w14:paraId="2EA95D6B">
            <w:pPr>
              <w:widowControl/>
              <w:jc w:val="center"/>
              <w:rPr>
                <w:color w:val="000000"/>
                <w:kern w:val="0"/>
                <w:szCs w:val="21"/>
              </w:rPr>
            </w:pPr>
            <w:r>
              <w:rPr>
                <w:color w:val="000000"/>
                <w:kern w:val="0"/>
                <w:szCs w:val="21"/>
              </w:rPr>
              <w:t>0</w:t>
            </w:r>
          </w:p>
        </w:tc>
        <w:tc>
          <w:tcPr>
            <w:tcW w:w="506" w:type="pct"/>
            <w:vMerge w:val="restart"/>
            <w:tcBorders>
              <w:top w:val="nil"/>
              <w:left w:val="single" w:color="auto" w:sz="8" w:space="0"/>
              <w:bottom w:val="single" w:color="000000" w:sz="8" w:space="0"/>
              <w:right w:val="single" w:color="auto" w:sz="8" w:space="0"/>
            </w:tcBorders>
            <w:shd w:val="clear" w:color="auto" w:fill="auto"/>
            <w:vAlign w:val="center"/>
          </w:tcPr>
          <w:p w14:paraId="77D134D8">
            <w:pPr>
              <w:widowControl/>
              <w:jc w:val="center"/>
              <w:rPr>
                <w:color w:val="000000"/>
                <w:kern w:val="0"/>
                <w:szCs w:val="21"/>
              </w:rPr>
            </w:pPr>
            <w:r>
              <w:rPr>
                <w:color w:val="000000"/>
                <w:kern w:val="0"/>
                <w:szCs w:val="21"/>
              </w:rPr>
              <w:t>2</w:t>
            </w:r>
          </w:p>
        </w:tc>
        <w:tc>
          <w:tcPr>
            <w:tcW w:w="635" w:type="pct"/>
            <w:vMerge w:val="restart"/>
            <w:tcBorders>
              <w:top w:val="nil"/>
              <w:left w:val="single" w:color="auto" w:sz="8" w:space="0"/>
              <w:bottom w:val="single" w:color="000000" w:sz="8" w:space="0"/>
              <w:right w:val="single" w:color="auto" w:sz="8" w:space="0"/>
            </w:tcBorders>
            <w:shd w:val="clear" w:color="auto" w:fill="auto"/>
            <w:vAlign w:val="center"/>
          </w:tcPr>
          <w:p w14:paraId="23477099">
            <w:pPr>
              <w:widowControl/>
              <w:jc w:val="center"/>
              <w:rPr>
                <w:color w:val="000000"/>
                <w:kern w:val="0"/>
                <w:szCs w:val="21"/>
              </w:rPr>
            </w:pPr>
            <w:r>
              <w:rPr>
                <w:color w:val="000000"/>
                <w:kern w:val="0"/>
                <w:szCs w:val="21"/>
              </w:rPr>
              <w:t>　</w:t>
            </w:r>
          </w:p>
        </w:tc>
      </w:tr>
      <w:tr w14:paraId="68B55EA3">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07BDC6B0">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106EAD44">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60BBEAF8">
            <w:pPr>
              <w:widowControl/>
              <w:jc w:val="left"/>
              <w:rPr>
                <w:color w:val="000000"/>
                <w:kern w:val="0"/>
                <w:szCs w:val="21"/>
              </w:rPr>
            </w:pPr>
          </w:p>
        </w:tc>
        <w:tc>
          <w:tcPr>
            <w:tcW w:w="1770" w:type="pct"/>
            <w:tcBorders>
              <w:top w:val="nil"/>
              <w:left w:val="nil"/>
              <w:bottom w:val="single" w:color="auto" w:sz="8" w:space="0"/>
              <w:right w:val="single" w:color="auto" w:sz="8" w:space="0"/>
            </w:tcBorders>
            <w:shd w:val="clear" w:color="auto" w:fill="auto"/>
            <w:vAlign w:val="center"/>
          </w:tcPr>
          <w:p w14:paraId="597FDCB8">
            <w:pPr>
              <w:widowControl/>
              <w:jc w:val="center"/>
              <w:rPr>
                <w:color w:val="000000"/>
                <w:kern w:val="0"/>
                <w:szCs w:val="21"/>
              </w:rPr>
            </w:pPr>
            <w:r>
              <w:rPr>
                <w:color w:val="000000"/>
                <w:kern w:val="0"/>
                <w:szCs w:val="21"/>
              </w:rPr>
              <w:t>产品质量检测部分实现追踪溯源</w:t>
            </w:r>
          </w:p>
        </w:tc>
        <w:tc>
          <w:tcPr>
            <w:tcW w:w="789" w:type="pct"/>
            <w:tcBorders>
              <w:top w:val="nil"/>
              <w:left w:val="nil"/>
              <w:bottom w:val="single" w:color="auto" w:sz="8" w:space="0"/>
              <w:right w:val="single" w:color="auto" w:sz="8" w:space="0"/>
            </w:tcBorders>
            <w:shd w:val="clear" w:color="auto" w:fill="auto"/>
            <w:vAlign w:val="center"/>
          </w:tcPr>
          <w:p w14:paraId="3B397CD9">
            <w:pPr>
              <w:widowControl/>
              <w:jc w:val="center"/>
              <w:rPr>
                <w:color w:val="000000"/>
                <w:kern w:val="0"/>
                <w:szCs w:val="21"/>
              </w:rPr>
            </w:pPr>
            <w:r>
              <w:rPr>
                <w:color w:val="000000"/>
                <w:kern w:val="0"/>
                <w:szCs w:val="21"/>
              </w:rPr>
              <w:t>1</w:t>
            </w:r>
          </w:p>
        </w:tc>
        <w:tc>
          <w:tcPr>
            <w:tcW w:w="506" w:type="pct"/>
            <w:vMerge w:val="continue"/>
            <w:tcBorders>
              <w:top w:val="nil"/>
              <w:left w:val="single" w:color="auto" w:sz="8" w:space="0"/>
              <w:bottom w:val="single" w:color="000000" w:sz="8" w:space="0"/>
              <w:right w:val="single" w:color="auto" w:sz="8" w:space="0"/>
            </w:tcBorders>
            <w:vAlign w:val="center"/>
          </w:tcPr>
          <w:p w14:paraId="5C81664A">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7CE916B0">
            <w:pPr>
              <w:widowControl/>
              <w:jc w:val="left"/>
              <w:rPr>
                <w:color w:val="000000"/>
                <w:kern w:val="0"/>
                <w:szCs w:val="21"/>
              </w:rPr>
            </w:pPr>
          </w:p>
        </w:tc>
      </w:tr>
      <w:tr w14:paraId="73F23EED">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151CA614">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3432A2D6">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57C0EC41">
            <w:pPr>
              <w:widowControl/>
              <w:jc w:val="left"/>
              <w:rPr>
                <w:color w:val="000000"/>
                <w:kern w:val="0"/>
                <w:szCs w:val="21"/>
              </w:rPr>
            </w:pPr>
          </w:p>
        </w:tc>
        <w:tc>
          <w:tcPr>
            <w:tcW w:w="1770" w:type="pct"/>
            <w:tcBorders>
              <w:top w:val="nil"/>
              <w:left w:val="nil"/>
              <w:bottom w:val="single" w:color="auto" w:sz="8" w:space="0"/>
              <w:right w:val="single" w:color="auto" w:sz="8" w:space="0"/>
            </w:tcBorders>
            <w:shd w:val="clear" w:color="auto" w:fill="auto"/>
            <w:vAlign w:val="center"/>
          </w:tcPr>
          <w:p w14:paraId="51426460">
            <w:pPr>
              <w:widowControl/>
              <w:jc w:val="center"/>
              <w:rPr>
                <w:color w:val="000000"/>
                <w:kern w:val="0"/>
                <w:szCs w:val="21"/>
              </w:rPr>
            </w:pPr>
            <w:r>
              <w:rPr>
                <w:color w:val="000000"/>
                <w:kern w:val="0"/>
                <w:szCs w:val="21"/>
              </w:rPr>
              <w:t>产品质量检测全部实现追踪溯源</w:t>
            </w:r>
          </w:p>
        </w:tc>
        <w:tc>
          <w:tcPr>
            <w:tcW w:w="789" w:type="pct"/>
            <w:tcBorders>
              <w:top w:val="nil"/>
              <w:left w:val="nil"/>
              <w:bottom w:val="single" w:color="auto" w:sz="8" w:space="0"/>
              <w:right w:val="single" w:color="auto" w:sz="8" w:space="0"/>
            </w:tcBorders>
            <w:shd w:val="clear" w:color="auto" w:fill="auto"/>
            <w:vAlign w:val="center"/>
          </w:tcPr>
          <w:p w14:paraId="1674ACCA">
            <w:pPr>
              <w:widowControl/>
              <w:jc w:val="center"/>
              <w:rPr>
                <w:color w:val="000000"/>
                <w:kern w:val="0"/>
                <w:szCs w:val="21"/>
              </w:rPr>
            </w:pPr>
            <w:r>
              <w:rPr>
                <w:color w:val="000000"/>
                <w:kern w:val="0"/>
                <w:szCs w:val="21"/>
              </w:rPr>
              <w:t>2</w:t>
            </w:r>
          </w:p>
        </w:tc>
        <w:tc>
          <w:tcPr>
            <w:tcW w:w="506" w:type="pct"/>
            <w:vMerge w:val="continue"/>
            <w:tcBorders>
              <w:top w:val="nil"/>
              <w:left w:val="single" w:color="auto" w:sz="8" w:space="0"/>
              <w:bottom w:val="single" w:color="000000" w:sz="8" w:space="0"/>
              <w:right w:val="single" w:color="auto" w:sz="8" w:space="0"/>
            </w:tcBorders>
            <w:vAlign w:val="center"/>
          </w:tcPr>
          <w:p w14:paraId="24B58738">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0942DDA8">
            <w:pPr>
              <w:widowControl/>
              <w:jc w:val="left"/>
              <w:rPr>
                <w:color w:val="000000"/>
                <w:kern w:val="0"/>
                <w:szCs w:val="21"/>
              </w:rPr>
            </w:pPr>
          </w:p>
        </w:tc>
      </w:tr>
      <w:tr w14:paraId="113888E4">
        <w:tblPrEx>
          <w:tblCellMar>
            <w:top w:w="0" w:type="dxa"/>
            <w:left w:w="108" w:type="dxa"/>
            <w:bottom w:w="0" w:type="dxa"/>
            <w:right w:w="108" w:type="dxa"/>
          </w:tblCellMar>
        </w:tblPrEx>
        <w:trPr>
          <w:trHeight w:val="825" w:hRule="atLeast"/>
        </w:trPr>
        <w:tc>
          <w:tcPr>
            <w:tcW w:w="218" w:type="pct"/>
            <w:vMerge w:val="continue"/>
            <w:tcBorders>
              <w:top w:val="nil"/>
              <w:left w:val="single" w:color="auto" w:sz="8" w:space="0"/>
              <w:bottom w:val="single" w:color="000000" w:sz="8" w:space="0"/>
              <w:right w:val="single" w:color="auto" w:sz="4" w:space="0"/>
            </w:tcBorders>
            <w:vAlign w:val="center"/>
          </w:tcPr>
          <w:p w14:paraId="7DC06169">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236C0B46">
            <w:pPr>
              <w:widowControl/>
              <w:jc w:val="left"/>
              <w:rPr>
                <w:color w:val="000000"/>
                <w:kern w:val="0"/>
                <w:szCs w:val="21"/>
              </w:rPr>
            </w:pPr>
          </w:p>
        </w:tc>
        <w:tc>
          <w:tcPr>
            <w:tcW w:w="790" w:type="pct"/>
            <w:tcBorders>
              <w:top w:val="nil"/>
              <w:left w:val="single" w:color="auto" w:sz="4" w:space="0"/>
              <w:bottom w:val="single" w:color="auto" w:sz="8" w:space="0"/>
              <w:right w:val="single" w:color="auto" w:sz="8" w:space="0"/>
            </w:tcBorders>
            <w:shd w:val="clear" w:color="auto" w:fill="auto"/>
            <w:vAlign w:val="center"/>
          </w:tcPr>
          <w:p w14:paraId="59AF85A2">
            <w:pPr>
              <w:widowControl/>
              <w:jc w:val="center"/>
              <w:rPr>
                <w:color w:val="000000"/>
                <w:kern w:val="0"/>
                <w:szCs w:val="21"/>
              </w:rPr>
            </w:pPr>
            <w:r>
              <w:rPr>
                <w:color w:val="000000"/>
                <w:kern w:val="0"/>
                <w:szCs w:val="21"/>
              </w:rPr>
              <w:t>质量异议解决制度</w:t>
            </w:r>
          </w:p>
        </w:tc>
        <w:tc>
          <w:tcPr>
            <w:tcW w:w="1770" w:type="pct"/>
            <w:tcBorders>
              <w:top w:val="nil"/>
              <w:left w:val="nil"/>
              <w:bottom w:val="single" w:color="auto" w:sz="8" w:space="0"/>
              <w:right w:val="single" w:color="auto" w:sz="8" w:space="0"/>
            </w:tcBorders>
            <w:shd w:val="clear" w:color="auto" w:fill="auto"/>
            <w:vAlign w:val="center"/>
          </w:tcPr>
          <w:p w14:paraId="70788DE5">
            <w:pPr>
              <w:widowControl/>
              <w:jc w:val="center"/>
              <w:rPr>
                <w:color w:val="000000"/>
                <w:kern w:val="0"/>
                <w:szCs w:val="21"/>
              </w:rPr>
            </w:pPr>
            <w:r>
              <w:rPr>
                <w:color w:val="000000"/>
                <w:kern w:val="0"/>
                <w:szCs w:val="21"/>
              </w:rPr>
              <w:t>1.建立了完善的质量异议解决制度</w:t>
            </w:r>
            <w:r>
              <w:rPr>
                <w:color w:val="000000"/>
                <w:kern w:val="0"/>
                <w:szCs w:val="21"/>
              </w:rPr>
              <w:br w:type="textWrapping"/>
            </w:r>
            <w:r>
              <w:rPr>
                <w:color w:val="000000"/>
                <w:kern w:val="0"/>
                <w:szCs w:val="21"/>
              </w:rPr>
              <w:t>2.质量异议解决制度得到了严格遵守和运行</w:t>
            </w:r>
            <w:r>
              <w:rPr>
                <w:color w:val="000000"/>
                <w:kern w:val="0"/>
                <w:szCs w:val="21"/>
              </w:rPr>
              <w:br w:type="textWrapping"/>
            </w:r>
            <w:r>
              <w:rPr>
                <w:color w:val="000000"/>
                <w:kern w:val="0"/>
                <w:szCs w:val="21"/>
              </w:rPr>
              <w:t>3.质量异议解决情况和效果良好</w:t>
            </w:r>
          </w:p>
        </w:tc>
        <w:tc>
          <w:tcPr>
            <w:tcW w:w="789" w:type="pct"/>
            <w:tcBorders>
              <w:top w:val="nil"/>
              <w:left w:val="nil"/>
              <w:bottom w:val="single" w:color="auto" w:sz="8" w:space="0"/>
              <w:right w:val="single" w:color="auto" w:sz="8" w:space="0"/>
            </w:tcBorders>
            <w:shd w:val="clear" w:color="auto" w:fill="auto"/>
            <w:vAlign w:val="center"/>
          </w:tcPr>
          <w:p w14:paraId="660E6FD9">
            <w:pPr>
              <w:widowControl/>
              <w:jc w:val="center"/>
              <w:rPr>
                <w:color w:val="000000"/>
                <w:kern w:val="0"/>
                <w:szCs w:val="21"/>
              </w:rPr>
            </w:pPr>
            <w:r>
              <w:rPr>
                <w:color w:val="000000"/>
                <w:kern w:val="0"/>
                <w:szCs w:val="21"/>
              </w:rPr>
              <w:t>达到每条</w:t>
            </w:r>
            <w:r>
              <w:rPr>
                <w:rFonts w:hint="eastAsia"/>
                <w:color w:val="000000"/>
                <w:kern w:val="0"/>
                <w:szCs w:val="21"/>
              </w:rPr>
              <w:t>1</w:t>
            </w:r>
            <w:r>
              <w:rPr>
                <w:color w:val="000000"/>
                <w:kern w:val="0"/>
                <w:szCs w:val="21"/>
              </w:rPr>
              <w:t>分，最多3分</w:t>
            </w:r>
          </w:p>
        </w:tc>
        <w:tc>
          <w:tcPr>
            <w:tcW w:w="506" w:type="pct"/>
            <w:tcBorders>
              <w:top w:val="nil"/>
              <w:left w:val="nil"/>
              <w:bottom w:val="single" w:color="auto" w:sz="8" w:space="0"/>
              <w:right w:val="single" w:color="auto" w:sz="8" w:space="0"/>
            </w:tcBorders>
            <w:shd w:val="clear" w:color="auto" w:fill="auto"/>
            <w:vAlign w:val="center"/>
          </w:tcPr>
          <w:p w14:paraId="483B8431">
            <w:pPr>
              <w:widowControl/>
              <w:jc w:val="center"/>
              <w:rPr>
                <w:color w:val="000000"/>
                <w:kern w:val="0"/>
                <w:szCs w:val="21"/>
              </w:rPr>
            </w:pPr>
            <w:r>
              <w:rPr>
                <w:color w:val="000000"/>
                <w:kern w:val="0"/>
                <w:szCs w:val="21"/>
              </w:rPr>
              <w:t>3</w:t>
            </w:r>
          </w:p>
        </w:tc>
        <w:tc>
          <w:tcPr>
            <w:tcW w:w="635" w:type="pct"/>
            <w:tcBorders>
              <w:top w:val="nil"/>
              <w:left w:val="nil"/>
              <w:bottom w:val="single" w:color="auto" w:sz="4" w:space="0"/>
              <w:right w:val="single" w:color="auto" w:sz="8" w:space="0"/>
            </w:tcBorders>
            <w:shd w:val="clear" w:color="auto" w:fill="auto"/>
            <w:vAlign w:val="center"/>
          </w:tcPr>
          <w:p w14:paraId="3AE3E5A6">
            <w:pPr>
              <w:widowControl/>
              <w:jc w:val="center"/>
              <w:rPr>
                <w:color w:val="000000"/>
                <w:kern w:val="0"/>
                <w:szCs w:val="21"/>
              </w:rPr>
            </w:pPr>
            <w:r>
              <w:rPr>
                <w:color w:val="000000"/>
                <w:kern w:val="0"/>
                <w:szCs w:val="21"/>
              </w:rPr>
              <w:t>　</w:t>
            </w:r>
          </w:p>
        </w:tc>
      </w:tr>
      <w:tr w14:paraId="00F6F8A6">
        <w:tblPrEx>
          <w:tblCellMar>
            <w:top w:w="0" w:type="dxa"/>
            <w:left w:w="108" w:type="dxa"/>
            <w:bottom w:w="0" w:type="dxa"/>
            <w:right w:w="108" w:type="dxa"/>
          </w:tblCellMar>
        </w:tblPrEx>
        <w:trPr>
          <w:trHeight w:val="285" w:hRule="atLeast"/>
        </w:trPr>
        <w:tc>
          <w:tcPr>
            <w:tcW w:w="218" w:type="pct"/>
            <w:vMerge w:val="restart"/>
            <w:tcBorders>
              <w:top w:val="nil"/>
              <w:left w:val="single" w:color="auto" w:sz="8" w:space="0"/>
              <w:bottom w:val="single" w:color="000000" w:sz="8" w:space="0"/>
              <w:right w:val="single" w:color="auto" w:sz="8" w:space="0"/>
            </w:tcBorders>
            <w:shd w:val="clear" w:color="auto" w:fill="auto"/>
            <w:vAlign w:val="center"/>
          </w:tcPr>
          <w:p w14:paraId="4DA55CDB">
            <w:pPr>
              <w:widowControl/>
              <w:jc w:val="center"/>
              <w:rPr>
                <w:color w:val="000000"/>
                <w:kern w:val="0"/>
                <w:szCs w:val="21"/>
              </w:rPr>
            </w:pPr>
            <w:r>
              <w:rPr>
                <w:color w:val="000000"/>
                <w:kern w:val="0"/>
                <w:szCs w:val="21"/>
              </w:rPr>
              <w:t>产品层面</w:t>
            </w:r>
          </w:p>
        </w:tc>
        <w:tc>
          <w:tcPr>
            <w:tcW w:w="288" w:type="pct"/>
            <w:vMerge w:val="restart"/>
            <w:tcBorders>
              <w:top w:val="single" w:color="auto" w:sz="4" w:space="0"/>
              <w:left w:val="single" w:color="auto" w:sz="8" w:space="0"/>
              <w:right w:val="single" w:color="auto" w:sz="8" w:space="0"/>
            </w:tcBorders>
            <w:shd w:val="clear" w:color="auto" w:fill="auto"/>
            <w:vAlign w:val="center"/>
          </w:tcPr>
          <w:p w14:paraId="3BA8B388">
            <w:pPr>
              <w:widowControl/>
              <w:jc w:val="center"/>
              <w:rPr>
                <w:color w:val="FF0000"/>
                <w:kern w:val="0"/>
                <w:szCs w:val="21"/>
              </w:rPr>
            </w:pPr>
            <w:r>
              <w:rPr>
                <w:color w:val="000000"/>
                <w:kern w:val="0"/>
                <w:szCs w:val="21"/>
              </w:rPr>
              <w:t>质量一致</w:t>
            </w:r>
            <w:r>
              <w:rPr>
                <w:kern w:val="0"/>
                <w:szCs w:val="21"/>
              </w:rPr>
              <w:t>性</w:t>
            </w:r>
            <w:r>
              <w:rPr>
                <w:rFonts w:hint="eastAsia"/>
                <w:color w:val="000000"/>
                <w:kern w:val="0"/>
                <w:szCs w:val="21"/>
                <w:vertAlign w:val="superscript"/>
              </w:rPr>
              <w:t xml:space="preserve"> a</w:t>
            </w:r>
          </w:p>
          <w:p w14:paraId="323EFF8A">
            <w:pPr>
              <w:widowControl/>
              <w:jc w:val="center"/>
              <w:rPr>
                <w:color w:val="000000"/>
                <w:kern w:val="0"/>
                <w:szCs w:val="21"/>
              </w:rPr>
            </w:pPr>
          </w:p>
        </w:tc>
        <w:tc>
          <w:tcPr>
            <w:tcW w:w="790" w:type="pct"/>
            <w:tcBorders>
              <w:top w:val="nil"/>
              <w:left w:val="nil"/>
              <w:bottom w:val="single" w:color="auto" w:sz="8" w:space="0"/>
              <w:right w:val="single" w:color="auto" w:sz="8" w:space="0"/>
            </w:tcBorders>
            <w:shd w:val="clear" w:color="auto" w:fill="auto"/>
            <w:vAlign w:val="center"/>
          </w:tcPr>
          <w:p w14:paraId="5DCA3368">
            <w:pPr>
              <w:widowControl/>
              <w:jc w:val="center"/>
              <w:rPr>
                <w:color w:val="000000"/>
                <w:kern w:val="0"/>
                <w:szCs w:val="21"/>
              </w:rPr>
            </w:pPr>
            <w:r>
              <w:rPr>
                <w:color w:val="000000"/>
                <w:kern w:val="0"/>
                <w:szCs w:val="21"/>
              </w:rPr>
              <w:t>Cp（C含量）</w:t>
            </w:r>
          </w:p>
        </w:tc>
        <w:tc>
          <w:tcPr>
            <w:tcW w:w="1770" w:type="pct"/>
            <w:tcBorders>
              <w:top w:val="nil"/>
              <w:left w:val="nil"/>
              <w:bottom w:val="single" w:color="auto" w:sz="8" w:space="0"/>
              <w:right w:val="single" w:color="auto" w:sz="8" w:space="0"/>
            </w:tcBorders>
            <w:shd w:val="clear" w:color="auto" w:fill="auto"/>
            <w:vAlign w:val="center"/>
          </w:tcPr>
          <w:p w14:paraId="5339791D">
            <w:pPr>
              <w:widowControl/>
              <w:jc w:val="center"/>
              <w:rPr>
                <w:color w:val="000000"/>
                <w:kern w:val="0"/>
                <w:szCs w:val="21"/>
              </w:rPr>
            </w:pPr>
            <w:r>
              <w:rPr>
                <w:color w:val="000000"/>
                <w:kern w:val="0"/>
                <w:szCs w:val="21"/>
              </w:rPr>
              <w:t>按公式计算得分：</w:t>
            </w:r>
          </w:p>
        </w:tc>
        <w:tc>
          <w:tcPr>
            <w:tcW w:w="789" w:type="pct"/>
            <w:tcBorders>
              <w:top w:val="nil"/>
              <w:left w:val="nil"/>
              <w:bottom w:val="single" w:color="auto" w:sz="8" w:space="0"/>
              <w:right w:val="single" w:color="auto" w:sz="8" w:space="0"/>
            </w:tcBorders>
            <w:shd w:val="clear" w:color="auto" w:fill="auto"/>
            <w:vAlign w:val="center"/>
          </w:tcPr>
          <w:p w14:paraId="2F93386D">
            <w:pPr>
              <w:widowControl/>
              <w:jc w:val="center"/>
              <w:rPr>
                <w:color w:val="000000"/>
                <w:kern w:val="0"/>
                <w:szCs w:val="21"/>
              </w:rPr>
            </w:pPr>
            <w:r>
              <w:rPr>
                <w:color w:val="000000"/>
                <w:kern w:val="0"/>
                <w:szCs w:val="21"/>
              </w:rPr>
              <w:t>公式计算得分</w:t>
            </w:r>
          </w:p>
        </w:tc>
        <w:tc>
          <w:tcPr>
            <w:tcW w:w="506" w:type="pct"/>
            <w:tcBorders>
              <w:top w:val="nil"/>
              <w:left w:val="nil"/>
              <w:bottom w:val="single" w:color="auto" w:sz="8" w:space="0"/>
              <w:right w:val="single" w:color="auto" w:sz="4" w:space="0"/>
            </w:tcBorders>
            <w:shd w:val="clear" w:color="auto" w:fill="auto"/>
            <w:vAlign w:val="center"/>
          </w:tcPr>
          <w:p w14:paraId="5BCB5337">
            <w:pPr>
              <w:widowControl/>
              <w:jc w:val="center"/>
              <w:rPr>
                <w:rFonts w:hint="eastAsia" w:eastAsia="宋体"/>
                <w:color w:val="000000"/>
                <w:kern w:val="0"/>
                <w:szCs w:val="21"/>
                <w:lang w:eastAsia="zh-CN"/>
              </w:rPr>
            </w:pPr>
            <w:r>
              <w:rPr>
                <w:rFonts w:hint="eastAsia"/>
                <w:color w:val="000000"/>
                <w:kern w:val="0"/>
                <w:szCs w:val="21"/>
                <w:lang w:val="en-US" w:eastAsia="zh-CN"/>
              </w:rPr>
              <w:t>3</w:t>
            </w:r>
          </w:p>
        </w:tc>
        <w:tc>
          <w:tcPr>
            <w:tcW w:w="635" w:type="pct"/>
            <w:vMerge w:val="restart"/>
            <w:tcBorders>
              <w:top w:val="single" w:color="auto" w:sz="4" w:space="0"/>
              <w:left w:val="single" w:color="auto" w:sz="4" w:space="0"/>
              <w:right w:val="single" w:color="auto" w:sz="4" w:space="0"/>
            </w:tcBorders>
            <w:shd w:val="clear" w:color="auto" w:fill="auto"/>
            <w:vAlign w:val="center"/>
          </w:tcPr>
          <w:p w14:paraId="7498834B">
            <w:pPr>
              <w:widowControl/>
              <w:jc w:val="center"/>
              <w:rPr>
                <w:color w:val="000000"/>
                <w:kern w:val="0"/>
                <w:szCs w:val="21"/>
              </w:rPr>
            </w:pPr>
            <w:r>
              <w:rPr>
                <w:color w:val="000000"/>
                <w:kern w:val="0"/>
                <w:szCs w:val="21"/>
              </w:rPr>
              <w:t>各项按公式计算得分，即</w:t>
            </w:r>
            <w:r>
              <w:rPr>
                <w:color w:val="000000"/>
                <w:kern w:val="0"/>
                <w:szCs w:val="21"/>
              </w:rPr>
              <w:br w:type="textWrapping"/>
            </w:r>
            <w:r>
              <w:rPr>
                <w:color w:val="000000"/>
                <w:kern w:val="0"/>
                <w:szCs w:val="21"/>
              </w:rPr>
              <w:t>Cp≤0.8时，0分</w:t>
            </w:r>
            <w:r>
              <w:rPr>
                <w:color w:val="000000"/>
                <w:kern w:val="0"/>
                <w:szCs w:val="21"/>
              </w:rPr>
              <w:br w:type="textWrapping"/>
            </w:r>
            <w:r>
              <w:rPr>
                <w:color w:val="000000"/>
                <w:kern w:val="0"/>
                <w:szCs w:val="21"/>
              </w:rPr>
              <w:t>Cp≥1.2时，</w:t>
            </w:r>
            <w:r>
              <w:rPr>
                <w:rFonts w:hint="eastAsia"/>
                <w:color w:val="000000"/>
                <w:kern w:val="0"/>
                <w:szCs w:val="21"/>
                <w:lang w:val="en-US" w:eastAsia="zh-CN"/>
              </w:rPr>
              <w:t>3</w:t>
            </w:r>
            <w:r>
              <w:rPr>
                <w:color w:val="000000"/>
                <w:kern w:val="0"/>
                <w:szCs w:val="21"/>
              </w:rPr>
              <w:t>分</w:t>
            </w:r>
          </w:p>
        </w:tc>
      </w:tr>
      <w:tr w14:paraId="549483EB">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5C13B6AB">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242BE535">
            <w:pPr>
              <w:widowControl/>
              <w:jc w:val="left"/>
              <w:rPr>
                <w:color w:val="000000"/>
                <w:kern w:val="0"/>
                <w:szCs w:val="21"/>
              </w:rPr>
            </w:pPr>
          </w:p>
        </w:tc>
        <w:tc>
          <w:tcPr>
            <w:tcW w:w="790" w:type="pct"/>
            <w:tcBorders>
              <w:top w:val="nil"/>
              <w:left w:val="nil"/>
              <w:bottom w:val="single" w:color="auto" w:sz="8" w:space="0"/>
              <w:right w:val="single" w:color="auto" w:sz="8" w:space="0"/>
            </w:tcBorders>
            <w:shd w:val="clear" w:color="auto" w:fill="auto"/>
            <w:vAlign w:val="center"/>
          </w:tcPr>
          <w:p w14:paraId="0BE3DFEA">
            <w:pPr>
              <w:widowControl/>
              <w:jc w:val="center"/>
              <w:rPr>
                <w:color w:val="000000"/>
                <w:kern w:val="0"/>
                <w:szCs w:val="21"/>
              </w:rPr>
            </w:pPr>
            <w:r>
              <w:rPr>
                <w:color w:val="000000"/>
                <w:kern w:val="0"/>
                <w:szCs w:val="21"/>
              </w:rPr>
              <w:t>Cp（Si含量）</w:t>
            </w:r>
          </w:p>
        </w:tc>
        <w:tc>
          <w:tcPr>
            <w:tcW w:w="1770" w:type="pct"/>
            <w:tcBorders>
              <w:top w:val="nil"/>
              <w:left w:val="nil"/>
              <w:bottom w:val="single" w:color="auto" w:sz="8" w:space="0"/>
              <w:right w:val="single" w:color="auto" w:sz="8" w:space="0"/>
            </w:tcBorders>
            <w:shd w:val="clear" w:color="auto" w:fill="auto"/>
            <w:vAlign w:val="center"/>
          </w:tcPr>
          <w:p w14:paraId="3BE821B8">
            <w:pPr>
              <w:keepNext w:val="0"/>
              <w:keepLines w:val="0"/>
              <w:widowControl/>
              <w:suppressLineNumbers w:val="0"/>
              <w:jc w:val="center"/>
              <w:rPr>
                <w:color w:val="000000"/>
                <w:kern w:val="0"/>
                <w:szCs w:val="21"/>
              </w:rPr>
            </w:pPr>
            <w:r>
              <w:rPr>
                <w:color w:val="000000"/>
                <w:kern w:val="0"/>
                <w:szCs w:val="21"/>
              </w:rPr>
              <w:t>按公式计算得分：</w:t>
            </w:r>
            <w:r>
              <w:rPr>
                <w:rFonts w:hint="default" w:ascii="Times New Roman" w:hAnsi="Times New Roman" w:eastAsia="宋体" w:cs="Times New Roman"/>
                <w:color w:val="000000"/>
                <w:kern w:val="0"/>
                <w:sz w:val="20"/>
                <w:szCs w:val="20"/>
                <w:lang w:val="en-US" w:eastAsia="zh-CN" w:bidi="ar"/>
              </w:rPr>
              <w:t>7.5Cp-6</w:t>
            </w:r>
          </w:p>
        </w:tc>
        <w:tc>
          <w:tcPr>
            <w:tcW w:w="789" w:type="pct"/>
            <w:tcBorders>
              <w:top w:val="nil"/>
              <w:left w:val="nil"/>
              <w:bottom w:val="single" w:color="auto" w:sz="8" w:space="0"/>
              <w:right w:val="single" w:color="auto" w:sz="8" w:space="0"/>
            </w:tcBorders>
            <w:shd w:val="clear" w:color="auto" w:fill="auto"/>
            <w:vAlign w:val="center"/>
          </w:tcPr>
          <w:p w14:paraId="7F45AE7F">
            <w:pPr>
              <w:widowControl/>
              <w:jc w:val="center"/>
              <w:rPr>
                <w:color w:val="000000"/>
                <w:kern w:val="0"/>
                <w:szCs w:val="21"/>
              </w:rPr>
            </w:pPr>
            <w:r>
              <w:rPr>
                <w:color w:val="000000"/>
                <w:kern w:val="0"/>
                <w:szCs w:val="21"/>
              </w:rPr>
              <w:t>公式计算得分</w:t>
            </w:r>
          </w:p>
        </w:tc>
        <w:tc>
          <w:tcPr>
            <w:tcW w:w="506" w:type="pct"/>
            <w:tcBorders>
              <w:top w:val="nil"/>
              <w:left w:val="nil"/>
              <w:bottom w:val="single" w:color="auto" w:sz="8" w:space="0"/>
              <w:right w:val="single" w:color="auto" w:sz="4" w:space="0"/>
            </w:tcBorders>
            <w:shd w:val="clear" w:color="auto" w:fill="auto"/>
            <w:vAlign w:val="center"/>
          </w:tcPr>
          <w:p w14:paraId="55661AA2">
            <w:pPr>
              <w:widowControl/>
              <w:jc w:val="center"/>
              <w:rPr>
                <w:rFonts w:hint="eastAsia" w:eastAsia="宋体"/>
                <w:color w:val="000000"/>
                <w:kern w:val="0"/>
                <w:szCs w:val="21"/>
                <w:lang w:eastAsia="zh-CN"/>
              </w:rPr>
            </w:pPr>
            <w:r>
              <w:rPr>
                <w:rFonts w:hint="eastAsia"/>
                <w:color w:val="000000"/>
                <w:kern w:val="0"/>
                <w:szCs w:val="21"/>
                <w:lang w:val="en-US" w:eastAsia="zh-CN"/>
              </w:rPr>
              <w:t>3</w:t>
            </w:r>
          </w:p>
        </w:tc>
        <w:tc>
          <w:tcPr>
            <w:tcW w:w="635" w:type="pct"/>
            <w:vMerge w:val="continue"/>
            <w:tcBorders>
              <w:left w:val="single" w:color="auto" w:sz="4" w:space="0"/>
              <w:right w:val="single" w:color="auto" w:sz="4" w:space="0"/>
            </w:tcBorders>
            <w:shd w:val="clear" w:color="auto" w:fill="auto"/>
            <w:vAlign w:val="center"/>
          </w:tcPr>
          <w:p w14:paraId="7AE4E8AC">
            <w:pPr>
              <w:widowControl/>
              <w:jc w:val="left"/>
              <w:rPr>
                <w:color w:val="000000"/>
                <w:kern w:val="0"/>
                <w:szCs w:val="21"/>
              </w:rPr>
            </w:pPr>
          </w:p>
        </w:tc>
      </w:tr>
      <w:tr w14:paraId="05DD24F2">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0659C9F9">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65E905F8">
            <w:pPr>
              <w:widowControl/>
              <w:jc w:val="left"/>
              <w:rPr>
                <w:color w:val="000000"/>
                <w:kern w:val="0"/>
                <w:szCs w:val="21"/>
              </w:rPr>
            </w:pPr>
          </w:p>
        </w:tc>
        <w:tc>
          <w:tcPr>
            <w:tcW w:w="790" w:type="pct"/>
            <w:tcBorders>
              <w:top w:val="nil"/>
              <w:left w:val="nil"/>
              <w:bottom w:val="single" w:color="auto" w:sz="8" w:space="0"/>
              <w:right w:val="single" w:color="auto" w:sz="8" w:space="0"/>
            </w:tcBorders>
            <w:shd w:val="clear" w:color="auto" w:fill="auto"/>
            <w:vAlign w:val="center"/>
          </w:tcPr>
          <w:p w14:paraId="11B0E6D4">
            <w:pPr>
              <w:widowControl/>
              <w:jc w:val="center"/>
              <w:rPr>
                <w:color w:val="000000"/>
                <w:kern w:val="0"/>
                <w:szCs w:val="21"/>
              </w:rPr>
            </w:pPr>
            <w:r>
              <w:rPr>
                <w:color w:val="000000"/>
                <w:kern w:val="0"/>
                <w:szCs w:val="21"/>
              </w:rPr>
              <w:t>Cp（Mn含量）</w:t>
            </w:r>
          </w:p>
        </w:tc>
        <w:tc>
          <w:tcPr>
            <w:tcW w:w="1770" w:type="pct"/>
            <w:tcBorders>
              <w:top w:val="nil"/>
              <w:left w:val="nil"/>
              <w:bottom w:val="single" w:color="auto" w:sz="8" w:space="0"/>
              <w:right w:val="single" w:color="auto" w:sz="8" w:space="0"/>
            </w:tcBorders>
            <w:shd w:val="clear" w:color="auto" w:fill="auto"/>
            <w:vAlign w:val="center"/>
          </w:tcPr>
          <w:p w14:paraId="23EAE091">
            <w:pPr>
              <w:widowControl/>
              <w:jc w:val="center"/>
              <w:rPr>
                <w:color w:val="000000"/>
                <w:kern w:val="0"/>
                <w:szCs w:val="21"/>
              </w:rPr>
            </w:pPr>
            <w:r>
              <w:rPr>
                <w:color w:val="000000"/>
                <w:kern w:val="0"/>
                <w:szCs w:val="21"/>
              </w:rPr>
              <w:t>按公式计算得分：</w:t>
            </w:r>
            <w:r>
              <w:rPr>
                <w:rFonts w:hint="default" w:ascii="Times New Roman" w:hAnsi="Times New Roman" w:eastAsia="宋体" w:cs="Times New Roman"/>
                <w:color w:val="000000"/>
                <w:kern w:val="0"/>
                <w:sz w:val="20"/>
                <w:szCs w:val="20"/>
                <w:lang w:val="en-US" w:eastAsia="zh-CN" w:bidi="ar"/>
              </w:rPr>
              <w:t>7.5Cp-6</w:t>
            </w:r>
          </w:p>
        </w:tc>
        <w:tc>
          <w:tcPr>
            <w:tcW w:w="789" w:type="pct"/>
            <w:tcBorders>
              <w:top w:val="nil"/>
              <w:left w:val="nil"/>
              <w:bottom w:val="single" w:color="auto" w:sz="8" w:space="0"/>
              <w:right w:val="single" w:color="auto" w:sz="8" w:space="0"/>
            </w:tcBorders>
            <w:shd w:val="clear" w:color="auto" w:fill="auto"/>
            <w:vAlign w:val="center"/>
          </w:tcPr>
          <w:p w14:paraId="4D3D236B">
            <w:pPr>
              <w:widowControl/>
              <w:jc w:val="center"/>
              <w:rPr>
                <w:color w:val="000000"/>
                <w:kern w:val="0"/>
                <w:szCs w:val="21"/>
              </w:rPr>
            </w:pPr>
            <w:r>
              <w:rPr>
                <w:color w:val="000000"/>
                <w:kern w:val="0"/>
                <w:szCs w:val="21"/>
              </w:rPr>
              <w:t>公式计算得分</w:t>
            </w:r>
          </w:p>
        </w:tc>
        <w:tc>
          <w:tcPr>
            <w:tcW w:w="506" w:type="pct"/>
            <w:tcBorders>
              <w:top w:val="nil"/>
              <w:left w:val="nil"/>
              <w:bottom w:val="single" w:color="auto" w:sz="8" w:space="0"/>
              <w:right w:val="single" w:color="auto" w:sz="4" w:space="0"/>
            </w:tcBorders>
            <w:shd w:val="clear" w:color="auto" w:fill="auto"/>
            <w:vAlign w:val="center"/>
          </w:tcPr>
          <w:p w14:paraId="60848404">
            <w:pPr>
              <w:widowControl/>
              <w:jc w:val="center"/>
              <w:rPr>
                <w:rFonts w:hint="eastAsia" w:eastAsia="宋体"/>
                <w:color w:val="000000"/>
                <w:kern w:val="0"/>
                <w:szCs w:val="21"/>
                <w:lang w:eastAsia="zh-CN"/>
              </w:rPr>
            </w:pPr>
            <w:r>
              <w:rPr>
                <w:rFonts w:hint="eastAsia"/>
                <w:color w:val="000000"/>
                <w:kern w:val="0"/>
                <w:szCs w:val="21"/>
                <w:lang w:val="en-US" w:eastAsia="zh-CN"/>
              </w:rPr>
              <w:t>3</w:t>
            </w:r>
          </w:p>
        </w:tc>
        <w:tc>
          <w:tcPr>
            <w:tcW w:w="635" w:type="pct"/>
            <w:vMerge w:val="continue"/>
            <w:tcBorders>
              <w:left w:val="single" w:color="auto" w:sz="4" w:space="0"/>
              <w:bottom w:val="single" w:color="auto" w:sz="4" w:space="0"/>
              <w:right w:val="single" w:color="auto" w:sz="4" w:space="0"/>
            </w:tcBorders>
            <w:shd w:val="clear" w:color="auto" w:fill="auto"/>
            <w:vAlign w:val="center"/>
          </w:tcPr>
          <w:p w14:paraId="0D1297FA">
            <w:pPr>
              <w:widowControl/>
              <w:jc w:val="left"/>
              <w:rPr>
                <w:color w:val="000000"/>
                <w:kern w:val="0"/>
                <w:szCs w:val="21"/>
              </w:rPr>
            </w:pPr>
          </w:p>
        </w:tc>
      </w:tr>
      <w:tr w14:paraId="6755FDBA">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77BA3F9A">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4E6A343D">
            <w:pPr>
              <w:widowControl/>
              <w:jc w:val="left"/>
              <w:rPr>
                <w:color w:val="000000"/>
                <w:kern w:val="0"/>
                <w:szCs w:val="21"/>
              </w:rPr>
            </w:pPr>
          </w:p>
        </w:tc>
        <w:tc>
          <w:tcPr>
            <w:tcW w:w="790" w:type="pct"/>
            <w:tcBorders>
              <w:top w:val="nil"/>
              <w:left w:val="nil"/>
              <w:bottom w:val="single" w:color="auto" w:sz="8" w:space="0"/>
              <w:right w:val="single" w:color="auto" w:sz="8" w:space="0"/>
            </w:tcBorders>
            <w:shd w:val="clear" w:color="auto" w:fill="auto"/>
            <w:vAlign w:val="center"/>
          </w:tcPr>
          <w:p w14:paraId="5447E2B5">
            <w:pPr>
              <w:widowControl/>
              <w:jc w:val="center"/>
              <w:rPr>
                <w:color w:val="000000"/>
                <w:kern w:val="0"/>
                <w:szCs w:val="21"/>
              </w:rPr>
            </w:pPr>
            <w:r>
              <w:rPr>
                <w:color w:val="000000"/>
                <w:kern w:val="0"/>
                <w:szCs w:val="21"/>
              </w:rPr>
              <w:t>Cp（P含量）</w:t>
            </w:r>
          </w:p>
        </w:tc>
        <w:tc>
          <w:tcPr>
            <w:tcW w:w="1770" w:type="pct"/>
            <w:tcBorders>
              <w:top w:val="nil"/>
              <w:left w:val="nil"/>
              <w:bottom w:val="single" w:color="auto" w:sz="8" w:space="0"/>
              <w:right w:val="single" w:color="auto" w:sz="8" w:space="0"/>
            </w:tcBorders>
            <w:shd w:val="clear" w:color="auto" w:fill="auto"/>
            <w:vAlign w:val="center"/>
          </w:tcPr>
          <w:p w14:paraId="7669CAAE">
            <w:pPr>
              <w:widowControl/>
              <w:jc w:val="center"/>
              <w:rPr>
                <w:color w:val="000000"/>
                <w:kern w:val="0"/>
                <w:szCs w:val="21"/>
              </w:rPr>
            </w:pPr>
            <w:r>
              <w:rPr>
                <w:color w:val="000000"/>
                <w:kern w:val="0"/>
                <w:szCs w:val="21"/>
              </w:rPr>
              <w:t>按公式计算得分：10Cp-8</w:t>
            </w:r>
          </w:p>
        </w:tc>
        <w:tc>
          <w:tcPr>
            <w:tcW w:w="789" w:type="pct"/>
            <w:tcBorders>
              <w:top w:val="nil"/>
              <w:left w:val="nil"/>
              <w:bottom w:val="single" w:color="auto" w:sz="8" w:space="0"/>
              <w:right w:val="single" w:color="auto" w:sz="8" w:space="0"/>
            </w:tcBorders>
            <w:shd w:val="clear" w:color="auto" w:fill="auto"/>
            <w:vAlign w:val="center"/>
          </w:tcPr>
          <w:p w14:paraId="0D0CFA91">
            <w:pPr>
              <w:widowControl/>
              <w:jc w:val="center"/>
              <w:rPr>
                <w:color w:val="000000"/>
                <w:kern w:val="0"/>
                <w:szCs w:val="21"/>
              </w:rPr>
            </w:pPr>
            <w:r>
              <w:rPr>
                <w:color w:val="000000"/>
                <w:kern w:val="0"/>
                <w:szCs w:val="21"/>
              </w:rPr>
              <w:t>公式计算得分</w:t>
            </w:r>
          </w:p>
        </w:tc>
        <w:tc>
          <w:tcPr>
            <w:tcW w:w="506" w:type="pct"/>
            <w:tcBorders>
              <w:top w:val="nil"/>
              <w:left w:val="nil"/>
              <w:bottom w:val="single" w:color="auto" w:sz="8" w:space="0"/>
              <w:right w:val="single" w:color="auto" w:sz="4" w:space="0"/>
            </w:tcBorders>
            <w:shd w:val="clear" w:color="auto" w:fill="auto"/>
            <w:vAlign w:val="center"/>
          </w:tcPr>
          <w:p w14:paraId="2D806D87">
            <w:pPr>
              <w:widowControl/>
              <w:jc w:val="center"/>
              <w:rPr>
                <w:rFonts w:hint="eastAsia" w:eastAsia="宋体"/>
                <w:color w:val="000000"/>
                <w:kern w:val="0"/>
                <w:szCs w:val="21"/>
                <w:lang w:eastAsia="zh-CN"/>
              </w:rPr>
            </w:pPr>
            <w:r>
              <w:rPr>
                <w:rFonts w:hint="eastAsia"/>
                <w:color w:val="000000"/>
                <w:kern w:val="0"/>
                <w:szCs w:val="21"/>
                <w:lang w:val="en-US" w:eastAsia="zh-CN"/>
              </w:rPr>
              <w:t>4</w:t>
            </w:r>
          </w:p>
        </w:tc>
        <w:tc>
          <w:tcPr>
            <w:tcW w:w="635" w:type="pct"/>
            <w:vMerge w:val="restart"/>
            <w:tcBorders>
              <w:top w:val="single" w:color="auto" w:sz="4" w:space="0"/>
              <w:left w:val="single" w:color="auto" w:sz="4" w:space="0"/>
              <w:right w:val="single" w:color="auto" w:sz="4" w:space="0"/>
            </w:tcBorders>
            <w:shd w:val="clear" w:color="auto" w:fill="auto"/>
            <w:vAlign w:val="center"/>
          </w:tcPr>
          <w:p w14:paraId="016691C4">
            <w:pPr>
              <w:widowControl/>
              <w:jc w:val="left"/>
              <w:rPr>
                <w:color w:val="000000"/>
                <w:kern w:val="0"/>
                <w:szCs w:val="21"/>
              </w:rPr>
            </w:pPr>
            <w:r>
              <w:rPr>
                <w:color w:val="000000"/>
                <w:kern w:val="0"/>
                <w:szCs w:val="21"/>
              </w:rPr>
              <w:t>各项按公式计算得分，即</w:t>
            </w:r>
            <w:r>
              <w:rPr>
                <w:color w:val="000000"/>
                <w:kern w:val="0"/>
                <w:szCs w:val="21"/>
              </w:rPr>
              <w:br w:type="textWrapping"/>
            </w:r>
            <w:r>
              <w:rPr>
                <w:color w:val="000000"/>
                <w:kern w:val="0"/>
                <w:szCs w:val="21"/>
              </w:rPr>
              <w:t>Cp≤0.8时，0分</w:t>
            </w:r>
            <w:r>
              <w:rPr>
                <w:color w:val="000000"/>
                <w:kern w:val="0"/>
                <w:szCs w:val="21"/>
              </w:rPr>
              <w:br w:type="textWrapping"/>
            </w:r>
            <w:r>
              <w:rPr>
                <w:color w:val="000000"/>
                <w:kern w:val="0"/>
                <w:szCs w:val="21"/>
              </w:rPr>
              <w:t>Cp≥1.2时，</w:t>
            </w:r>
            <w:r>
              <w:rPr>
                <w:rFonts w:hint="eastAsia"/>
                <w:color w:val="000000"/>
                <w:kern w:val="0"/>
                <w:szCs w:val="21"/>
                <w:lang w:val="en-US" w:eastAsia="zh-CN"/>
              </w:rPr>
              <w:t>4</w:t>
            </w:r>
            <w:r>
              <w:rPr>
                <w:color w:val="000000"/>
                <w:kern w:val="0"/>
                <w:szCs w:val="21"/>
              </w:rPr>
              <w:t>分</w:t>
            </w:r>
          </w:p>
        </w:tc>
      </w:tr>
      <w:tr w14:paraId="4D6C1A0D">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4109A2B5">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78C00A39">
            <w:pPr>
              <w:widowControl/>
              <w:jc w:val="left"/>
              <w:rPr>
                <w:color w:val="000000"/>
                <w:kern w:val="0"/>
                <w:szCs w:val="21"/>
              </w:rPr>
            </w:pPr>
          </w:p>
        </w:tc>
        <w:tc>
          <w:tcPr>
            <w:tcW w:w="790" w:type="pct"/>
            <w:tcBorders>
              <w:top w:val="nil"/>
              <w:left w:val="nil"/>
              <w:bottom w:val="single" w:color="auto" w:sz="8" w:space="0"/>
              <w:right w:val="single" w:color="auto" w:sz="8" w:space="0"/>
            </w:tcBorders>
            <w:shd w:val="clear" w:color="auto" w:fill="auto"/>
            <w:vAlign w:val="center"/>
          </w:tcPr>
          <w:p w14:paraId="1C9845F2">
            <w:pPr>
              <w:widowControl/>
              <w:jc w:val="center"/>
              <w:rPr>
                <w:color w:val="000000"/>
                <w:kern w:val="0"/>
                <w:szCs w:val="21"/>
              </w:rPr>
            </w:pPr>
            <w:r>
              <w:rPr>
                <w:color w:val="000000"/>
                <w:kern w:val="0"/>
                <w:szCs w:val="21"/>
              </w:rPr>
              <w:t>Cp（S含量）</w:t>
            </w:r>
          </w:p>
        </w:tc>
        <w:tc>
          <w:tcPr>
            <w:tcW w:w="1770" w:type="pct"/>
            <w:tcBorders>
              <w:top w:val="nil"/>
              <w:left w:val="nil"/>
              <w:bottom w:val="single" w:color="auto" w:sz="8" w:space="0"/>
              <w:right w:val="single" w:color="auto" w:sz="8" w:space="0"/>
            </w:tcBorders>
            <w:shd w:val="clear" w:color="auto" w:fill="auto"/>
            <w:vAlign w:val="center"/>
          </w:tcPr>
          <w:p w14:paraId="69B68F05">
            <w:pPr>
              <w:widowControl/>
              <w:jc w:val="center"/>
              <w:rPr>
                <w:color w:val="000000"/>
                <w:kern w:val="0"/>
                <w:szCs w:val="21"/>
              </w:rPr>
            </w:pPr>
            <w:r>
              <w:rPr>
                <w:color w:val="000000"/>
                <w:kern w:val="0"/>
                <w:szCs w:val="21"/>
              </w:rPr>
              <w:t>按公式计算得分：10Cp-8</w:t>
            </w:r>
          </w:p>
        </w:tc>
        <w:tc>
          <w:tcPr>
            <w:tcW w:w="789" w:type="pct"/>
            <w:tcBorders>
              <w:top w:val="nil"/>
              <w:left w:val="nil"/>
              <w:bottom w:val="single" w:color="auto" w:sz="8" w:space="0"/>
              <w:right w:val="single" w:color="auto" w:sz="8" w:space="0"/>
            </w:tcBorders>
            <w:shd w:val="clear" w:color="auto" w:fill="auto"/>
            <w:vAlign w:val="center"/>
          </w:tcPr>
          <w:p w14:paraId="64E0EE4B">
            <w:pPr>
              <w:widowControl/>
              <w:jc w:val="center"/>
              <w:rPr>
                <w:color w:val="000000"/>
                <w:kern w:val="0"/>
                <w:szCs w:val="21"/>
              </w:rPr>
            </w:pPr>
            <w:r>
              <w:rPr>
                <w:color w:val="000000"/>
                <w:kern w:val="0"/>
                <w:szCs w:val="21"/>
              </w:rPr>
              <w:t>公式计算得分</w:t>
            </w:r>
          </w:p>
        </w:tc>
        <w:tc>
          <w:tcPr>
            <w:tcW w:w="506" w:type="pct"/>
            <w:tcBorders>
              <w:top w:val="nil"/>
              <w:left w:val="nil"/>
              <w:bottom w:val="single" w:color="auto" w:sz="8" w:space="0"/>
              <w:right w:val="single" w:color="auto" w:sz="4" w:space="0"/>
            </w:tcBorders>
            <w:shd w:val="clear" w:color="auto" w:fill="auto"/>
            <w:vAlign w:val="center"/>
          </w:tcPr>
          <w:p w14:paraId="07EFC98F">
            <w:pPr>
              <w:widowControl/>
              <w:jc w:val="center"/>
              <w:rPr>
                <w:rFonts w:hint="eastAsia" w:eastAsia="宋体"/>
                <w:color w:val="000000"/>
                <w:kern w:val="0"/>
                <w:szCs w:val="21"/>
                <w:lang w:eastAsia="zh-CN"/>
              </w:rPr>
            </w:pPr>
            <w:r>
              <w:rPr>
                <w:rFonts w:hint="eastAsia"/>
                <w:color w:val="000000"/>
                <w:kern w:val="0"/>
                <w:szCs w:val="21"/>
                <w:lang w:val="en-US" w:eastAsia="zh-CN"/>
              </w:rPr>
              <w:t>4</w:t>
            </w:r>
          </w:p>
        </w:tc>
        <w:tc>
          <w:tcPr>
            <w:tcW w:w="635" w:type="pct"/>
            <w:vMerge w:val="continue"/>
            <w:tcBorders>
              <w:left w:val="single" w:color="auto" w:sz="4" w:space="0"/>
              <w:bottom w:val="single" w:color="auto" w:sz="4" w:space="0"/>
              <w:right w:val="single" w:color="auto" w:sz="4" w:space="0"/>
            </w:tcBorders>
            <w:shd w:val="clear" w:color="auto" w:fill="auto"/>
            <w:vAlign w:val="center"/>
          </w:tcPr>
          <w:p w14:paraId="25CF3A56">
            <w:pPr>
              <w:widowControl/>
              <w:jc w:val="left"/>
              <w:rPr>
                <w:color w:val="000000"/>
                <w:kern w:val="0"/>
                <w:szCs w:val="21"/>
              </w:rPr>
            </w:pPr>
          </w:p>
        </w:tc>
      </w:tr>
      <w:tr w14:paraId="45803BC6">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2D8EC565">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4CD06221">
            <w:pPr>
              <w:widowControl/>
              <w:jc w:val="left"/>
              <w:rPr>
                <w:color w:val="000000"/>
                <w:kern w:val="0"/>
                <w:szCs w:val="21"/>
              </w:rPr>
            </w:pPr>
          </w:p>
        </w:tc>
        <w:tc>
          <w:tcPr>
            <w:tcW w:w="790" w:type="pct"/>
            <w:tcBorders>
              <w:top w:val="nil"/>
              <w:left w:val="nil"/>
              <w:bottom w:val="single" w:color="auto" w:sz="8" w:space="0"/>
              <w:right w:val="single" w:color="auto" w:sz="8" w:space="0"/>
            </w:tcBorders>
            <w:shd w:val="clear" w:color="auto" w:fill="auto"/>
            <w:vAlign w:val="center"/>
          </w:tcPr>
          <w:p w14:paraId="2242A427">
            <w:pPr>
              <w:widowControl/>
              <w:jc w:val="center"/>
              <w:rPr>
                <w:rFonts w:hint="eastAsia"/>
                <w:color w:val="000000"/>
                <w:kern w:val="0"/>
                <w:szCs w:val="21"/>
              </w:rPr>
            </w:pPr>
            <w:r>
              <w:rPr>
                <w:rFonts w:hint="eastAsia"/>
                <w:color w:val="000000"/>
                <w:kern w:val="0"/>
                <w:szCs w:val="21"/>
                <w:lang w:val="en-US" w:eastAsia="zh-CN"/>
              </w:rPr>
              <w:t xml:space="preserve">抗拉 强度 </w:t>
            </w:r>
            <w:r>
              <w:rPr>
                <w:rFonts w:hint="default"/>
                <w:color w:val="000000"/>
                <w:kern w:val="0"/>
                <w:szCs w:val="21"/>
                <w:lang w:val="en-US" w:eastAsia="zh-CN"/>
              </w:rPr>
              <w:t>/MPa</w:t>
            </w:r>
          </w:p>
        </w:tc>
        <w:tc>
          <w:tcPr>
            <w:tcW w:w="1770" w:type="pct"/>
            <w:tcBorders>
              <w:top w:val="nil"/>
              <w:left w:val="nil"/>
              <w:bottom w:val="single" w:color="auto" w:sz="8" w:space="0"/>
              <w:right w:val="single" w:color="auto" w:sz="8" w:space="0"/>
            </w:tcBorders>
            <w:shd w:val="clear" w:color="auto" w:fill="auto"/>
            <w:vAlign w:val="center"/>
          </w:tcPr>
          <w:p w14:paraId="44BA3714">
            <w:pPr>
              <w:widowControl/>
              <w:jc w:val="center"/>
              <w:rPr>
                <w:rFonts w:ascii="Times New Roman" w:hAnsi="Times New Roman" w:eastAsia="宋体" w:cs="Times New Roman"/>
                <w:color w:val="000000"/>
                <w:kern w:val="0"/>
                <w:sz w:val="21"/>
                <w:szCs w:val="21"/>
                <w:lang w:val="en-US" w:eastAsia="zh-CN" w:bidi="ar-SA"/>
              </w:rPr>
            </w:pPr>
            <w:r>
              <w:rPr>
                <w:color w:val="000000"/>
                <w:kern w:val="0"/>
                <w:szCs w:val="21"/>
              </w:rPr>
              <w:t>按公式计算得分：</w:t>
            </w:r>
            <w:r>
              <w:rPr>
                <w:rFonts w:hint="default" w:ascii="Times New Roman" w:hAnsi="Times New Roman" w:eastAsia="宋体" w:cs="Times New Roman"/>
                <w:color w:val="000000"/>
                <w:kern w:val="0"/>
                <w:sz w:val="20"/>
                <w:szCs w:val="20"/>
                <w:lang w:val="en-US" w:eastAsia="zh-CN" w:bidi="ar"/>
              </w:rPr>
              <w:t>7.5Cp-6</w:t>
            </w:r>
          </w:p>
        </w:tc>
        <w:tc>
          <w:tcPr>
            <w:tcW w:w="789" w:type="pct"/>
            <w:tcBorders>
              <w:top w:val="nil"/>
              <w:left w:val="nil"/>
              <w:bottom w:val="single" w:color="auto" w:sz="8" w:space="0"/>
              <w:right w:val="single" w:color="auto" w:sz="8" w:space="0"/>
            </w:tcBorders>
            <w:shd w:val="clear" w:color="auto" w:fill="auto"/>
            <w:vAlign w:val="center"/>
          </w:tcPr>
          <w:p w14:paraId="79A7309B">
            <w:pPr>
              <w:widowControl/>
              <w:jc w:val="center"/>
              <w:rPr>
                <w:rFonts w:ascii="Times New Roman" w:hAnsi="Times New Roman" w:eastAsia="宋体" w:cs="Times New Roman"/>
                <w:color w:val="000000"/>
                <w:kern w:val="0"/>
                <w:sz w:val="21"/>
                <w:szCs w:val="21"/>
                <w:lang w:val="en-US" w:eastAsia="zh-CN" w:bidi="ar-SA"/>
              </w:rPr>
            </w:pPr>
            <w:r>
              <w:rPr>
                <w:color w:val="000000"/>
                <w:kern w:val="0"/>
                <w:szCs w:val="21"/>
              </w:rPr>
              <w:t>公式计算得分</w:t>
            </w:r>
          </w:p>
        </w:tc>
        <w:tc>
          <w:tcPr>
            <w:tcW w:w="506" w:type="pct"/>
            <w:tcBorders>
              <w:top w:val="nil"/>
              <w:left w:val="nil"/>
              <w:bottom w:val="single" w:color="auto" w:sz="8" w:space="0"/>
              <w:right w:val="single" w:color="auto" w:sz="4" w:space="0"/>
            </w:tcBorders>
            <w:shd w:val="clear" w:color="auto" w:fill="auto"/>
            <w:vAlign w:val="center"/>
          </w:tcPr>
          <w:p w14:paraId="359F9E1A">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3</w:t>
            </w:r>
          </w:p>
        </w:tc>
        <w:tc>
          <w:tcPr>
            <w:tcW w:w="635" w:type="pct"/>
            <w:vMerge w:val="restart"/>
            <w:tcBorders>
              <w:left w:val="single" w:color="auto" w:sz="4" w:space="0"/>
              <w:right w:val="single" w:color="auto" w:sz="4" w:space="0"/>
            </w:tcBorders>
            <w:shd w:val="clear" w:color="auto" w:fill="auto"/>
            <w:vAlign w:val="center"/>
          </w:tcPr>
          <w:p w14:paraId="37061F8D">
            <w:pPr>
              <w:widowControl/>
              <w:jc w:val="left"/>
              <w:rPr>
                <w:color w:val="000000"/>
                <w:kern w:val="0"/>
                <w:szCs w:val="21"/>
              </w:rPr>
            </w:pPr>
            <w:r>
              <w:rPr>
                <w:color w:val="000000"/>
                <w:kern w:val="0"/>
                <w:szCs w:val="21"/>
              </w:rPr>
              <w:t>各项按公式计算得分，即</w:t>
            </w:r>
            <w:r>
              <w:rPr>
                <w:color w:val="000000"/>
                <w:kern w:val="0"/>
                <w:szCs w:val="21"/>
              </w:rPr>
              <w:br w:type="textWrapping"/>
            </w:r>
            <w:r>
              <w:rPr>
                <w:color w:val="000000"/>
                <w:kern w:val="0"/>
                <w:szCs w:val="21"/>
              </w:rPr>
              <w:t>Cp≤0.8时，0分</w:t>
            </w:r>
            <w:r>
              <w:rPr>
                <w:color w:val="000000"/>
                <w:kern w:val="0"/>
                <w:szCs w:val="21"/>
              </w:rPr>
              <w:br w:type="textWrapping"/>
            </w:r>
            <w:r>
              <w:rPr>
                <w:color w:val="000000"/>
                <w:kern w:val="0"/>
                <w:szCs w:val="21"/>
              </w:rPr>
              <w:t>Cp≥1.2时，</w:t>
            </w:r>
            <w:r>
              <w:rPr>
                <w:rFonts w:hint="eastAsia"/>
                <w:color w:val="000000"/>
                <w:kern w:val="0"/>
                <w:szCs w:val="21"/>
                <w:lang w:val="en-US" w:eastAsia="zh-CN"/>
              </w:rPr>
              <w:t>3</w:t>
            </w:r>
            <w:r>
              <w:rPr>
                <w:color w:val="000000"/>
                <w:kern w:val="0"/>
                <w:szCs w:val="21"/>
              </w:rPr>
              <w:t>分</w:t>
            </w:r>
          </w:p>
        </w:tc>
      </w:tr>
      <w:tr w14:paraId="449E097B">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795ED4AE">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60E69022">
            <w:pPr>
              <w:widowControl/>
              <w:jc w:val="left"/>
              <w:rPr>
                <w:color w:val="000000"/>
                <w:kern w:val="0"/>
                <w:szCs w:val="21"/>
              </w:rPr>
            </w:pPr>
          </w:p>
        </w:tc>
        <w:tc>
          <w:tcPr>
            <w:tcW w:w="790" w:type="pct"/>
            <w:tcBorders>
              <w:top w:val="nil"/>
              <w:left w:val="nil"/>
              <w:bottom w:val="single" w:color="auto" w:sz="8" w:space="0"/>
              <w:right w:val="single" w:color="auto" w:sz="8" w:space="0"/>
            </w:tcBorders>
            <w:shd w:val="clear" w:color="auto" w:fill="auto"/>
            <w:vAlign w:val="center"/>
          </w:tcPr>
          <w:p w14:paraId="363BDCAB">
            <w:pPr>
              <w:widowControl/>
              <w:jc w:val="center"/>
              <w:rPr>
                <w:rFonts w:hint="eastAsia"/>
                <w:color w:val="000000"/>
                <w:kern w:val="0"/>
                <w:szCs w:val="21"/>
              </w:rPr>
            </w:pPr>
            <w:r>
              <w:rPr>
                <w:rFonts w:hint="eastAsia"/>
                <w:color w:val="000000"/>
                <w:kern w:val="0"/>
                <w:szCs w:val="21"/>
                <w:lang w:val="en-US" w:eastAsia="zh-CN"/>
              </w:rPr>
              <w:t>断面收缩率</w:t>
            </w:r>
          </w:p>
        </w:tc>
        <w:tc>
          <w:tcPr>
            <w:tcW w:w="1770" w:type="pct"/>
            <w:tcBorders>
              <w:top w:val="nil"/>
              <w:left w:val="nil"/>
              <w:bottom w:val="single" w:color="auto" w:sz="8" w:space="0"/>
              <w:right w:val="single" w:color="auto" w:sz="8" w:space="0"/>
            </w:tcBorders>
            <w:shd w:val="clear" w:color="auto" w:fill="auto"/>
            <w:vAlign w:val="center"/>
          </w:tcPr>
          <w:p w14:paraId="3FB83566">
            <w:pPr>
              <w:widowControl/>
              <w:jc w:val="center"/>
              <w:rPr>
                <w:rFonts w:ascii="Times New Roman" w:hAnsi="Times New Roman" w:eastAsia="宋体" w:cs="Times New Roman"/>
                <w:color w:val="000000"/>
                <w:kern w:val="0"/>
                <w:sz w:val="21"/>
                <w:szCs w:val="21"/>
                <w:lang w:val="en-US" w:eastAsia="zh-CN" w:bidi="ar-SA"/>
              </w:rPr>
            </w:pPr>
            <w:r>
              <w:rPr>
                <w:color w:val="000000"/>
                <w:kern w:val="0"/>
                <w:szCs w:val="21"/>
              </w:rPr>
              <w:t>按公式计算得分：</w:t>
            </w:r>
            <w:r>
              <w:rPr>
                <w:rFonts w:hint="default" w:ascii="Times New Roman" w:hAnsi="Times New Roman" w:eastAsia="宋体" w:cs="Times New Roman"/>
                <w:color w:val="000000"/>
                <w:kern w:val="0"/>
                <w:sz w:val="20"/>
                <w:szCs w:val="20"/>
                <w:lang w:val="en-US" w:eastAsia="zh-CN" w:bidi="ar"/>
              </w:rPr>
              <w:t>7.5Cp-6</w:t>
            </w:r>
          </w:p>
        </w:tc>
        <w:tc>
          <w:tcPr>
            <w:tcW w:w="789" w:type="pct"/>
            <w:tcBorders>
              <w:top w:val="nil"/>
              <w:left w:val="nil"/>
              <w:bottom w:val="single" w:color="auto" w:sz="8" w:space="0"/>
              <w:right w:val="single" w:color="auto" w:sz="8" w:space="0"/>
            </w:tcBorders>
            <w:shd w:val="clear" w:color="auto" w:fill="auto"/>
            <w:vAlign w:val="center"/>
          </w:tcPr>
          <w:p w14:paraId="01D17549">
            <w:pPr>
              <w:widowControl/>
              <w:jc w:val="center"/>
              <w:rPr>
                <w:rFonts w:ascii="Times New Roman" w:hAnsi="Times New Roman" w:eastAsia="宋体" w:cs="Times New Roman"/>
                <w:color w:val="000000"/>
                <w:kern w:val="0"/>
                <w:sz w:val="21"/>
                <w:szCs w:val="21"/>
                <w:lang w:val="en-US" w:eastAsia="zh-CN" w:bidi="ar-SA"/>
              </w:rPr>
            </w:pPr>
            <w:r>
              <w:rPr>
                <w:color w:val="000000"/>
                <w:kern w:val="0"/>
                <w:szCs w:val="21"/>
              </w:rPr>
              <w:t>公式计算得分</w:t>
            </w:r>
          </w:p>
        </w:tc>
        <w:tc>
          <w:tcPr>
            <w:tcW w:w="506" w:type="pct"/>
            <w:tcBorders>
              <w:top w:val="nil"/>
              <w:left w:val="nil"/>
              <w:bottom w:val="single" w:color="auto" w:sz="8" w:space="0"/>
              <w:right w:val="single" w:color="auto" w:sz="4" w:space="0"/>
            </w:tcBorders>
            <w:shd w:val="clear" w:color="auto" w:fill="auto"/>
            <w:vAlign w:val="center"/>
          </w:tcPr>
          <w:p w14:paraId="49FFF507">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3</w:t>
            </w:r>
          </w:p>
        </w:tc>
        <w:tc>
          <w:tcPr>
            <w:tcW w:w="635" w:type="pct"/>
            <w:vMerge w:val="continue"/>
            <w:tcBorders>
              <w:left w:val="single" w:color="auto" w:sz="4" w:space="0"/>
              <w:bottom w:val="single" w:color="auto" w:sz="4" w:space="0"/>
              <w:right w:val="single" w:color="auto" w:sz="4" w:space="0"/>
            </w:tcBorders>
            <w:shd w:val="clear" w:color="auto" w:fill="auto"/>
            <w:vAlign w:val="center"/>
          </w:tcPr>
          <w:p w14:paraId="7A0BD0A3">
            <w:pPr>
              <w:widowControl/>
              <w:jc w:val="left"/>
              <w:rPr>
                <w:color w:val="000000"/>
                <w:kern w:val="0"/>
                <w:szCs w:val="21"/>
              </w:rPr>
            </w:pPr>
          </w:p>
        </w:tc>
      </w:tr>
      <w:tr w14:paraId="7C2B29A9">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35E7C743">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771D4793">
            <w:pPr>
              <w:widowControl/>
              <w:jc w:val="left"/>
              <w:rPr>
                <w:color w:val="000000"/>
                <w:kern w:val="0"/>
                <w:szCs w:val="21"/>
              </w:rPr>
            </w:pPr>
          </w:p>
        </w:tc>
        <w:tc>
          <w:tcPr>
            <w:tcW w:w="790" w:type="pct"/>
            <w:tcBorders>
              <w:top w:val="nil"/>
              <w:left w:val="nil"/>
              <w:bottom w:val="single" w:color="auto" w:sz="8" w:space="0"/>
              <w:right w:val="single" w:color="auto" w:sz="8" w:space="0"/>
            </w:tcBorders>
            <w:shd w:val="clear" w:color="auto" w:fill="auto"/>
            <w:vAlign w:val="center"/>
          </w:tcPr>
          <w:p w14:paraId="2FE83DC9">
            <w:pPr>
              <w:widowControl/>
              <w:jc w:val="center"/>
              <w:rPr>
                <w:color w:val="000000"/>
                <w:kern w:val="0"/>
                <w:szCs w:val="21"/>
              </w:rPr>
            </w:pPr>
            <w:r>
              <w:rPr>
                <w:rFonts w:hint="eastAsia"/>
                <w:color w:val="000000"/>
                <w:kern w:val="0"/>
                <w:szCs w:val="21"/>
              </w:rPr>
              <w:t>表面质量</w:t>
            </w:r>
          </w:p>
        </w:tc>
        <w:tc>
          <w:tcPr>
            <w:tcW w:w="1770" w:type="pct"/>
            <w:tcBorders>
              <w:top w:val="nil"/>
              <w:left w:val="nil"/>
              <w:bottom w:val="single" w:color="auto" w:sz="8" w:space="0"/>
              <w:right w:val="single" w:color="auto" w:sz="8" w:space="0"/>
            </w:tcBorders>
            <w:shd w:val="clear" w:color="auto" w:fill="auto"/>
            <w:vAlign w:val="center"/>
          </w:tcPr>
          <w:p w14:paraId="3EDAA5F4">
            <w:pPr>
              <w:widowControl/>
              <w:jc w:val="center"/>
              <w:rPr>
                <w:color w:val="000000"/>
                <w:kern w:val="0"/>
                <w:szCs w:val="21"/>
              </w:rPr>
            </w:pPr>
            <w:r>
              <w:rPr>
                <w:rFonts w:hint="eastAsia"/>
              </w:rPr>
              <w:t>抽样检测，试验方法和指标符合G</w:t>
            </w:r>
            <w:r>
              <w:t xml:space="preserve">B/T </w:t>
            </w:r>
            <w:r>
              <w:rPr>
                <w:rFonts w:hint="eastAsia"/>
                <w:lang w:val="en-US" w:eastAsia="zh-CN"/>
              </w:rPr>
              <w:t>24238</w:t>
            </w:r>
            <w:r>
              <w:rPr>
                <w:rFonts w:hint="eastAsia"/>
              </w:rPr>
              <w:t>的要求</w:t>
            </w:r>
          </w:p>
        </w:tc>
        <w:tc>
          <w:tcPr>
            <w:tcW w:w="789" w:type="pct"/>
            <w:tcBorders>
              <w:top w:val="nil"/>
              <w:left w:val="nil"/>
              <w:bottom w:val="single" w:color="auto" w:sz="8" w:space="0"/>
              <w:right w:val="single" w:color="auto" w:sz="8" w:space="0"/>
            </w:tcBorders>
            <w:shd w:val="clear" w:color="auto" w:fill="auto"/>
            <w:vAlign w:val="center"/>
          </w:tcPr>
          <w:p w14:paraId="27AFDD81">
            <w:pPr>
              <w:widowControl/>
              <w:jc w:val="center"/>
            </w:pPr>
            <w:r>
              <w:rPr>
                <w:rFonts w:hint="eastAsia"/>
              </w:rPr>
              <w:t>其中1盘不符合G</w:t>
            </w:r>
            <w:r>
              <w:t xml:space="preserve">B/T </w:t>
            </w:r>
            <w:r>
              <w:rPr>
                <w:rFonts w:hint="eastAsia"/>
                <w:lang w:val="en-US" w:eastAsia="zh-CN"/>
              </w:rPr>
              <w:t>24238</w:t>
            </w:r>
            <w:r>
              <w:rPr>
                <w:rFonts w:hint="eastAsia"/>
              </w:rPr>
              <w:t>，不通过</w:t>
            </w:r>
          </w:p>
          <w:p w14:paraId="7434360E">
            <w:pPr>
              <w:widowControl/>
              <w:jc w:val="center"/>
              <w:rPr>
                <w:color w:val="000000"/>
                <w:kern w:val="0"/>
                <w:szCs w:val="21"/>
              </w:rPr>
            </w:pPr>
            <w:r>
              <w:rPr>
                <w:rFonts w:hint="eastAsia"/>
              </w:rPr>
              <w:t>全部符合G</w:t>
            </w:r>
            <w:r>
              <w:t xml:space="preserve">B/T </w:t>
            </w:r>
            <w:r>
              <w:rPr>
                <w:rFonts w:hint="eastAsia"/>
                <w:lang w:val="en-US" w:eastAsia="zh-CN"/>
              </w:rPr>
              <w:t>24238</w:t>
            </w:r>
            <w:r>
              <w:rPr>
                <w:rFonts w:hint="eastAsia"/>
              </w:rPr>
              <w:t>，</w:t>
            </w:r>
            <w:r>
              <w:rPr>
                <w:rFonts w:hint="eastAsia"/>
                <w:lang w:val="en-US" w:eastAsia="zh-CN"/>
              </w:rPr>
              <w:t>3</w:t>
            </w:r>
            <w:r>
              <w:rPr>
                <w:rFonts w:hint="eastAsia"/>
              </w:rPr>
              <w:t>分</w:t>
            </w:r>
          </w:p>
        </w:tc>
        <w:tc>
          <w:tcPr>
            <w:tcW w:w="506" w:type="pct"/>
            <w:tcBorders>
              <w:top w:val="nil"/>
              <w:left w:val="nil"/>
              <w:bottom w:val="single" w:color="auto" w:sz="8" w:space="0"/>
              <w:right w:val="single" w:color="auto" w:sz="4" w:space="0"/>
            </w:tcBorders>
            <w:shd w:val="clear" w:color="auto" w:fill="auto"/>
            <w:vAlign w:val="center"/>
          </w:tcPr>
          <w:p w14:paraId="7CC42FC7">
            <w:pPr>
              <w:widowControl/>
              <w:jc w:val="center"/>
              <w:rPr>
                <w:rFonts w:hint="eastAsia" w:eastAsia="宋体"/>
                <w:color w:val="000000"/>
                <w:kern w:val="0"/>
                <w:szCs w:val="21"/>
                <w:lang w:eastAsia="zh-CN"/>
              </w:rPr>
            </w:pPr>
            <w:r>
              <w:rPr>
                <w:rFonts w:hint="eastAsia"/>
                <w:color w:val="000000"/>
                <w:kern w:val="0"/>
                <w:szCs w:val="21"/>
                <w:lang w:val="en-US" w:eastAsia="zh-CN"/>
              </w:rPr>
              <w:t>3</w:t>
            </w:r>
          </w:p>
        </w:tc>
        <w:tc>
          <w:tcPr>
            <w:tcW w:w="635" w:type="pct"/>
            <w:tcBorders>
              <w:top w:val="single" w:color="auto" w:sz="4" w:space="0"/>
              <w:left w:val="single" w:color="auto" w:sz="4" w:space="0"/>
              <w:right w:val="single" w:color="auto" w:sz="4" w:space="0"/>
            </w:tcBorders>
            <w:shd w:val="clear" w:color="auto" w:fill="auto"/>
            <w:vAlign w:val="center"/>
          </w:tcPr>
          <w:p w14:paraId="5247A78A">
            <w:pPr>
              <w:widowControl/>
              <w:jc w:val="left"/>
              <w:rPr>
                <w:color w:val="000000"/>
                <w:kern w:val="0"/>
                <w:szCs w:val="21"/>
              </w:rPr>
            </w:pPr>
            <w:r>
              <w:rPr>
                <w:rFonts w:hint="eastAsia"/>
                <w:color w:val="000000"/>
                <w:kern w:val="0"/>
                <w:szCs w:val="21"/>
              </w:rPr>
              <w:t>抽</w:t>
            </w:r>
            <w:r>
              <w:rPr>
                <w:color w:val="000000"/>
                <w:kern w:val="0"/>
                <w:szCs w:val="21"/>
              </w:rPr>
              <w:t>3</w:t>
            </w:r>
            <w:r>
              <w:rPr>
                <w:rFonts w:hint="eastAsia"/>
                <w:color w:val="000000"/>
                <w:kern w:val="0"/>
                <w:szCs w:val="21"/>
              </w:rPr>
              <w:t>个不同批次，每个批次抽1盘</w:t>
            </w:r>
          </w:p>
        </w:tc>
      </w:tr>
      <w:tr w14:paraId="684B1A21">
        <w:tblPrEx>
          <w:tblCellMar>
            <w:top w:w="0" w:type="dxa"/>
            <w:left w:w="108" w:type="dxa"/>
            <w:bottom w:w="0" w:type="dxa"/>
            <w:right w:w="108" w:type="dxa"/>
          </w:tblCellMar>
        </w:tblPrEx>
        <w:trPr>
          <w:trHeight w:val="540" w:hRule="atLeast"/>
        </w:trPr>
        <w:tc>
          <w:tcPr>
            <w:tcW w:w="218" w:type="pct"/>
            <w:vMerge w:val="continue"/>
            <w:tcBorders>
              <w:top w:val="nil"/>
              <w:left w:val="single" w:color="auto" w:sz="8" w:space="0"/>
              <w:bottom w:val="single" w:color="000000" w:sz="8" w:space="0"/>
              <w:right w:val="single" w:color="auto" w:sz="8" w:space="0"/>
            </w:tcBorders>
            <w:vAlign w:val="center"/>
          </w:tcPr>
          <w:p w14:paraId="1D502C82">
            <w:pPr>
              <w:widowControl/>
              <w:jc w:val="left"/>
              <w:rPr>
                <w:color w:val="000000"/>
                <w:kern w:val="0"/>
                <w:szCs w:val="21"/>
              </w:rPr>
            </w:pPr>
          </w:p>
        </w:tc>
        <w:tc>
          <w:tcPr>
            <w:tcW w:w="288" w:type="pct"/>
            <w:vMerge w:val="restart"/>
            <w:tcBorders>
              <w:top w:val="single" w:color="auto" w:sz="4" w:space="0"/>
              <w:left w:val="single" w:color="auto" w:sz="8" w:space="0"/>
              <w:right w:val="single" w:color="auto" w:sz="8" w:space="0"/>
            </w:tcBorders>
            <w:shd w:val="clear" w:color="auto" w:fill="auto"/>
            <w:vAlign w:val="center"/>
          </w:tcPr>
          <w:p w14:paraId="66418B99">
            <w:pPr>
              <w:widowControl/>
              <w:jc w:val="center"/>
              <w:rPr>
                <w:color w:val="000000"/>
                <w:kern w:val="0"/>
                <w:szCs w:val="21"/>
              </w:rPr>
            </w:pPr>
            <w:r>
              <w:rPr>
                <w:color w:val="000000"/>
                <w:kern w:val="0"/>
                <w:szCs w:val="21"/>
              </w:rPr>
              <w:t>质量反馈</w:t>
            </w:r>
          </w:p>
        </w:tc>
        <w:tc>
          <w:tcPr>
            <w:tcW w:w="790" w:type="pct"/>
            <w:tcBorders>
              <w:top w:val="single" w:color="auto" w:sz="4" w:space="0"/>
              <w:left w:val="nil"/>
              <w:bottom w:val="single" w:color="auto" w:sz="8" w:space="0"/>
              <w:right w:val="single" w:color="auto" w:sz="8" w:space="0"/>
            </w:tcBorders>
            <w:shd w:val="clear" w:color="auto" w:fill="auto"/>
            <w:vAlign w:val="center"/>
          </w:tcPr>
          <w:p w14:paraId="0AD55ADA">
            <w:pPr>
              <w:widowControl/>
              <w:jc w:val="center"/>
              <w:rPr>
                <w:color w:val="000000"/>
                <w:kern w:val="0"/>
                <w:szCs w:val="21"/>
              </w:rPr>
            </w:pPr>
            <w:r>
              <w:rPr>
                <w:color w:val="000000"/>
                <w:kern w:val="0"/>
                <w:szCs w:val="21"/>
              </w:rPr>
              <w:t>重大工程应用</w:t>
            </w:r>
          </w:p>
        </w:tc>
        <w:tc>
          <w:tcPr>
            <w:tcW w:w="1770" w:type="pct"/>
            <w:tcBorders>
              <w:top w:val="single" w:color="auto" w:sz="4" w:space="0"/>
              <w:left w:val="nil"/>
              <w:bottom w:val="single" w:color="auto" w:sz="8" w:space="0"/>
              <w:right w:val="single" w:color="auto" w:sz="8" w:space="0"/>
            </w:tcBorders>
            <w:shd w:val="clear" w:color="auto" w:fill="auto"/>
            <w:vAlign w:val="center"/>
          </w:tcPr>
          <w:p w14:paraId="75F0D6FA">
            <w:pPr>
              <w:widowControl/>
              <w:jc w:val="center"/>
              <w:rPr>
                <w:color w:val="000000"/>
                <w:kern w:val="0"/>
                <w:szCs w:val="21"/>
              </w:rPr>
            </w:pPr>
            <w:r>
              <w:rPr>
                <w:color w:val="000000"/>
                <w:kern w:val="0"/>
                <w:szCs w:val="21"/>
              </w:rPr>
              <w:t>国家重大工程项目直接应用项目数量</w:t>
            </w:r>
          </w:p>
        </w:tc>
        <w:tc>
          <w:tcPr>
            <w:tcW w:w="789" w:type="pct"/>
            <w:tcBorders>
              <w:top w:val="single" w:color="auto" w:sz="4" w:space="0"/>
              <w:left w:val="nil"/>
              <w:bottom w:val="single" w:color="auto" w:sz="8" w:space="0"/>
              <w:right w:val="single" w:color="auto" w:sz="8" w:space="0"/>
            </w:tcBorders>
            <w:shd w:val="clear" w:color="auto" w:fill="auto"/>
            <w:vAlign w:val="center"/>
          </w:tcPr>
          <w:p w14:paraId="63B0E113">
            <w:pPr>
              <w:widowControl/>
              <w:jc w:val="center"/>
              <w:rPr>
                <w:color w:val="000000"/>
                <w:kern w:val="0"/>
                <w:szCs w:val="21"/>
              </w:rPr>
            </w:pPr>
            <w:r>
              <w:rPr>
                <w:color w:val="000000"/>
                <w:kern w:val="0"/>
                <w:szCs w:val="21"/>
              </w:rPr>
              <w:t>每项重大工程得0.5分，最多3分</w:t>
            </w:r>
          </w:p>
        </w:tc>
        <w:tc>
          <w:tcPr>
            <w:tcW w:w="506" w:type="pct"/>
            <w:tcBorders>
              <w:top w:val="single" w:color="auto" w:sz="4" w:space="0"/>
              <w:left w:val="nil"/>
              <w:bottom w:val="single" w:color="auto" w:sz="8" w:space="0"/>
              <w:right w:val="single" w:color="auto" w:sz="8" w:space="0"/>
            </w:tcBorders>
            <w:shd w:val="clear" w:color="auto" w:fill="auto"/>
            <w:vAlign w:val="center"/>
          </w:tcPr>
          <w:p w14:paraId="11336A17">
            <w:pPr>
              <w:widowControl/>
              <w:jc w:val="center"/>
              <w:rPr>
                <w:color w:val="000000"/>
                <w:kern w:val="0"/>
                <w:szCs w:val="21"/>
              </w:rPr>
            </w:pPr>
            <w:r>
              <w:rPr>
                <w:color w:val="000000"/>
                <w:kern w:val="0"/>
                <w:szCs w:val="21"/>
              </w:rPr>
              <w:t>3</w:t>
            </w:r>
          </w:p>
        </w:tc>
        <w:tc>
          <w:tcPr>
            <w:tcW w:w="635" w:type="pct"/>
            <w:tcBorders>
              <w:top w:val="single" w:color="auto" w:sz="4" w:space="0"/>
              <w:left w:val="nil"/>
              <w:bottom w:val="single" w:color="auto" w:sz="8" w:space="0"/>
              <w:right w:val="single" w:color="auto" w:sz="8" w:space="0"/>
            </w:tcBorders>
            <w:shd w:val="clear" w:color="auto" w:fill="auto"/>
            <w:vAlign w:val="center"/>
          </w:tcPr>
          <w:p w14:paraId="1C5F5F60">
            <w:pPr>
              <w:widowControl/>
              <w:jc w:val="center"/>
              <w:rPr>
                <w:color w:val="000000"/>
                <w:kern w:val="0"/>
                <w:szCs w:val="21"/>
              </w:rPr>
            </w:pPr>
            <w:r>
              <w:rPr>
                <w:color w:val="000000"/>
                <w:kern w:val="0"/>
                <w:szCs w:val="21"/>
              </w:rPr>
              <w:t>　</w:t>
            </w:r>
          </w:p>
        </w:tc>
      </w:tr>
      <w:tr w14:paraId="6F705706">
        <w:tblPrEx>
          <w:tblCellMar>
            <w:top w:w="0" w:type="dxa"/>
            <w:left w:w="108" w:type="dxa"/>
            <w:bottom w:w="0" w:type="dxa"/>
            <w:right w:w="108" w:type="dxa"/>
          </w:tblCellMar>
        </w:tblPrEx>
        <w:trPr>
          <w:trHeight w:val="810" w:hRule="atLeast"/>
        </w:trPr>
        <w:tc>
          <w:tcPr>
            <w:tcW w:w="218" w:type="pct"/>
            <w:vMerge w:val="continue"/>
            <w:tcBorders>
              <w:top w:val="nil"/>
              <w:left w:val="single" w:color="auto" w:sz="8" w:space="0"/>
              <w:bottom w:val="single" w:color="000000" w:sz="8" w:space="0"/>
              <w:right w:val="single" w:color="auto" w:sz="8" w:space="0"/>
            </w:tcBorders>
            <w:vAlign w:val="center"/>
          </w:tcPr>
          <w:p w14:paraId="261DFB6B">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6742ECD8">
            <w:pPr>
              <w:widowControl/>
              <w:jc w:val="left"/>
              <w:rPr>
                <w:color w:val="000000"/>
                <w:kern w:val="0"/>
                <w:szCs w:val="21"/>
              </w:rPr>
            </w:pPr>
          </w:p>
        </w:tc>
        <w:tc>
          <w:tcPr>
            <w:tcW w:w="790" w:type="pct"/>
            <w:tcBorders>
              <w:top w:val="nil"/>
              <w:left w:val="nil"/>
              <w:bottom w:val="single" w:color="auto" w:sz="8" w:space="0"/>
              <w:right w:val="single" w:color="auto" w:sz="8" w:space="0"/>
            </w:tcBorders>
            <w:shd w:val="clear" w:color="auto" w:fill="auto"/>
            <w:vAlign w:val="center"/>
          </w:tcPr>
          <w:p w14:paraId="0D85046C">
            <w:pPr>
              <w:widowControl/>
              <w:jc w:val="center"/>
              <w:rPr>
                <w:color w:val="000000"/>
                <w:kern w:val="0"/>
                <w:szCs w:val="21"/>
              </w:rPr>
            </w:pPr>
            <w:r>
              <w:rPr>
                <w:color w:val="000000"/>
                <w:kern w:val="0"/>
                <w:szCs w:val="21"/>
              </w:rPr>
              <w:t>终端客户水平</w:t>
            </w:r>
          </w:p>
        </w:tc>
        <w:tc>
          <w:tcPr>
            <w:tcW w:w="1770" w:type="pct"/>
            <w:tcBorders>
              <w:top w:val="nil"/>
              <w:left w:val="nil"/>
              <w:bottom w:val="single" w:color="auto" w:sz="8" w:space="0"/>
              <w:right w:val="single" w:color="auto" w:sz="8" w:space="0"/>
            </w:tcBorders>
            <w:shd w:val="clear" w:color="auto" w:fill="auto"/>
            <w:vAlign w:val="center"/>
          </w:tcPr>
          <w:p w14:paraId="43075091">
            <w:pPr>
              <w:widowControl/>
              <w:jc w:val="center"/>
              <w:rPr>
                <w:color w:val="000000"/>
                <w:kern w:val="0"/>
                <w:szCs w:val="21"/>
              </w:rPr>
            </w:pPr>
            <w:r>
              <w:rPr>
                <w:color w:val="000000"/>
                <w:kern w:val="0"/>
                <w:szCs w:val="21"/>
              </w:rPr>
              <w:t>按公式计算得分：（央企、国企、上市公司客户采购数量占产品总销量比重）×5-0.5</w:t>
            </w:r>
          </w:p>
        </w:tc>
        <w:tc>
          <w:tcPr>
            <w:tcW w:w="789" w:type="pct"/>
            <w:tcBorders>
              <w:top w:val="nil"/>
              <w:left w:val="nil"/>
              <w:bottom w:val="single" w:color="auto" w:sz="8" w:space="0"/>
              <w:right w:val="single" w:color="auto" w:sz="8" w:space="0"/>
            </w:tcBorders>
            <w:shd w:val="clear" w:color="auto" w:fill="auto"/>
            <w:vAlign w:val="center"/>
          </w:tcPr>
          <w:p w14:paraId="0AAAA066">
            <w:pPr>
              <w:widowControl/>
              <w:jc w:val="center"/>
              <w:rPr>
                <w:color w:val="000000"/>
                <w:kern w:val="0"/>
                <w:szCs w:val="21"/>
              </w:rPr>
            </w:pPr>
            <w:r>
              <w:rPr>
                <w:color w:val="000000"/>
                <w:kern w:val="0"/>
                <w:szCs w:val="21"/>
              </w:rPr>
              <w:t>公式计算得分</w:t>
            </w:r>
          </w:p>
        </w:tc>
        <w:tc>
          <w:tcPr>
            <w:tcW w:w="506" w:type="pct"/>
            <w:tcBorders>
              <w:top w:val="nil"/>
              <w:left w:val="nil"/>
              <w:bottom w:val="single" w:color="auto" w:sz="8" w:space="0"/>
              <w:right w:val="single" w:color="auto" w:sz="8" w:space="0"/>
            </w:tcBorders>
            <w:shd w:val="clear" w:color="auto" w:fill="auto"/>
            <w:vAlign w:val="center"/>
          </w:tcPr>
          <w:p w14:paraId="4ED814BD">
            <w:pPr>
              <w:widowControl/>
              <w:jc w:val="center"/>
              <w:rPr>
                <w:color w:val="000000"/>
                <w:kern w:val="0"/>
                <w:szCs w:val="21"/>
              </w:rPr>
            </w:pPr>
            <w:r>
              <w:rPr>
                <w:color w:val="000000"/>
                <w:kern w:val="0"/>
                <w:szCs w:val="21"/>
              </w:rPr>
              <w:t>2</w:t>
            </w:r>
          </w:p>
        </w:tc>
        <w:tc>
          <w:tcPr>
            <w:tcW w:w="635" w:type="pct"/>
            <w:tcBorders>
              <w:top w:val="nil"/>
              <w:left w:val="nil"/>
              <w:bottom w:val="single" w:color="auto" w:sz="8" w:space="0"/>
              <w:right w:val="single" w:color="auto" w:sz="8" w:space="0"/>
            </w:tcBorders>
            <w:shd w:val="clear" w:color="auto" w:fill="auto"/>
            <w:vAlign w:val="center"/>
          </w:tcPr>
          <w:p w14:paraId="52A06C87">
            <w:pPr>
              <w:widowControl/>
              <w:jc w:val="center"/>
              <w:rPr>
                <w:color w:val="000000"/>
                <w:kern w:val="0"/>
                <w:szCs w:val="21"/>
              </w:rPr>
            </w:pPr>
            <w:r>
              <w:rPr>
                <w:color w:val="000000"/>
                <w:kern w:val="0"/>
                <w:szCs w:val="21"/>
              </w:rPr>
              <w:t>重点客户销量占比</w:t>
            </w:r>
            <w:r>
              <w:rPr>
                <w:color w:val="000000"/>
                <w:kern w:val="0"/>
                <w:szCs w:val="21"/>
              </w:rPr>
              <w:br w:type="textWrapping"/>
            </w:r>
            <w:r>
              <w:rPr>
                <w:color w:val="000000"/>
                <w:kern w:val="0"/>
                <w:szCs w:val="21"/>
              </w:rPr>
              <w:t>10%以下，0分</w:t>
            </w:r>
            <w:r>
              <w:rPr>
                <w:color w:val="000000"/>
                <w:kern w:val="0"/>
                <w:szCs w:val="21"/>
              </w:rPr>
              <w:br w:type="textWrapping"/>
            </w:r>
            <w:r>
              <w:rPr>
                <w:color w:val="000000"/>
                <w:kern w:val="0"/>
                <w:szCs w:val="21"/>
              </w:rPr>
              <w:t>50%以上，2分</w:t>
            </w:r>
          </w:p>
        </w:tc>
      </w:tr>
      <w:tr w14:paraId="346D1BC2">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07540C80">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4ED2111D">
            <w:pPr>
              <w:widowControl/>
              <w:jc w:val="left"/>
              <w:rPr>
                <w:color w:val="000000"/>
                <w:kern w:val="0"/>
                <w:szCs w:val="21"/>
              </w:rPr>
            </w:pPr>
          </w:p>
        </w:tc>
        <w:tc>
          <w:tcPr>
            <w:tcW w:w="790" w:type="pct"/>
            <w:vMerge w:val="restart"/>
            <w:tcBorders>
              <w:top w:val="nil"/>
              <w:left w:val="single" w:color="auto" w:sz="8" w:space="0"/>
              <w:bottom w:val="single" w:color="000000" w:sz="8" w:space="0"/>
              <w:right w:val="single" w:color="auto" w:sz="8" w:space="0"/>
            </w:tcBorders>
            <w:shd w:val="clear" w:color="auto" w:fill="auto"/>
            <w:vAlign w:val="center"/>
          </w:tcPr>
          <w:p w14:paraId="705444C3">
            <w:pPr>
              <w:widowControl/>
              <w:jc w:val="center"/>
              <w:rPr>
                <w:color w:val="000000"/>
                <w:kern w:val="0"/>
                <w:szCs w:val="21"/>
              </w:rPr>
            </w:pPr>
            <w:r>
              <w:rPr>
                <w:color w:val="000000"/>
                <w:kern w:val="0"/>
                <w:szCs w:val="21"/>
              </w:rPr>
              <w:t>质量异议经济损失率</w:t>
            </w:r>
          </w:p>
          <w:p w14:paraId="7291FC11">
            <w:pPr>
              <w:widowControl/>
              <w:jc w:val="center"/>
              <w:rPr>
                <w:color w:val="000000"/>
                <w:kern w:val="0"/>
                <w:szCs w:val="21"/>
                <w:highlight w:val="yellow"/>
              </w:rPr>
            </w:pPr>
            <w:r>
              <w:rPr>
                <w:color w:val="000000"/>
                <w:kern w:val="0"/>
                <w:szCs w:val="21"/>
              </w:rPr>
              <w:t>（元/万元—赔偿额/销售额）</w:t>
            </w:r>
          </w:p>
        </w:tc>
        <w:tc>
          <w:tcPr>
            <w:tcW w:w="1770" w:type="pct"/>
            <w:tcBorders>
              <w:top w:val="nil"/>
              <w:left w:val="nil"/>
              <w:bottom w:val="single" w:color="auto" w:sz="8" w:space="0"/>
              <w:right w:val="single" w:color="auto" w:sz="8" w:space="0"/>
            </w:tcBorders>
            <w:shd w:val="clear" w:color="auto" w:fill="auto"/>
            <w:vAlign w:val="center"/>
          </w:tcPr>
          <w:p w14:paraId="36AD8EE7">
            <w:pPr>
              <w:widowControl/>
              <w:jc w:val="center"/>
              <w:rPr>
                <w:color w:val="000000"/>
                <w:kern w:val="0"/>
                <w:szCs w:val="21"/>
                <w:highlight w:val="yellow"/>
              </w:rPr>
            </w:pPr>
            <w:r>
              <w:rPr>
                <w:color w:val="000000"/>
                <w:kern w:val="0"/>
                <w:szCs w:val="21"/>
              </w:rPr>
              <w:t>＞1.5</w:t>
            </w:r>
          </w:p>
        </w:tc>
        <w:tc>
          <w:tcPr>
            <w:tcW w:w="789" w:type="pct"/>
            <w:tcBorders>
              <w:top w:val="nil"/>
              <w:left w:val="nil"/>
              <w:bottom w:val="single" w:color="auto" w:sz="8" w:space="0"/>
              <w:right w:val="single" w:color="auto" w:sz="8" w:space="0"/>
            </w:tcBorders>
            <w:shd w:val="clear" w:color="auto" w:fill="auto"/>
            <w:vAlign w:val="center"/>
          </w:tcPr>
          <w:p w14:paraId="66E6E226">
            <w:pPr>
              <w:widowControl/>
              <w:jc w:val="center"/>
              <w:rPr>
                <w:color w:val="000000"/>
                <w:kern w:val="0"/>
                <w:szCs w:val="21"/>
              </w:rPr>
            </w:pPr>
            <w:r>
              <w:rPr>
                <w:color w:val="000000"/>
                <w:kern w:val="0"/>
                <w:szCs w:val="21"/>
              </w:rPr>
              <w:t>0</w:t>
            </w:r>
          </w:p>
        </w:tc>
        <w:tc>
          <w:tcPr>
            <w:tcW w:w="506" w:type="pct"/>
            <w:vMerge w:val="restart"/>
            <w:tcBorders>
              <w:top w:val="nil"/>
              <w:left w:val="single" w:color="auto" w:sz="8" w:space="0"/>
              <w:bottom w:val="single" w:color="000000" w:sz="8" w:space="0"/>
              <w:right w:val="single" w:color="auto" w:sz="8" w:space="0"/>
            </w:tcBorders>
            <w:shd w:val="clear" w:color="auto" w:fill="auto"/>
            <w:vAlign w:val="center"/>
          </w:tcPr>
          <w:p w14:paraId="669624EC">
            <w:pPr>
              <w:widowControl/>
              <w:jc w:val="center"/>
              <w:rPr>
                <w:color w:val="000000"/>
                <w:kern w:val="0"/>
                <w:szCs w:val="21"/>
              </w:rPr>
            </w:pPr>
            <w:r>
              <w:rPr>
                <w:color w:val="000000"/>
                <w:kern w:val="0"/>
                <w:szCs w:val="21"/>
              </w:rPr>
              <w:t>3</w:t>
            </w:r>
          </w:p>
        </w:tc>
        <w:tc>
          <w:tcPr>
            <w:tcW w:w="635" w:type="pct"/>
            <w:vMerge w:val="restart"/>
            <w:tcBorders>
              <w:top w:val="nil"/>
              <w:left w:val="single" w:color="auto" w:sz="8" w:space="0"/>
              <w:bottom w:val="single" w:color="000000" w:sz="8" w:space="0"/>
              <w:right w:val="single" w:color="auto" w:sz="8" w:space="0"/>
            </w:tcBorders>
            <w:shd w:val="clear" w:color="auto" w:fill="auto"/>
            <w:vAlign w:val="center"/>
          </w:tcPr>
          <w:p w14:paraId="7039824A">
            <w:pPr>
              <w:widowControl/>
              <w:jc w:val="center"/>
              <w:rPr>
                <w:color w:val="000000"/>
                <w:kern w:val="0"/>
                <w:szCs w:val="21"/>
              </w:rPr>
            </w:pPr>
            <w:r>
              <w:rPr>
                <w:color w:val="000000"/>
                <w:kern w:val="0"/>
                <w:szCs w:val="21"/>
              </w:rPr>
              <w:t>　</w:t>
            </w:r>
          </w:p>
        </w:tc>
      </w:tr>
      <w:tr w14:paraId="2C7AFCC3">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2261FA16">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038F6C21">
            <w:pPr>
              <w:widowControl/>
              <w:jc w:val="left"/>
              <w:rPr>
                <w:color w:val="000000"/>
                <w:kern w:val="0"/>
                <w:szCs w:val="21"/>
              </w:rPr>
            </w:pPr>
          </w:p>
        </w:tc>
        <w:tc>
          <w:tcPr>
            <w:tcW w:w="790" w:type="pct"/>
            <w:vMerge w:val="continue"/>
            <w:tcBorders>
              <w:top w:val="nil"/>
              <w:left w:val="single" w:color="auto" w:sz="8" w:space="0"/>
              <w:bottom w:val="single" w:color="000000" w:sz="8" w:space="0"/>
              <w:right w:val="single" w:color="auto" w:sz="8" w:space="0"/>
            </w:tcBorders>
            <w:vAlign w:val="center"/>
          </w:tcPr>
          <w:p w14:paraId="3DC55816">
            <w:pPr>
              <w:widowControl/>
              <w:jc w:val="left"/>
              <w:rPr>
                <w:color w:val="000000"/>
                <w:kern w:val="0"/>
                <w:szCs w:val="21"/>
                <w:highlight w:val="yellow"/>
              </w:rPr>
            </w:pPr>
          </w:p>
        </w:tc>
        <w:tc>
          <w:tcPr>
            <w:tcW w:w="1770" w:type="pct"/>
            <w:tcBorders>
              <w:top w:val="nil"/>
              <w:left w:val="nil"/>
              <w:bottom w:val="single" w:color="auto" w:sz="8" w:space="0"/>
              <w:right w:val="single" w:color="auto" w:sz="8" w:space="0"/>
            </w:tcBorders>
            <w:shd w:val="clear" w:color="auto" w:fill="auto"/>
            <w:vAlign w:val="center"/>
          </w:tcPr>
          <w:p w14:paraId="5A8A2742">
            <w:pPr>
              <w:widowControl/>
              <w:jc w:val="center"/>
              <w:rPr>
                <w:color w:val="000000"/>
                <w:kern w:val="0"/>
                <w:szCs w:val="21"/>
                <w:highlight w:val="yellow"/>
              </w:rPr>
            </w:pPr>
            <w:r>
              <w:rPr>
                <w:color w:val="000000"/>
                <w:kern w:val="0"/>
                <w:szCs w:val="21"/>
              </w:rPr>
              <w:t>＜1.0~1.5</w:t>
            </w:r>
          </w:p>
        </w:tc>
        <w:tc>
          <w:tcPr>
            <w:tcW w:w="789" w:type="pct"/>
            <w:tcBorders>
              <w:top w:val="nil"/>
              <w:left w:val="nil"/>
              <w:bottom w:val="single" w:color="auto" w:sz="8" w:space="0"/>
              <w:right w:val="single" w:color="auto" w:sz="8" w:space="0"/>
            </w:tcBorders>
            <w:shd w:val="clear" w:color="auto" w:fill="auto"/>
            <w:vAlign w:val="center"/>
          </w:tcPr>
          <w:p w14:paraId="2287A73C">
            <w:pPr>
              <w:widowControl/>
              <w:jc w:val="center"/>
              <w:rPr>
                <w:color w:val="000000"/>
                <w:kern w:val="0"/>
                <w:szCs w:val="21"/>
              </w:rPr>
            </w:pPr>
            <w:r>
              <w:rPr>
                <w:color w:val="000000"/>
                <w:kern w:val="0"/>
                <w:szCs w:val="21"/>
              </w:rPr>
              <w:t>1</w:t>
            </w:r>
          </w:p>
        </w:tc>
        <w:tc>
          <w:tcPr>
            <w:tcW w:w="506" w:type="pct"/>
            <w:vMerge w:val="continue"/>
            <w:tcBorders>
              <w:top w:val="nil"/>
              <w:left w:val="single" w:color="auto" w:sz="8" w:space="0"/>
              <w:bottom w:val="single" w:color="000000" w:sz="8" w:space="0"/>
              <w:right w:val="single" w:color="auto" w:sz="8" w:space="0"/>
            </w:tcBorders>
            <w:vAlign w:val="center"/>
          </w:tcPr>
          <w:p w14:paraId="3039B515">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03CA563F">
            <w:pPr>
              <w:widowControl/>
              <w:jc w:val="left"/>
              <w:rPr>
                <w:color w:val="000000"/>
                <w:kern w:val="0"/>
                <w:szCs w:val="21"/>
              </w:rPr>
            </w:pPr>
          </w:p>
        </w:tc>
      </w:tr>
      <w:tr w14:paraId="04016094">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6C0DDD44">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27A50ECF">
            <w:pPr>
              <w:widowControl/>
              <w:jc w:val="left"/>
              <w:rPr>
                <w:color w:val="000000"/>
                <w:kern w:val="0"/>
                <w:szCs w:val="21"/>
              </w:rPr>
            </w:pPr>
          </w:p>
        </w:tc>
        <w:tc>
          <w:tcPr>
            <w:tcW w:w="790" w:type="pct"/>
            <w:vMerge w:val="continue"/>
            <w:tcBorders>
              <w:top w:val="nil"/>
              <w:left w:val="single" w:color="auto" w:sz="8" w:space="0"/>
              <w:bottom w:val="single" w:color="000000" w:sz="8" w:space="0"/>
              <w:right w:val="single" w:color="auto" w:sz="8" w:space="0"/>
            </w:tcBorders>
            <w:vAlign w:val="center"/>
          </w:tcPr>
          <w:p w14:paraId="25D9EEC8">
            <w:pPr>
              <w:widowControl/>
              <w:jc w:val="left"/>
              <w:rPr>
                <w:color w:val="000000"/>
                <w:kern w:val="0"/>
                <w:szCs w:val="21"/>
                <w:highlight w:val="yellow"/>
              </w:rPr>
            </w:pPr>
          </w:p>
        </w:tc>
        <w:tc>
          <w:tcPr>
            <w:tcW w:w="1770" w:type="pct"/>
            <w:tcBorders>
              <w:top w:val="nil"/>
              <w:left w:val="nil"/>
              <w:bottom w:val="single" w:color="auto" w:sz="8" w:space="0"/>
              <w:right w:val="single" w:color="auto" w:sz="8" w:space="0"/>
            </w:tcBorders>
            <w:shd w:val="clear" w:color="auto" w:fill="auto"/>
            <w:vAlign w:val="center"/>
          </w:tcPr>
          <w:p w14:paraId="22B043D7">
            <w:pPr>
              <w:widowControl/>
              <w:jc w:val="center"/>
              <w:rPr>
                <w:color w:val="000000"/>
                <w:kern w:val="0"/>
                <w:szCs w:val="21"/>
                <w:highlight w:val="yellow"/>
              </w:rPr>
            </w:pPr>
            <w:r>
              <w:rPr>
                <w:color w:val="000000"/>
                <w:kern w:val="0"/>
                <w:szCs w:val="21"/>
              </w:rPr>
              <w:t>＜0.5~1.0</w:t>
            </w:r>
          </w:p>
        </w:tc>
        <w:tc>
          <w:tcPr>
            <w:tcW w:w="789" w:type="pct"/>
            <w:tcBorders>
              <w:top w:val="nil"/>
              <w:left w:val="nil"/>
              <w:bottom w:val="single" w:color="auto" w:sz="8" w:space="0"/>
              <w:right w:val="single" w:color="auto" w:sz="8" w:space="0"/>
            </w:tcBorders>
            <w:shd w:val="clear" w:color="auto" w:fill="auto"/>
            <w:vAlign w:val="center"/>
          </w:tcPr>
          <w:p w14:paraId="0524A0E9">
            <w:pPr>
              <w:widowControl/>
              <w:jc w:val="center"/>
              <w:rPr>
                <w:color w:val="000000"/>
                <w:kern w:val="0"/>
                <w:szCs w:val="21"/>
              </w:rPr>
            </w:pPr>
            <w:r>
              <w:rPr>
                <w:color w:val="000000"/>
                <w:kern w:val="0"/>
                <w:szCs w:val="21"/>
              </w:rPr>
              <w:t>2</w:t>
            </w:r>
          </w:p>
        </w:tc>
        <w:tc>
          <w:tcPr>
            <w:tcW w:w="506" w:type="pct"/>
            <w:vMerge w:val="continue"/>
            <w:tcBorders>
              <w:top w:val="nil"/>
              <w:left w:val="single" w:color="auto" w:sz="8" w:space="0"/>
              <w:bottom w:val="single" w:color="000000" w:sz="8" w:space="0"/>
              <w:right w:val="single" w:color="auto" w:sz="8" w:space="0"/>
            </w:tcBorders>
            <w:vAlign w:val="center"/>
          </w:tcPr>
          <w:p w14:paraId="3FDEAA8F">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49B233D0">
            <w:pPr>
              <w:widowControl/>
              <w:jc w:val="left"/>
              <w:rPr>
                <w:color w:val="000000"/>
                <w:kern w:val="0"/>
                <w:szCs w:val="21"/>
              </w:rPr>
            </w:pPr>
          </w:p>
        </w:tc>
      </w:tr>
      <w:tr w14:paraId="1D0289E3">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27868803">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65711D44">
            <w:pPr>
              <w:widowControl/>
              <w:jc w:val="left"/>
              <w:rPr>
                <w:color w:val="000000"/>
                <w:kern w:val="0"/>
                <w:szCs w:val="21"/>
              </w:rPr>
            </w:pPr>
          </w:p>
        </w:tc>
        <w:tc>
          <w:tcPr>
            <w:tcW w:w="790" w:type="pct"/>
            <w:vMerge w:val="continue"/>
            <w:tcBorders>
              <w:top w:val="nil"/>
              <w:left w:val="single" w:color="auto" w:sz="8" w:space="0"/>
              <w:bottom w:val="single" w:color="000000" w:sz="8" w:space="0"/>
              <w:right w:val="single" w:color="auto" w:sz="8" w:space="0"/>
            </w:tcBorders>
            <w:vAlign w:val="center"/>
          </w:tcPr>
          <w:p w14:paraId="6E0A8E8E">
            <w:pPr>
              <w:widowControl/>
              <w:jc w:val="left"/>
              <w:rPr>
                <w:color w:val="000000"/>
                <w:kern w:val="0"/>
                <w:szCs w:val="21"/>
                <w:highlight w:val="yellow"/>
              </w:rPr>
            </w:pPr>
          </w:p>
        </w:tc>
        <w:tc>
          <w:tcPr>
            <w:tcW w:w="1770" w:type="pct"/>
            <w:tcBorders>
              <w:top w:val="nil"/>
              <w:left w:val="nil"/>
              <w:bottom w:val="single" w:color="auto" w:sz="8" w:space="0"/>
              <w:right w:val="single" w:color="auto" w:sz="8" w:space="0"/>
            </w:tcBorders>
            <w:shd w:val="clear" w:color="auto" w:fill="auto"/>
            <w:vAlign w:val="center"/>
          </w:tcPr>
          <w:p w14:paraId="0AC09456">
            <w:pPr>
              <w:widowControl/>
              <w:jc w:val="center"/>
              <w:rPr>
                <w:color w:val="000000"/>
                <w:kern w:val="0"/>
                <w:szCs w:val="21"/>
                <w:highlight w:val="yellow"/>
              </w:rPr>
            </w:pPr>
            <w:r>
              <w:rPr>
                <w:color w:val="000000"/>
                <w:kern w:val="0"/>
                <w:szCs w:val="21"/>
              </w:rPr>
              <w:t>≤0.5</w:t>
            </w:r>
          </w:p>
        </w:tc>
        <w:tc>
          <w:tcPr>
            <w:tcW w:w="789" w:type="pct"/>
            <w:tcBorders>
              <w:top w:val="nil"/>
              <w:left w:val="nil"/>
              <w:bottom w:val="single" w:color="auto" w:sz="8" w:space="0"/>
              <w:right w:val="single" w:color="auto" w:sz="8" w:space="0"/>
            </w:tcBorders>
            <w:shd w:val="clear" w:color="auto" w:fill="auto"/>
            <w:vAlign w:val="center"/>
          </w:tcPr>
          <w:p w14:paraId="4A4FCE46">
            <w:pPr>
              <w:widowControl/>
              <w:jc w:val="center"/>
              <w:rPr>
                <w:color w:val="000000"/>
                <w:kern w:val="0"/>
                <w:szCs w:val="21"/>
              </w:rPr>
            </w:pPr>
            <w:r>
              <w:rPr>
                <w:color w:val="000000"/>
                <w:kern w:val="0"/>
                <w:szCs w:val="21"/>
              </w:rPr>
              <w:t>3</w:t>
            </w:r>
          </w:p>
        </w:tc>
        <w:tc>
          <w:tcPr>
            <w:tcW w:w="506" w:type="pct"/>
            <w:vMerge w:val="continue"/>
            <w:tcBorders>
              <w:top w:val="nil"/>
              <w:left w:val="single" w:color="auto" w:sz="8" w:space="0"/>
              <w:bottom w:val="single" w:color="000000" w:sz="8" w:space="0"/>
              <w:right w:val="single" w:color="auto" w:sz="8" w:space="0"/>
            </w:tcBorders>
            <w:vAlign w:val="center"/>
          </w:tcPr>
          <w:p w14:paraId="0124A515">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24C52D2C">
            <w:pPr>
              <w:widowControl/>
              <w:jc w:val="left"/>
              <w:rPr>
                <w:color w:val="000000"/>
                <w:kern w:val="0"/>
                <w:szCs w:val="21"/>
              </w:rPr>
            </w:pPr>
          </w:p>
        </w:tc>
      </w:tr>
      <w:tr w14:paraId="546DC1C9">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0DE1B471">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5DCD6225">
            <w:pPr>
              <w:widowControl/>
              <w:jc w:val="left"/>
              <w:rPr>
                <w:color w:val="000000"/>
                <w:kern w:val="0"/>
                <w:szCs w:val="21"/>
              </w:rPr>
            </w:pPr>
          </w:p>
        </w:tc>
        <w:tc>
          <w:tcPr>
            <w:tcW w:w="790" w:type="pct"/>
            <w:vMerge w:val="restart"/>
            <w:tcBorders>
              <w:top w:val="nil"/>
              <w:left w:val="single" w:color="auto" w:sz="8" w:space="0"/>
              <w:bottom w:val="single" w:color="000000" w:sz="8" w:space="0"/>
              <w:right w:val="single" w:color="auto" w:sz="8" w:space="0"/>
            </w:tcBorders>
            <w:shd w:val="clear" w:color="auto" w:fill="auto"/>
            <w:vAlign w:val="center"/>
          </w:tcPr>
          <w:p w14:paraId="5FFC875B">
            <w:pPr>
              <w:widowControl/>
              <w:jc w:val="center"/>
              <w:rPr>
                <w:color w:val="000000"/>
                <w:kern w:val="0"/>
                <w:szCs w:val="21"/>
                <w:highlight w:val="yellow"/>
              </w:rPr>
            </w:pPr>
            <w:r>
              <w:rPr>
                <w:color w:val="000000"/>
                <w:kern w:val="0"/>
                <w:szCs w:val="21"/>
              </w:rPr>
              <w:t>质量异议响应时间</w:t>
            </w:r>
            <w:r>
              <w:rPr>
                <w:color w:val="000000"/>
                <w:kern w:val="0"/>
                <w:szCs w:val="21"/>
              </w:rPr>
              <w:br w:type="textWrapping"/>
            </w:r>
            <w:r>
              <w:rPr>
                <w:color w:val="000000"/>
                <w:kern w:val="0"/>
                <w:szCs w:val="21"/>
              </w:rPr>
              <w:t>（单位：小时）</w:t>
            </w:r>
          </w:p>
        </w:tc>
        <w:tc>
          <w:tcPr>
            <w:tcW w:w="1770" w:type="pct"/>
            <w:tcBorders>
              <w:top w:val="nil"/>
              <w:left w:val="nil"/>
              <w:bottom w:val="single" w:color="auto" w:sz="8" w:space="0"/>
              <w:right w:val="single" w:color="auto" w:sz="8" w:space="0"/>
            </w:tcBorders>
            <w:shd w:val="clear" w:color="auto" w:fill="auto"/>
            <w:vAlign w:val="center"/>
          </w:tcPr>
          <w:p w14:paraId="7BFB1C6C">
            <w:pPr>
              <w:widowControl/>
              <w:jc w:val="center"/>
              <w:rPr>
                <w:color w:val="000000"/>
                <w:kern w:val="0"/>
                <w:szCs w:val="21"/>
                <w:highlight w:val="yellow"/>
              </w:rPr>
            </w:pPr>
            <w:r>
              <w:rPr>
                <w:color w:val="000000"/>
                <w:kern w:val="0"/>
                <w:szCs w:val="21"/>
              </w:rPr>
              <w:t>＞24</w:t>
            </w:r>
          </w:p>
        </w:tc>
        <w:tc>
          <w:tcPr>
            <w:tcW w:w="789" w:type="pct"/>
            <w:tcBorders>
              <w:top w:val="nil"/>
              <w:left w:val="nil"/>
              <w:bottom w:val="single" w:color="auto" w:sz="8" w:space="0"/>
              <w:right w:val="single" w:color="auto" w:sz="8" w:space="0"/>
            </w:tcBorders>
            <w:shd w:val="clear" w:color="auto" w:fill="auto"/>
            <w:vAlign w:val="center"/>
          </w:tcPr>
          <w:p w14:paraId="111703E4">
            <w:pPr>
              <w:widowControl/>
              <w:jc w:val="center"/>
              <w:rPr>
                <w:color w:val="000000"/>
                <w:kern w:val="0"/>
                <w:szCs w:val="21"/>
              </w:rPr>
            </w:pPr>
            <w:r>
              <w:rPr>
                <w:color w:val="000000"/>
                <w:kern w:val="0"/>
                <w:szCs w:val="21"/>
              </w:rPr>
              <w:t>0</w:t>
            </w:r>
          </w:p>
        </w:tc>
        <w:tc>
          <w:tcPr>
            <w:tcW w:w="506" w:type="pct"/>
            <w:vMerge w:val="restart"/>
            <w:tcBorders>
              <w:top w:val="nil"/>
              <w:left w:val="single" w:color="auto" w:sz="8" w:space="0"/>
              <w:bottom w:val="single" w:color="000000" w:sz="8" w:space="0"/>
              <w:right w:val="single" w:color="auto" w:sz="8" w:space="0"/>
            </w:tcBorders>
            <w:shd w:val="clear" w:color="auto" w:fill="auto"/>
            <w:vAlign w:val="center"/>
          </w:tcPr>
          <w:p w14:paraId="0A2574DC">
            <w:pPr>
              <w:widowControl/>
              <w:jc w:val="center"/>
              <w:rPr>
                <w:color w:val="000000"/>
                <w:kern w:val="0"/>
                <w:szCs w:val="21"/>
              </w:rPr>
            </w:pPr>
            <w:r>
              <w:rPr>
                <w:color w:val="000000"/>
                <w:kern w:val="0"/>
                <w:szCs w:val="21"/>
              </w:rPr>
              <w:t>3</w:t>
            </w:r>
          </w:p>
        </w:tc>
        <w:tc>
          <w:tcPr>
            <w:tcW w:w="635" w:type="pct"/>
            <w:vMerge w:val="restart"/>
            <w:tcBorders>
              <w:top w:val="nil"/>
              <w:left w:val="single" w:color="auto" w:sz="8" w:space="0"/>
              <w:bottom w:val="single" w:color="000000" w:sz="8" w:space="0"/>
              <w:right w:val="single" w:color="auto" w:sz="8" w:space="0"/>
            </w:tcBorders>
            <w:shd w:val="clear" w:color="auto" w:fill="auto"/>
            <w:vAlign w:val="center"/>
          </w:tcPr>
          <w:p w14:paraId="1F137233">
            <w:pPr>
              <w:widowControl/>
              <w:jc w:val="center"/>
              <w:rPr>
                <w:color w:val="000000"/>
                <w:kern w:val="0"/>
                <w:szCs w:val="21"/>
              </w:rPr>
            </w:pPr>
            <w:r>
              <w:rPr>
                <w:color w:val="000000"/>
                <w:kern w:val="0"/>
                <w:szCs w:val="21"/>
              </w:rPr>
              <w:t>　</w:t>
            </w:r>
          </w:p>
        </w:tc>
      </w:tr>
      <w:tr w14:paraId="6923339D">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4EA15288">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5B4FDCBB">
            <w:pPr>
              <w:widowControl/>
              <w:jc w:val="left"/>
              <w:rPr>
                <w:color w:val="000000"/>
                <w:kern w:val="0"/>
                <w:szCs w:val="21"/>
              </w:rPr>
            </w:pPr>
          </w:p>
        </w:tc>
        <w:tc>
          <w:tcPr>
            <w:tcW w:w="790" w:type="pct"/>
            <w:vMerge w:val="continue"/>
            <w:tcBorders>
              <w:top w:val="nil"/>
              <w:left w:val="single" w:color="auto" w:sz="8" w:space="0"/>
              <w:bottom w:val="single" w:color="000000" w:sz="8" w:space="0"/>
              <w:right w:val="single" w:color="auto" w:sz="8" w:space="0"/>
            </w:tcBorders>
            <w:vAlign w:val="center"/>
          </w:tcPr>
          <w:p w14:paraId="6ABB7825">
            <w:pPr>
              <w:widowControl/>
              <w:jc w:val="left"/>
              <w:rPr>
                <w:color w:val="000000"/>
                <w:kern w:val="0"/>
                <w:szCs w:val="21"/>
                <w:highlight w:val="yellow"/>
              </w:rPr>
            </w:pPr>
          </w:p>
        </w:tc>
        <w:tc>
          <w:tcPr>
            <w:tcW w:w="1770" w:type="pct"/>
            <w:tcBorders>
              <w:top w:val="nil"/>
              <w:left w:val="nil"/>
              <w:bottom w:val="single" w:color="auto" w:sz="8" w:space="0"/>
              <w:right w:val="single" w:color="auto" w:sz="8" w:space="0"/>
            </w:tcBorders>
            <w:shd w:val="clear" w:color="auto" w:fill="auto"/>
            <w:vAlign w:val="center"/>
          </w:tcPr>
          <w:p w14:paraId="29E819FD">
            <w:pPr>
              <w:widowControl/>
              <w:jc w:val="center"/>
              <w:rPr>
                <w:color w:val="000000"/>
                <w:kern w:val="0"/>
                <w:szCs w:val="21"/>
                <w:highlight w:val="yellow"/>
              </w:rPr>
            </w:pPr>
            <w:r>
              <w:rPr>
                <w:color w:val="000000"/>
                <w:kern w:val="0"/>
                <w:szCs w:val="21"/>
              </w:rPr>
              <w:t>12~≤24</w:t>
            </w:r>
          </w:p>
        </w:tc>
        <w:tc>
          <w:tcPr>
            <w:tcW w:w="789" w:type="pct"/>
            <w:tcBorders>
              <w:top w:val="nil"/>
              <w:left w:val="nil"/>
              <w:bottom w:val="single" w:color="auto" w:sz="8" w:space="0"/>
              <w:right w:val="single" w:color="auto" w:sz="8" w:space="0"/>
            </w:tcBorders>
            <w:shd w:val="clear" w:color="auto" w:fill="auto"/>
            <w:vAlign w:val="center"/>
          </w:tcPr>
          <w:p w14:paraId="5BE918CE">
            <w:pPr>
              <w:widowControl/>
              <w:jc w:val="center"/>
              <w:rPr>
                <w:color w:val="000000"/>
                <w:kern w:val="0"/>
                <w:szCs w:val="21"/>
              </w:rPr>
            </w:pPr>
            <w:r>
              <w:rPr>
                <w:color w:val="000000"/>
                <w:kern w:val="0"/>
                <w:szCs w:val="21"/>
              </w:rPr>
              <w:t>1</w:t>
            </w:r>
          </w:p>
        </w:tc>
        <w:tc>
          <w:tcPr>
            <w:tcW w:w="506" w:type="pct"/>
            <w:vMerge w:val="continue"/>
            <w:tcBorders>
              <w:top w:val="nil"/>
              <w:left w:val="single" w:color="auto" w:sz="8" w:space="0"/>
              <w:bottom w:val="single" w:color="000000" w:sz="8" w:space="0"/>
              <w:right w:val="single" w:color="auto" w:sz="8" w:space="0"/>
            </w:tcBorders>
            <w:vAlign w:val="center"/>
          </w:tcPr>
          <w:p w14:paraId="2F17A7A2">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4A9C1D2E">
            <w:pPr>
              <w:widowControl/>
              <w:jc w:val="left"/>
              <w:rPr>
                <w:color w:val="000000"/>
                <w:kern w:val="0"/>
                <w:szCs w:val="21"/>
              </w:rPr>
            </w:pPr>
          </w:p>
        </w:tc>
      </w:tr>
      <w:tr w14:paraId="2B57242B">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699F46BF">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163B51FB">
            <w:pPr>
              <w:widowControl/>
              <w:jc w:val="left"/>
              <w:rPr>
                <w:color w:val="000000"/>
                <w:kern w:val="0"/>
                <w:szCs w:val="21"/>
              </w:rPr>
            </w:pPr>
          </w:p>
        </w:tc>
        <w:tc>
          <w:tcPr>
            <w:tcW w:w="790" w:type="pct"/>
            <w:vMerge w:val="continue"/>
            <w:tcBorders>
              <w:top w:val="nil"/>
              <w:left w:val="single" w:color="auto" w:sz="8" w:space="0"/>
              <w:bottom w:val="single" w:color="000000" w:sz="8" w:space="0"/>
              <w:right w:val="single" w:color="auto" w:sz="8" w:space="0"/>
            </w:tcBorders>
            <w:vAlign w:val="center"/>
          </w:tcPr>
          <w:p w14:paraId="7C6A69D5">
            <w:pPr>
              <w:widowControl/>
              <w:jc w:val="left"/>
              <w:rPr>
                <w:color w:val="000000"/>
                <w:kern w:val="0"/>
                <w:szCs w:val="21"/>
                <w:highlight w:val="yellow"/>
              </w:rPr>
            </w:pPr>
          </w:p>
        </w:tc>
        <w:tc>
          <w:tcPr>
            <w:tcW w:w="1770" w:type="pct"/>
            <w:tcBorders>
              <w:top w:val="nil"/>
              <w:left w:val="nil"/>
              <w:bottom w:val="single" w:color="auto" w:sz="8" w:space="0"/>
              <w:right w:val="single" w:color="auto" w:sz="8" w:space="0"/>
            </w:tcBorders>
            <w:shd w:val="clear" w:color="auto" w:fill="auto"/>
            <w:vAlign w:val="center"/>
          </w:tcPr>
          <w:p w14:paraId="19F7DC66">
            <w:pPr>
              <w:widowControl/>
              <w:jc w:val="center"/>
              <w:rPr>
                <w:color w:val="000000"/>
                <w:kern w:val="0"/>
                <w:szCs w:val="21"/>
                <w:highlight w:val="yellow"/>
              </w:rPr>
            </w:pPr>
            <w:r>
              <w:rPr>
                <w:color w:val="000000"/>
                <w:kern w:val="0"/>
                <w:szCs w:val="21"/>
              </w:rPr>
              <w:t>8~≤12</w:t>
            </w:r>
          </w:p>
        </w:tc>
        <w:tc>
          <w:tcPr>
            <w:tcW w:w="789" w:type="pct"/>
            <w:tcBorders>
              <w:top w:val="nil"/>
              <w:left w:val="nil"/>
              <w:bottom w:val="single" w:color="auto" w:sz="8" w:space="0"/>
              <w:right w:val="single" w:color="auto" w:sz="8" w:space="0"/>
            </w:tcBorders>
            <w:shd w:val="clear" w:color="auto" w:fill="auto"/>
            <w:vAlign w:val="center"/>
          </w:tcPr>
          <w:p w14:paraId="5F430FF1">
            <w:pPr>
              <w:widowControl/>
              <w:jc w:val="center"/>
              <w:rPr>
                <w:color w:val="000000"/>
                <w:kern w:val="0"/>
                <w:szCs w:val="21"/>
              </w:rPr>
            </w:pPr>
            <w:r>
              <w:rPr>
                <w:color w:val="000000"/>
                <w:kern w:val="0"/>
                <w:szCs w:val="21"/>
              </w:rPr>
              <w:t>2</w:t>
            </w:r>
          </w:p>
        </w:tc>
        <w:tc>
          <w:tcPr>
            <w:tcW w:w="506" w:type="pct"/>
            <w:vMerge w:val="continue"/>
            <w:tcBorders>
              <w:top w:val="nil"/>
              <w:left w:val="single" w:color="auto" w:sz="8" w:space="0"/>
              <w:bottom w:val="single" w:color="000000" w:sz="8" w:space="0"/>
              <w:right w:val="single" w:color="auto" w:sz="8" w:space="0"/>
            </w:tcBorders>
            <w:vAlign w:val="center"/>
          </w:tcPr>
          <w:p w14:paraId="6AA2D3A1">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73974428">
            <w:pPr>
              <w:widowControl/>
              <w:jc w:val="left"/>
              <w:rPr>
                <w:color w:val="000000"/>
                <w:kern w:val="0"/>
                <w:szCs w:val="21"/>
              </w:rPr>
            </w:pPr>
          </w:p>
        </w:tc>
      </w:tr>
      <w:tr w14:paraId="69F10A3C">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57796A5E">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634112A3">
            <w:pPr>
              <w:widowControl/>
              <w:jc w:val="left"/>
              <w:rPr>
                <w:color w:val="000000"/>
                <w:kern w:val="0"/>
                <w:szCs w:val="21"/>
              </w:rPr>
            </w:pPr>
          </w:p>
        </w:tc>
        <w:tc>
          <w:tcPr>
            <w:tcW w:w="790" w:type="pct"/>
            <w:vMerge w:val="continue"/>
            <w:tcBorders>
              <w:top w:val="nil"/>
              <w:left w:val="single" w:color="auto" w:sz="8" w:space="0"/>
              <w:bottom w:val="single" w:color="000000" w:sz="8" w:space="0"/>
              <w:right w:val="single" w:color="auto" w:sz="8" w:space="0"/>
            </w:tcBorders>
            <w:vAlign w:val="center"/>
          </w:tcPr>
          <w:p w14:paraId="291B629C">
            <w:pPr>
              <w:widowControl/>
              <w:jc w:val="left"/>
              <w:rPr>
                <w:color w:val="000000"/>
                <w:kern w:val="0"/>
                <w:szCs w:val="21"/>
                <w:highlight w:val="yellow"/>
              </w:rPr>
            </w:pPr>
          </w:p>
        </w:tc>
        <w:tc>
          <w:tcPr>
            <w:tcW w:w="1770" w:type="pct"/>
            <w:tcBorders>
              <w:top w:val="nil"/>
              <w:left w:val="nil"/>
              <w:bottom w:val="single" w:color="auto" w:sz="8" w:space="0"/>
              <w:right w:val="single" w:color="auto" w:sz="8" w:space="0"/>
            </w:tcBorders>
            <w:shd w:val="clear" w:color="auto" w:fill="auto"/>
            <w:vAlign w:val="center"/>
          </w:tcPr>
          <w:p w14:paraId="3A98F586">
            <w:pPr>
              <w:widowControl/>
              <w:jc w:val="center"/>
              <w:rPr>
                <w:color w:val="000000"/>
                <w:kern w:val="0"/>
                <w:szCs w:val="21"/>
                <w:highlight w:val="yellow"/>
              </w:rPr>
            </w:pPr>
            <w:r>
              <w:rPr>
                <w:color w:val="000000"/>
                <w:kern w:val="0"/>
                <w:szCs w:val="21"/>
              </w:rPr>
              <w:t>≤8</w:t>
            </w:r>
          </w:p>
        </w:tc>
        <w:tc>
          <w:tcPr>
            <w:tcW w:w="789" w:type="pct"/>
            <w:tcBorders>
              <w:top w:val="nil"/>
              <w:left w:val="nil"/>
              <w:bottom w:val="single" w:color="auto" w:sz="8" w:space="0"/>
              <w:right w:val="single" w:color="auto" w:sz="8" w:space="0"/>
            </w:tcBorders>
            <w:shd w:val="clear" w:color="auto" w:fill="auto"/>
            <w:vAlign w:val="center"/>
          </w:tcPr>
          <w:p w14:paraId="17893DC2">
            <w:pPr>
              <w:widowControl/>
              <w:jc w:val="center"/>
              <w:rPr>
                <w:color w:val="000000"/>
                <w:kern w:val="0"/>
                <w:szCs w:val="21"/>
              </w:rPr>
            </w:pPr>
            <w:r>
              <w:rPr>
                <w:color w:val="000000"/>
                <w:kern w:val="0"/>
                <w:szCs w:val="21"/>
              </w:rPr>
              <w:t>3</w:t>
            </w:r>
          </w:p>
        </w:tc>
        <w:tc>
          <w:tcPr>
            <w:tcW w:w="506" w:type="pct"/>
            <w:vMerge w:val="continue"/>
            <w:tcBorders>
              <w:top w:val="nil"/>
              <w:left w:val="single" w:color="auto" w:sz="8" w:space="0"/>
              <w:bottom w:val="single" w:color="000000" w:sz="8" w:space="0"/>
              <w:right w:val="single" w:color="auto" w:sz="8" w:space="0"/>
            </w:tcBorders>
            <w:vAlign w:val="center"/>
          </w:tcPr>
          <w:p w14:paraId="76AA80D1">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0246D2F5">
            <w:pPr>
              <w:widowControl/>
              <w:jc w:val="left"/>
              <w:rPr>
                <w:color w:val="000000"/>
                <w:kern w:val="0"/>
                <w:szCs w:val="21"/>
              </w:rPr>
            </w:pPr>
          </w:p>
        </w:tc>
      </w:tr>
      <w:tr w14:paraId="79A85BE6">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78140B3B">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6A4F6FA4">
            <w:pPr>
              <w:widowControl/>
              <w:jc w:val="left"/>
              <w:rPr>
                <w:color w:val="000000"/>
                <w:kern w:val="0"/>
                <w:szCs w:val="21"/>
              </w:rPr>
            </w:pPr>
          </w:p>
        </w:tc>
        <w:tc>
          <w:tcPr>
            <w:tcW w:w="790" w:type="pct"/>
            <w:vMerge w:val="restart"/>
            <w:tcBorders>
              <w:top w:val="nil"/>
              <w:left w:val="single" w:color="auto" w:sz="8" w:space="0"/>
              <w:bottom w:val="single" w:color="000000" w:sz="8" w:space="0"/>
              <w:right w:val="single" w:color="auto" w:sz="8" w:space="0"/>
            </w:tcBorders>
            <w:shd w:val="clear" w:color="auto" w:fill="auto"/>
            <w:vAlign w:val="center"/>
          </w:tcPr>
          <w:p w14:paraId="5DA3991B">
            <w:pPr>
              <w:widowControl/>
              <w:jc w:val="center"/>
              <w:rPr>
                <w:color w:val="000000"/>
                <w:kern w:val="0"/>
                <w:szCs w:val="21"/>
                <w:highlight w:val="yellow"/>
              </w:rPr>
            </w:pPr>
            <w:r>
              <w:rPr>
                <w:color w:val="000000"/>
                <w:kern w:val="0"/>
                <w:szCs w:val="21"/>
              </w:rPr>
              <w:t>顾客满意度</w:t>
            </w:r>
          </w:p>
        </w:tc>
        <w:tc>
          <w:tcPr>
            <w:tcW w:w="1770" w:type="pct"/>
            <w:tcBorders>
              <w:top w:val="nil"/>
              <w:left w:val="nil"/>
              <w:bottom w:val="single" w:color="auto" w:sz="8" w:space="0"/>
              <w:right w:val="single" w:color="auto" w:sz="8" w:space="0"/>
            </w:tcBorders>
            <w:shd w:val="clear" w:color="auto" w:fill="auto"/>
            <w:vAlign w:val="center"/>
          </w:tcPr>
          <w:p w14:paraId="21A077E0">
            <w:pPr>
              <w:widowControl/>
              <w:jc w:val="center"/>
              <w:rPr>
                <w:color w:val="000000"/>
                <w:kern w:val="0"/>
                <w:szCs w:val="21"/>
                <w:highlight w:val="yellow"/>
              </w:rPr>
            </w:pPr>
            <w:r>
              <w:rPr>
                <w:kern w:val="0"/>
                <w:szCs w:val="21"/>
              </w:rPr>
              <w:t>顾客满意度＜70，或未开展顾客满意度调查</w:t>
            </w:r>
          </w:p>
        </w:tc>
        <w:tc>
          <w:tcPr>
            <w:tcW w:w="789" w:type="pct"/>
            <w:tcBorders>
              <w:top w:val="nil"/>
              <w:left w:val="nil"/>
              <w:bottom w:val="single" w:color="auto" w:sz="8" w:space="0"/>
              <w:right w:val="single" w:color="auto" w:sz="8" w:space="0"/>
            </w:tcBorders>
            <w:shd w:val="clear" w:color="auto" w:fill="auto"/>
            <w:vAlign w:val="center"/>
          </w:tcPr>
          <w:p w14:paraId="5C387E9D">
            <w:pPr>
              <w:widowControl/>
              <w:jc w:val="center"/>
              <w:rPr>
                <w:color w:val="000000"/>
                <w:kern w:val="0"/>
                <w:szCs w:val="21"/>
              </w:rPr>
            </w:pPr>
            <w:r>
              <w:rPr>
                <w:color w:val="000000"/>
                <w:kern w:val="0"/>
                <w:szCs w:val="21"/>
              </w:rPr>
              <w:t>0</w:t>
            </w:r>
          </w:p>
        </w:tc>
        <w:tc>
          <w:tcPr>
            <w:tcW w:w="506" w:type="pct"/>
            <w:vMerge w:val="restart"/>
            <w:tcBorders>
              <w:top w:val="nil"/>
              <w:left w:val="single" w:color="auto" w:sz="8" w:space="0"/>
              <w:bottom w:val="single" w:color="000000" w:sz="8" w:space="0"/>
              <w:right w:val="single" w:color="auto" w:sz="8" w:space="0"/>
            </w:tcBorders>
            <w:shd w:val="clear" w:color="auto" w:fill="auto"/>
            <w:vAlign w:val="center"/>
          </w:tcPr>
          <w:p w14:paraId="35CB54FD">
            <w:pPr>
              <w:widowControl/>
              <w:jc w:val="center"/>
              <w:rPr>
                <w:color w:val="000000"/>
                <w:kern w:val="0"/>
                <w:szCs w:val="21"/>
              </w:rPr>
            </w:pPr>
            <w:r>
              <w:rPr>
                <w:color w:val="000000"/>
                <w:kern w:val="0"/>
                <w:szCs w:val="21"/>
              </w:rPr>
              <w:t>3</w:t>
            </w:r>
          </w:p>
        </w:tc>
        <w:tc>
          <w:tcPr>
            <w:tcW w:w="635" w:type="pct"/>
            <w:vMerge w:val="restart"/>
            <w:tcBorders>
              <w:top w:val="nil"/>
              <w:left w:val="single" w:color="auto" w:sz="8" w:space="0"/>
              <w:bottom w:val="single" w:color="000000" w:sz="8" w:space="0"/>
              <w:right w:val="single" w:color="auto" w:sz="8" w:space="0"/>
            </w:tcBorders>
            <w:shd w:val="clear" w:color="auto" w:fill="auto"/>
            <w:vAlign w:val="center"/>
          </w:tcPr>
          <w:p w14:paraId="08559BA0">
            <w:pPr>
              <w:widowControl/>
              <w:jc w:val="center"/>
              <w:rPr>
                <w:color w:val="000000"/>
                <w:kern w:val="0"/>
                <w:szCs w:val="21"/>
              </w:rPr>
            </w:pPr>
            <w:r>
              <w:t>企业自评价或第三 方评价</w:t>
            </w:r>
            <w:r>
              <w:rPr>
                <w:color w:val="000000"/>
                <w:kern w:val="0"/>
                <w:szCs w:val="21"/>
              </w:rPr>
              <w:t>　</w:t>
            </w:r>
          </w:p>
        </w:tc>
      </w:tr>
      <w:tr w14:paraId="2FCEEFF2">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76092931">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45D31774">
            <w:pPr>
              <w:widowControl/>
              <w:jc w:val="left"/>
              <w:rPr>
                <w:color w:val="000000"/>
                <w:kern w:val="0"/>
                <w:szCs w:val="21"/>
              </w:rPr>
            </w:pPr>
          </w:p>
        </w:tc>
        <w:tc>
          <w:tcPr>
            <w:tcW w:w="790" w:type="pct"/>
            <w:vMerge w:val="continue"/>
            <w:tcBorders>
              <w:top w:val="nil"/>
              <w:left w:val="single" w:color="auto" w:sz="8" w:space="0"/>
              <w:bottom w:val="single" w:color="000000" w:sz="8" w:space="0"/>
              <w:right w:val="single" w:color="auto" w:sz="8" w:space="0"/>
            </w:tcBorders>
            <w:vAlign w:val="center"/>
          </w:tcPr>
          <w:p w14:paraId="1DDC93FE">
            <w:pPr>
              <w:widowControl/>
              <w:jc w:val="left"/>
              <w:rPr>
                <w:color w:val="000000"/>
                <w:kern w:val="0"/>
                <w:szCs w:val="21"/>
                <w:highlight w:val="yellow"/>
              </w:rPr>
            </w:pPr>
          </w:p>
        </w:tc>
        <w:tc>
          <w:tcPr>
            <w:tcW w:w="1770" w:type="pct"/>
            <w:tcBorders>
              <w:top w:val="nil"/>
              <w:left w:val="nil"/>
              <w:bottom w:val="single" w:color="auto" w:sz="8" w:space="0"/>
              <w:right w:val="single" w:color="auto" w:sz="8" w:space="0"/>
            </w:tcBorders>
            <w:shd w:val="clear" w:color="auto" w:fill="auto"/>
            <w:vAlign w:val="center"/>
          </w:tcPr>
          <w:p w14:paraId="266E2E7F">
            <w:pPr>
              <w:widowControl/>
              <w:jc w:val="center"/>
              <w:rPr>
                <w:color w:val="000000"/>
                <w:kern w:val="0"/>
                <w:szCs w:val="21"/>
                <w:highlight w:val="yellow"/>
              </w:rPr>
            </w:pPr>
            <w:r>
              <w:rPr>
                <w:color w:val="000000"/>
                <w:kern w:val="0"/>
                <w:szCs w:val="21"/>
              </w:rPr>
              <w:t>70~＜80</w:t>
            </w:r>
          </w:p>
        </w:tc>
        <w:tc>
          <w:tcPr>
            <w:tcW w:w="789" w:type="pct"/>
            <w:tcBorders>
              <w:top w:val="nil"/>
              <w:left w:val="nil"/>
              <w:bottom w:val="single" w:color="auto" w:sz="8" w:space="0"/>
              <w:right w:val="single" w:color="auto" w:sz="8" w:space="0"/>
            </w:tcBorders>
            <w:shd w:val="clear" w:color="auto" w:fill="auto"/>
            <w:vAlign w:val="center"/>
          </w:tcPr>
          <w:p w14:paraId="4E598D0D">
            <w:pPr>
              <w:widowControl/>
              <w:jc w:val="center"/>
              <w:rPr>
                <w:color w:val="000000"/>
                <w:kern w:val="0"/>
                <w:szCs w:val="21"/>
              </w:rPr>
            </w:pPr>
            <w:r>
              <w:rPr>
                <w:color w:val="000000"/>
                <w:kern w:val="0"/>
                <w:szCs w:val="21"/>
              </w:rPr>
              <w:t>1</w:t>
            </w:r>
          </w:p>
        </w:tc>
        <w:tc>
          <w:tcPr>
            <w:tcW w:w="506" w:type="pct"/>
            <w:vMerge w:val="continue"/>
            <w:tcBorders>
              <w:top w:val="nil"/>
              <w:left w:val="single" w:color="auto" w:sz="8" w:space="0"/>
              <w:bottom w:val="single" w:color="000000" w:sz="8" w:space="0"/>
              <w:right w:val="single" w:color="auto" w:sz="8" w:space="0"/>
            </w:tcBorders>
            <w:vAlign w:val="center"/>
          </w:tcPr>
          <w:p w14:paraId="1B2C2305">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30FA10BC">
            <w:pPr>
              <w:widowControl/>
              <w:jc w:val="left"/>
              <w:rPr>
                <w:color w:val="000000"/>
                <w:kern w:val="0"/>
                <w:szCs w:val="21"/>
              </w:rPr>
            </w:pPr>
          </w:p>
        </w:tc>
      </w:tr>
      <w:tr w14:paraId="35A8659C">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391818DD">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7FD44326">
            <w:pPr>
              <w:widowControl/>
              <w:jc w:val="left"/>
              <w:rPr>
                <w:color w:val="000000"/>
                <w:kern w:val="0"/>
                <w:szCs w:val="21"/>
              </w:rPr>
            </w:pPr>
          </w:p>
        </w:tc>
        <w:tc>
          <w:tcPr>
            <w:tcW w:w="790" w:type="pct"/>
            <w:vMerge w:val="continue"/>
            <w:tcBorders>
              <w:top w:val="nil"/>
              <w:left w:val="single" w:color="auto" w:sz="8" w:space="0"/>
              <w:bottom w:val="single" w:color="000000" w:sz="8" w:space="0"/>
              <w:right w:val="single" w:color="auto" w:sz="8" w:space="0"/>
            </w:tcBorders>
            <w:vAlign w:val="center"/>
          </w:tcPr>
          <w:p w14:paraId="6D72D81C">
            <w:pPr>
              <w:widowControl/>
              <w:jc w:val="left"/>
              <w:rPr>
                <w:color w:val="000000"/>
                <w:kern w:val="0"/>
                <w:szCs w:val="21"/>
                <w:highlight w:val="yellow"/>
              </w:rPr>
            </w:pPr>
          </w:p>
        </w:tc>
        <w:tc>
          <w:tcPr>
            <w:tcW w:w="1770" w:type="pct"/>
            <w:tcBorders>
              <w:top w:val="nil"/>
              <w:left w:val="nil"/>
              <w:bottom w:val="single" w:color="auto" w:sz="8" w:space="0"/>
              <w:right w:val="single" w:color="auto" w:sz="8" w:space="0"/>
            </w:tcBorders>
            <w:shd w:val="clear" w:color="auto" w:fill="auto"/>
            <w:vAlign w:val="center"/>
          </w:tcPr>
          <w:p w14:paraId="4F5A62B5">
            <w:pPr>
              <w:widowControl/>
              <w:jc w:val="center"/>
              <w:rPr>
                <w:color w:val="000000"/>
                <w:kern w:val="0"/>
                <w:szCs w:val="21"/>
                <w:highlight w:val="yellow"/>
              </w:rPr>
            </w:pPr>
            <w:r>
              <w:rPr>
                <w:color w:val="000000"/>
                <w:kern w:val="0"/>
                <w:szCs w:val="21"/>
              </w:rPr>
              <w:t>80~＜90</w:t>
            </w:r>
          </w:p>
        </w:tc>
        <w:tc>
          <w:tcPr>
            <w:tcW w:w="789" w:type="pct"/>
            <w:tcBorders>
              <w:top w:val="nil"/>
              <w:left w:val="nil"/>
              <w:bottom w:val="single" w:color="auto" w:sz="8" w:space="0"/>
              <w:right w:val="single" w:color="auto" w:sz="8" w:space="0"/>
            </w:tcBorders>
            <w:shd w:val="clear" w:color="auto" w:fill="auto"/>
            <w:vAlign w:val="center"/>
          </w:tcPr>
          <w:p w14:paraId="50D9E4CE">
            <w:pPr>
              <w:widowControl/>
              <w:jc w:val="center"/>
              <w:rPr>
                <w:color w:val="000000"/>
                <w:kern w:val="0"/>
                <w:szCs w:val="21"/>
              </w:rPr>
            </w:pPr>
            <w:r>
              <w:rPr>
                <w:color w:val="000000"/>
                <w:kern w:val="0"/>
                <w:szCs w:val="21"/>
              </w:rPr>
              <w:t>2</w:t>
            </w:r>
          </w:p>
        </w:tc>
        <w:tc>
          <w:tcPr>
            <w:tcW w:w="506" w:type="pct"/>
            <w:vMerge w:val="continue"/>
            <w:tcBorders>
              <w:top w:val="nil"/>
              <w:left w:val="single" w:color="auto" w:sz="8" w:space="0"/>
              <w:bottom w:val="single" w:color="000000" w:sz="8" w:space="0"/>
              <w:right w:val="single" w:color="auto" w:sz="8" w:space="0"/>
            </w:tcBorders>
            <w:vAlign w:val="center"/>
          </w:tcPr>
          <w:p w14:paraId="20289E3C">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5E53E5C0">
            <w:pPr>
              <w:widowControl/>
              <w:jc w:val="left"/>
              <w:rPr>
                <w:color w:val="000000"/>
                <w:kern w:val="0"/>
                <w:szCs w:val="21"/>
              </w:rPr>
            </w:pPr>
          </w:p>
        </w:tc>
      </w:tr>
      <w:tr w14:paraId="5E625718">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0ACA669E">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26A91B81">
            <w:pPr>
              <w:widowControl/>
              <w:jc w:val="left"/>
              <w:rPr>
                <w:color w:val="000000"/>
                <w:kern w:val="0"/>
                <w:szCs w:val="21"/>
              </w:rPr>
            </w:pPr>
          </w:p>
        </w:tc>
        <w:tc>
          <w:tcPr>
            <w:tcW w:w="790" w:type="pct"/>
            <w:vMerge w:val="continue"/>
            <w:tcBorders>
              <w:top w:val="nil"/>
              <w:left w:val="single" w:color="auto" w:sz="8" w:space="0"/>
              <w:bottom w:val="single" w:color="000000" w:sz="8" w:space="0"/>
              <w:right w:val="single" w:color="auto" w:sz="8" w:space="0"/>
            </w:tcBorders>
            <w:vAlign w:val="center"/>
          </w:tcPr>
          <w:p w14:paraId="2067A195">
            <w:pPr>
              <w:widowControl/>
              <w:jc w:val="left"/>
              <w:rPr>
                <w:color w:val="000000"/>
                <w:kern w:val="0"/>
                <w:szCs w:val="21"/>
                <w:highlight w:val="yellow"/>
              </w:rPr>
            </w:pPr>
          </w:p>
        </w:tc>
        <w:tc>
          <w:tcPr>
            <w:tcW w:w="1770" w:type="pct"/>
            <w:tcBorders>
              <w:top w:val="nil"/>
              <w:left w:val="nil"/>
              <w:bottom w:val="single" w:color="auto" w:sz="8" w:space="0"/>
              <w:right w:val="single" w:color="auto" w:sz="8" w:space="0"/>
            </w:tcBorders>
            <w:shd w:val="clear" w:color="auto" w:fill="auto"/>
            <w:vAlign w:val="center"/>
          </w:tcPr>
          <w:p w14:paraId="2FAD97E2">
            <w:pPr>
              <w:widowControl/>
              <w:jc w:val="center"/>
              <w:rPr>
                <w:color w:val="000000"/>
                <w:kern w:val="0"/>
                <w:szCs w:val="21"/>
                <w:highlight w:val="yellow"/>
              </w:rPr>
            </w:pPr>
            <w:r>
              <w:rPr>
                <w:color w:val="000000"/>
                <w:kern w:val="0"/>
                <w:szCs w:val="21"/>
              </w:rPr>
              <w:t>≥90</w:t>
            </w:r>
          </w:p>
        </w:tc>
        <w:tc>
          <w:tcPr>
            <w:tcW w:w="789" w:type="pct"/>
            <w:tcBorders>
              <w:top w:val="nil"/>
              <w:left w:val="nil"/>
              <w:bottom w:val="single" w:color="auto" w:sz="8" w:space="0"/>
              <w:right w:val="single" w:color="auto" w:sz="8" w:space="0"/>
            </w:tcBorders>
            <w:shd w:val="clear" w:color="auto" w:fill="auto"/>
            <w:vAlign w:val="center"/>
          </w:tcPr>
          <w:p w14:paraId="3CF66C9B">
            <w:pPr>
              <w:widowControl/>
              <w:jc w:val="center"/>
              <w:rPr>
                <w:color w:val="000000"/>
                <w:kern w:val="0"/>
                <w:szCs w:val="21"/>
              </w:rPr>
            </w:pPr>
            <w:r>
              <w:rPr>
                <w:color w:val="000000"/>
                <w:kern w:val="0"/>
                <w:szCs w:val="21"/>
              </w:rPr>
              <w:t>3</w:t>
            </w:r>
          </w:p>
        </w:tc>
        <w:tc>
          <w:tcPr>
            <w:tcW w:w="506" w:type="pct"/>
            <w:vMerge w:val="continue"/>
            <w:tcBorders>
              <w:top w:val="nil"/>
              <w:left w:val="single" w:color="auto" w:sz="8" w:space="0"/>
              <w:bottom w:val="single" w:color="000000" w:sz="8" w:space="0"/>
              <w:right w:val="single" w:color="auto" w:sz="8" w:space="0"/>
            </w:tcBorders>
            <w:vAlign w:val="center"/>
          </w:tcPr>
          <w:p w14:paraId="54F3E96E">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39889195">
            <w:pPr>
              <w:widowControl/>
              <w:jc w:val="left"/>
              <w:rPr>
                <w:color w:val="000000"/>
                <w:kern w:val="0"/>
                <w:szCs w:val="21"/>
              </w:rPr>
            </w:pPr>
          </w:p>
        </w:tc>
      </w:tr>
      <w:tr w14:paraId="6AF21B27">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61AA6038">
            <w:pPr>
              <w:widowControl/>
              <w:jc w:val="left"/>
              <w:rPr>
                <w:color w:val="000000"/>
                <w:kern w:val="0"/>
                <w:szCs w:val="21"/>
              </w:rPr>
            </w:pPr>
          </w:p>
        </w:tc>
        <w:tc>
          <w:tcPr>
            <w:tcW w:w="288" w:type="pct"/>
            <w:vMerge w:val="continue"/>
            <w:tcBorders>
              <w:left w:val="single" w:color="auto" w:sz="8" w:space="0"/>
              <w:bottom w:val="single" w:color="000000" w:sz="8" w:space="0"/>
              <w:right w:val="single" w:color="auto" w:sz="8" w:space="0"/>
            </w:tcBorders>
            <w:vAlign w:val="center"/>
          </w:tcPr>
          <w:p w14:paraId="55026B83">
            <w:pPr>
              <w:widowControl/>
              <w:jc w:val="left"/>
              <w:rPr>
                <w:color w:val="000000"/>
                <w:kern w:val="0"/>
                <w:szCs w:val="21"/>
              </w:rPr>
            </w:pPr>
          </w:p>
        </w:tc>
        <w:tc>
          <w:tcPr>
            <w:tcW w:w="790" w:type="pct"/>
            <w:tcBorders>
              <w:top w:val="nil"/>
              <w:left w:val="single" w:color="auto" w:sz="8" w:space="0"/>
              <w:bottom w:val="single" w:color="000000" w:sz="8" w:space="0"/>
              <w:right w:val="single" w:color="auto" w:sz="8" w:space="0"/>
            </w:tcBorders>
            <w:vAlign w:val="center"/>
          </w:tcPr>
          <w:p w14:paraId="398639BB">
            <w:pPr>
              <w:widowControl/>
              <w:jc w:val="center"/>
              <w:rPr>
                <w:color w:val="000000"/>
                <w:kern w:val="0"/>
                <w:szCs w:val="21"/>
                <w:highlight w:val="yellow"/>
              </w:rPr>
            </w:pPr>
            <w:r>
              <w:rPr>
                <w:color w:val="000000"/>
                <w:kern w:val="0"/>
                <w:szCs w:val="21"/>
              </w:rPr>
              <w:t>第二方评价</w:t>
            </w:r>
          </w:p>
        </w:tc>
        <w:tc>
          <w:tcPr>
            <w:tcW w:w="1770" w:type="pct"/>
            <w:tcBorders>
              <w:top w:val="nil"/>
              <w:left w:val="nil"/>
              <w:bottom w:val="single" w:color="auto" w:sz="8" w:space="0"/>
              <w:right w:val="single" w:color="auto" w:sz="8" w:space="0"/>
            </w:tcBorders>
            <w:shd w:val="clear" w:color="auto" w:fill="auto"/>
            <w:vAlign w:val="center"/>
          </w:tcPr>
          <w:p w14:paraId="24A649A5">
            <w:pPr>
              <w:widowControl/>
              <w:jc w:val="center"/>
              <w:rPr>
                <w:color w:val="000000"/>
                <w:kern w:val="0"/>
                <w:szCs w:val="21"/>
                <w:highlight w:val="yellow"/>
              </w:rPr>
            </w:pPr>
            <w:r>
              <w:rPr>
                <w:color w:val="000000"/>
                <w:kern w:val="0"/>
                <w:szCs w:val="21"/>
              </w:rPr>
              <w:t>重点下游客户提供的优质供应商评价或类似证明材料</w:t>
            </w:r>
          </w:p>
        </w:tc>
        <w:tc>
          <w:tcPr>
            <w:tcW w:w="789" w:type="pct"/>
            <w:tcBorders>
              <w:top w:val="nil"/>
              <w:left w:val="nil"/>
              <w:bottom w:val="single" w:color="auto" w:sz="8" w:space="0"/>
              <w:right w:val="single" w:color="auto" w:sz="8" w:space="0"/>
            </w:tcBorders>
            <w:shd w:val="clear" w:color="auto" w:fill="auto"/>
            <w:vAlign w:val="center"/>
          </w:tcPr>
          <w:p w14:paraId="4CD394B1">
            <w:pPr>
              <w:widowControl/>
              <w:jc w:val="center"/>
              <w:rPr>
                <w:color w:val="000000"/>
                <w:kern w:val="0"/>
                <w:szCs w:val="21"/>
              </w:rPr>
            </w:pPr>
            <w:r>
              <w:rPr>
                <w:color w:val="000000"/>
                <w:kern w:val="0"/>
                <w:szCs w:val="21"/>
              </w:rPr>
              <w:t>每项供应商评价得0.5分，最多2分</w:t>
            </w:r>
          </w:p>
        </w:tc>
        <w:tc>
          <w:tcPr>
            <w:tcW w:w="506" w:type="pct"/>
            <w:tcBorders>
              <w:top w:val="nil"/>
              <w:left w:val="single" w:color="auto" w:sz="8" w:space="0"/>
              <w:bottom w:val="single" w:color="000000" w:sz="8" w:space="0"/>
              <w:right w:val="single" w:color="auto" w:sz="8" w:space="0"/>
            </w:tcBorders>
            <w:vAlign w:val="center"/>
          </w:tcPr>
          <w:p w14:paraId="6913D60C">
            <w:pPr>
              <w:widowControl/>
              <w:jc w:val="center"/>
              <w:rPr>
                <w:color w:val="000000"/>
                <w:kern w:val="0"/>
                <w:szCs w:val="21"/>
              </w:rPr>
            </w:pPr>
            <w:r>
              <w:rPr>
                <w:color w:val="000000"/>
                <w:kern w:val="0"/>
                <w:szCs w:val="21"/>
              </w:rPr>
              <w:t>2</w:t>
            </w:r>
          </w:p>
        </w:tc>
        <w:tc>
          <w:tcPr>
            <w:tcW w:w="635" w:type="pct"/>
            <w:tcBorders>
              <w:top w:val="nil"/>
              <w:left w:val="single" w:color="auto" w:sz="8" w:space="0"/>
              <w:bottom w:val="single" w:color="000000" w:sz="8" w:space="0"/>
              <w:right w:val="single" w:color="auto" w:sz="8" w:space="0"/>
            </w:tcBorders>
            <w:vAlign w:val="center"/>
          </w:tcPr>
          <w:p w14:paraId="17441DEA">
            <w:pPr>
              <w:widowControl/>
              <w:jc w:val="left"/>
              <w:rPr>
                <w:color w:val="000000"/>
                <w:kern w:val="0"/>
                <w:szCs w:val="21"/>
              </w:rPr>
            </w:pPr>
          </w:p>
        </w:tc>
      </w:tr>
      <w:tr w14:paraId="18A03F8A">
        <w:tblPrEx>
          <w:tblCellMar>
            <w:top w:w="0" w:type="dxa"/>
            <w:left w:w="108" w:type="dxa"/>
            <w:bottom w:w="0" w:type="dxa"/>
            <w:right w:w="108" w:type="dxa"/>
          </w:tblCellMar>
        </w:tblPrEx>
        <w:trPr>
          <w:trHeight w:val="540" w:hRule="atLeast"/>
        </w:trPr>
        <w:tc>
          <w:tcPr>
            <w:tcW w:w="218" w:type="pct"/>
            <w:vMerge w:val="continue"/>
            <w:tcBorders>
              <w:top w:val="nil"/>
              <w:left w:val="single" w:color="auto" w:sz="8" w:space="0"/>
              <w:bottom w:val="single" w:color="000000" w:sz="8" w:space="0"/>
              <w:right w:val="single" w:color="auto" w:sz="8" w:space="0"/>
            </w:tcBorders>
            <w:vAlign w:val="center"/>
          </w:tcPr>
          <w:p w14:paraId="0540D462">
            <w:pPr>
              <w:widowControl/>
              <w:jc w:val="left"/>
              <w:rPr>
                <w:color w:val="000000"/>
                <w:kern w:val="0"/>
                <w:szCs w:val="21"/>
              </w:rPr>
            </w:pPr>
          </w:p>
        </w:tc>
        <w:tc>
          <w:tcPr>
            <w:tcW w:w="288" w:type="pct"/>
            <w:tcBorders>
              <w:top w:val="nil"/>
              <w:left w:val="single" w:color="auto" w:sz="8" w:space="0"/>
              <w:bottom w:val="single" w:color="000000" w:sz="8" w:space="0"/>
              <w:right w:val="single" w:color="auto" w:sz="8" w:space="0"/>
            </w:tcBorders>
            <w:shd w:val="clear" w:color="auto" w:fill="auto"/>
            <w:vAlign w:val="center"/>
          </w:tcPr>
          <w:p w14:paraId="48303AB5">
            <w:pPr>
              <w:widowControl/>
              <w:jc w:val="center"/>
              <w:rPr>
                <w:color w:val="000000"/>
                <w:kern w:val="0"/>
                <w:szCs w:val="21"/>
              </w:rPr>
            </w:pPr>
            <w:r>
              <w:rPr>
                <w:color w:val="000000"/>
                <w:kern w:val="0"/>
                <w:szCs w:val="21"/>
              </w:rPr>
              <w:t>质量认证</w:t>
            </w:r>
          </w:p>
        </w:tc>
        <w:tc>
          <w:tcPr>
            <w:tcW w:w="790" w:type="pct"/>
            <w:tcBorders>
              <w:top w:val="nil"/>
              <w:left w:val="nil"/>
              <w:bottom w:val="single" w:color="auto" w:sz="8" w:space="0"/>
              <w:right w:val="single" w:color="auto" w:sz="8" w:space="0"/>
            </w:tcBorders>
            <w:shd w:val="clear" w:color="auto" w:fill="auto"/>
            <w:vAlign w:val="center"/>
          </w:tcPr>
          <w:p w14:paraId="78CEF3AE">
            <w:pPr>
              <w:widowControl/>
              <w:jc w:val="center"/>
              <w:rPr>
                <w:color w:val="000000"/>
                <w:kern w:val="0"/>
                <w:szCs w:val="21"/>
              </w:rPr>
            </w:pPr>
            <w:r>
              <w:rPr>
                <w:color w:val="000000"/>
                <w:kern w:val="0"/>
                <w:szCs w:val="21"/>
              </w:rPr>
              <w:t>第三方认证</w:t>
            </w:r>
          </w:p>
        </w:tc>
        <w:tc>
          <w:tcPr>
            <w:tcW w:w="1770" w:type="pct"/>
            <w:tcBorders>
              <w:top w:val="nil"/>
              <w:left w:val="nil"/>
              <w:bottom w:val="single" w:color="auto" w:sz="8" w:space="0"/>
              <w:right w:val="single" w:color="auto" w:sz="8" w:space="0"/>
            </w:tcBorders>
            <w:shd w:val="clear" w:color="auto" w:fill="auto"/>
            <w:vAlign w:val="center"/>
          </w:tcPr>
          <w:p w14:paraId="4A07CCF8">
            <w:pPr>
              <w:widowControl/>
              <w:jc w:val="center"/>
              <w:rPr>
                <w:color w:val="000000"/>
                <w:kern w:val="0"/>
                <w:szCs w:val="21"/>
              </w:rPr>
            </w:pPr>
            <w:r>
              <w:rPr>
                <w:color w:val="000000"/>
                <w:kern w:val="0"/>
                <w:szCs w:val="21"/>
              </w:rPr>
              <w:t>绿色产品认证、区域品牌认证、高端自愿性产品认证等</w:t>
            </w:r>
          </w:p>
        </w:tc>
        <w:tc>
          <w:tcPr>
            <w:tcW w:w="789" w:type="pct"/>
            <w:tcBorders>
              <w:top w:val="nil"/>
              <w:left w:val="nil"/>
              <w:bottom w:val="single" w:color="auto" w:sz="8" w:space="0"/>
              <w:right w:val="single" w:color="auto" w:sz="8" w:space="0"/>
            </w:tcBorders>
            <w:shd w:val="clear" w:color="auto" w:fill="auto"/>
            <w:vAlign w:val="center"/>
          </w:tcPr>
          <w:p w14:paraId="0362D376">
            <w:pPr>
              <w:widowControl/>
              <w:jc w:val="center"/>
              <w:rPr>
                <w:color w:val="000000"/>
                <w:kern w:val="0"/>
                <w:szCs w:val="21"/>
              </w:rPr>
            </w:pPr>
            <w:r>
              <w:rPr>
                <w:color w:val="000000"/>
                <w:kern w:val="0"/>
                <w:szCs w:val="21"/>
              </w:rPr>
              <w:t>每项认证得0.5分，最多2分</w:t>
            </w:r>
          </w:p>
        </w:tc>
        <w:tc>
          <w:tcPr>
            <w:tcW w:w="506" w:type="pct"/>
            <w:tcBorders>
              <w:top w:val="nil"/>
              <w:left w:val="nil"/>
              <w:bottom w:val="single" w:color="auto" w:sz="8" w:space="0"/>
              <w:right w:val="single" w:color="auto" w:sz="8" w:space="0"/>
            </w:tcBorders>
            <w:shd w:val="clear" w:color="auto" w:fill="auto"/>
            <w:vAlign w:val="center"/>
          </w:tcPr>
          <w:p w14:paraId="5AA68970">
            <w:pPr>
              <w:widowControl/>
              <w:jc w:val="center"/>
              <w:rPr>
                <w:color w:val="000000"/>
                <w:kern w:val="0"/>
                <w:szCs w:val="21"/>
              </w:rPr>
            </w:pPr>
            <w:r>
              <w:rPr>
                <w:color w:val="000000"/>
                <w:kern w:val="0"/>
                <w:szCs w:val="21"/>
              </w:rPr>
              <w:t>2</w:t>
            </w:r>
          </w:p>
        </w:tc>
        <w:tc>
          <w:tcPr>
            <w:tcW w:w="635" w:type="pct"/>
            <w:tcBorders>
              <w:top w:val="nil"/>
              <w:left w:val="nil"/>
              <w:bottom w:val="single" w:color="auto" w:sz="8" w:space="0"/>
              <w:right w:val="single" w:color="auto" w:sz="8" w:space="0"/>
            </w:tcBorders>
            <w:shd w:val="clear" w:color="auto" w:fill="auto"/>
            <w:vAlign w:val="center"/>
          </w:tcPr>
          <w:p w14:paraId="6D62F76D">
            <w:pPr>
              <w:widowControl/>
              <w:jc w:val="center"/>
              <w:rPr>
                <w:color w:val="000000"/>
                <w:kern w:val="0"/>
                <w:szCs w:val="21"/>
              </w:rPr>
            </w:pPr>
            <w:r>
              <w:rPr>
                <w:color w:val="000000"/>
                <w:kern w:val="0"/>
                <w:szCs w:val="21"/>
              </w:rPr>
              <w:t>　</w:t>
            </w:r>
          </w:p>
        </w:tc>
      </w:tr>
      <w:tr w14:paraId="33690175">
        <w:tblPrEx>
          <w:tblCellMar>
            <w:top w:w="0" w:type="dxa"/>
            <w:left w:w="108" w:type="dxa"/>
            <w:bottom w:w="0" w:type="dxa"/>
            <w:right w:w="108" w:type="dxa"/>
          </w:tblCellMar>
        </w:tblPrEx>
        <w:trPr>
          <w:trHeight w:val="1635" w:hRule="atLeast"/>
        </w:trPr>
        <w:tc>
          <w:tcPr>
            <w:tcW w:w="218" w:type="pct"/>
            <w:vMerge w:val="continue"/>
            <w:tcBorders>
              <w:top w:val="nil"/>
              <w:left w:val="single" w:color="auto" w:sz="8" w:space="0"/>
              <w:bottom w:val="single" w:color="000000" w:sz="8" w:space="0"/>
              <w:right w:val="single" w:color="auto" w:sz="8" w:space="0"/>
            </w:tcBorders>
            <w:vAlign w:val="center"/>
          </w:tcPr>
          <w:p w14:paraId="2979D2B0">
            <w:pPr>
              <w:widowControl/>
              <w:jc w:val="left"/>
              <w:rPr>
                <w:color w:val="000000"/>
                <w:kern w:val="0"/>
                <w:szCs w:val="21"/>
              </w:rPr>
            </w:pPr>
          </w:p>
        </w:tc>
        <w:tc>
          <w:tcPr>
            <w:tcW w:w="288" w:type="pct"/>
            <w:vMerge w:val="restart"/>
            <w:tcBorders>
              <w:top w:val="nil"/>
              <w:left w:val="single" w:color="auto" w:sz="8" w:space="0"/>
              <w:bottom w:val="single" w:color="000000" w:sz="8" w:space="0"/>
              <w:right w:val="single" w:color="auto" w:sz="8" w:space="0"/>
            </w:tcBorders>
            <w:shd w:val="clear" w:color="auto" w:fill="auto"/>
            <w:vAlign w:val="center"/>
          </w:tcPr>
          <w:p w14:paraId="40DD8B78">
            <w:pPr>
              <w:widowControl/>
              <w:jc w:val="center"/>
              <w:rPr>
                <w:color w:val="000000"/>
                <w:kern w:val="0"/>
                <w:szCs w:val="21"/>
              </w:rPr>
            </w:pPr>
            <w:r>
              <w:rPr>
                <w:color w:val="000000"/>
                <w:kern w:val="0"/>
                <w:szCs w:val="21"/>
              </w:rPr>
              <w:t>荣誉奖项</w:t>
            </w:r>
          </w:p>
        </w:tc>
        <w:tc>
          <w:tcPr>
            <w:tcW w:w="790" w:type="pct"/>
            <w:tcBorders>
              <w:top w:val="nil"/>
              <w:left w:val="nil"/>
              <w:bottom w:val="nil"/>
              <w:right w:val="single" w:color="auto" w:sz="8" w:space="0"/>
            </w:tcBorders>
            <w:shd w:val="clear" w:color="auto" w:fill="auto"/>
            <w:vAlign w:val="center"/>
          </w:tcPr>
          <w:p w14:paraId="7C1629F4">
            <w:pPr>
              <w:widowControl/>
              <w:jc w:val="center"/>
              <w:rPr>
                <w:color w:val="000000"/>
                <w:kern w:val="0"/>
                <w:szCs w:val="21"/>
              </w:rPr>
            </w:pPr>
            <w:r>
              <w:rPr>
                <w:color w:val="000000"/>
                <w:kern w:val="0"/>
                <w:szCs w:val="21"/>
              </w:rPr>
              <w:t>质量奖</w:t>
            </w:r>
          </w:p>
        </w:tc>
        <w:tc>
          <w:tcPr>
            <w:tcW w:w="1770" w:type="pct"/>
            <w:tcBorders>
              <w:top w:val="nil"/>
              <w:left w:val="nil"/>
              <w:bottom w:val="nil"/>
              <w:right w:val="single" w:color="auto" w:sz="8" w:space="0"/>
            </w:tcBorders>
            <w:shd w:val="clear" w:color="auto" w:fill="auto"/>
            <w:vAlign w:val="center"/>
          </w:tcPr>
          <w:p w14:paraId="0B092697">
            <w:pPr>
              <w:widowControl/>
              <w:jc w:val="center"/>
              <w:rPr>
                <w:color w:val="000000"/>
                <w:kern w:val="0"/>
                <w:szCs w:val="21"/>
              </w:rPr>
            </w:pPr>
            <w:r>
              <w:rPr>
                <w:color w:val="000000"/>
                <w:kern w:val="0"/>
                <w:szCs w:val="21"/>
              </w:rPr>
              <w:t>累计奖项计算得分，最多4分</w:t>
            </w:r>
            <w:r>
              <w:rPr>
                <w:color w:val="000000"/>
                <w:kern w:val="0"/>
                <w:szCs w:val="21"/>
              </w:rPr>
              <w:br w:type="textWrapping"/>
            </w:r>
            <w:r>
              <w:rPr>
                <w:color w:val="000000"/>
                <w:kern w:val="0"/>
                <w:szCs w:val="21"/>
              </w:rPr>
              <w:t>国家级质量奖：每项4分</w:t>
            </w:r>
            <w:r>
              <w:rPr>
                <w:color w:val="000000"/>
                <w:kern w:val="0"/>
                <w:szCs w:val="21"/>
              </w:rPr>
              <w:br w:type="textWrapping"/>
            </w:r>
            <w:r>
              <w:rPr>
                <w:color w:val="000000"/>
                <w:kern w:val="0"/>
                <w:szCs w:val="21"/>
              </w:rPr>
              <w:t>国家级提名奖：每项3分</w:t>
            </w:r>
            <w:r>
              <w:rPr>
                <w:color w:val="000000"/>
                <w:kern w:val="0"/>
                <w:szCs w:val="21"/>
              </w:rPr>
              <w:br w:type="textWrapping"/>
            </w:r>
            <w:r>
              <w:rPr>
                <w:color w:val="000000"/>
                <w:kern w:val="0"/>
                <w:szCs w:val="21"/>
              </w:rPr>
              <w:t>省部级质量奖：每项2分</w:t>
            </w:r>
            <w:r>
              <w:rPr>
                <w:color w:val="000000"/>
                <w:kern w:val="0"/>
                <w:szCs w:val="21"/>
              </w:rPr>
              <w:br w:type="textWrapping"/>
            </w:r>
            <w:r>
              <w:rPr>
                <w:color w:val="000000"/>
                <w:kern w:val="0"/>
                <w:szCs w:val="21"/>
              </w:rPr>
              <w:t>省部级提名奖：每项1分</w:t>
            </w:r>
            <w:r>
              <w:rPr>
                <w:color w:val="000000"/>
                <w:kern w:val="0"/>
                <w:szCs w:val="21"/>
              </w:rPr>
              <w:br w:type="textWrapping"/>
            </w:r>
            <w:r>
              <w:rPr>
                <w:color w:val="000000"/>
                <w:kern w:val="0"/>
                <w:szCs w:val="21"/>
              </w:rPr>
              <w:t>市级质量奖：每项0.5分</w:t>
            </w:r>
          </w:p>
        </w:tc>
        <w:tc>
          <w:tcPr>
            <w:tcW w:w="789" w:type="pct"/>
            <w:tcBorders>
              <w:top w:val="nil"/>
              <w:left w:val="nil"/>
              <w:bottom w:val="single" w:color="auto" w:sz="8" w:space="0"/>
              <w:right w:val="single" w:color="auto" w:sz="8" w:space="0"/>
            </w:tcBorders>
            <w:shd w:val="clear" w:color="auto" w:fill="auto"/>
            <w:vAlign w:val="center"/>
          </w:tcPr>
          <w:p w14:paraId="0DF5792C">
            <w:pPr>
              <w:widowControl/>
              <w:jc w:val="center"/>
              <w:rPr>
                <w:color w:val="000000"/>
                <w:kern w:val="0"/>
                <w:szCs w:val="21"/>
              </w:rPr>
            </w:pPr>
            <w:r>
              <w:rPr>
                <w:color w:val="000000"/>
                <w:kern w:val="0"/>
                <w:szCs w:val="21"/>
              </w:rPr>
              <w:t>计分方法计算得分</w:t>
            </w:r>
          </w:p>
        </w:tc>
        <w:tc>
          <w:tcPr>
            <w:tcW w:w="506" w:type="pct"/>
            <w:tcBorders>
              <w:top w:val="nil"/>
              <w:left w:val="nil"/>
              <w:bottom w:val="nil"/>
              <w:right w:val="single" w:color="auto" w:sz="8" w:space="0"/>
            </w:tcBorders>
            <w:shd w:val="clear" w:color="auto" w:fill="auto"/>
            <w:vAlign w:val="center"/>
          </w:tcPr>
          <w:p w14:paraId="3A1D8F87">
            <w:pPr>
              <w:widowControl/>
              <w:jc w:val="center"/>
              <w:rPr>
                <w:color w:val="000000"/>
                <w:kern w:val="0"/>
                <w:szCs w:val="21"/>
              </w:rPr>
            </w:pPr>
            <w:r>
              <w:rPr>
                <w:color w:val="000000"/>
                <w:kern w:val="0"/>
                <w:szCs w:val="21"/>
              </w:rPr>
              <w:t>4</w:t>
            </w:r>
          </w:p>
        </w:tc>
        <w:tc>
          <w:tcPr>
            <w:tcW w:w="635" w:type="pct"/>
            <w:tcBorders>
              <w:top w:val="nil"/>
              <w:left w:val="nil"/>
              <w:bottom w:val="single" w:color="auto" w:sz="8" w:space="0"/>
              <w:right w:val="single" w:color="auto" w:sz="8" w:space="0"/>
            </w:tcBorders>
            <w:shd w:val="clear" w:color="auto" w:fill="auto"/>
            <w:vAlign w:val="center"/>
          </w:tcPr>
          <w:p w14:paraId="5AEF331D">
            <w:pPr>
              <w:widowControl/>
              <w:jc w:val="center"/>
              <w:rPr>
                <w:color w:val="000000"/>
                <w:kern w:val="0"/>
                <w:szCs w:val="21"/>
              </w:rPr>
            </w:pPr>
            <w:r>
              <w:rPr>
                <w:color w:val="000000"/>
                <w:kern w:val="0"/>
                <w:szCs w:val="21"/>
              </w:rPr>
              <w:t>　</w:t>
            </w:r>
          </w:p>
        </w:tc>
      </w:tr>
      <w:tr w14:paraId="1CFD4534">
        <w:tblPrEx>
          <w:tblCellMar>
            <w:top w:w="0" w:type="dxa"/>
            <w:left w:w="108" w:type="dxa"/>
            <w:bottom w:w="0" w:type="dxa"/>
            <w:right w:w="108" w:type="dxa"/>
          </w:tblCellMar>
        </w:tblPrEx>
        <w:trPr>
          <w:trHeight w:val="2445" w:hRule="atLeast"/>
        </w:trPr>
        <w:tc>
          <w:tcPr>
            <w:tcW w:w="218" w:type="pct"/>
            <w:vMerge w:val="continue"/>
            <w:tcBorders>
              <w:top w:val="nil"/>
              <w:left w:val="single" w:color="auto" w:sz="8" w:space="0"/>
              <w:bottom w:val="single" w:color="000000" w:sz="8" w:space="0"/>
              <w:right w:val="single" w:color="auto" w:sz="8" w:space="0"/>
            </w:tcBorders>
            <w:vAlign w:val="center"/>
          </w:tcPr>
          <w:p w14:paraId="5E7A627C">
            <w:pPr>
              <w:widowControl/>
              <w:jc w:val="left"/>
              <w:rPr>
                <w:color w:val="000000"/>
                <w:kern w:val="0"/>
                <w:szCs w:val="21"/>
              </w:rPr>
            </w:pPr>
          </w:p>
        </w:tc>
        <w:tc>
          <w:tcPr>
            <w:tcW w:w="288" w:type="pct"/>
            <w:vMerge w:val="continue"/>
            <w:tcBorders>
              <w:top w:val="nil"/>
              <w:left w:val="single" w:color="auto" w:sz="8" w:space="0"/>
              <w:bottom w:val="single" w:color="000000" w:sz="8" w:space="0"/>
              <w:right w:val="single" w:color="auto" w:sz="8" w:space="0"/>
            </w:tcBorders>
            <w:vAlign w:val="center"/>
          </w:tcPr>
          <w:p w14:paraId="40E4AFFD">
            <w:pPr>
              <w:widowControl/>
              <w:jc w:val="left"/>
              <w:rPr>
                <w:color w:val="000000"/>
                <w:kern w:val="0"/>
                <w:szCs w:val="21"/>
              </w:rPr>
            </w:pPr>
          </w:p>
        </w:tc>
        <w:tc>
          <w:tcPr>
            <w:tcW w:w="790" w:type="pct"/>
            <w:tcBorders>
              <w:top w:val="single" w:color="auto" w:sz="8" w:space="0"/>
              <w:left w:val="nil"/>
              <w:bottom w:val="single" w:color="auto" w:sz="8" w:space="0"/>
              <w:right w:val="single" w:color="auto" w:sz="8" w:space="0"/>
            </w:tcBorders>
            <w:shd w:val="clear" w:color="auto" w:fill="auto"/>
            <w:vAlign w:val="center"/>
          </w:tcPr>
          <w:p w14:paraId="07528C88">
            <w:pPr>
              <w:widowControl/>
              <w:jc w:val="center"/>
              <w:rPr>
                <w:color w:val="000000"/>
                <w:kern w:val="0"/>
                <w:szCs w:val="21"/>
              </w:rPr>
            </w:pPr>
            <w:r>
              <w:rPr>
                <w:color w:val="000000"/>
                <w:kern w:val="0"/>
                <w:szCs w:val="21"/>
              </w:rPr>
              <w:t>产品科技奖</w:t>
            </w:r>
          </w:p>
        </w:tc>
        <w:tc>
          <w:tcPr>
            <w:tcW w:w="1770" w:type="pct"/>
            <w:tcBorders>
              <w:top w:val="single" w:color="auto" w:sz="8" w:space="0"/>
              <w:left w:val="nil"/>
              <w:bottom w:val="single" w:color="auto" w:sz="8" w:space="0"/>
              <w:right w:val="single" w:color="auto" w:sz="8" w:space="0"/>
            </w:tcBorders>
            <w:shd w:val="clear" w:color="auto" w:fill="auto"/>
            <w:vAlign w:val="center"/>
          </w:tcPr>
          <w:p w14:paraId="49425D19">
            <w:pPr>
              <w:widowControl/>
              <w:jc w:val="center"/>
              <w:rPr>
                <w:color w:val="000000"/>
                <w:kern w:val="0"/>
                <w:szCs w:val="21"/>
              </w:rPr>
            </w:pPr>
            <w:r>
              <w:rPr>
                <w:color w:val="000000"/>
                <w:kern w:val="0"/>
                <w:szCs w:val="21"/>
              </w:rPr>
              <w:t>累计奖项计算得分，最多4分</w:t>
            </w:r>
            <w:r>
              <w:rPr>
                <w:color w:val="000000"/>
                <w:kern w:val="0"/>
                <w:szCs w:val="21"/>
              </w:rPr>
              <w:br w:type="textWrapping"/>
            </w:r>
            <w:r>
              <w:rPr>
                <w:color w:val="000000"/>
                <w:kern w:val="0"/>
                <w:szCs w:val="21"/>
              </w:rPr>
              <w:t>国家级一等奖：每项4分</w:t>
            </w:r>
            <w:r>
              <w:rPr>
                <w:color w:val="000000"/>
                <w:kern w:val="0"/>
                <w:szCs w:val="21"/>
              </w:rPr>
              <w:br w:type="textWrapping"/>
            </w:r>
            <w:r>
              <w:rPr>
                <w:color w:val="000000"/>
                <w:kern w:val="0"/>
                <w:szCs w:val="21"/>
              </w:rPr>
              <w:t>国家级二等奖：每项3.5分</w:t>
            </w:r>
            <w:r>
              <w:rPr>
                <w:color w:val="000000"/>
                <w:kern w:val="0"/>
                <w:szCs w:val="21"/>
              </w:rPr>
              <w:br w:type="textWrapping"/>
            </w:r>
            <w:r>
              <w:rPr>
                <w:color w:val="000000"/>
                <w:kern w:val="0"/>
                <w:szCs w:val="21"/>
              </w:rPr>
              <w:t>国家级三等奖：每项3分</w:t>
            </w:r>
            <w:r>
              <w:rPr>
                <w:color w:val="000000"/>
                <w:kern w:val="0"/>
                <w:szCs w:val="21"/>
              </w:rPr>
              <w:br w:type="textWrapping"/>
            </w:r>
            <w:r>
              <w:rPr>
                <w:color w:val="000000"/>
                <w:kern w:val="0"/>
                <w:szCs w:val="21"/>
              </w:rPr>
              <w:t>省部级一等奖：每项2.5分</w:t>
            </w:r>
            <w:r>
              <w:rPr>
                <w:color w:val="000000"/>
                <w:kern w:val="0"/>
                <w:szCs w:val="21"/>
              </w:rPr>
              <w:br w:type="textWrapping"/>
            </w:r>
            <w:r>
              <w:rPr>
                <w:color w:val="000000"/>
                <w:kern w:val="0"/>
                <w:szCs w:val="21"/>
              </w:rPr>
              <w:t>省部级二等奖：每项2分</w:t>
            </w:r>
            <w:r>
              <w:rPr>
                <w:color w:val="000000"/>
                <w:kern w:val="0"/>
                <w:szCs w:val="21"/>
              </w:rPr>
              <w:br w:type="textWrapping"/>
            </w:r>
            <w:r>
              <w:rPr>
                <w:color w:val="000000"/>
                <w:kern w:val="0"/>
                <w:szCs w:val="21"/>
              </w:rPr>
              <w:t>省部级三等奖：每项1.5分</w:t>
            </w:r>
          </w:p>
        </w:tc>
        <w:tc>
          <w:tcPr>
            <w:tcW w:w="789" w:type="pct"/>
            <w:tcBorders>
              <w:top w:val="nil"/>
              <w:left w:val="nil"/>
              <w:bottom w:val="single" w:color="auto" w:sz="8" w:space="0"/>
              <w:right w:val="single" w:color="auto" w:sz="8" w:space="0"/>
            </w:tcBorders>
            <w:shd w:val="clear" w:color="auto" w:fill="auto"/>
            <w:vAlign w:val="center"/>
          </w:tcPr>
          <w:p w14:paraId="5A0A395A">
            <w:pPr>
              <w:widowControl/>
              <w:jc w:val="center"/>
              <w:rPr>
                <w:color w:val="000000"/>
                <w:kern w:val="0"/>
                <w:szCs w:val="21"/>
              </w:rPr>
            </w:pPr>
            <w:r>
              <w:rPr>
                <w:color w:val="000000"/>
                <w:kern w:val="0"/>
                <w:szCs w:val="21"/>
              </w:rPr>
              <w:t>计分方法计算得分</w:t>
            </w:r>
          </w:p>
        </w:tc>
        <w:tc>
          <w:tcPr>
            <w:tcW w:w="506" w:type="pct"/>
            <w:tcBorders>
              <w:top w:val="single" w:color="auto" w:sz="8" w:space="0"/>
              <w:left w:val="nil"/>
              <w:bottom w:val="single" w:color="auto" w:sz="8" w:space="0"/>
              <w:right w:val="single" w:color="auto" w:sz="8" w:space="0"/>
            </w:tcBorders>
            <w:shd w:val="clear" w:color="auto" w:fill="auto"/>
            <w:vAlign w:val="center"/>
          </w:tcPr>
          <w:p w14:paraId="61893505">
            <w:pPr>
              <w:widowControl/>
              <w:jc w:val="center"/>
              <w:rPr>
                <w:color w:val="000000"/>
                <w:kern w:val="0"/>
                <w:szCs w:val="21"/>
              </w:rPr>
            </w:pPr>
            <w:r>
              <w:rPr>
                <w:color w:val="000000"/>
                <w:kern w:val="0"/>
                <w:szCs w:val="21"/>
              </w:rPr>
              <w:t>4</w:t>
            </w:r>
          </w:p>
        </w:tc>
        <w:tc>
          <w:tcPr>
            <w:tcW w:w="635" w:type="pct"/>
            <w:tcBorders>
              <w:top w:val="nil"/>
              <w:left w:val="nil"/>
              <w:bottom w:val="single" w:color="auto" w:sz="8" w:space="0"/>
              <w:right w:val="single" w:color="auto" w:sz="8" w:space="0"/>
            </w:tcBorders>
            <w:shd w:val="clear" w:color="auto" w:fill="auto"/>
            <w:vAlign w:val="center"/>
          </w:tcPr>
          <w:p w14:paraId="3B761AC2">
            <w:pPr>
              <w:widowControl/>
              <w:jc w:val="center"/>
              <w:rPr>
                <w:color w:val="000000"/>
                <w:kern w:val="0"/>
                <w:szCs w:val="21"/>
              </w:rPr>
            </w:pPr>
            <w:r>
              <w:rPr>
                <w:color w:val="000000"/>
                <w:kern w:val="0"/>
                <w:szCs w:val="21"/>
              </w:rPr>
              <w:t>　</w:t>
            </w:r>
          </w:p>
        </w:tc>
      </w:tr>
      <w:tr w14:paraId="57A5AFCD">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34E073CE">
            <w:pPr>
              <w:widowControl/>
              <w:jc w:val="left"/>
              <w:rPr>
                <w:color w:val="000000"/>
                <w:kern w:val="0"/>
                <w:szCs w:val="21"/>
              </w:rPr>
            </w:pPr>
          </w:p>
        </w:tc>
        <w:tc>
          <w:tcPr>
            <w:tcW w:w="288" w:type="pct"/>
            <w:vMerge w:val="continue"/>
            <w:tcBorders>
              <w:top w:val="nil"/>
              <w:left w:val="single" w:color="auto" w:sz="8" w:space="0"/>
              <w:bottom w:val="single" w:color="000000" w:sz="8" w:space="0"/>
              <w:right w:val="single" w:color="auto" w:sz="8" w:space="0"/>
            </w:tcBorders>
            <w:vAlign w:val="center"/>
          </w:tcPr>
          <w:p w14:paraId="09EB2D02">
            <w:pPr>
              <w:widowControl/>
              <w:jc w:val="left"/>
              <w:rPr>
                <w:color w:val="000000"/>
                <w:kern w:val="0"/>
                <w:szCs w:val="21"/>
              </w:rPr>
            </w:pPr>
          </w:p>
        </w:tc>
        <w:tc>
          <w:tcPr>
            <w:tcW w:w="790" w:type="pct"/>
            <w:vMerge w:val="restart"/>
            <w:tcBorders>
              <w:top w:val="nil"/>
              <w:left w:val="single" w:color="auto" w:sz="8" w:space="0"/>
              <w:bottom w:val="single" w:color="000000" w:sz="8" w:space="0"/>
              <w:right w:val="single" w:color="auto" w:sz="8" w:space="0"/>
            </w:tcBorders>
            <w:shd w:val="clear" w:color="auto" w:fill="auto"/>
            <w:vAlign w:val="center"/>
          </w:tcPr>
          <w:p w14:paraId="33C922B2">
            <w:pPr>
              <w:widowControl/>
              <w:jc w:val="center"/>
              <w:rPr>
                <w:color w:val="000000"/>
                <w:kern w:val="0"/>
                <w:szCs w:val="21"/>
              </w:rPr>
            </w:pPr>
            <w:r>
              <w:rPr>
                <w:color w:val="000000"/>
                <w:kern w:val="0"/>
                <w:szCs w:val="21"/>
              </w:rPr>
              <w:t>单项冠军</w:t>
            </w:r>
          </w:p>
        </w:tc>
        <w:tc>
          <w:tcPr>
            <w:tcW w:w="1770" w:type="pct"/>
            <w:tcBorders>
              <w:top w:val="nil"/>
              <w:left w:val="nil"/>
              <w:bottom w:val="single" w:color="auto" w:sz="8" w:space="0"/>
              <w:right w:val="single" w:color="auto" w:sz="8" w:space="0"/>
            </w:tcBorders>
            <w:shd w:val="clear" w:color="auto" w:fill="auto"/>
            <w:vAlign w:val="center"/>
          </w:tcPr>
          <w:p w14:paraId="22615836">
            <w:pPr>
              <w:widowControl/>
              <w:jc w:val="center"/>
              <w:rPr>
                <w:color w:val="000000"/>
                <w:kern w:val="0"/>
                <w:szCs w:val="21"/>
              </w:rPr>
            </w:pPr>
            <w:r>
              <w:rPr>
                <w:color w:val="000000"/>
                <w:kern w:val="0"/>
                <w:szCs w:val="21"/>
              </w:rPr>
              <w:t>省级单项冠军产品</w:t>
            </w:r>
          </w:p>
        </w:tc>
        <w:tc>
          <w:tcPr>
            <w:tcW w:w="789" w:type="pct"/>
            <w:tcBorders>
              <w:top w:val="nil"/>
              <w:left w:val="nil"/>
              <w:bottom w:val="single" w:color="auto" w:sz="8" w:space="0"/>
              <w:right w:val="single" w:color="auto" w:sz="8" w:space="0"/>
            </w:tcBorders>
            <w:shd w:val="clear" w:color="auto" w:fill="auto"/>
            <w:vAlign w:val="center"/>
          </w:tcPr>
          <w:p w14:paraId="244F4BCC">
            <w:pPr>
              <w:widowControl/>
              <w:jc w:val="center"/>
              <w:rPr>
                <w:color w:val="000000"/>
                <w:kern w:val="0"/>
                <w:szCs w:val="21"/>
              </w:rPr>
            </w:pPr>
            <w:r>
              <w:rPr>
                <w:color w:val="000000"/>
                <w:kern w:val="0"/>
                <w:szCs w:val="21"/>
              </w:rPr>
              <w:t>1</w:t>
            </w:r>
          </w:p>
        </w:tc>
        <w:tc>
          <w:tcPr>
            <w:tcW w:w="506" w:type="pct"/>
            <w:vMerge w:val="restart"/>
            <w:tcBorders>
              <w:top w:val="nil"/>
              <w:left w:val="single" w:color="auto" w:sz="8" w:space="0"/>
              <w:bottom w:val="single" w:color="000000" w:sz="8" w:space="0"/>
              <w:right w:val="single" w:color="auto" w:sz="8" w:space="0"/>
            </w:tcBorders>
            <w:shd w:val="clear" w:color="auto" w:fill="auto"/>
            <w:vAlign w:val="center"/>
          </w:tcPr>
          <w:p w14:paraId="03D0D2CF">
            <w:pPr>
              <w:widowControl/>
              <w:jc w:val="center"/>
              <w:rPr>
                <w:color w:val="000000"/>
                <w:kern w:val="0"/>
                <w:szCs w:val="21"/>
              </w:rPr>
            </w:pPr>
            <w:r>
              <w:rPr>
                <w:color w:val="000000"/>
                <w:kern w:val="0"/>
                <w:szCs w:val="21"/>
              </w:rPr>
              <w:t>2</w:t>
            </w:r>
          </w:p>
        </w:tc>
        <w:tc>
          <w:tcPr>
            <w:tcW w:w="635" w:type="pct"/>
            <w:vMerge w:val="restart"/>
            <w:tcBorders>
              <w:top w:val="nil"/>
              <w:left w:val="single" w:color="auto" w:sz="8" w:space="0"/>
              <w:bottom w:val="single" w:color="000000" w:sz="8" w:space="0"/>
              <w:right w:val="single" w:color="auto" w:sz="8" w:space="0"/>
            </w:tcBorders>
            <w:shd w:val="clear" w:color="auto" w:fill="auto"/>
            <w:vAlign w:val="center"/>
          </w:tcPr>
          <w:p w14:paraId="587D927B">
            <w:pPr>
              <w:widowControl/>
              <w:jc w:val="center"/>
              <w:rPr>
                <w:color w:val="000000"/>
                <w:kern w:val="0"/>
                <w:szCs w:val="21"/>
              </w:rPr>
            </w:pPr>
            <w:r>
              <w:rPr>
                <w:color w:val="000000"/>
                <w:kern w:val="0"/>
                <w:szCs w:val="21"/>
              </w:rPr>
              <w:t>　</w:t>
            </w:r>
          </w:p>
        </w:tc>
      </w:tr>
      <w:tr w14:paraId="2C0DD19E">
        <w:tblPrEx>
          <w:tblCellMar>
            <w:top w:w="0" w:type="dxa"/>
            <w:left w:w="108" w:type="dxa"/>
            <w:bottom w:w="0" w:type="dxa"/>
            <w:right w:w="108" w:type="dxa"/>
          </w:tblCellMar>
        </w:tblPrEx>
        <w:trPr>
          <w:trHeight w:val="315" w:hRule="atLeast"/>
        </w:trPr>
        <w:tc>
          <w:tcPr>
            <w:tcW w:w="218" w:type="pct"/>
            <w:vMerge w:val="continue"/>
            <w:tcBorders>
              <w:top w:val="nil"/>
              <w:left w:val="single" w:color="auto" w:sz="8" w:space="0"/>
              <w:bottom w:val="single" w:color="auto" w:sz="4" w:space="0"/>
              <w:right w:val="single" w:color="auto" w:sz="8" w:space="0"/>
            </w:tcBorders>
            <w:vAlign w:val="center"/>
          </w:tcPr>
          <w:p w14:paraId="62D5AC04">
            <w:pPr>
              <w:widowControl/>
              <w:jc w:val="left"/>
              <w:rPr>
                <w:color w:val="000000"/>
                <w:kern w:val="0"/>
                <w:szCs w:val="21"/>
              </w:rPr>
            </w:pPr>
          </w:p>
        </w:tc>
        <w:tc>
          <w:tcPr>
            <w:tcW w:w="288" w:type="pct"/>
            <w:vMerge w:val="continue"/>
            <w:tcBorders>
              <w:top w:val="nil"/>
              <w:left w:val="single" w:color="auto" w:sz="8" w:space="0"/>
              <w:bottom w:val="single" w:color="auto" w:sz="4" w:space="0"/>
              <w:right w:val="single" w:color="auto" w:sz="8" w:space="0"/>
            </w:tcBorders>
            <w:vAlign w:val="center"/>
          </w:tcPr>
          <w:p w14:paraId="003BEBF4">
            <w:pPr>
              <w:widowControl/>
              <w:jc w:val="left"/>
              <w:rPr>
                <w:color w:val="000000"/>
                <w:kern w:val="0"/>
                <w:szCs w:val="21"/>
              </w:rPr>
            </w:pPr>
          </w:p>
        </w:tc>
        <w:tc>
          <w:tcPr>
            <w:tcW w:w="790" w:type="pct"/>
            <w:vMerge w:val="continue"/>
            <w:tcBorders>
              <w:top w:val="nil"/>
              <w:left w:val="single" w:color="auto" w:sz="8" w:space="0"/>
              <w:bottom w:val="single" w:color="auto" w:sz="4" w:space="0"/>
              <w:right w:val="single" w:color="auto" w:sz="8" w:space="0"/>
            </w:tcBorders>
            <w:vAlign w:val="center"/>
          </w:tcPr>
          <w:p w14:paraId="7083C3B7">
            <w:pPr>
              <w:widowControl/>
              <w:jc w:val="left"/>
              <w:rPr>
                <w:color w:val="000000"/>
                <w:kern w:val="0"/>
                <w:szCs w:val="21"/>
              </w:rPr>
            </w:pPr>
          </w:p>
        </w:tc>
        <w:tc>
          <w:tcPr>
            <w:tcW w:w="1770" w:type="pct"/>
            <w:tcBorders>
              <w:top w:val="nil"/>
              <w:left w:val="nil"/>
              <w:bottom w:val="single" w:color="auto" w:sz="4" w:space="0"/>
              <w:right w:val="single" w:color="auto" w:sz="8" w:space="0"/>
            </w:tcBorders>
            <w:shd w:val="clear" w:color="auto" w:fill="auto"/>
            <w:vAlign w:val="center"/>
          </w:tcPr>
          <w:p w14:paraId="404D4F70">
            <w:pPr>
              <w:widowControl/>
              <w:jc w:val="center"/>
              <w:rPr>
                <w:color w:val="000000"/>
                <w:kern w:val="0"/>
                <w:szCs w:val="21"/>
              </w:rPr>
            </w:pPr>
            <w:r>
              <w:rPr>
                <w:color w:val="000000"/>
                <w:kern w:val="0"/>
                <w:szCs w:val="21"/>
              </w:rPr>
              <w:t>国家级单项冠军产品</w:t>
            </w:r>
          </w:p>
        </w:tc>
        <w:tc>
          <w:tcPr>
            <w:tcW w:w="789" w:type="pct"/>
            <w:tcBorders>
              <w:top w:val="nil"/>
              <w:left w:val="nil"/>
              <w:bottom w:val="single" w:color="auto" w:sz="4" w:space="0"/>
              <w:right w:val="single" w:color="auto" w:sz="8" w:space="0"/>
            </w:tcBorders>
            <w:shd w:val="clear" w:color="auto" w:fill="auto"/>
            <w:vAlign w:val="center"/>
          </w:tcPr>
          <w:p w14:paraId="7D95559B">
            <w:pPr>
              <w:widowControl/>
              <w:jc w:val="center"/>
              <w:rPr>
                <w:color w:val="000000"/>
                <w:kern w:val="0"/>
                <w:szCs w:val="21"/>
              </w:rPr>
            </w:pPr>
            <w:r>
              <w:rPr>
                <w:color w:val="000000"/>
                <w:kern w:val="0"/>
                <w:szCs w:val="21"/>
              </w:rPr>
              <w:t>2</w:t>
            </w:r>
          </w:p>
        </w:tc>
        <w:tc>
          <w:tcPr>
            <w:tcW w:w="506" w:type="pct"/>
            <w:vMerge w:val="continue"/>
            <w:tcBorders>
              <w:top w:val="nil"/>
              <w:left w:val="single" w:color="auto" w:sz="8" w:space="0"/>
              <w:bottom w:val="single" w:color="auto" w:sz="4" w:space="0"/>
              <w:right w:val="single" w:color="auto" w:sz="8" w:space="0"/>
            </w:tcBorders>
            <w:vAlign w:val="center"/>
          </w:tcPr>
          <w:p w14:paraId="7A5853DD">
            <w:pPr>
              <w:widowControl/>
              <w:jc w:val="left"/>
              <w:rPr>
                <w:color w:val="000000"/>
                <w:kern w:val="0"/>
                <w:szCs w:val="21"/>
              </w:rPr>
            </w:pPr>
          </w:p>
        </w:tc>
        <w:tc>
          <w:tcPr>
            <w:tcW w:w="635" w:type="pct"/>
            <w:vMerge w:val="continue"/>
            <w:tcBorders>
              <w:top w:val="nil"/>
              <w:left w:val="single" w:color="auto" w:sz="8" w:space="0"/>
              <w:bottom w:val="single" w:color="auto" w:sz="4" w:space="0"/>
              <w:right w:val="single" w:color="auto" w:sz="8" w:space="0"/>
            </w:tcBorders>
            <w:vAlign w:val="center"/>
          </w:tcPr>
          <w:p w14:paraId="58A8301A">
            <w:pPr>
              <w:widowControl/>
              <w:jc w:val="left"/>
              <w:rPr>
                <w:color w:val="000000"/>
                <w:kern w:val="0"/>
                <w:szCs w:val="21"/>
              </w:rPr>
            </w:pPr>
          </w:p>
        </w:tc>
      </w:tr>
      <w:tr w14:paraId="0DEFF768">
        <w:tblPrEx>
          <w:tblCellMar>
            <w:top w:w="0" w:type="dxa"/>
            <w:left w:w="108" w:type="dxa"/>
            <w:bottom w:w="0" w:type="dxa"/>
            <w:right w:w="108" w:type="dxa"/>
          </w:tblCellMar>
        </w:tblPrEx>
        <w:trPr>
          <w:trHeight w:val="315" w:hRule="atLeast"/>
        </w:trPr>
        <w:tc>
          <w:tcPr>
            <w:tcW w:w="218" w:type="pct"/>
            <w:vMerge w:val="restart"/>
            <w:tcBorders>
              <w:top w:val="single" w:color="auto" w:sz="4" w:space="0"/>
              <w:left w:val="single" w:color="auto" w:sz="4" w:space="0"/>
              <w:right w:val="single" w:color="auto" w:sz="4" w:space="0"/>
            </w:tcBorders>
            <w:vAlign w:val="center"/>
          </w:tcPr>
          <w:p w14:paraId="0F3FC8C4">
            <w:pPr>
              <w:widowControl/>
              <w:jc w:val="left"/>
              <w:rPr>
                <w:color w:val="000000"/>
                <w:kern w:val="0"/>
                <w:szCs w:val="21"/>
              </w:rPr>
            </w:pPr>
            <w:r>
              <w:rPr>
                <w:color w:val="000000"/>
                <w:kern w:val="0"/>
                <w:szCs w:val="21"/>
              </w:rPr>
              <w:t>加分项</w:t>
            </w:r>
          </w:p>
        </w:tc>
        <w:tc>
          <w:tcPr>
            <w:tcW w:w="288" w:type="pct"/>
            <w:vMerge w:val="restart"/>
            <w:tcBorders>
              <w:top w:val="single" w:color="auto" w:sz="4" w:space="0"/>
              <w:left w:val="single" w:color="auto" w:sz="4" w:space="0"/>
              <w:right w:val="single" w:color="auto" w:sz="4" w:space="0"/>
            </w:tcBorders>
            <w:vAlign w:val="center"/>
          </w:tcPr>
          <w:p w14:paraId="7CD0FA0B">
            <w:pPr>
              <w:widowControl/>
              <w:jc w:val="left"/>
              <w:rPr>
                <w:color w:val="000000"/>
                <w:kern w:val="0"/>
                <w:szCs w:val="21"/>
              </w:rPr>
            </w:pPr>
            <w:r>
              <w:rPr>
                <w:color w:val="000000"/>
                <w:kern w:val="0"/>
                <w:szCs w:val="21"/>
              </w:rPr>
              <w:t>信息化水平</w:t>
            </w:r>
          </w:p>
        </w:tc>
        <w:tc>
          <w:tcPr>
            <w:tcW w:w="790" w:type="pct"/>
            <w:vMerge w:val="restart"/>
            <w:tcBorders>
              <w:top w:val="single" w:color="auto" w:sz="4" w:space="0"/>
              <w:left w:val="single" w:color="auto" w:sz="4" w:space="0"/>
              <w:right w:val="single" w:color="auto" w:sz="4" w:space="0"/>
            </w:tcBorders>
            <w:vAlign w:val="center"/>
          </w:tcPr>
          <w:p w14:paraId="7240B3B0">
            <w:pPr>
              <w:widowControl/>
              <w:jc w:val="center"/>
              <w:rPr>
                <w:color w:val="000000"/>
                <w:kern w:val="0"/>
                <w:szCs w:val="21"/>
              </w:rPr>
            </w:pPr>
            <w:r>
              <w:rPr>
                <w:color w:val="000000"/>
                <w:kern w:val="0"/>
                <w:szCs w:val="21"/>
              </w:rPr>
              <w:t>智能制造成熟度</w:t>
            </w:r>
          </w:p>
        </w:tc>
        <w:tc>
          <w:tcPr>
            <w:tcW w:w="1770" w:type="pct"/>
            <w:tcBorders>
              <w:top w:val="single" w:color="auto" w:sz="4" w:space="0"/>
              <w:left w:val="single" w:color="auto" w:sz="4" w:space="0"/>
              <w:bottom w:val="single" w:color="auto" w:sz="4" w:space="0"/>
              <w:right w:val="single" w:color="auto" w:sz="4" w:space="0"/>
            </w:tcBorders>
            <w:shd w:val="clear" w:color="auto" w:fill="auto"/>
            <w:vAlign w:val="center"/>
          </w:tcPr>
          <w:p w14:paraId="45A88E79">
            <w:pPr>
              <w:widowControl/>
              <w:jc w:val="center"/>
              <w:rPr>
                <w:color w:val="000000"/>
                <w:kern w:val="0"/>
                <w:szCs w:val="21"/>
              </w:rPr>
            </w:pPr>
            <w:r>
              <w:rPr>
                <w:color w:val="000000"/>
                <w:kern w:val="0"/>
                <w:szCs w:val="21"/>
              </w:rPr>
              <w:t>未达一级-基础级：企业具备最基础的网络化办公及电子化信息的数据采集工作。对离散的数据进行报表统计及分析</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1DCEB928">
            <w:pPr>
              <w:widowControl/>
              <w:jc w:val="center"/>
              <w:rPr>
                <w:color w:val="000000"/>
                <w:kern w:val="0"/>
                <w:szCs w:val="21"/>
              </w:rPr>
            </w:pPr>
            <w:r>
              <w:rPr>
                <w:color w:val="000000"/>
                <w:kern w:val="0"/>
                <w:szCs w:val="21"/>
              </w:rPr>
              <w:t>0</w:t>
            </w:r>
          </w:p>
        </w:tc>
        <w:tc>
          <w:tcPr>
            <w:tcW w:w="506" w:type="pct"/>
            <w:vMerge w:val="restart"/>
            <w:tcBorders>
              <w:top w:val="single" w:color="auto" w:sz="4" w:space="0"/>
              <w:left w:val="single" w:color="auto" w:sz="4" w:space="0"/>
              <w:right w:val="single" w:color="auto" w:sz="4" w:space="0"/>
            </w:tcBorders>
            <w:vAlign w:val="center"/>
          </w:tcPr>
          <w:p w14:paraId="2A628ABE">
            <w:pPr>
              <w:widowControl/>
              <w:jc w:val="center"/>
              <w:rPr>
                <w:color w:val="000000"/>
                <w:kern w:val="0"/>
                <w:szCs w:val="21"/>
              </w:rPr>
            </w:pPr>
            <w:r>
              <w:rPr>
                <w:color w:val="000000"/>
                <w:kern w:val="0"/>
                <w:szCs w:val="21"/>
              </w:rPr>
              <w:t>2.5</w:t>
            </w:r>
          </w:p>
        </w:tc>
        <w:tc>
          <w:tcPr>
            <w:tcW w:w="635" w:type="pct"/>
            <w:vMerge w:val="restart"/>
            <w:tcBorders>
              <w:top w:val="single" w:color="auto" w:sz="4" w:space="0"/>
              <w:left w:val="single" w:color="auto" w:sz="4" w:space="0"/>
              <w:right w:val="single" w:color="auto" w:sz="4" w:space="0"/>
            </w:tcBorders>
            <w:vAlign w:val="center"/>
          </w:tcPr>
          <w:p w14:paraId="751F0707">
            <w:pPr>
              <w:widowControl/>
              <w:jc w:val="left"/>
              <w:rPr>
                <w:color w:val="000000"/>
                <w:kern w:val="0"/>
                <w:szCs w:val="21"/>
              </w:rPr>
            </w:pPr>
            <w:r>
              <w:rPr>
                <w:color w:val="000000"/>
                <w:kern w:val="0"/>
                <w:szCs w:val="21"/>
              </w:rPr>
              <w:t>此为加分项，评价</w:t>
            </w:r>
          </w:p>
          <w:p w14:paraId="474E72F3">
            <w:pPr>
              <w:widowControl/>
              <w:jc w:val="left"/>
              <w:rPr>
                <w:color w:val="000000"/>
                <w:kern w:val="0"/>
                <w:szCs w:val="21"/>
              </w:rPr>
            </w:pPr>
            <w:r>
              <w:rPr>
                <w:color w:val="000000"/>
                <w:kern w:val="0"/>
                <w:szCs w:val="21"/>
              </w:rPr>
              <w:t>指标得分未满 100</w:t>
            </w:r>
          </w:p>
          <w:p w14:paraId="076B87C3">
            <w:pPr>
              <w:widowControl/>
              <w:jc w:val="left"/>
              <w:rPr>
                <w:color w:val="000000"/>
                <w:kern w:val="0"/>
                <w:szCs w:val="21"/>
              </w:rPr>
            </w:pPr>
            <w:r>
              <w:rPr>
                <w:color w:val="000000"/>
                <w:kern w:val="0"/>
                <w:szCs w:val="21"/>
              </w:rPr>
              <w:t>分时可以计入</w:t>
            </w:r>
          </w:p>
          <w:p w14:paraId="0853503E">
            <w:pPr>
              <w:widowControl/>
              <w:jc w:val="left"/>
              <w:rPr>
                <w:color w:val="000000"/>
                <w:kern w:val="0"/>
                <w:szCs w:val="21"/>
              </w:rPr>
            </w:pPr>
            <w:r>
              <w:rPr>
                <w:color w:val="000000"/>
                <w:kern w:val="0"/>
                <w:szCs w:val="21"/>
              </w:rPr>
              <w:t>需提供认证证书等</w:t>
            </w:r>
          </w:p>
          <w:p w14:paraId="69DF4D66">
            <w:pPr>
              <w:widowControl/>
              <w:jc w:val="left"/>
              <w:rPr>
                <w:color w:val="000000"/>
                <w:kern w:val="0"/>
                <w:szCs w:val="21"/>
              </w:rPr>
            </w:pPr>
            <w:r>
              <w:rPr>
                <w:color w:val="000000"/>
                <w:kern w:val="0"/>
                <w:szCs w:val="21"/>
              </w:rPr>
              <w:t>证明材料</w:t>
            </w:r>
          </w:p>
        </w:tc>
      </w:tr>
      <w:tr w14:paraId="0512A658">
        <w:tblPrEx>
          <w:tblCellMar>
            <w:top w:w="0" w:type="dxa"/>
            <w:left w:w="108" w:type="dxa"/>
            <w:bottom w:w="0" w:type="dxa"/>
            <w:right w:w="108" w:type="dxa"/>
          </w:tblCellMar>
        </w:tblPrEx>
        <w:trPr>
          <w:trHeight w:val="315" w:hRule="atLeast"/>
        </w:trPr>
        <w:tc>
          <w:tcPr>
            <w:tcW w:w="218" w:type="pct"/>
            <w:vMerge w:val="continue"/>
            <w:tcBorders>
              <w:left w:val="single" w:color="auto" w:sz="4" w:space="0"/>
              <w:right w:val="single" w:color="auto" w:sz="4" w:space="0"/>
            </w:tcBorders>
            <w:vAlign w:val="center"/>
          </w:tcPr>
          <w:p w14:paraId="4ED297C8">
            <w:pPr>
              <w:widowControl/>
              <w:jc w:val="left"/>
              <w:rPr>
                <w:color w:val="000000"/>
                <w:kern w:val="0"/>
                <w:szCs w:val="21"/>
              </w:rPr>
            </w:pPr>
          </w:p>
        </w:tc>
        <w:tc>
          <w:tcPr>
            <w:tcW w:w="288" w:type="pct"/>
            <w:vMerge w:val="continue"/>
            <w:tcBorders>
              <w:left w:val="single" w:color="auto" w:sz="4" w:space="0"/>
              <w:right w:val="single" w:color="auto" w:sz="4" w:space="0"/>
            </w:tcBorders>
            <w:vAlign w:val="center"/>
          </w:tcPr>
          <w:p w14:paraId="4EB08C2A">
            <w:pPr>
              <w:widowControl/>
              <w:jc w:val="left"/>
              <w:rPr>
                <w:color w:val="000000"/>
                <w:kern w:val="0"/>
                <w:szCs w:val="21"/>
              </w:rPr>
            </w:pPr>
          </w:p>
        </w:tc>
        <w:tc>
          <w:tcPr>
            <w:tcW w:w="790" w:type="pct"/>
            <w:vMerge w:val="continue"/>
            <w:tcBorders>
              <w:left w:val="single" w:color="auto" w:sz="4" w:space="0"/>
              <w:right w:val="single" w:color="auto" w:sz="4" w:space="0"/>
            </w:tcBorders>
            <w:vAlign w:val="center"/>
          </w:tcPr>
          <w:p w14:paraId="6EA59B48">
            <w:pPr>
              <w:widowControl/>
              <w:jc w:val="left"/>
              <w:rPr>
                <w:color w:val="000000"/>
                <w:kern w:val="0"/>
                <w:szCs w:val="21"/>
              </w:rPr>
            </w:pPr>
          </w:p>
        </w:tc>
        <w:tc>
          <w:tcPr>
            <w:tcW w:w="1770" w:type="pct"/>
            <w:tcBorders>
              <w:top w:val="single" w:color="auto" w:sz="4" w:space="0"/>
              <w:left w:val="single" w:color="auto" w:sz="4" w:space="0"/>
              <w:bottom w:val="single" w:color="auto" w:sz="4" w:space="0"/>
              <w:right w:val="single" w:color="auto" w:sz="4" w:space="0"/>
            </w:tcBorders>
            <w:shd w:val="clear" w:color="auto" w:fill="auto"/>
            <w:vAlign w:val="center"/>
          </w:tcPr>
          <w:p w14:paraId="63235AF7">
            <w:pPr>
              <w:widowControl/>
              <w:jc w:val="center"/>
              <w:rPr>
                <w:color w:val="000000"/>
                <w:kern w:val="0"/>
                <w:szCs w:val="21"/>
              </w:rPr>
            </w:pPr>
            <w:r>
              <w:rPr>
                <w:color w:val="000000"/>
                <w:kern w:val="0"/>
                <w:szCs w:val="21"/>
              </w:rPr>
              <w:t>一级-规划级：企业应开始对实施智能制造的基础和条件进行规划，能够对核心业务活动（设计、生产、物流、销售、服务）进行流程化管理</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7D25A221">
            <w:pPr>
              <w:widowControl/>
              <w:jc w:val="center"/>
              <w:rPr>
                <w:color w:val="000000"/>
                <w:kern w:val="0"/>
                <w:szCs w:val="21"/>
              </w:rPr>
            </w:pPr>
            <w:r>
              <w:rPr>
                <w:color w:val="000000"/>
                <w:kern w:val="0"/>
                <w:szCs w:val="21"/>
              </w:rPr>
              <w:t>0.5</w:t>
            </w:r>
          </w:p>
        </w:tc>
        <w:tc>
          <w:tcPr>
            <w:tcW w:w="506" w:type="pct"/>
            <w:vMerge w:val="continue"/>
            <w:tcBorders>
              <w:left w:val="single" w:color="auto" w:sz="4" w:space="0"/>
              <w:right w:val="single" w:color="auto" w:sz="4" w:space="0"/>
            </w:tcBorders>
            <w:vAlign w:val="center"/>
          </w:tcPr>
          <w:p w14:paraId="3DD89FEA">
            <w:pPr>
              <w:widowControl/>
              <w:jc w:val="left"/>
              <w:rPr>
                <w:color w:val="000000"/>
                <w:kern w:val="0"/>
                <w:szCs w:val="21"/>
              </w:rPr>
            </w:pPr>
          </w:p>
        </w:tc>
        <w:tc>
          <w:tcPr>
            <w:tcW w:w="635" w:type="pct"/>
            <w:vMerge w:val="continue"/>
            <w:tcBorders>
              <w:left w:val="single" w:color="auto" w:sz="4" w:space="0"/>
              <w:right w:val="single" w:color="auto" w:sz="4" w:space="0"/>
            </w:tcBorders>
            <w:vAlign w:val="center"/>
          </w:tcPr>
          <w:p w14:paraId="4286CF52">
            <w:pPr>
              <w:widowControl/>
              <w:jc w:val="left"/>
              <w:rPr>
                <w:color w:val="000000"/>
                <w:kern w:val="0"/>
                <w:szCs w:val="21"/>
              </w:rPr>
            </w:pPr>
          </w:p>
        </w:tc>
      </w:tr>
      <w:tr w14:paraId="304465BC">
        <w:tblPrEx>
          <w:tblCellMar>
            <w:top w:w="0" w:type="dxa"/>
            <w:left w:w="108" w:type="dxa"/>
            <w:bottom w:w="0" w:type="dxa"/>
            <w:right w:w="108" w:type="dxa"/>
          </w:tblCellMar>
        </w:tblPrEx>
        <w:trPr>
          <w:trHeight w:val="315" w:hRule="atLeast"/>
        </w:trPr>
        <w:tc>
          <w:tcPr>
            <w:tcW w:w="218" w:type="pct"/>
            <w:vMerge w:val="continue"/>
            <w:tcBorders>
              <w:left w:val="single" w:color="auto" w:sz="4" w:space="0"/>
              <w:right w:val="single" w:color="auto" w:sz="4" w:space="0"/>
            </w:tcBorders>
            <w:vAlign w:val="center"/>
          </w:tcPr>
          <w:p w14:paraId="24536D38">
            <w:pPr>
              <w:widowControl/>
              <w:jc w:val="left"/>
              <w:rPr>
                <w:color w:val="000000"/>
                <w:kern w:val="0"/>
                <w:szCs w:val="21"/>
              </w:rPr>
            </w:pPr>
          </w:p>
        </w:tc>
        <w:tc>
          <w:tcPr>
            <w:tcW w:w="288" w:type="pct"/>
            <w:vMerge w:val="continue"/>
            <w:tcBorders>
              <w:left w:val="single" w:color="auto" w:sz="4" w:space="0"/>
              <w:right w:val="single" w:color="auto" w:sz="4" w:space="0"/>
            </w:tcBorders>
            <w:vAlign w:val="center"/>
          </w:tcPr>
          <w:p w14:paraId="6792B86B">
            <w:pPr>
              <w:widowControl/>
              <w:jc w:val="left"/>
              <w:rPr>
                <w:color w:val="000000"/>
                <w:kern w:val="0"/>
                <w:szCs w:val="21"/>
              </w:rPr>
            </w:pPr>
          </w:p>
        </w:tc>
        <w:tc>
          <w:tcPr>
            <w:tcW w:w="790" w:type="pct"/>
            <w:vMerge w:val="continue"/>
            <w:tcBorders>
              <w:left w:val="single" w:color="auto" w:sz="4" w:space="0"/>
              <w:right w:val="single" w:color="auto" w:sz="4" w:space="0"/>
            </w:tcBorders>
            <w:vAlign w:val="center"/>
          </w:tcPr>
          <w:p w14:paraId="6E8B1C2B">
            <w:pPr>
              <w:widowControl/>
              <w:jc w:val="left"/>
              <w:rPr>
                <w:color w:val="000000"/>
                <w:kern w:val="0"/>
                <w:szCs w:val="21"/>
              </w:rPr>
            </w:pPr>
          </w:p>
        </w:tc>
        <w:tc>
          <w:tcPr>
            <w:tcW w:w="1770" w:type="pct"/>
            <w:tcBorders>
              <w:top w:val="single" w:color="auto" w:sz="4" w:space="0"/>
              <w:left w:val="single" w:color="auto" w:sz="4" w:space="0"/>
              <w:bottom w:val="single" w:color="auto" w:sz="4" w:space="0"/>
              <w:right w:val="single" w:color="auto" w:sz="4" w:space="0"/>
            </w:tcBorders>
            <w:shd w:val="clear" w:color="auto" w:fill="auto"/>
            <w:vAlign w:val="center"/>
          </w:tcPr>
          <w:p w14:paraId="5E02718D">
            <w:pPr>
              <w:widowControl/>
              <w:jc w:val="center"/>
              <w:rPr>
                <w:color w:val="000000"/>
                <w:kern w:val="0"/>
                <w:szCs w:val="21"/>
              </w:rPr>
            </w:pPr>
            <w:r>
              <w:rPr>
                <w:color w:val="000000"/>
                <w:kern w:val="0"/>
                <w:szCs w:val="21"/>
              </w:rPr>
              <w:t>二级-规范级：企业应采用自动化技术、信息技术手段对核心装备和业务活动等进行改造和规范，实现单一业务活动的数据共享</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4D7AC197">
            <w:pPr>
              <w:widowControl/>
              <w:jc w:val="center"/>
              <w:rPr>
                <w:color w:val="000000"/>
                <w:kern w:val="0"/>
                <w:szCs w:val="21"/>
              </w:rPr>
            </w:pPr>
            <w:r>
              <w:rPr>
                <w:color w:val="000000"/>
                <w:kern w:val="0"/>
                <w:szCs w:val="21"/>
              </w:rPr>
              <w:t>1</w:t>
            </w:r>
          </w:p>
        </w:tc>
        <w:tc>
          <w:tcPr>
            <w:tcW w:w="506" w:type="pct"/>
            <w:vMerge w:val="continue"/>
            <w:tcBorders>
              <w:left w:val="single" w:color="auto" w:sz="4" w:space="0"/>
              <w:right w:val="single" w:color="auto" w:sz="4" w:space="0"/>
            </w:tcBorders>
            <w:vAlign w:val="center"/>
          </w:tcPr>
          <w:p w14:paraId="07AF4B8F">
            <w:pPr>
              <w:widowControl/>
              <w:jc w:val="left"/>
              <w:rPr>
                <w:color w:val="000000"/>
                <w:kern w:val="0"/>
                <w:szCs w:val="21"/>
              </w:rPr>
            </w:pPr>
          </w:p>
        </w:tc>
        <w:tc>
          <w:tcPr>
            <w:tcW w:w="635" w:type="pct"/>
            <w:vMerge w:val="continue"/>
            <w:tcBorders>
              <w:left w:val="single" w:color="auto" w:sz="4" w:space="0"/>
              <w:right w:val="single" w:color="auto" w:sz="4" w:space="0"/>
            </w:tcBorders>
            <w:vAlign w:val="center"/>
          </w:tcPr>
          <w:p w14:paraId="74D53524">
            <w:pPr>
              <w:widowControl/>
              <w:jc w:val="left"/>
              <w:rPr>
                <w:color w:val="000000"/>
                <w:kern w:val="0"/>
                <w:szCs w:val="21"/>
              </w:rPr>
            </w:pPr>
          </w:p>
        </w:tc>
      </w:tr>
      <w:tr w14:paraId="536D8336">
        <w:tblPrEx>
          <w:tblCellMar>
            <w:top w:w="0" w:type="dxa"/>
            <w:left w:w="108" w:type="dxa"/>
            <w:bottom w:w="0" w:type="dxa"/>
            <w:right w:w="108" w:type="dxa"/>
          </w:tblCellMar>
        </w:tblPrEx>
        <w:trPr>
          <w:trHeight w:val="315" w:hRule="atLeast"/>
        </w:trPr>
        <w:tc>
          <w:tcPr>
            <w:tcW w:w="218" w:type="pct"/>
            <w:vMerge w:val="continue"/>
            <w:tcBorders>
              <w:left w:val="single" w:color="auto" w:sz="4" w:space="0"/>
              <w:right w:val="single" w:color="auto" w:sz="4" w:space="0"/>
            </w:tcBorders>
            <w:vAlign w:val="center"/>
          </w:tcPr>
          <w:p w14:paraId="48574D20">
            <w:pPr>
              <w:widowControl/>
              <w:jc w:val="left"/>
              <w:rPr>
                <w:color w:val="000000"/>
                <w:kern w:val="0"/>
                <w:szCs w:val="21"/>
              </w:rPr>
            </w:pPr>
          </w:p>
        </w:tc>
        <w:tc>
          <w:tcPr>
            <w:tcW w:w="288" w:type="pct"/>
            <w:vMerge w:val="continue"/>
            <w:tcBorders>
              <w:left w:val="single" w:color="auto" w:sz="4" w:space="0"/>
              <w:right w:val="single" w:color="auto" w:sz="4" w:space="0"/>
            </w:tcBorders>
            <w:vAlign w:val="center"/>
          </w:tcPr>
          <w:p w14:paraId="1D5621A5">
            <w:pPr>
              <w:widowControl/>
              <w:jc w:val="left"/>
              <w:rPr>
                <w:color w:val="000000"/>
                <w:kern w:val="0"/>
                <w:szCs w:val="21"/>
              </w:rPr>
            </w:pPr>
          </w:p>
        </w:tc>
        <w:tc>
          <w:tcPr>
            <w:tcW w:w="790" w:type="pct"/>
            <w:vMerge w:val="continue"/>
            <w:tcBorders>
              <w:left w:val="single" w:color="auto" w:sz="4" w:space="0"/>
              <w:right w:val="single" w:color="auto" w:sz="4" w:space="0"/>
            </w:tcBorders>
            <w:vAlign w:val="center"/>
          </w:tcPr>
          <w:p w14:paraId="51A01075">
            <w:pPr>
              <w:widowControl/>
              <w:jc w:val="left"/>
              <w:rPr>
                <w:color w:val="000000"/>
                <w:kern w:val="0"/>
                <w:szCs w:val="21"/>
              </w:rPr>
            </w:pPr>
          </w:p>
        </w:tc>
        <w:tc>
          <w:tcPr>
            <w:tcW w:w="1770" w:type="pct"/>
            <w:tcBorders>
              <w:top w:val="single" w:color="auto" w:sz="4" w:space="0"/>
              <w:left w:val="single" w:color="auto" w:sz="4" w:space="0"/>
              <w:bottom w:val="single" w:color="auto" w:sz="4" w:space="0"/>
              <w:right w:val="single" w:color="auto" w:sz="4" w:space="0"/>
            </w:tcBorders>
            <w:shd w:val="clear" w:color="auto" w:fill="auto"/>
            <w:vAlign w:val="center"/>
          </w:tcPr>
          <w:p w14:paraId="6C7357A9">
            <w:pPr>
              <w:widowControl/>
              <w:jc w:val="center"/>
              <w:rPr>
                <w:color w:val="000000"/>
                <w:kern w:val="0"/>
                <w:szCs w:val="21"/>
              </w:rPr>
            </w:pPr>
            <w:r>
              <w:rPr>
                <w:color w:val="000000"/>
                <w:kern w:val="0"/>
                <w:szCs w:val="21"/>
              </w:rPr>
              <w:t>三级-集成级：企业应对装备、系统等开展集成，实现跨业务活动间的数据共享</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7CA2E23C">
            <w:pPr>
              <w:widowControl/>
              <w:jc w:val="center"/>
              <w:rPr>
                <w:color w:val="000000"/>
                <w:kern w:val="0"/>
                <w:szCs w:val="21"/>
              </w:rPr>
            </w:pPr>
            <w:r>
              <w:rPr>
                <w:color w:val="000000"/>
                <w:kern w:val="0"/>
                <w:szCs w:val="21"/>
              </w:rPr>
              <w:t>1.5</w:t>
            </w:r>
          </w:p>
        </w:tc>
        <w:tc>
          <w:tcPr>
            <w:tcW w:w="506" w:type="pct"/>
            <w:vMerge w:val="continue"/>
            <w:tcBorders>
              <w:left w:val="single" w:color="auto" w:sz="4" w:space="0"/>
              <w:right w:val="single" w:color="auto" w:sz="4" w:space="0"/>
            </w:tcBorders>
            <w:vAlign w:val="center"/>
          </w:tcPr>
          <w:p w14:paraId="5DF0B736">
            <w:pPr>
              <w:widowControl/>
              <w:jc w:val="left"/>
              <w:rPr>
                <w:color w:val="000000"/>
                <w:kern w:val="0"/>
                <w:szCs w:val="21"/>
              </w:rPr>
            </w:pPr>
          </w:p>
        </w:tc>
        <w:tc>
          <w:tcPr>
            <w:tcW w:w="635" w:type="pct"/>
            <w:vMerge w:val="continue"/>
            <w:tcBorders>
              <w:left w:val="single" w:color="auto" w:sz="4" w:space="0"/>
              <w:right w:val="single" w:color="auto" w:sz="4" w:space="0"/>
            </w:tcBorders>
            <w:vAlign w:val="center"/>
          </w:tcPr>
          <w:p w14:paraId="4D70A50B">
            <w:pPr>
              <w:widowControl/>
              <w:jc w:val="left"/>
              <w:rPr>
                <w:color w:val="000000"/>
                <w:kern w:val="0"/>
                <w:szCs w:val="21"/>
              </w:rPr>
            </w:pPr>
          </w:p>
        </w:tc>
      </w:tr>
      <w:tr w14:paraId="6480211F">
        <w:tblPrEx>
          <w:tblCellMar>
            <w:top w:w="0" w:type="dxa"/>
            <w:left w:w="108" w:type="dxa"/>
            <w:bottom w:w="0" w:type="dxa"/>
            <w:right w:w="108" w:type="dxa"/>
          </w:tblCellMar>
        </w:tblPrEx>
        <w:trPr>
          <w:trHeight w:val="315" w:hRule="atLeast"/>
        </w:trPr>
        <w:tc>
          <w:tcPr>
            <w:tcW w:w="218" w:type="pct"/>
            <w:vMerge w:val="continue"/>
            <w:tcBorders>
              <w:left w:val="single" w:color="auto" w:sz="4" w:space="0"/>
              <w:right w:val="single" w:color="auto" w:sz="4" w:space="0"/>
            </w:tcBorders>
            <w:vAlign w:val="center"/>
          </w:tcPr>
          <w:p w14:paraId="1B737351">
            <w:pPr>
              <w:widowControl/>
              <w:jc w:val="left"/>
              <w:rPr>
                <w:color w:val="000000"/>
                <w:kern w:val="0"/>
                <w:szCs w:val="21"/>
              </w:rPr>
            </w:pPr>
          </w:p>
        </w:tc>
        <w:tc>
          <w:tcPr>
            <w:tcW w:w="288" w:type="pct"/>
            <w:vMerge w:val="continue"/>
            <w:tcBorders>
              <w:left w:val="single" w:color="auto" w:sz="4" w:space="0"/>
              <w:right w:val="single" w:color="auto" w:sz="4" w:space="0"/>
            </w:tcBorders>
            <w:vAlign w:val="center"/>
          </w:tcPr>
          <w:p w14:paraId="6688E54F">
            <w:pPr>
              <w:widowControl/>
              <w:jc w:val="left"/>
              <w:rPr>
                <w:color w:val="000000"/>
                <w:kern w:val="0"/>
                <w:szCs w:val="21"/>
              </w:rPr>
            </w:pPr>
          </w:p>
        </w:tc>
        <w:tc>
          <w:tcPr>
            <w:tcW w:w="790" w:type="pct"/>
            <w:vMerge w:val="continue"/>
            <w:tcBorders>
              <w:left w:val="single" w:color="auto" w:sz="4" w:space="0"/>
              <w:right w:val="single" w:color="auto" w:sz="4" w:space="0"/>
            </w:tcBorders>
            <w:vAlign w:val="center"/>
          </w:tcPr>
          <w:p w14:paraId="1BA19D8F">
            <w:pPr>
              <w:widowControl/>
              <w:jc w:val="left"/>
              <w:rPr>
                <w:color w:val="000000"/>
                <w:kern w:val="0"/>
                <w:szCs w:val="21"/>
              </w:rPr>
            </w:pPr>
          </w:p>
        </w:tc>
        <w:tc>
          <w:tcPr>
            <w:tcW w:w="1770" w:type="pct"/>
            <w:tcBorders>
              <w:top w:val="single" w:color="auto" w:sz="4" w:space="0"/>
              <w:left w:val="single" w:color="auto" w:sz="4" w:space="0"/>
              <w:bottom w:val="single" w:color="auto" w:sz="4" w:space="0"/>
              <w:right w:val="single" w:color="auto" w:sz="4" w:space="0"/>
            </w:tcBorders>
            <w:shd w:val="clear" w:color="auto" w:fill="auto"/>
            <w:vAlign w:val="center"/>
          </w:tcPr>
          <w:p w14:paraId="3EC8246E">
            <w:pPr>
              <w:widowControl/>
              <w:jc w:val="center"/>
              <w:rPr>
                <w:color w:val="000000"/>
                <w:kern w:val="0"/>
                <w:szCs w:val="21"/>
              </w:rPr>
            </w:pPr>
            <w:r>
              <w:rPr>
                <w:color w:val="000000"/>
                <w:kern w:val="0"/>
                <w:szCs w:val="21"/>
              </w:rPr>
              <w:t>四级-优化级：企业应对人员、资源、制造等进行数据挖掘，形成知识、模型等，实现对核心业务活动的精准预测和优化</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2ADFFABB">
            <w:pPr>
              <w:widowControl/>
              <w:jc w:val="center"/>
              <w:rPr>
                <w:color w:val="000000"/>
                <w:kern w:val="0"/>
                <w:szCs w:val="21"/>
              </w:rPr>
            </w:pPr>
            <w:r>
              <w:rPr>
                <w:color w:val="000000"/>
                <w:kern w:val="0"/>
                <w:szCs w:val="21"/>
              </w:rPr>
              <w:t>2</w:t>
            </w:r>
          </w:p>
        </w:tc>
        <w:tc>
          <w:tcPr>
            <w:tcW w:w="506" w:type="pct"/>
            <w:vMerge w:val="continue"/>
            <w:tcBorders>
              <w:left w:val="single" w:color="auto" w:sz="4" w:space="0"/>
              <w:right w:val="single" w:color="auto" w:sz="4" w:space="0"/>
            </w:tcBorders>
            <w:vAlign w:val="center"/>
          </w:tcPr>
          <w:p w14:paraId="4D0C905E">
            <w:pPr>
              <w:widowControl/>
              <w:jc w:val="left"/>
              <w:rPr>
                <w:color w:val="000000"/>
                <w:kern w:val="0"/>
                <w:szCs w:val="21"/>
              </w:rPr>
            </w:pPr>
          </w:p>
        </w:tc>
        <w:tc>
          <w:tcPr>
            <w:tcW w:w="635" w:type="pct"/>
            <w:vMerge w:val="continue"/>
            <w:tcBorders>
              <w:left w:val="single" w:color="auto" w:sz="4" w:space="0"/>
              <w:right w:val="single" w:color="auto" w:sz="4" w:space="0"/>
            </w:tcBorders>
            <w:vAlign w:val="center"/>
          </w:tcPr>
          <w:p w14:paraId="1B2CD991">
            <w:pPr>
              <w:widowControl/>
              <w:jc w:val="left"/>
              <w:rPr>
                <w:color w:val="000000"/>
                <w:kern w:val="0"/>
                <w:szCs w:val="21"/>
              </w:rPr>
            </w:pPr>
          </w:p>
        </w:tc>
      </w:tr>
      <w:tr w14:paraId="6BF8CB86">
        <w:tblPrEx>
          <w:tblCellMar>
            <w:top w:w="0" w:type="dxa"/>
            <w:left w:w="108" w:type="dxa"/>
            <w:bottom w:w="0" w:type="dxa"/>
            <w:right w:w="108" w:type="dxa"/>
          </w:tblCellMar>
        </w:tblPrEx>
        <w:trPr>
          <w:trHeight w:val="315" w:hRule="atLeast"/>
        </w:trPr>
        <w:tc>
          <w:tcPr>
            <w:tcW w:w="218" w:type="pct"/>
            <w:vMerge w:val="continue"/>
            <w:tcBorders>
              <w:left w:val="single" w:color="auto" w:sz="4" w:space="0"/>
              <w:bottom w:val="single" w:color="auto" w:sz="4" w:space="0"/>
              <w:right w:val="single" w:color="auto" w:sz="4" w:space="0"/>
            </w:tcBorders>
            <w:vAlign w:val="center"/>
          </w:tcPr>
          <w:p w14:paraId="35026299">
            <w:pPr>
              <w:widowControl/>
              <w:jc w:val="left"/>
              <w:rPr>
                <w:color w:val="000000"/>
                <w:kern w:val="0"/>
                <w:szCs w:val="21"/>
              </w:rPr>
            </w:pPr>
          </w:p>
        </w:tc>
        <w:tc>
          <w:tcPr>
            <w:tcW w:w="288" w:type="pct"/>
            <w:vMerge w:val="continue"/>
            <w:tcBorders>
              <w:left w:val="single" w:color="auto" w:sz="4" w:space="0"/>
              <w:bottom w:val="single" w:color="auto" w:sz="4" w:space="0"/>
              <w:right w:val="single" w:color="auto" w:sz="4" w:space="0"/>
            </w:tcBorders>
            <w:vAlign w:val="center"/>
          </w:tcPr>
          <w:p w14:paraId="1EAA96B1">
            <w:pPr>
              <w:widowControl/>
              <w:jc w:val="left"/>
              <w:rPr>
                <w:color w:val="000000"/>
                <w:kern w:val="0"/>
                <w:szCs w:val="21"/>
              </w:rPr>
            </w:pPr>
          </w:p>
        </w:tc>
        <w:tc>
          <w:tcPr>
            <w:tcW w:w="790" w:type="pct"/>
            <w:vMerge w:val="continue"/>
            <w:tcBorders>
              <w:left w:val="single" w:color="auto" w:sz="4" w:space="0"/>
              <w:bottom w:val="single" w:color="auto" w:sz="4" w:space="0"/>
              <w:right w:val="single" w:color="auto" w:sz="4" w:space="0"/>
            </w:tcBorders>
            <w:vAlign w:val="center"/>
          </w:tcPr>
          <w:p w14:paraId="4F62A3FA">
            <w:pPr>
              <w:widowControl/>
              <w:jc w:val="left"/>
              <w:rPr>
                <w:color w:val="000000"/>
                <w:kern w:val="0"/>
                <w:szCs w:val="21"/>
              </w:rPr>
            </w:pPr>
          </w:p>
        </w:tc>
        <w:tc>
          <w:tcPr>
            <w:tcW w:w="1770" w:type="pct"/>
            <w:tcBorders>
              <w:top w:val="single" w:color="auto" w:sz="4" w:space="0"/>
              <w:left w:val="single" w:color="auto" w:sz="4" w:space="0"/>
              <w:bottom w:val="single" w:color="auto" w:sz="4" w:space="0"/>
              <w:right w:val="single" w:color="auto" w:sz="4" w:space="0"/>
            </w:tcBorders>
            <w:shd w:val="clear" w:color="auto" w:fill="auto"/>
            <w:vAlign w:val="center"/>
          </w:tcPr>
          <w:p w14:paraId="27E39614">
            <w:pPr>
              <w:widowControl/>
              <w:jc w:val="center"/>
              <w:rPr>
                <w:color w:val="000000"/>
                <w:kern w:val="0"/>
                <w:szCs w:val="21"/>
              </w:rPr>
            </w:pPr>
            <w:r>
              <w:rPr>
                <w:color w:val="000000"/>
                <w:kern w:val="0"/>
                <w:szCs w:val="21"/>
              </w:rPr>
              <w:t>五级-引领级：企业应基于模型持续驱动业务活动的优化和创新，实现产业链协同并衍生新的制造模式和商业模式</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133A3BCF">
            <w:pPr>
              <w:widowControl/>
              <w:jc w:val="center"/>
              <w:rPr>
                <w:color w:val="000000"/>
                <w:kern w:val="0"/>
                <w:szCs w:val="21"/>
              </w:rPr>
            </w:pPr>
            <w:r>
              <w:rPr>
                <w:color w:val="000000"/>
                <w:kern w:val="0"/>
                <w:szCs w:val="21"/>
              </w:rPr>
              <w:t>2.5</w:t>
            </w:r>
          </w:p>
        </w:tc>
        <w:tc>
          <w:tcPr>
            <w:tcW w:w="506" w:type="pct"/>
            <w:vMerge w:val="continue"/>
            <w:tcBorders>
              <w:left w:val="single" w:color="auto" w:sz="4" w:space="0"/>
              <w:bottom w:val="single" w:color="auto" w:sz="4" w:space="0"/>
              <w:right w:val="single" w:color="auto" w:sz="4" w:space="0"/>
            </w:tcBorders>
            <w:vAlign w:val="center"/>
          </w:tcPr>
          <w:p w14:paraId="174019A6">
            <w:pPr>
              <w:widowControl/>
              <w:jc w:val="left"/>
              <w:rPr>
                <w:color w:val="000000"/>
                <w:kern w:val="0"/>
                <w:szCs w:val="21"/>
              </w:rPr>
            </w:pPr>
          </w:p>
        </w:tc>
        <w:tc>
          <w:tcPr>
            <w:tcW w:w="635" w:type="pct"/>
            <w:vMerge w:val="continue"/>
            <w:tcBorders>
              <w:left w:val="single" w:color="auto" w:sz="4" w:space="0"/>
              <w:bottom w:val="single" w:color="auto" w:sz="4" w:space="0"/>
              <w:right w:val="single" w:color="auto" w:sz="4" w:space="0"/>
            </w:tcBorders>
            <w:vAlign w:val="center"/>
          </w:tcPr>
          <w:p w14:paraId="0D96EB45">
            <w:pPr>
              <w:widowControl/>
              <w:jc w:val="left"/>
              <w:rPr>
                <w:color w:val="000000"/>
                <w:kern w:val="0"/>
                <w:szCs w:val="21"/>
              </w:rPr>
            </w:pPr>
          </w:p>
        </w:tc>
      </w:tr>
      <w:tr w14:paraId="20879348">
        <w:tblPrEx>
          <w:tblCellMar>
            <w:top w:w="0" w:type="dxa"/>
            <w:left w:w="108" w:type="dxa"/>
            <w:bottom w:w="0" w:type="dxa"/>
            <w:right w:w="108" w:type="dxa"/>
          </w:tblCellMar>
        </w:tblPrEx>
        <w:trPr>
          <w:trHeight w:val="315"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14:paraId="62B0FCD5">
            <w:pPr>
              <w:widowControl/>
              <w:ind w:firstLine="420" w:firstLineChars="200"/>
              <w:jc w:val="left"/>
              <w:rPr>
                <w:color w:val="000000"/>
                <w:kern w:val="0"/>
                <w:szCs w:val="21"/>
              </w:rPr>
            </w:pPr>
            <w:r>
              <w:rPr>
                <w:rFonts w:hint="eastAsia"/>
                <w:vertAlign w:val="superscript"/>
              </w:rPr>
              <w:t>a</w:t>
            </w:r>
            <w:r>
              <w:rPr>
                <w:rFonts w:hint="eastAsia"/>
              </w:rPr>
              <w:t xml:space="preserve"> 产品相应标准无需检测此项指标的，对应评分核算加权计入剩余质量一致性指标总分中。</w:t>
            </w:r>
          </w:p>
        </w:tc>
      </w:tr>
    </w:tbl>
    <w:p w14:paraId="722F06E8">
      <w:pPr>
        <w:spacing w:line="360" w:lineRule="auto"/>
        <w:ind w:firstLine="560" w:firstLineChars="200"/>
        <w:rPr>
          <w:rFonts w:ascii="Times New Roman" w:hAnsi="Times New Roman" w:eastAsia="仿宋_GB2312" w:cs="Times New Roman"/>
          <w:sz w:val="28"/>
          <w:szCs w:val="28"/>
        </w:rPr>
      </w:pPr>
    </w:p>
    <w:p w14:paraId="71110782">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第一部分为企业层面包含生产装备水平、检验检测能力、体系保证、技术中心等级、专利数量、人才结构、研发投入比例、诚信管理体系建议、企业信用等级、偿债能力、合同履约、企业不良行为记录、服务体系建设、配送时效保障、质量追溯、质量异议解决制度、智能制造成熟度等多维度指标；第二部分为产品层面，主要围绕质量一致性、</w:t>
      </w:r>
      <w:r>
        <w:rPr>
          <w:rFonts w:hint="eastAsia" w:ascii="Times New Roman" w:hAnsi="Times New Roman" w:eastAsia="仿宋_GB2312" w:cs="Times New Roman"/>
          <w:sz w:val="28"/>
          <w:szCs w:val="28"/>
          <w:lang w:val="en-US" w:eastAsia="zh-CN"/>
        </w:rPr>
        <w:t>重大工程应用、</w:t>
      </w:r>
      <w:bookmarkStart w:id="1" w:name="_GoBack"/>
      <w:bookmarkEnd w:id="1"/>
      <w:r>
        <w:rPr>
          <w:rFonts w:hint="eastAsia" w:ascii="Times New Roman" w:hAnsi="Times New Roman" w:eastAsia="仿宋_GB2312" w:cs="Times New Roman"/>
          <w:sz w:val="28"/>
          <w:szCs w:val="28"/>
        </w:rPr>
        <w:t>终端客户水平、质量异议率、质量异议处理时间、顾客满意度、认证情况（含第二方、第三方认证）、产品质量奖、产品科技奖、单项冠军等。</w:t>
      </w:r>
    </w:p>
    <w:p w14:paraId="6AB46B1C">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六、与国内其它法律、法规的关系</w:t>
      </w:r>
    </w:p>
    <w:p w14:paraId="727E2A3E">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制定本文件时依据并引用了国内有关现行有效的标准，也不违背国内其它行业标准、法律、法规及强制性标准的有关规定。</w:t>
      </w:r>
    </w:p>
    <w:p w14:paraId="16FB9811">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七、标准属性</w:t>
      </w:r>
    </w:p>
    <w:p w14:paraId="6AB8B600">
      <w:pPr>
        <w:spacing w:line="360" w:lineRule="auto"/>
        <w:ind w:firstLine="480"/>
        <w:rPr>
          <w:rFonts w:ascii="Times New Roman" w:hAnsi="Times New Roman" w:eastAsia="仿宋" w:cs="Times New Roman"/>
          <w:sz w:val="28"/>
          <w:szCs w:val="28"/>
        </w:rPr>
      </w:pPr>
      <w:r>
        <w:rPr>
          <w:rFonts w:ascii="Times New Roman" w:hAnsi="Times New Roman" w:eastAsia="仿宋" w:cs="Times New Roman"/>
          <w:sz w:val="28"/>
          <w:szCs w:val="28"/>
        </w:rPr>
        <w:t>本文件属于中国特钢企业协会团体标准。</w:t>
      </w:r>
    </w:p>
    <w:p w14:paraId="73DE2978">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八、标准水平及预期效果</w:t>
      </w:r>
    </w:p>
    <w:p w14:paraId="73CDCB09">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在新型标准化体系中，</w:t>
      </w:r>
      <w:r>
        <w:rPr>
          <w:rFonts w:hint="eastAsia" w:ascii="Times New Roman" w:hAnsi="Times New Roman" w:eastAsia="仿宋" w:cs="Times New Roman"/>
          <w:sz w:val="28"/>
          <w:szCs w:val="28"/>
        </w:rPr>
        <w:t>团体标准</w:t>
      </w:r>
      <w:r>
        <w:rPr>
          <w:rFonts w:ascii="Times New Roman" w:hAnsi="Times New Roman" w:eastAsia="仿宋" w:cs="Times New Roman"/>
          <w:sz w:val="28"/>
          <w:szCs w:val="28"/>
        </w:rPr>
        <w:t>定位为先进引领性的标准</w:t>
      </w:r>
      <w:r>
        <w:rPr>
          <w:rFonts w:hint="eastAsia" w:ascii="Times New Roman" w:hAnsi="Times New Roman" w:eastAsia="仿宋" w:cs="Times New Roman"/>
          <w:sz w:val="28"/>
          <w:szCs w:val="28"/>
        </w:rPr>
        <w:t>，通过产业链利益相关方协商一致，能够提升技术指标先进性、引领性，推动标准应用实施</w:t>
      </w:r>
      <w:r>
        <w:rPr>
          <w:rFonts w:ascii="Times New Roman" w:hAnsi="Times New Roman" w:eastAsia="仿宋" w:cs="Times New Roman"/>
          <w:sz w:val="28"/>
          <w:szCs w:val="28"/>
        </w:rPr>
        <w:t>。</w:t>
      </w:r>
      <w:r>
        <w:rPr>
          <w:rFonts w:hint="eastAsia" w:ascii="Times New Roman" w:hAnsi="Times New Roman" w:eastAsia="仿宋" w:cs="Times New Roman"/>
          <w:sz w:val="28"/>
          <w:szCs w:val="28"/>
        </w:rPr>
        <w:t>本</w:t>
      </w:r>
      <w:r>
        <w:rPr>
          <w:rFonts w:ascii="Times New Roman" w:hAnsi="Times New Roman" w:eastAsia="仿宋" w:cs="Times New Roman"/>
          <w:sz w:val="28"/>
          <w:szCs w:val="28"/>
        </w:rPr>
        <w:t>文件的制定一方面有利于指导</w:t>
      </w:r>
      <w:r>
        <w:rPr>
          <w:rFonts w:hint="eastAsia" w:ascii="Times New Roman" w:hAnsi="Times New Roman" w:eastAsia="仿宋" w:cs="Times New Roman"/>
          <w:sz w:val="28"/>
          <w:szCs w:val="28"/>
        </w:rPr>
        <w:t>提升企业产品品牌</w:t>
      </w:r>
      <w:r>
        <w:rPr>
          <w:rFonts w:ascii="Times New Roman" w:hAnsi="Times New Roman" w:eastAsia="仿宋" w:cs="Times New Roman"/>
          <w:sz w:val="28"/>
          <w:szCs w:val="28"/>
        </w:rPr>
        <w:t>，并可用于对</w:t>
      </w:r>
      <w:r>
        <w:rPr>
          <w:rFonts w:hint="eastAsia" w:ascii="Times New Roman" w:hAnsi="Times New Roman" w:eastAsia="仿宋" w:cs="Times New Roman"/>
          <w:sz w:val="28"/>
          <w:szCs w:val="28"/>
        </w:rPr>
        <w:t>企业产品质量和生产控制水平进</w:t>
      </w:r>
      <w:r>
        <w:rPr>
          <w:rFonts w:ascii="Times New Roman" w:hAnsi="Times New Roman" w:eastAsia="仿宋" w:cs="Times New Roman"/>
          <w:sz w:val="28"/>
          <w:szCs w:val="28"/>
        </w:rPr>
        <w:t>行评价，另一方面可以指导</w:t>
      </w:r>
      <w:r>
        <w:rPr>
          <w:rFonts w:hint="eastAsia" w:ascii="Times New Roman" w:hAnsi="Times New Roman" w:eastAsia="仿宋" w:cs="Times New Roman"/>
          <w:sz w:val="28"/>
          <w:szCs w:val="28"/>
        </w:rPr>
        <w:t>第一方、第二方、</w:t>
      </w:r>
      <w:r>
        <w:rPr>
          <w:rFonts w:ascii="Times New Roman" w:hAnsi="Times New Roman" w:eastAsia="仿宋" w:cs="Times New Roman"/>
          <w:sz w:val="28"/>
          <w:szCs w:val="28"/>
        </w:rPr>
        <w:t>第三方机构</w:t>
      </w:r>
      <w:r>
        <w:rPr>
          <w:rFonts w:hint="eastAsia" w:ascii="Times New Roman" w:hAnsi="Times New Roman" w:eastAsia="仿宋" w:cs="Times New Roman"/>
          <w:sz w:val="28"/>
          <w:szCs w:val="28"/>
        </w:rPr>
        <w:t>开展相关认证评价工作</w:t>
      </w:r>
      <w:r>
        <w:rPr>
          <w:rFonts w:ascii="Times New Roman" w:hAnsi="Times New Roman" w:eastAsia="仿宋" w:cs="Times New Roman"/>
          <w:sz w:val="28"/>
          <w:szCs w:val="28"/>
        </w:rPr>
        <w:t>。</w:t>
      </w:r>
    </w:p>
    <w:p w14:paraId="47EA0829">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九、贯彻要求及建议</w:t>
      </w:r>
    </w:p>
    <w:p w14:paraId="220557E5">
      <w:pPr>
        <w:spacing w:line="360" w:lineRule="auto"/>
        <w:ind w:firstLine="490" w:firstLineChars="175"/>
        <w:rPr>
          <w:rFonts w:ascii="Times New Roman" w:hAnsi="Times New Roman" w:eastAsia="仿宋" w:cs="Times New Roman"/>
          <w:sz w:val="28"/>
          <w:szCs w:val="28"/>
        </w:rPr>
      </w:pPr>
      <w:r>
        <w:rPr>
          <w:rFonts w:ascii="Times New Roman" w:hAnsi="Times New Roman" w:eastAsia="仿宋" w:cs="Times New Roman"/>
          <w:sz w:val="28"/>
          <w:szCs w:val="28"/>
        </w:rPr>
        <w:t>本文件归口单位为中国特钢企业协会，经过审定报批后，</w:t>
      </w:r>
      <w:r>
        <w:rPr>
          <w:rFonts w:ascii="Times New Roman" w:hAnsi="Times New Roman" w:eastAsia="仿宋_GB2312" w:cs="Times New Roman"/>
          <w:sz w:val="28"/>
          <w:szCs w:val="28"/>
        </w:rPr>
        <w:t>由中国特钢企业协会发布</w:t>
      </w:r>
      <w:r>
        <w:rPr>
          <w:rFonts w:ascii="Times New Roman" w:hAnsi="Times New Roman" w:eastAsia="仿宋" w:cs="Times New Roman"/>
          <w:sz w:val="28"/>
          <w:szCs w:val="28"/>
        </w:rPr>
        <w:t>。建议在</w:t>
      </w:r>
      <w:r>
        <w:rPr>
          <w:rFonts w:hint="eastAsia" w:ascii="Times New Roman" w:hAnsi="Times New Roman" w:eastAsia="仿宋" w:cs="Times New Roman"/>
          <w:sz w:val="28"/>
          <w:szCs w:val="28"/>
        </w:rPr>
        <w:t>第三方机构对企业产品放心品牌评价和企业自评、相关方评价等</w:t>
      </w:r>
      <w:r>
        <w:rPr>
          <w:rFonts w:ascii="Times New Roman" w:hAnsi="Times New Roman" w:eastAsia="仿宋" w:cs="Times New Roman"/>
          <w:sz w:val="28"/>
          <w:szCs w:val="28"/>
        </w:rPr>
        <w:t>领域和单位宣贯执行</w:t>
      </w:r>
      <w:r>
        <w:rPr>
          <w:rFonts w:hint="eastAsia" w:ascii="Times New Roman" w:hAnsi="Times New Roman" w:eastAsia="仿宋" w:cs="Times New Roman"/>
          <w:sz w:val="28"/>
          <w:szCs w:val="28"/>
        </w:rPr>
        <w:t>。</w:t>
      </w:r>
    </w:p>
    <w:p w14:paraId="6C825020">
      <w:pPr>
        <w:spacing w:line="360" w:lineRule="auto"/>
        <w:ind w:firstLine="490" w:firstLineChars="175"/>
        <w:rPr>
          <w:rFonts w:ascii="Times New Roman" w:hAnsi="Times New Roman" w:eastAsia="仿宋" w:cs="Times New Roman"/>
          <w:sz w:val="28"/>
          <w:szCs w:val="28"/>
        </w:rPr>
      </w:pPr>
    </w:p>
    <w:sectPr>
      <w:footerReference r:id="rId3" w:type="default"/>
      <w:footerReference r:id="rId4" w:type="even"/>
      <w:pgSz w:w="11907" w:h="16840"/>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E65D5">
    <w:pPr>
      <w:pStyle w:val="3"/>
      <w:jc w:val="center"/>
    </w:pPr>
    <w:r>
      <w:fldChar w:fldCharType="begin"/>
    </w:r>
    <w:r>
      <w:instrText xml:space="preserve">PAGE   \* MERGEFORMAT</w:instrText>
    </w:r>
    <w:r>
      <w:fldChar w:fldCharType="separate"/>
    </w:r>
    <w:r>
      <w:rPr>
        <w:lang w:val="zh-CN"/>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5A0DD">
    <w:pPr>
      <w:pStyle w:val="3"/>
      <w:jc w:val="center"/>
    </w:pPr>
    <w:r>
      <w:fldChar w:fldCharType="begin"/>
    </w:r>
    <w:r>
      <w:instrText xml:space="preserve">PAGE   \* MERGEFORMAT</w:instrText>
    </w:r>
    <w:r>
      <w:fldChar w:fldCharType="separate"/>
    </w:r>
    <w:r>
      <w:rPr>
        <w:lang w:val="zh-CN"/>
      </w:rPr>
      <w:t>6</w:t>
    </w:r>
    <w:r>
      <w:fldChar w:fldCharType="end"/>
    </w:r>
  </w:p>
  <w:p w14:paraId="45FD90E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A1746"/>
    <w:multiLevelType w:val="multilevel"/>
    <w:tmpl w:val="0FFA1746"/>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default" w:ascii="Arial" w:hAnsi="Arial" w:eastAsia="黑体" w:cs="Arial"/>
        <w:b w:val="0"/>
        <w:bCs w:val="0"/>
        <w:i w:val="0"/>
        <w:iCs w:val="0"/>
        <w:caps w:val="0"/>
        <w:smallCaps w:val="0"/>
        <w:snapToGrid w:val="0"/>
        <w:vanish w:val="0"/>
        <w:color w:val="000000"/>
        <w:spacing w:val="0"/>
        <w:w w:val="0"/>
        <w:kern w:val="0"/>
        <w:position w:val="0"/>
        <w:sz w:val="21"/>
        <w:szCs w:val="0"/>
        <w:u w:val="none"/>
        <w:vertAlign w:val="baseline"/>
      </w:rPr>
    </w:lvl>
    <w:lvl w:ilvl="2" w:tentative="0">
      <w:start w:val="1"/>
      <w:numFmt w:val="decimal"/>
      <w:pStyle w:val="2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1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kM2VmYjQwZGQ2YWRkZTg4NjhiMDRlODRiYWM4ZjAifQ=="/>
  </w:docVars>
  <w:rsids>
    <w:rsidRoot w:val="004C4969"/>
    <w:rsid w:val="0000076C"/>
    <w:rsid w:val="00000A7A"/>
    <w:rsid w:val="00007EBA"/>
    <w:rsid w:val="00010281"/>
    <w:rsid w:val="00011BB4"/>
    <w:rsid w:val="0001412B"/>
    <w:rsid w:val="00015BDD"/>
    <w:rsid w:val="00017DDD"/>
    <w:rsid w:val="00021075"/>
    <w:rsid w:val="00027A9C"/>
    <w:rsid w:val="00027AD3"/>
    <w:rsid w:val="00031AF7"/>
    <w:rsid w:val="00034982"/>
    <w:rsid w:val="00034F94"/>
    <w:rsid w:val="0003518E"/>
    <w:rsid w:val="00037379"/>
    <w:rsid w:val="00037AD9"/>
    <w:rsid w:val="00042571"/>
    <w:rsid w:val="00046E8F"/>
    <w:rsid w:val="000541E0"/>
    <w:rsid w:val="0005671E"/>
    <w:rsid w:val="00061866"/>
    <w:rsid w:val="00063603"/>
    <w:rsid w:val="00064E2A"/>
    <w:rsid w:val="00067E09"/>
    <w:rsid w:val="00075726"/>
    <w:rsid w:val="000847CA"/>
    <w:rsid w:val="000912D0"/>
    <w:rsid w:val="00093A71"/>
    <w:rsid w:val="000954A1"/>
    <w:rsid w:val="000958B1"/>
    <w:rsid w:val="000A239E"/>
    <w:rsid w:val="000A6B9E"/>
    <w:rsid w:val="000B3CC5"/>
    <w:rsid w:val="000B4217"/>
    <w:rsid w:val="000B4E85"/>
    <w:rsid w:val="000C20DF"/>
    <w:rsid w:val="000C2E6C"/>
    <w:rsid w:val="000D0A5B"/>
    <w:rsid w:val="000D102C"/>
    <w:rsid w:val="000D4A79"/>
    <w:rsid w:val="000E4DB8"/>
    <w:rsid w:val="000E639D"/>
    <w:rsid w:val="000E6B73"/>
    <w:rsid w:val="000F0D86"/>
    <w:rsid w:val="000F3A7F"/>
    <w:rsid w:val="000F4EB9"/>
    <w:rsid w:val="000F4EDD"/>
    <w:rsid w:val="0010039C"/>
    <w:rsid w:val="00104825"/>
    <w:rsid w:val="0010628B"/>
    <w:rsid w:val="0011017E"/>
    <w:rsid w:val="00113B29"/>
    <w:rsid w:val="00117113"/>
    <w:rsid w:val="00121CA2"/>
    <w:rsid w:val="001241A2"/>
    <w:rsid w:val="00124E50"/>
    <w:rsid w:val="001267A4"/>
    <w:rsid w:val="00132723"/>
    <w:rsid w:val="0013393F"/>
    <w:rsid w:val="001350E9"/>
    <w:rsid w:val="001351BC"/>
    <w:rsid w:val="001414E1"/>
    <w:rsid w:val="001447CA"/>
    <w:rsid w:val="00144910"/>
    <w:rsid w:val="00146038"/>
    <w:rsid w:val="001512FC"/>
    <w:rsid w:val="00151696"/>
    <w:rsid w:val="00156FFD"/>
    <w:rsid w:val="00157247"/>
    <w:rsid w:val="0016019F"/>
    <w:rsid w:val="00163E34"/>
    <w:rsid w:val="001666DB"/>
    <w:rsid w:val="00167428"/>
    <w:rsid w:val="0017619C"/>
    <w:rsid w:val="00176600"/>
    <w:rsid w:val="001850AC"/>
    <w:rsid w:val="001934BB"/>
    <w:rsid w:val="00194CC2"/>
    <w:rsid w:val="001A175A"/>
    <w:rsid w:val="001A30AD"/>
    <w:rsid w:val="001A45B2"/>
    <w:rsid w:val="001A5B6F"/>
    <w:rsid w:val="001A65FD"/>
    <w:rsid w:val="001A739F"/>
    <w:rsid w:val="001B55C9"/>
    <w:rsid w:val="001B58F7"/>
    <w:rsid w:val="001C0C28"/>
    <w:rsid w:val="001C1B8F"/>
    <w:rsid w:val="001C3C21"/>
    <w:rsid w:val="001C74DE"/>
    <w:rsid w:val="001C7ACB"/>
    <w:rsid w:val="001D02F9"/>
    <w:rsid w:val="001D1C23"/>
    <w:rsid w:val="001D27B7"/>
    <w:rsid w:val="001E77D9"/>
    <w:rsid w:val="001F3124"/>
    <w:rsid w:val="001F3677"/>
    <w:rsid w:val="001F7509"/>
    <w:rsid w:val="001F7827"/>
    <w:rsid w:val="00200450"/>
    <w:rsid w:val="00204AEE"/>
    <w:rsid w:val="00204BB0"/>
    <w:rsid w:val="00205AE5"/>
    <w:rsid w:val="00206D72"/>
    <w:rsid w:val="00207A30"/>
    <w:rsid w:val="002102F0"/>
    <w:rsid w:val="00217630"/>
    <w:rsid w:val="00217F97"/>
    <w:rsid w:val="00230D0B"/>
    <w:rsid w:val="00230D70"/>
    <w:rsid w:val="002359F9"/>
    <w:rsid w:val="00237295"/>
    <w:rsid w:val="002501C4"/>
    <w:rsid w:val="002529BF"/>
    <w:rsid w:val="00255FC5"/>
    <w:rsid w:val="00257A08"/>
    <w:rsid w:val="00261326"/>
    <w:rsid w:val="00261FFB"/>
    <w:rsid w:val="002625ED"/>
    <w:rsid w:val="00264EC4"/>
    <w:rsid w:val="00270EA7"/>
    <w:rsid w:val="00272E87"/>
    <w:rsid w:val="002764BC"/>
    <w:rsid w:val="00280501"/>
    <w:rsid w:val="0028279D"/>
    <w:rsid w:val="00283914"/>
    <w:rsid w:val="0028464B"/>
    <w:rsid w:val="00286581"/>
    <w:rsid w:val="002871AE"/>
    <w:rsid w:val="00290C91"/>
    <w:rsid w:val="002962F8"/>
    <w:rsid w:val="0029654A"/>
    <w:rsid w:val="00297AF2"/>
    <w:rsid w:val="002A076C"/>
    <w:rsid w:val="002A222B"/>
    <w:rsid w:val="002A4627"/>
    <w:rsid w:val="002B18C3"/>
    <w:rsid w:val="002B256C"/>
    <w:rsid w:val="002B5927"/>
    <w:rsid w:val="002C565F"/>
    <w:rsid w:val="002D04C9"/>
    <w:rsid w:val="002D147D"/>
    <w:rsid w:val="002D6E47"/>
    <w:rsid w:val="002D7653"/>
    <w:rsid w:val="002D7B20"/>
    <w:rsid w:val="002E0001"/>
    <w:rsid w:val="002E2F94"/>
    <w:rsid w:val="00304940"/>
    <w:rsid w:val="0031020C"/>
    <w:rsid w:val="00312EDE"/>
    <w:rsid w:val="003131E0"/>
    <w:rsid w:val="00317EFF"/>
    <w:rsid w:val="00320B80"/>
    <w:rsid w:val="00332A10"/>
    <w:rsid w:val="0033421E"/>
    <w:rsid w:val="00334E48"/>
    <w:rsid w:val="00341005"/>
    <w:rsid w:val="0034325B"/>
    <w:rsid w:val="00343C70"/>
    <w:rsid w:val="00345B22"/>
    <w:rsid w:val="00354D21"/>
    <w:rsid w:val="00362AEA"/>
    <w:rsid w:val="003645CC"/>
    <w:rsid w:val="00370591"/>
    <w:rsid w:val="00370DDE"/>
    <w:rsid w:val="00374538"/>
    <w:rsid w:val="00381178"/>
    <w:rsid w:val="0038138A"/>
    <w:rsid w:val="00381AC6"/>
    <w:rsid w:val="003831CF"/>
    <w:rsid w:val="003837E1"/>
    <w:rsid w:val="00395986"/>
    <w:rsid w:val="00395DF1"/>
    <w:rsid w:val="003962B8"/>
    <w:rsid w:val="003964B2"/>
    <w:rsid w:val="003A0FC9"/>
    <w:rsid w:val="003A5A75"/>
    <w:rsid w:val="003A5ED3"/>
    <w:rsid w:val="003A7A23"/>
    <w:rsid w:val="003B0C4D"/>
    <w:rsid w:val="003B75B6"/>
    <w:rsid w:val="003C0C28"/>
    <w:rsid w:val="003C61E3"/>
    <w:rsid w:val="003D2C1B"/>
    <w:rsid w:val="003E0D0B"/>
    <w:rsid w:val="003E15D3"/>
    <w:rsid w:val="003E3B6A"/>
    <w:rsid w:val="003E5EB2"/>
    <w:rsid w:val="003E6D0E"/>
    <w:rsid w:val="003E72E3"/>
    <w:rsid w:val="003E78E6"/>
    <w:rsid w:val="003F099E"/>
    <w:rsid w:val="003F0DFE"/>
    <w:rsid w:val="003F1A1F"/>
    <w:rsid w:val="004040A5"/>
    <w:rsid w:val="00405E80"/>
    <w:rsid w:val="004140F8"/>
    <w:rsid w:val="004221BC"/>
    <w:rsid w:val="0042287E"/>
    <w:rsid w:val="004249C2"/>
    <w:rsid w:val="00425645"/>
    <w:rsid w:val="004276C7"/>
    <w:rsid w:val="00434167"/>
    <w:rsid w:val="004341FE"/>
    <w:rsid w:val="00437DB0"/>
    <w:rsid w:val="004410E9"/>
    <w:rsid w:val="0044506E"/>
    <w:rsid w:val="004453D2"/>
    <w:rsid w:val="004469DF"/>
    <w:rsid w:val="00447A42"/>
    <w:rsid w:val="004529F8"/>
    <w:rsid w:val="00461079"/>
    <w:rsid w:val="00461457"/>
    <w:rsid w:val="00471451"/>
    <w:rsid w:val="0048243F"/>
    <w:rsid w:val="004838F9"/>
    <w:rsid w:val="00485275"/>
    <w:rsid w:val="00485FC7"/>
    <w:rsid w:val="004904B3"/>
    <w:rsid w:val="0049260E"/>
    <w:rsid w:val="004966BA"/>
    <w:rsid w:val="00497F32"/>
    <w:rsid w:val="004A069D"/>
    <w:rsid w:val="004A1539"/>
    <w:rsid w:val="004A2E49"/>
    <w:rsid w:val="004A4388"/>
    <w:rsid w:val="004B6229"/>
    <w:rsid w:val="004C1606"/>
    <w:rsid w:val="004C34B4"/>
    <w:rsid w:val="004C38D8"/>
    <w:rsid w:val="004C4626"/>
    <w:rsid w:val="004C4969"/>
    <w:rsid w:val="004C4B37"/>
    <w:rsid w:val="004D06CE"/>
    <w:rsid w:val="004D1160"/>
    <w:rsid w:val="004D44F2"/>
    <w:rsid w:val="004D7513"/>
    <w:rsid w:val="004E3EE1"/>
    <w:rsid w:val="004F0CD3"/>
    <w:rsid w:val="004F4A27"/>
    <w:rsid w:val="004F75C1"/>
    <w:rsid w:val="004F7781"/>
    <w:rsid w:val="00504213"/>
    <w:rsid w:val="00504A8F"/>
    <w:rsid w:val="0050569C"/>
    <w:rsid w:val="00510D8D"/>
    <w:rsid w:val="00513C01"/>
    <w:rsid w:val="00523353"/>
    <w:rsid w:val="00523DF2"/>
    <w:rsid w:val="00524246"/>
    <w:rsid w:val="00525DDE"/>
    <w:rsid w:val="00531783"/>
    <w:rsid w:val="00537386"/>
    <w:rsid w:val="00540783"/>
    <w:rsid w:val="005413F9"/>
    <w:rsid w:val="00543C4F"/>
    <w:rsid w:val="005470EF"/>
    <w:rsid w:val="005504FD"/>
    <w:rsid w:val="00553213"/>
    <w:rsid w:val="00553964"/>
    <w:rsid w:val="00555A75"/>
    <w:rsid w:val="00560781"/>
    <w:rsid w:val="00560AD7"/>
    <w:rsid w:val="005616F1"/>
    <w:rsid w:val="00561BAD"/>
    <w:rsid w:val="00566B35"/>
    <w:rsid w:val="005805B3"/>
    <w:rsid w:val="0059186B"/>
    <w:rsid w:val="00592096"/>
    <w:rsid w:val="005924C1"/>
    <w:rsid w:val="005932D2"/>
    <w:rsid w:val="0059671A"/>
    <w:rsid w:val="005976DE"/>
    <w:rsid w:val="005A0566"/>
    <w:rsid w:val="005A1A10"/>
    <w:rsid w:val="005A5671"/>
    <w:rsid w:val="005A6E43"/>
    <w:rsid w:val="005A6F0A"/>
    <w:rsid w:val="005B063B"/>
    <w:rsid w:val="005C11AD"/>
    <w:rsid w:val="005C3EF8"/>
    <w:rsid w:val="005D0796"/>
    <w:rsid w:val="005D2293"/>
    <w:rsid w:val="005D271C"/>
    <w:rsid w:val="005D3296"/>
    <w:rsid w:val="005D6C11"/>
    <w:rsid w:val="005E1E70"/>
    <w:rsid w:val="005E5779"/>
    <w:rsid w:val="005E60A6"/>
    <w:rsid w:val="005E7DC4"/>
    <w:rsid w:val="005F13EC"/>
    <w:rsid w:val="005F5102"/>
    <w:rsid w:val="00601BE3"/>
    <w:rsid w:val="00604007"/>
    <w:rsid w:val="00605342"/>
    <w:rsid w:val="0061121B"/>
    <w:rsid w:val="00613B46"/>
    <w:rsid w:val="006173C4"/>
    <w:rsid w:val="00617908"/>
    <w:rsid w:val="00620B9B"/>
    <w:rsid w:val="00622C28"/>
    <w:rsid w:val="00623624"/>
    <w:rsid w:val="00624FCE"/>
    <w:rsid w:val="00625EC9"/>
    <w:rsid w:val="00631EE6"/>
    <w:rsid w:val="00640058"/>
    <w:rsid w:val="00641C21"/>
    <w:rsid w:val="00643006"/>
    <w:rsid w:val="0064582B"/>
    <w:rsid w:val="00651E65"/>
    <w:rsid w:val="00653577"/>
    <w:rsid w:val="00662968"/>
    <w:rsid w:val="0066361E"/>
    <w:rsid w:val="00664669"/>
    <w:rsid w:val="00664A50"/>
    <w:rsid w:val="00664A9B"/>
    <w:rsid w:val="0066540B"/>
    <w:rsid w:val="00666CED"/>
    <w:rsid w:val="006730B5"/>
    <w:rsid w:val="00673FFD"/>
    <w:rsid w:val="006743B1"/>
    <w:rsid w:val="00685ABC"/>
    <w:rsid w:val="00685CCF"/>
    <w:rsid w:val="006A00D6"/>
    <w:rsid w:val="006A6369"/>
    <w:rsid w:val="006B7301"/>
    <w:rsid w:val="006B7876"/>
    <w:rsid w:val="006B7A2D"/>
    <w:rsid w:val="006C0100"/>
    <w:rsid w:val="006C0276"/>
    <w:rsid w:val="006C2C1A"/>
    <w:rsid w:val="006C3431"/>
    <w:rsid w:val="006C358C"/>
    <w:rsid w:val="006C3607"/>
    <w:rsid w:val="006C3E62"/>
    <w:rsid w:val="006C69EF"/>
    <w:rsid w:val="006C6EB0"/>
    <w:rsid w:val="006C7864"/>
    <w:rsid w:val="006D4DD3"/>
    <w:rsid w:val="006E20BC"/>
    <w:rsid w:val="006E2C58"/>
    <w:rsid w:val="006E635E"/>
    <w:rsid w:val="006E6C40"/>
    <w:rsid w:val="006E7670"/>
    <w:rsid w:val="006F33DD"/>
    <w:rsid w:val="006F4C57"/>
    <w:rsid w:val="00703493"/>
    <w:rsid w:val="0070513F"/>
    <w:rsid w:val="007052B3"/>
    <w:rsid w:val="00707DB8"/>
    <w:rsid w:val="007117FA"/>
    <w:rsid w:val="007125D2"/>
    <w:rsid w:val="0071432D"/>
    <w:rsid w:val="007153E8"/>
    <w:rsid w:val="00715E2C"/>
    <w:rsid w:val="00716B03"/>
    <w:rsid w:val="0072201A"/>
    <w:rsid w:val="007327B4"/>
    <w:rsid w:val="00733FB2"/>
    <w:rsid w:val="0073464D"/>
    <w:rsid w:val="007377DD"/>
    <w:rsid w:val="00740D1B"/>
    <w:rsid w:val="007411F8"/>
    <w:rsid w:val="00750F37"/>
    <w:rsid w:val="007556CC"/>
    <w:rsid w:val="007566CD"/>
    <w:rsid w:val="0076167B"/>
    <w:rsid w:val="00765165"/>
    <w:rsid w:val="00766C0E"/>
    <w:rsid w:val="00770CE4"/>
    <w:rsid w:val="00775056"/>
    <w:rsid w:val="00775A47"/>
    <w:rsid w:val="00783E38"/>
    <w:rsid w:val="00785AEC"/>
    <w:rsid w:val="007864F2"/>
    <w:rsid w:val="007900B8"/>
    <w:rsid w:val="00791A5C"/>
    <w:rsid w:val="00796549"/>
    <w:rsid w:val="00797CEF"/>
    <w:rsid w:val="007A1C24"/>
    <w:rsid w:val="007A24F2"/>
    <w:rsid w:val="007B0E6A"/>
    <w:rsid w:val="007B2F39"/>
    <w:rsid w:val="007B377E"/>
    <w:rsid w:val="007B56D5"/>
    <w:rsid w:val="007B5C2E"/>
    <w:rsid w:val="007C3146"/>
    <w:rsid w:val="007C35D4"/>
    <w:rsid w:val="007C452C"/>
    <w:rsid w:val="007D05AC"/>
    <w:rsid w:val="007D5206"/>
    <w:rsid w:val="007E1B65"/>
    <w:rsid w:val="007E22C2"/>
    <w:rsid w:val="007E23F0"/>
    <w:rsid w:val="007E35B3"/>
    <w:rsid w:val="007F0A66"/>
    <w:rsid w:val="007F7ADD"/>
    <w:rsid w:val="00802637"/>
    <w:rsid w:val="0080457F"/>
    <w:rsid w:val="00810015"/>
    <w:rsid w:val="00816E04"/>
    <w:rsid w:val="008228A0"/>
    <w:rsid w:val="00823AFE"/>
    <w:rsid w:val="008242CD"/>
    <w:rsid w:val="008309FE"/>
    <w:rsid w:val="00835582"/>
    <w:rsid w:val="008355DF"/>
    <w:rsid w:val="00840DDC"/>
    <w:rsid w:val="00840EF3"/>
    <w:rsid w:val="00840F1A"/>
    <w:rsid w:val="008436B8"/>
    <w:rsid w:val="008446C6"/>
    <w:rsid w:val="00844B6B"/>
    <w:rsid w:val="008458F0"/>
    <w:rsid w:val="00851310"/>
    <w:rsid w:val="00853EB2"/>
    <w:rsid w:val="00854074"/>
    <w:rsid w:val="00854FD5"/>
    <w:rsid w:val="00863427"/>
    <w:rsid w:val="00863E74"/>
    <w:rsid w:val="00867DAD"/>
    <w:rsid w:val="008726F3"/>
    <w:rsid w:val="008752C3"/>
    <w:rsid w:val="00876AC5"/>
    <w:rsid w:val="0087775E"/>
    <w:rsid w:val="00883663"/>
    <w:rsid w:val="008836AE"/>
    <w:rsid w:val="00887EB5"/>
    <w:rsid w:val="008921EC"/>
    <w:rsid w:val="00892CEF"/>
    <w:rsid w:val="00892D4F"/>
    <w:rsid w:val="00895AA5"/>
    <w:rsid w:val="00895CB5"/>
    <w:rsid w:val="008A10C9"/>
    <w:rsid w:val="008A2078"/>
    <w:rsid w:val="008A269A"/>
    <w:rsid w:val="008A3E95"/>
    <w:rsid w:val="008A565C"/>
    <w:rsid w:val="008A744A"/>
    <w:rsid w:val="008B56C4"/>
    <w:rsid w:val="008B5D9D"/>
    <w:rsid w:val="008B6643"/>
    <w:rsid w:val="008C1E7E"/>
    <w:rsid w:val="008C1E89"/>
    <w:rsid w:val="008C2FE4"/>
    <w:rsid w:val="008C3087"/>
    <w:rsid w:val="008C3578"/>
    <w:rsid w:val="008C7DDF"/>
    <w:rsid w:val="008D08E0"/>
    <w:rsid w:val="008D4B9D"/>
    <w:rsid w:val="008D5AEE"/>
    <w:rsid w:val="008D6FD2"/>
    <w:rsid w:val="008E02FD"/>
    <w:rsid w:val="008E310E"/>
    <w:rsid w:val="008E323F"/>
    <w:rsid w:val="008E566C"/>
    <w:rsid w:val="008E634D"/>
    <w:rsid w:val="008F58D4"/>
    <w:rsid w:val="00911531"/>
    <w:rsid w:val="00912ADB"/>
    <w:rsid w:val="00913D39"/>
    <w:rsid w:val="00914629"/>
    <w:rsid w:val="0091536C"/>
    <w:rsid w:val="009158CB"/>
    <w:rsid w:val="00916418"/>
    <w:rsid w:val="0091769D"/>
    <w:rsid w:val="00917EAB"/>
    <w:rsid w:val="0092577F"/>
    <w:rsid w:val="00926006"/>
    <w:rsid w:val="009278B1"/>
    <w:rsid w:val="0092790C"/>
    <w:rsid w:val="00934DD2"/>
    <w:rsid w:val="00940E50"/>
    <w:rsid w:val="00941254"/>
    <w:rsid w:val="009453A1"/>
    <w:rsid w:val="00945CBA"/>
    <w:rsid w:val="0094698D"/>
    <w:rsid w:val="009474B1"/>
    <w:rsid w:val="0095610A"/>
    <w:rsid w:val="009567AD"/>
    <w:rsid w:val="00963665"/>
    <w:rsid w:val="00964F99"/>
    <w:rsid w:val="009677C3"/>
    <w:rsid w:val="00977159"/>
    <w:rsid w:val="009908C7"/>
    <w:rsid w:val="009912DE"/>
    <w:rsid w:val="00991D36"/>
    <w:rsid w:val="009939F5"/>
    <w:rsid w:val="00994C6A"/>
    <w:rsid w:val="009A16CE"/>
    <w:rsid w:val="009A60E4"/>
    <w:rsid w:val="009A6CFB"/>
    <w:rsid w:val="009B1E3A"/>
    <w:rsid w:val="009B2A7A"/>
    <w:rsid w:val="009B31CB"/>
    <w:rsid w:val="009B7D4F"/>
    <w:rsid w:val="009C0B83"/>
    <w:rsid w:val="009C1184"/>
    <w:rsid w:val="009C356E"/>
    <w:rsid w:val="009D0C94"/>
    <w:rsid w:val="009D2917"/>
    <w:rsid w:val="009D6128"/>
    <w:rsid w:val="009F1BB0"/>
    <w:rsid w:val="009F1CD3"/>
    <w:rsid w:val="009F5214"/>
    <w:rsid w:val="009F53C0"/>
    <w:rsid w:val="00A00EEB"/>
    <w:rsid w:val="00A02C9D"/>
    <w:rsid w:val="00A13DE2"/>
    <w:rsid w:val="00A140CB"/>
    <w:rsid w:val="00A1453F"/>
    <w:rsid w:val="00A14E3C"/>
    <w:rsid w:val="00A156D6"/>
    <w:rsid w:val="00A15919"/>
    <w:rsid w:val="00A16F85"/>
    <w:rsid w:val="00A220CE"/>
    <w:rsid w:val="00A33C84"/>
    <w:rsid w:val="00A4214F"/>
    <w:rsid w:val="00A43D13"/>
    <w:rsid w:val="00A45A94"/>
    <w:rsid w:val="00A54778"/>
    <w:rsid w:val="00A65854"/>
    <w:rsid w:val="00A6585D"/>
    <w:rsid w:val="00A74F19"/>
    <w:rsid w:val="00A77429"/>
    <w:rsid w:val="00A7756A"/>
    <w:rsid w:val="00A813F1"/>
    <w:rsid w:val="00A81A96"/>
    <w:rsid w:val="00A83D18"/>
    <w:rsid w:val="00A85FD5"/>
    <w:rsid w:val="00A939F5"/>
    <w:rsid w:val="00A95E52"/>
    <w:rsid w:val="00A96997"/>
    <w:rsid w:val="00AA005C"/>
    <w:rsid w:val="00AA0208"/>
    <w:rsid w:val="00AA0CA7"/>
    <w:rsid w:val="00AA603E"/>
    <w:rsid w:val="00AA7281"/>
    <w:rsid w:val="00AA7358"/>
    <w:rsid w:val="00AB6F2C"/>
    <w:rsid w:val="00AC2F36"/>
    <w:rsid w:val="00AC535E"/>
    <w:rsid w:val="00AC537F"/>
    <w:rsid w:val="00AC674C"/>
    <w:rsid w:val="00AC6A32"/>
    <w:rsid w:val="00AC7698"/>
    <w:rsid w:val="00AD2398"/>
    <w:rsid w:val="00AD5287"/>
    <w:rsid w:val="00AD5381"/>
    <w:rsid w:val="00AE3BEE"/>
    <w:rsid w:val="00AE730C"/>
    <w:rsid w:val="00AF09A5"/>
    <w:rsid w:val="00AF361A"/>
    <w:rsid w:val="00B00731"/>
    <w:rsid w:val="00B01653"/>
    <w:rsid w:val="00B054F3"/>
    <w:rsid w:val="00B05C26"/>
    <w:rsid w:val="00B12577"/>
    <w:rsid w:val="00B13967"/>
    <w:rsid w:val="00B1546B"/>
    <w:rsid w:val="00B1689B"/>
    <w:rsid w:val="00B17195"/>
    <w:rsid w:val="00B17F43"/>
    <w:rsid w:val="00B24AE1"/>
    <w:rsid w:val="00B27A3B"/>
    <w:rsid w:val="00B27D20"/>
    <w:rsid w:val="00B32BC4"/>
    <w:rsid w:val="00B40C9B"/>
    <w:rsid w:val="00B41D7F"/>
    <w:rsid w:val="00B43260"/>
    <w:rsid w:val="00B4577E"/>
    <w:rsid w:val="00B55E6F"/>
    <w:rsid w:val="00B560B7"/>
    <w:rsid w:val="00B61356"/>
    <w:rsid w:val="00B63A2B"/>
    <w:rsid w:val="00B70A00"/>
    <w:rsid w:val="00B70E46"/>
    <w:rsid w:val="00B72E8C"/>
    <w:rsid w:val="00B80073"/>
    <w:rsid w:val="00B83C79"/>
    <w:rsid w:val="00B927D6"/>
    <w:rsid w:val="00B95B83"/>
    <w:rsid w:val="00B9762F"/>
    <w:rsid w:val="00B97FD5"/>
    <w:rsid w:val="00BA0A80"/>
    <w:rsid w:val="00BA16FB"/>
    <w:rsid w:val="00BA4FE7"/>
    <w:rsid w:val="00BA6512"/>
    <w:rsid w:val="00BB2426"/>
    <w:rsid w:val="00BB4D4F"/>
    <w:rsid w:val="00BC20E2"/>
    <w:rsid w:val="00BC54F7"/>
    <w:rsid w:val="00BC665E"/>
    <w:rsid w:val="00BC6980"/>
    <w:rsid w:val="00BC7C74"/>
    <w:rsid w:val="00BD12EE"/>
    <w:rsid w:val="00BD36E8"/>
    <w:rsid w:val="00BD5812"/>
    <w:rsid w:val="00BD6E98"/>
    <w:rsid w:val="00BE189E"/>
    <w:rsid w:val="00BE26B1"/>
    <w:rsid w:val="00BE724C"/>
    <w:rsid w:val="00BE79F9"/>
    <w:rsid w:val="00BF02B8"/>
    <w:rsid w:val="00BF0FBD"/>
    <w:rsid w:val="00BF4624"/>
    <w:rsid w:val="00BF6EB4"/>
    <w:rsid w:val="00BF762A"/>
    <w:rsid w:val="00C042AB"/>
    <w:rsid w:val="00C12EBE"/>
    <w:rsid w:val="00C158C0"/>
    <w:rsid w:val="00C20241"/>
    <w:rsid w:val="00C21898"/>
    <w:rsid w:val="00C23A0D"/>
    <w:rsid w:val="00C242FF"/>
    <w:rsid w:val="00C37C1A"/>
    <w:rsid w:val="00C47422"/>
    <w:rsid w:val="00C47479"/>
    <w:rsid w:val="00C5461D"/>
    <w:rsid w:val="00C60ED6"/>
    <w:rsid w:val="00C610DE"/>
    <w:rsid w:val="00C61F01"/>
    <w:rsid w:val="00C67CCB"/>
    <w:rsid w:val="00C67D46"/>
    <w:rsid w:val="00C71381"/>
    <w:rsid w:val="00C773F5"/>
    <w:rsid w:val="00C77808"/>
    <w:rsid w:val="00C77D8B"/>
    <w:rsid w:val="00C8116A"/>
    <w:rsid w:val="00C85D4F"/>
    <w:rsid w:val="00C906A3"/>
    <w:rsid w:val="00C92024"/>
    <w:rsid w:val="00C93222"/>
    <w:rsid w:val="00CA4221"/>
    <w:rsid w:val="00CA729B"/>
    <w:rsid w:val="00CB17B1"/>
    <w:rsid w:val="00CB4657"/>
    <w:rsid w:val="00CB793F"/>
    <w:rsid w:val="00CC5A06"/>
    <w:rsid w:val="00CD01B7"/>
    <w:rsid w:val="00CD0987"/>
    <w:rsid w:val="00CD204D"/>
    <w:rsid w:val="00CD445D"/>
    <w:rsid w:val="00CD7497"/>
    <w:rsid w:val="00CE0042"/>
    <w:rsid w:val="00CE0C42"/>
    <w:rsid w:val="00CE4054"/>
    <w:rsid w:val="00CE44B2"/>
    <w:rsid w:val="00CE4AFE"/>
    <w:rsid w:val="00D004DE"/>
    <w:rsid w:val="00D01679"/>
    <w:rsid w:val="00D01D96"/>
    <w:rsid w:val="00D0552B"/>
    <w:rsid w:val="00D07D75"/>
    <w:rsid w:val="00D16C01"/>
    <w:rsid w:val="00D16E4F"/>
    <w:rsid w:val="00D252D7"/>
    <w:rsid w:val="00D25B96"/>
    <w:rsid w:val="00D261BE"/>
    <w:rsid w:val="00D31E2E"/>
    <w:rsid w:val="00D3454F"/>
    <w:rsid w:val="00D35BD8"/>
    <w:rsid w:val="00D37FB5"/>
    <w:rsid w:val="00D42AE3"/>
    <w:rsid w:val="00D43D6E"/>
    <w:rsid w:val="00D44BBC"/>
    <w:rsid w:val="00D477C8"/>
    <w:rsid w:val="00D47E5C"/>
    <w:rsid w:val="00D50A26"/>
    <w:rsid w:val="00D5312D"/>
    <w:rsid w:val="00D56838"/>
    <w:rsid w:val="00D614AB"/>
    <w:rsid w:val="00D61CB4"/>
    <w:rsid w:val="00D626C9"/>
    <w:rsid w:val="00D65E94"/>
    <w:rsid w:val="00D6724F"/>
    <w:rsid w:val="00D72EBE"/>
    <w:rsid w:val="00D77E72"/>
    <w:rsid w:val="00D8029F"/>
    <w:rsid w:val="00D803C7"/>
    <w:rsid w:val="00D83446"/>
    <w:rsid w:val="00D85DFE"/>
    <w:rsid w:val="00D90D7C"/>
    <w:rsid w:val="00D94F93"/>
    <w:rsid w:val="00D9739A"/>
    <w:rsid w:val="00DA02B8"/>
    <w:rsid w:val="00DA1A9B"/>
    <w:rsid w:val="00DA440F"/>
    <w:rsid w:val="00DB3B30"/>
    <w:rsid w:val="00DB4495"/>
    <w:rsid w:val="00DB4E09"/>
    <w:rsid w:val="00DB5C37"/>
    <w:rsid w:val="00DC5FC2"/>
    <w:rsid w:val="00DC638D"/>
    <w:rsid w:val="00DD022E"/>
    <w:rsid w:val="00DD081F"/>
    <w:rsid w:val="00DD263E"/>
    <w:rsid w:val="00DE3871"/>
    <w:rsid w:val="00DE4971"/>
    <w:rsid w:val="00DE6F30"/>
    <w:rsid w:val="00DF1692"/>
    <w:rsid w:val="00DF3070"/>
    <w:rsid w:val="00DF433D"/>
    <w:rsid w:val="00DF6204"/>
    <w:rsid w:val="00DF7F24"/>
    <w:rsid w:val="00E020DA"/>
    <w:rsid w:val="00E03783"/>
    <w:rsid w:val="00E07643"/>
    <w:rsid w:val="00E12DF0"/>
    <w:rsid w:val="00E1575A"/>
    <w:rsid w:val="00E202AF"/>
    <w:rsid w:val="00E23378"/>
    <w:rsid w:val="00E34263"/>
    <w:rsid w:val="00E352E8"/>
    <w:rsid w:val="00E41FDC"/>
    <w:rsid w:val="00E510BE"/>
    <w:rsid w:val="00E51A48"/>
    <w:rsid w:val="00E539AD"/>
    <w:rsid w:val="00E54866"/>
    <w:rsid w:val="00E5496F"/>
    <w:rsid w:val="00E560E4"/>
    <w:rsid w:val="00E629FA"/>
    <w:rsid w:val="00E65740"/>
    <w:rsid w:val="00E71BC2"/>
    <w:rsid w:val="00E734AA"/>
    <w:rsid w:val="00E82A08"/>
    <w:rsid w:val="00E90EB8"/>
    <w:rsid w:val="00E91BB5"/>
    <w:rsid w:val="00E97291"/>
    <w:rsid w:val="00E97BD8"/>
    <w:rsid w:val="00EA0015"/>
    <w:rsid w:val="00EA061C"/>
    <w:rsid w:val="00EA4970"/>
    <w:rsid w:val="00EA69E4"/>
    <w:rsid w:val="00EB2A2C"/>
    <w:rsid w:val="00EB5C7C"/>
    <w:rsid w:val="00EC0820"/>
    <w:rsid w:val="00EC28C5"/>
    <w:rsid w:val="00EC3275"/>
    <w:rsid w:val="00EC6840"/>
    <w:rsid w:val="00EC746F"/>
    <w:rsid w:val="00ED3972"/>
    <w:rsid w:val="00ED3DDD"/>
    <w:rsid w:val="00ED6661"/>
    <w:rsid w:val="00EE0705"/>
    <w:rsid w:val="00EE203C"/>
    <w:rsid w:val="00EE64D6"/>
    <w:rsid w:val="00EE661C"/>
    <w:rsid w:val="00EE7766"/>
    <w:rsid w:val="00EF0D5A"/>
    <w:rsid w:val="00EF5436"/>
    <w:rsid w:val="00F00ED0"/>
    <w:rsid w:val="00F0504B"/>
    <w:rsid w:val="00F0706C"/>
    <w:rsid w:val="00F12B26"/>
    <w:rsid w:val="00F16254"/>
    <w:rsid w:val="00F21BEE"/>
    <w:rsid w:val="00F354F7"/>
    <w:rsid w:val="00F37395"/>
    <w:rsid w:val="00F40C70"/>
    <w:rsid w:val="00F4171F"/>
    <w:rsid w:val="00F4654D"/>
    <w:rsid w:val="00F46584"/>
    <w:rsid w:val="00F46795"/>
    <w:rsid w:val="00F51B98"/>
    <w:rsid w:val="00F52023"/>
    <w:rsid w:val="00F53827"/>
    <w:rsid w:val="00F5657A"/>
    <w:rsid w:val="00F6005F"/>
    <w:rsid w:val="00F607CA"/>
    <w:rsid w:val="00F60AF4"/>
    <w:rsid w:val="00F629D2"/>
    <w:rsid w:val="00F64A58"/>
    <w:rsid w:val="00F720F5"/>
    <w:rsid w:val="00F73E3F"/>
    <w:rsid w:val="00F93AC6"/>
    <w:rsid w:val="00F95E20"/>
    <w:rsid w:val="00F968AB"/>
    <w:rsid w:val="00FA2863"/>
    <w:rsid w:val="00FA2D2F"/>
    <w:rsid w:val="00FA2DA0"/>
    <w:rsid w:val="00FA38DD"/>
    <w:rsid w:val="00FB00AD"/>
    <w:rsid w:val="00FB0ADF"/>
    <w:rsid w:val="00FB602E"/>
    <w:rsid w:val="00FB605F"/>
    <w:rsid w:val="00FB73A4"/>
    <w:rsid w:val="00FB758B"/>
    <w:rsid w:val="00FB7F5B"/>
    <w:rsid w:val="00FC2AAE"/>
    <w:rsid w:val="00FC4879"/>
    <w:rsid w:val="00FC6E24"/>
    <w:rsid w:val="00FC7211"/>
    <w:rsid w:val="00FD140A"/>
    <w:rsid w:val="00FD5E5F"/>
    <w:rsid w:val="00FD6A0C"/>
    <w:rsid w:val="00FE04C8"/>
    <w:rsid w:val="00FE0A22"/>
    <w:rsid w:val="00FE0FBF"/>
    <w:rsid w:val="00FE1412"/>
    <w:rsid w:val="00FE1547"/>
    <w:rsid w:val="00FE66E4"/>
    <w:rsid w:val="00FE6CB7"/>
    <w:rsid w:val="00FF072A"/>
    <w:rsid w:val="00FF3736"/>
    <w:rsid w:val="085F5F61"/>
    <w:rsid w:val="12FC017C"/>
    <w:rsid w:val="17896087"/>
    <w:rsid w:val="17987BB8"/>
    <w:rsid w:val="1CB54DAF"/>
    <w:rsid w:val="1F7F17B2"/>
    <w:rsid w:val="27073136"/>
    <w:rsid w:val="2E091125"/>
    <w:rsid w:val="374101FF"/>
    <w:rsid w:val="3EE84C99"/>
    <w:rsid w:val="4C9523C0"/>
    <w:rsid w:val="7A9657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autoRedefine/>
    <w:qFormat/>
    <w:uiPriority w:val="99"/>
    <w:rPr>
      <w:sz w:val="18"/>
      <w:szCs w:val="18"/>
    </w:rPr>
  </w:style>
  <w:style w:type="table" w:customStyle="1" w:styleId="10">
    <w:name w:val="网格型1"/>
    <w:basedOn w:val="5"/>
    <w:autoRedefine/>
    <w:qFormat/>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网格型2"/>
    <w:basedOn w:val="5"/>
    <w:autoRedefine/>
    <w:qFormat/>
    <w:locked/>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网格型3"/>
    <w:basedOn w:val="5"/>
    <w:autoRedefine/>
    <w:qFormat/>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basedOn w:val="7"/>
    <w:link w:val="2"/>
    <w:autoRedefine/>
    <w:semiHidden/>
    <w:qFormat/>
    <w:uiPriority w:val="99"/>
    <w:rPr>
      <w:sz w:val="18"/>
      <w:szCs w:val="18"/>
    </w:rPr>
  </w:style>
  <w:style w:type="paragraph" w:styleId="14">
    <w:name w:val="List Paragraph"/>
    <w:basedOn w:val="1"/>
    <w:autoRedefine/>
    <w:qFormat/>
    <w:uiPriority w:val="34"/>
    <w:pPr>
      <w:ind w:firstLine="420" w:firstLineChars="200"/>
    </w:pPr>
    <w:rPr>
      <w:rFonts w:ascii="Calibri" w:hAnsi="Calibri" w:eastAsia="宋体" w:cs="Times New Roman"/>
    </w:rPr>
  </w:style>
  <w:style w:type="paragraph" w:customStyle="1" w:styleId="15">
    <w:name w:val="正文表标题"/>
    <w:next w:val="1"/>
    <w:autoRedefine/>
    <w:qFormat/>
    <w:uiPriority w:val="0"/>
    <w:pPr>
      <w:numPr>
        <w:ilvl w:val="0"/>
        <w:numId w:val="1"/>
      </w:numPr>
      <w:spacing w:beforeLines="50" w:afterLines="50"/>
      <w:jc w:val="center"/>
    </w:pPr>
    <w:rPr>
      <w:rFonts w:ascii="黑体" w:hAnsi="Times New Roman" w:eastAsia="黑体" w:cs="Times New Roman"/>
      <w:kern w:val="0"/>
      <w:sz w:val="21"/>
      <w:szCs w:val="20"/>
      <w:lang w:val="en-US" w:eastAsia="zh-CN" w:bidi="ar-SA"/>
    </w:rPr>
  </w:style>
  <w:style w:type="paragraph" w:customStyle="1" w:styleId="16">
    <w:name w:val="封面标准号2"/>
    <w:autoRedefine/>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17">
    <w:name w:val="段"/>
    <w:link w:val="18"/>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宋体"/>
      <w:kern w:val="0"/>
      <w:sz w:val="21"/>
      <w:szCs w:val="21"/>
      <w:lang w:val="en-US" w:eastAsia="zh-CN" w:bidi="ar-SA"/>
    </w:rPr>
  </w:style>
  <w:style w:type="character" w:customStyle="1" w:styleId="18">
    <w:name w:val="段 Char"/>
    <w:basedOn w:val="7"/>
    <w:link w:val="17"/>
    <w:autoRedefine/>
    <w:qFormat/>
    <w:locked/>
    <w:uiPriority w:val="0"/>
    <w:rPr>
      <w:rFonts w:ascii="宋体" w:hAnsi="Times New Roman" w:eastAsia="宋体" w:cs="宋体"/>
      <w:kern w:val="0"/>
      <w:szCs w:val="21"/>
    </w:rPr>
  </w:style>
  <w:style w:type="table" w:customStyle="1" w:styleId="19">
    <w:name w:val="网格型4"/>
    <w:basedOn w:val="5"/>
    <w:autoRedefine/>
    <w:qFormat/>
    <w:uiPriority w:val="0"/>
    <w:rPr>
      <w:rFonts w:ascii="宋体" w:hAnsi="Times New Roman" w:eastAsia="宋体" w:cs="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0">
    <w:name w:val="网格型5"/>
    <w:basedOn w:val="5"/>
    <w:autoRedefine/>
    <w:qFormat/>
    <w:uiPriority w:val="0"/>
    <w:rPr>
      <w:rFonts w:ascii="宋体" w:hAnsi="Times New Roman" w:eastAsia="宋体" w:cs="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
    <w:name w:val="网格型6"/>
    <w:basedOn w:val="5"/>
    <w:autoRedefine/>
    <w:qFormat/>
    <w:uiPriority w:val="0"/>
    <w:rPr>
      <w:rFonts w:ascii="宋体" w:hAnsi="Times New Roman" w:eastAsia="宋体" w:cs="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
    <w:name w:val="网格型7"/>
    <w:basedOn w:val="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二级无"/>
    <w:basedOn w:val="1"/>
    <w:autoRedefine/>
    <w:qFormat/>
    <w:uiPriority w:val="0"/>
    <w:pPr>
      <w:widowControl/>
      <w:numPr>
        <w:ilvl w:val="2"/>
        <w:numId w:val="2"/>
      </w:numPr>
      <w:jc w:val="left"/>
      <w:outlineLvl w:val="3"/>
    </w:pPr>
    <w:rPr>
      <w:rFonts w:ascii="宋体" w:hAnsi="Times New Roman" w:eastAsia="宋体" w:cs="Times New Roman"/>
      <w:kern w:val="0"/>
      <w:szCs w:val="21"/>
    </w:rPr>
  </w:style>
  <w:style w:type="table" w:customStyle="1" w:styleId="24">
    <w:name w:val="网格型8"/>
    <w:basedOn w:val="5"/>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网格型11"/>
    <w:basedOn w:val="5"/>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Table Text"/>
    <w:basedOn w:val="1"/>
    <w:autoRedefine/>
    <w:semiHidden/>
    <w:qFormat/>
    <w:uiPriority w:val="0"/>
    <w:rPr>
      <w:rFonts w:ascii="仿宋" w:hAnsi="仿宋" w:eastAsia="仿宋" w:cs="仿宋"/>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901B0-A62E-4E0D-80BB-F4483D36BE94}">
  <ds:schemaRefs/>
</ds:datastoreItem>
</file>

<file path=docProps/app.xml><?xml version="1.0" encoding="utf-8"?>
<Properties xmlns="http://schemas.openxmlformats.org/officeDocument/2006/extended-properties" xmlns:vt="http://schemas.openxmlformats.org/officeDocument/2006/docPropsVTypes">
  <Template>Normal</Template>
  <Pages>12</Pages>
  <Words>5282</Words>
  <Characters>5628</Characters>
  <Lines>46</Lines>
  <Paragraphs>13</Paragraphs>
  <TotalTime>0</TotalTime>
  <ScaleCrop>false</ScaleCrop>
  <LinksUpToDate>false</LinksUpToDate>
  <CharactersWithSpaces>5687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2022-06-14T06:09:00Z</dcterms:created>
  <dc:creator>wangzequn</dc:creator>
  <cp:lastModifiedBy>Feeling</cp:lastModifiedBy>
  <dcterms:modified xsi:type="dcterms:W3CDTF">2024-08-28T02:11:28Z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E7629A85EEDC478BBACA8601864DD664_12</vt:lpwstr>
  </property>
</Properties>
</file>