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02A8" w:rsidRDefault="00000000">
      <w:pPr>
        <w:pStyle w:val="affff0"/>
        <w:framePr w:wrap="around"/>
        <w:spacing w:line="240" w:lineRule="atLeast"/>
        <w:ind w:left="1134" w:right="1692"/>
        <w:rPr>
          <w:rFonts w:hAnsi="宋体" w:hint="eastAsia"/>
        </w:rPr>
      </w:pPr>
      <w:r>
        <w:rPr>
          <w:rFonts w:hAnsi="宋体" w:hint="eastAsia"/>
        </w:rPr>
        <w:t>团体标准</w:t>
      </w:r>
    </w:p>
    <w:p w:rsidR="000902A8" w:rsidRDefault="00000000">
      <w:pPr>
        <w:pStyle w:val="21"/>
        <w:framePr w:wrap="around" w:x="1517" w:y="3121"/>
        <w:pBdr>
          <w:bottom w:val="single" w:sz="4" w:space="1" w:color="auto"/>
        </w:pBdr>
        <w:rPr>
          <w:rFonts w:hAnsi="黑体" w:hint="eastAsia"/>
        </w:rPr>
      </w:pPr>
      <w:r>
        <w:rPr>
          <w:rFonts w:hAnsi="黑体"/>
        </w:rPr>
        <w:t xml:space="preserve">T/SSEA </w:t>
      </w:r>
      <w:r>
        <w:rPr>
          <w:rFonts w:hAnsi="黑体" w:hint="eastAsia"/>
        </w:rPr>
        <w:t>XXXX</w:t>
      </w:r>
      <w:r>
        <w:rPr>
          <w:rFonts w:hAnsi="黑体"/>
        </w:rPr>
        <w:t>—</w:t>
      </w:r>
      <w:r>
        <w:rPr>
          <w:rFonts w:hAnsi="黑体" w:hint="eastAsia"/>
        </w:rPr>
        <w:t>XXXX</w:t>
      </w:r>
    </w:p>
    <w:p w:rsidR="000902A8" w:rsidRDefault="000902A8">
      <w:pPr>
        <w:pStyle w:val="21"/>
        <w:framePr w:wrap="around" w:x="1517" w:y="3121"/>
        <w:rPr>
          <w:rFonts w:ascii="宋体" w:eastAsia="宋体" w:hAnsi="宋体" w:hint="eastAsia"/>
        </w:rPr>
      </w:pPr>
    </w:p>
    <w:p w:rsidR="000902A8" w:rsidRDefault="000902A8">
      <w:pPr>
        <w:pStyle w:val="21"/>
        <w:framePr w:wrap="around" w:x="1517" w:y="3121"/>
        <w:rPr>
          <w:rFonts w:ascii="宋体" w:eastAsia="宋体" w:hAnsi="宋体" w:hint="eastAsia"/>
        </w:rPr>
      </w:pPr>
    </w:p>
    <w:p w:rsidR="000902A8" w:rsidRDefault="00000000">
      <w:pPr>
        <w:pStyle w:val="affffa"/>
        <w:framePr w:w="9474" w:wrap="around" w:x="1152" w:y="6132"/>
        <w:rPr>
          <w:rFonts w:eastAsia="宋体"/>
          <w:color w:val="0000FF"/>
          <w14:textFill>
            <w14:gradFill>
              <w14:gsLst>
                <w14:gs w14:pos="0">
                  <w14:srgbClr w14:val="007BD3"/>
                </w14:gs>
                <w14:gs w14:pos="100000">
                  <w14:srgbClr w14:val="034373"/>
                </w14:gs>
              </w14:gsLst>
              <w14:lin w14:ang="0" w14:scaled="0"/>
            </w14:gradFill>
          </w14:textFill>
        </w:rPr>
      </w:pPr>
      <w:r>
        <w:rPr>
          <w:rFonts w:hint="eastAsia"/>
        </w:rPr>
        <w:t>高纯原料纯铁</w:t>
      </w:r>
    </w:p>
    <w:p w:rsidR="000902A8" w:rsidRDefault="00000000">
      <w:pPr>
        <w:pStyle w:val="affffb"/>
        <w:framePr w:w="9474" w:wrap="around" w:x="1152" w:y="6132"/>
      </w:pPr>
      <w:r>
        <w:t xml:space="preserve">High purity iron of raw material </w:t>
      </w:r>
    </w:p>
    <w:p w:rsidR="000902A8" w:rsidRDefault="000902A8">
      <w:pPr>
        <w:pStyle w:val="affffc"/>
        <w:framePr w:w="9474" w:wrap="around" w:x="1152" w:y="6132"/>
        <w:spacing w:before="156" w:after="156"/>
        <w:rPr>
          <w:rFonts w:hAnsi="宋体" w:hint="eastAsia"/>
        </w:rPr>
      </w:pPr>
    </w:p>
    <w:p w:rsidR="000902A8" w:rsidRDefault="00000000">
      <w:pPr>
        <w:pStyle w:val="afffffff"/>
        <w:framePr w:wrap="around" w:hAnchor="page" w:x="1561" w:y="13816"/>
      </w:pPr>
      <w:r>
        <w:rPr>
          <w:rFonts w:ascii="黑体"/>
        </w:rPr>
        <w:fldChar w:fldCharType="begin">
          <w:ffData>
            <w:name w:val="FY"/>
            <w:enabled/>
            <w:calcOnExit w:val="0"/>
            <w:textInput>
              <w:default w:val="XXXX"/>
              <w:maxLength w:val="4"/>
            </w:textInput>
          </w:ffData>
        </w:fldChar>
      </w:r>
      <w:bookmarkStart w:id="0" w:name="F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0"/>
      <w:r>
        <w:rPr>
          <w:rFonts w:ascii="黑体"/>
        </w:rPr>
        <w:t>-</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rPr>
          <w:rFonts w:ascii="黑体"/>
        </w:rPr>
        <w:t>-</w:t>
      </w:r>
      <w:r>
        <w:rPr>
          <w:rFonts w:ascii="黑体"/>
        </w:rPr>
        <w:fldChar w:fldCharType="begin">
          <w:ffData>
            <w:name w:val="FD"/>
            <w:enabled/>
            <w:calcOnExit w:val="0"/>
            <w:textInput>
              <w:default w:val="XX"/>
              <w:maxLength w:val="2"/>
            </w:textInput>
          </w:ffData>
        </w:fldChar>
      </w:r>
      <w:bookmarkStart w:id="1" w:name="F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
      <w:r>
        <w:rPr>
          <w:rFonts w:hint="eastAsia"/>
        </w:rPr>
        <w:t>发布</w:t>
      </w:r>
      <w:r>
        <w:rPr>
          <w:noProof/>
        </w:rP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5887085" cy="0"/>
                <wp:effectExtent l="0" t="0" r="0" b="0"/>
                <wp:wrapNone/>
                <wp:docPr id="1" name="直线 4"/>
                <wp:cNvGraphicFramePr/>
                <a:graphic xmlns:a="http://schemas.openxmlformats.org/drawingml/2006/main">
                  <a:graphicData uri="http://schemas.microsoft.com/office/word/2010/wordprocessingShape">
                    <wps:wsp>
                      <wps:cNvCnPr/>
                      <wps:spPr>
                        <a:xfrm>
                          <a:off x="0" y="0"/>
                          <a:ext cx="58870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4" o:spid="_x0000_s1026" o:spt="20" style="position:absolute;left:0pt;margin-left:-0.05pt;margin-top:728.5pt;height:0pt;width:463.55pt;mso-position-vertical-relative:page;z-index:251660288;mso-width-relative:page;mso-height-relative:page;" filled="f" stroked="t" coordsize="21600,21600" o:gfxdata="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8oREE1gAAAAsB&#10;AAAPAAAAAAAAAAEAIAAAACIAAABkcnMvZG93bnJldi54bWxQSwECFAAUAAAACACHTuJA4XSMg+QB&#10;AADdAwAADgAAAAAAAAABACAAAAAlAQAAZHJzL2Uyb0RvYy54bWxQSwUGAAAAAAYABgBZAQAAewUA&#10;AAAA&#10;">
                <v:fill on="f" focussize="0,0"/>
                <v:stroke color="#000000" joinstyle="round"/>
                <v:imagedata o:title=""/>
                <o:lock v:ext="edit" aspectratio="f"/>
                <w10:anchorlock/>
              </v:line>
            </w:pict>
          </mc:Fallback>
        </mc:AlternateContent>
      </w:r>
    </w:p>
    <w:p w:rsidR="000902A8" w:rsidRDefault="00000000">
      <w:pPr>
        <w:pStyle w:val="afffffff0"/>
        <w:framePr w:wrap="around" w:hAnchor="page" w:x="6931" w:y="13891"/>
      </w:pPr>
      <w:r>
        <w:rPr>
          <w:rFonts w:ascii="黑体"/>
        </w:rPr>
        <w:fldChar w:fldCharType="begin">
          <w:ffData>
            <w:name w:val="SY"/>
            <w:enabled/>
            <w:calcOnExit w:val="0"/>
            <w:textInput>
              <w:default w:val="XXXX"/>
              <w:maxLength w:val="4"/>
            </w:textInput>
          </w:ffData>
        </w:fldChar>
      </w:r>
      <w:bookmarkStart w:id="2" w:name="S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2"/>
      <w:r>
        <w:rPr>
          <w:rFonts w:ascii="黑体"/>
        </w:rPr>
        <w:t>-</w:t>
      </w:r>
      <w:r>
        <w:rPr>
          <w:rFonts w:ascii="黑体"/>
        </w:rPr>
        <w:fldChar w:fldCharType="begin">
          <w:ffData>
            <w:name w:val="SM"/>
            <w:enabled/>
            <w:calcOnExit w:val="0"/>
            <w:textInput>
              <w:default w:val="XX"/>
              <w:maxLength w:val="2"/>
            </w:textInput>
          </w:ffData>
        </w:fldChar>
      </w:r>
      <w:bookmarkStart w:id="3" w:name="S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3"/>
      <w:r>
        <w:rPr>
          <w:rFonts w:ascii="黑体"/>
        </w:rPr>
        <w:t>-</w:t>
      </w:r>
      <w:r>
        <w:rPr>
          <w:rFonts w:ascii="黑体"/>
        </w:rPr>
        <w:fldChar w:fldCharType="begin">
          <w:ffData>
            <w:name w:val="SD"/>
            <w:enabled/>
            <w:calcOnExit w:val="0"/>
            <w:textInput>
              <w:default w:val="XX"/>
              <w:maxLength w:val="2"/>
            </w:textInput>
          </w:ffData>
        </w:fldChar>
      </w:r>
      <w:bookmarkStart w:id="4" w:name="S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4"/>
      <w:r>
        <w:rPr>
          <w:rFonts w:hint="eastAsia"/>
        </w:rPr>
        <w:t>实施</w:t>
      </w:r>
    </w:p>
    <w:p w:rsidR="000902A8" w:rsidRDefault="00000000">
      <w:pPr>
        <w:pStyle w:val="affff7"/>
        <w:framePr w:wrap="around" w:x="2300" w:y="14629"/>
        <w:rPr>
          <w:rFonts w:hAnsi="宋体" w:hint="eastAsia"/>
        </w:rPr>
      </w:pPr>
      <w:r>
        <w:rPr>
          <w:rFonts w:hAnsi="宋体"/>
          <w:sz w:val="36"/>
          <w:szCs w:val="36"/>
        </w:rPr>
        <w:t>中国特钢企业协会</w:t>
      </w:r>
      <w:r>
        <w:rPr>
          <w:rFonts w:hAnsi="宋体"/>
        </w:rPr>
        <w:t>发布</w:t>
      </w:r>
    </w:p>
    <w:p w:rsidR="000902A8" w:rsidRDefault="00000000">
      <w:pPr>
        <w:pStyle w:val="affb"/>
        <w:spacing w:line="340" w:lineRule="exact"/>
        <w:rPr>
          <w:rFonts w:ascii="Times New Roman"/>
          <w:color w:val="000000"/>
        </w:rPr>
      </w:pPr>
      <w:r>
        <w:rPr>
          <w:rFonts w:ascii="Times New Roman"/>
          <w:color w:val="000000"/>
        </w:rPr>
        <w:t>ICS 77.</w:t>
      </w:r>
      <w:r>
        <w:rPr>
          <w:rFonts w:ascii="Times New Roman" w:hint="eastAsia"/>
          <w:color w:val="000000"/>
        </w:rPr>
        <w:t>080</w:t>
      </w:r>
      <w:r>
        <w:rPr>
          <w:rFonts w:ascii="Times New Roman"/>
          <w:color w:val="000000"/>
        </w:rPr>
        <w:t>.</w:t>
      </w:r>
      <w:r>
        <w:rPr>
          <w:rFonts w:ascii="Times New Roman" w:hint="eastAsia"/>
          <w:color w:val="000000"/>
        </w:rPr>
        <w:t>1</w:t>
      </w:r>
      <w:r>
        <w:rPr>
          <w:rFonts w:ascii="Times New Roman"/>
          <w:color w:val="000000"/>
        </w:rPr>
        <w:t>0</w:t>
      </w:r>
    </w:p>
    <w:p w:rsidR="000902A8" w:rsidRDefault="00000000">
      <w:pPr>
        <w:pStyle w:val="affb"/>
        <w:spacing w:line="340" w:lineRule="exact"/>
        <w:rPr>
          <w:rFonts w:ascii="Times New Roman"/>
          <w:color w:val="000000"/>
        </w:rPr>
      </w:pPr>
      <w:r>
        <w:rPr>
          <w:rFonts w:ascii="Times New Roman" w:hint="eastAsia"/>
          <w:color w:val="000000"/>
        </w:rPr>
        <w:t xml:space="preserve">CCS </w:t>
      </w:r>
      <w:r>
        <w:rPr>
          <w:rFonts w:ascii="Times New Roman"/>
          <w:color w:val="000000"/>
        </w:rPr>
        <w:t xml:space="preserve">H </w:t>
      </w:r>
      <w:r>
        <w:rPr>
          <w:rFonts w:ascii="Times New Roman" w:hint="eastAsia"/>
          <w:color w:val="000000"/>
        </w:rPr>
        <w:t>53</w:t>
      </w:r>
    </w:p>
    <w:p w:rsidR="000902A8" w:rsidRDefault="000902A8">
      <w:pPr>
        <w:jc w:val="center"/>
        <w:rPr>
          <w:rFonts w:ascii="宋体" w:hAnsi="宋体" w:hint="eastAsia"/>
          <w:spacing w:val="20"/>
          <w:sz w:val="28"/>
          <w:szCs w:val="28"/>
        </w:rPr>
      </w:pPr>
    </w:p>
    <w:p w:rsidR="000902A8" w:rsidRDefault="000902A8">
      <w:pPr>
        <w:jc w:val="center"/>
        <w:rPr>
          <w:rFonts w:ascii="宋体" w:hAnsi="宋体" w:hint="eastAsia"/>
          <w:spacing w:val="20"/>
          <w:sz w:val="28"/>
          <w:szCs w:val="28"/>
        </w:rPr>
      </w:pPr>
    </w:p>
    <w:p w:rsidR="000902A8" w:rsidRDefault="000902A8">
      <w:pPr>
        <w:jc w:val="center"/>
        <w:rPr>
          <w:rFonts w:ascii="宋体" w:hAnsi="宋体" w:hint="eastAsia"/>
          <w:b/>
          <w:sz w:val="32"/>
        </w:rPr>
        <w:sectPr w:rsidR="000902A8">
          <w:headerReference w:type="default" r:id="rId10"/>
          <w:pgSz w:w="11906" w:h="16838"/>
          <w:pgMar w:top="1134" w:right="1134" w:bottom="1134" w:left="1418" w:header="851" w:footer="992" w:gutter="0"/>
          <w:pgNumType w:start="0"/>
          <w:cols w:space="425"/>
          <w:docGrid w:type="lines" w:linePitch="312"/>
        </w:sectPr>
      </w:pPr>
    </w:p>
    <w:p w:rsidR="000902A8" w:rsidRDefault="000902A8">
      <w:pPr>
        <w:pStyle w:val="afffffe"/>
        <w:spacing w:before="156" w:after="156"/>
      </w:pPr>
      <w:bookmarkStart w:id="5" w:name="_Toc520380389"/>
    </w:p>
    <w:p w:rsidR="000902A8" w:rsidRDefault="000902A8">
      <w:pPr>
        <w:pStyle w:val="affb"/>
      </w:pPr>
    </w:p>
    <w:p w:rsidR="000902A8" w:rsidRDefault="000902A8">
      <w:pPr>
        <w:pStyle w:val="affb"/>
      </w:pPr>
    </w:p>
    <w:p w:rsidR="000902A8" w:rsidRDefault="000902A8">
      <w:pPr>
        <w:pStyle w:val="affb"/>
      </w:pPr>
    </w:p>
    <w:p w:rsidR="000902A8" w:rsidRDefault="000902A8">
      <w:pPr>
        <w:pStyle w:val="affb"/>
      </w:pPr>
    </w:p>
    <w:p w:rsidR="000902A8" w:rsidRDefault="000902A8">
      <w:pPr>
        <w:pStyle w:val="affb"/>
      </w:pPr>
    </w:p>
    <w:p w:rsidR="000902A8" w:rsidRDefault="000902A8">
      <w:pPr>
        <w:pStyle w:val="affb"/>
      </w:pPr>
    </w:p>
    <w:p w:rsidR="000902A8" w:rsidRDefault="000902A8">
      <w:pPr>
        <w:pStyle w:val="affb"/>
      </w:pPr>
    </w:p>
    <w:p w:rsidR="000902A8" w:rsidRDefault="000902A8">
      <w:pPr>
        <w:pStyle w:val="affb"/>
      </w:pPr>
    </w:p>
    <w:p w:rsidR="000902A8" w:rsidRDefault="000902A8">
      <w:pPr>
        <w:pStyle w:val="affb"/>
      </w:pPr>
    </w:p>
    <w:p w:rsidR="000902A8" w:rsidRDefault="000902A8">
      <w:pPr>
        <w:pStyle w:val="affb"/>
      </w:pPr>
    </w:p>
    <w:p w:rsidR="000902A8" w:rsidRDefault="000902A8">
      <w:pPr>
        <w:pStyle w:val="affb"/>
      </w:pPr>
    </w:p>
    <w:p w:rsidR="000902A8" w:rsidRDefault="000902A8">
      <w:pPr>
        <w:pStyle w:val="affb"/>
      </w:pPr>
    </w:p>
    <w:p w:rsidR="000902A8" w:rsidRDefault="000902A8">
      <w:pPr>
        <w:pStyle w:val="affb"/>
      </w:pPr>
    </w:p>
    <w:p w:rsidR="000902A8" w:rsidRDefault="000902A8">
      <w:pPr>
        <w:pStyle w:val="affb"/>
      </w:pPr>
    </w:p>
    <w:p w:rsidR="000902A8" w:rsidRDefault="000902A8">
      <w:pPr>
        <w:pStyle w:val="affb"/>
      </w:pPr>
    </w:p>
    <w:p w:rsidR="000902A8" w:rsidRDefault="000902A8">
      <w:pPr>
        <w:pStyle w:val="affb"/>
      </w:pPr>
    </w:p>
    <w:p w:rsidR="000902A8" w:rsidRDefault="000902A8">
      <w:pPr>
        <w:pStyle w:val="affb"/>
      </w:pPr>
    </w:p>
    <w:p w:rsidR="000902A8" w:rsidRDefault="000902A8">
      <w:pPr>
        <w:pStyle w:val="affb"/>
      </w:pPr>
    </w:p>
    <w:p w:rsidR="000902A8" w:rsidRDefault="000902A8">
      <w:pPr>
        <w:pStyle w:val="affb"/>
      </w:pPr>
    </w:p>
    <w:p w:rsidR="000902A8" w:rsidRDefault="000902A8">
      <w:pPr>
        <w:pStyle w:val="affb"/>
      </w:pPr>
    </w:p>
    <w:p w:rsidR="000902A8" w:rsidRDefault="000902A8">
      <w:pPr>
        <w:pStyle w:val="affb"/>
      </w:pPr>
    </w:p>
    <w:p w:rsidR="000902A8" w:rsidRDefault="000902A8">
      <w:pPr>
        <w:pStyle w:val="affb"/>
      </w:pPr>
    </w:p>
    <w:p w:rsidR="000902A8" w:rsidRDefault="000902A8">
      <w:pPr>
        <w:pStyle w:val="affb"/>
      </w:pPr>
    </w:p>
    <w:p w:rsidR="000902A8" w:rsidRDefault="000902A8">
      <w:pPr>
        <w:pStyle w:val="affb"/>
      </w:pPr>
    </w:p>
    <w:p w:rsidR="000902A8" w:rsidRDefault="000902A8">
      <w:pPr>
        <w:pStyle w:val="affb"/>
      </w:pPr>
    </w:p>
    <w:p w:rsidR="000902A8" w:rsidRDefault="000902A8">
      <w:pPr>
        <w:pStyle w:val="affb"/>
      </w:pPr>
    </w:p>
    <w:p w:rsidR="000902A8" w:rsidRDefault="000902A8">
      <w:pPr>
        <w:pStyle w:val="affb"/>
      </w:pPr>
    </w:p>
    <w:p w:rsidR="000902A8" w:rsidRDefault="000902A8">
      <w:pPr>
        <w:pStyle w:val="affb"/>
      </w:pPr>
    </w:p>
    <w:p w:rsidR="000902A8" w:rsidRDefault="000902A8">
      <w:pPr>
        <w:pStyle w:val="affb"/>
      </w:pPr>
    </w:p>
    <w:p w:rsidR="000902A8" w:rsidRDefault="000902A8">
      <w:pPr>
        <w:pStyle w:val="affb"/>
      </w:pPr>
    </w:p>
    <w:p w:rsidR="000902A8" w:rsidRDefault="000902A8">
      <w:pPr>
        <w:pStyle w:val="affb"/>
      </w:pPr>
    </w:p>
    <w:p w:rsidR="000902A8" w:rsidRDefault="000902A8">
      <w:pPr>
        <w:pStyle w:val="affb"/>
      </w:pPr>
    </w:p>
    <w:p w:rsidR="000902A8" w:rsidRDefault="00000000">
      <w:pPr>
        <w:rPr>
          <w:rFonts w:ascii="宋体"/>
        </w:rPr>
      </w:pPr>
      <w:r>
        <w:rPr>
          <w:rFonts w:ascii="宋体"/>
          <w:noProof/>
        </w:rPr>
        <w:drawing>
          <wp:inline distT="0" distB="0" distL="114300" distR="114300">
            <wp:extent cx="806450" cy="762000"/>
            <wp:effectExtent l="0" t="0" r="127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806450" cy="762000"/>
                    </a:xfrm>
                    <a:prstGeom prst="rect">
                      <a:avLst/>
                    </a:prstGeom>
                    <a:noFill/>
                    <a:ln>
                      <a:noFill/>
                    </a:ln>
                  </pic:spPr>
                </pic:pic>
              </a:graphicData>
            </a:graphic>
          </wp:inline>
        </w:drawing>
      </w:r>
      <w:r>
        <w:rPr>
          <w:rFonts w:ascii="宋体" w:hint="eastAsia"/>
        </w:rPr>
        <w:t>版权保护文件</w:t>
      </w:r>
    </w:p>
    <w:p w:rsidR="000902A8" w:rsidRDefault="00000000">
      <w:pPr>
        <w:spacing w:beforeLines="50" w:before="156" w:afterLines="50" w:after="156"/>
        <w:rPr>
          <w:rFonts w:ascii="宋体" w:hAnsi="宋体" w:hint="eastAsia"/>
        </w:rPr>
        <w:sectPr w:rsidR="000902A8">
          <w:headerReference w:type="default" r:id="rId12"/>
          <w:footerReference w:type="default" r:id="rId13"/>
          <w:pgSz w:w="11906" w:h="16838"/>
          <w:pgMar w:top="1440" w:right="1466" w:bottom="1440" w:left="1620" w:header="851" w:footer="992" w:gutter="0"/>
          <w:pgNumType w:fmt="upperRoman" w:start="1"/>
          <w:cols w:space="425"/>
          <w:docGrid w:type="lines" w:linePitch="312"/>
        </w:sectPr>
      </w:pPr>
      <w:r>
        <w:rPr>
          <w:rFonts w:ascii="宋体" w:hint="eastAsia"/>
        </w:rPr>
        <w:t>版权所有归属于该标准的发布机构。除非有其他规定，否则未经许可，</w:t>
      </w:r>
      <w:proofErr w:type="gramStart"/>
      <w:r>
        <w:rPr>
          <w:rFonts w:ascii="宋体" w:hint="eastAsia"/>
        </w:rPr>
        <w:t>此发行</w:t>
      </w:r>
      <w:proofErr w:type="gramEnd"/>
      <w:r>
        <w:rPr>
          <w:rFonts w:ascii="宋体" w:hint="eastAsia"/>
        </w:rPr>
        <w:t>物及其章节不得以其他形式或任何手段进行复制、再版或使用，包括电子版，影印件，或发布在互联网及内部网络等。使用许可</w:t>
      </w:r>
      <w:proofErr w:type="gramStart"/>
      <w:r>
        <w:rPr>
          <w:rFonts w:ascii="宋体" w:hint="eastAsia"/>
        </w:rPr>
        <w:t>可</w:t>
      </w:r>
      <w:proofErr w:type="gramEnd"/>
      <w:r>
        <w:rPr>
          <w:rFonts w:ascii="宋体" w:hint="eastAsia"/>
        </w:rPr>
        <w:t>于发布机构获取。</w:t>
      </w:r>
    </w:p>
    <w:p w:rsidR="000902A8" w:rsidRDefault="00000000">
      <w:pPr>
        <w:pStyle w:val="afffffe"/>
        <w:rPr>
          <w:rFonts w:ascii="Times New Roman"/>
        </w:rPr>
      </w:pPr>
      <w:bookmarkStart w:id="6" w:name="_Toc14027"/>
      <w:r>
        <w:rPr>
          <w:rFonts w:ascii="Times New Roman"/>
        </w:rPr>
        <w:lastRenderedPageBreak/>
        <w:t>前言</w:t>
      </w:r>
      <w:bookmarkEnd w:id="5"/>
      <w:bookmarkEnd w:id="6"/>
    </w:p>
    <w:p w:rsidR="000902A8" w:rsidRDefault="00000000">
      <w:pPr>
        <w:pStyle w:val="affb"/>
        <w:ind w:leftChars="100" w:left="210" w:firstLineChars="100" w:firstLine="21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w:t>
      </w:r>
      <w:r>
        <w:rPr>
          <w:rFonts w:ascii="Times New Roman" w:hint="eastAsia"/>
        </w:rPr>
        <w:t>规定</w:t>
      </w:r>
      <w:r>
        <w:rPr>
          <w:rFonts w:ascii="Times New Roman"/>
        </w:rPr>
        <w:t>起草。</w:t>
      </w:r>
    </w:p>
    <w:p w:rsidR="000902A8" w:rsidRDefault="00000000">
      <w:pPr>
        <w:pStyle w:val="affb"/>
        <w:rPr>
          <w:rFonts w:ascii="Times New Roman"/>
          <w:kern w:val="2"/>
          <w:szCs w:val="22"/>
        </w:rPr>
      </w:pPr>
      <w:r>
        <w:rPr>
          <w:rFonts w:ascii="Times New Roman"/>
          <w:kern w:val="2"/>
          <w:szCs w:val="22"/>
        </w:rPr>
        <w:t>请注意本文件的某些内容可能涉及专利。本文件的发布机构不承担识别专利的责任。</w:t>
      </w:r>
    </w:p>
    <w:p w:rsidR="000902A8" w:rsidRDefault="00000000">
      <w:pPr>
        <w:pStyle w:val="affb"/>
        <w:rPr>
          <w:rFonts w:ascii="Times New Roman"/>
        </w:rPr>
      </w:pPr>
      <w:r>
        <w:rPr>
          <w:rFonts w:ascii="Times New Roman"/>
        </w:rPr>
        <w:t>本文件由中国特钢企业协会团体标准化工作委员会提出并归口。</w:t>
      </w:r>
    </w:p>
    <w:p w:rsidR="000902A8" w:rsidRDefault="00000000">
      <w:pPr>
        <w:pStyle w:val="affb"/>
        <w:rPr>
          <w:rFonts w:ascii="Times New Roman"/>
        </w:rPr>
      </w:pPr>
      <w:r>
        <w:rPr>
          <w:rFonts w:ascii="Times New Roman"/>
        </w:rPr>
        <w:t>本文件主要起草单位：</w:t>
      </w:r>
      <w:r>
        <w:rPr>
          <w:rFonts w:ascii="Times New Roman"/>
        </w:rPr>
        <w:t xml:space="preserve"> </w:t>
      </w:r>
    </w:p>
    <w:p w:rsidR="000902A8" w:rsidRDefault="00000000">
      <w:pPr>
        <w:pStyle w:val="affb"/>
        <w:rPr>
          <w:rFonts w:hAnsi="宋体" w:hint="eastAsia"/>
        </w:rPr>
        <w:sectPr w:rsidR="000902A8">
          <w:headerReference w:type="default" r:id="rId14"/>
          <w:footerReference w:type="default" r:id="rId15"/>
          <w:pgSz w:w="11906" w:h="16838"/>
          <w:pgMar w:top="1134" w:right="1134" w:bottom="1134" w:left="1418" w:header="851" w:footer="992" w:gutter="0"/>
          <w:pgNumType w:fmt="upperRoman" w:start="1"/>
          <w:cols w:space="425"/>
          <w:docGrid w:type="lines" w:linePitch="312"/>
        </w:sectPr>
      </w:pPr>
      <w:r>
        <w:rPr>
          <w:rFonts w:ascii="Times New Roman"/>
        </w:rPr>
        <w:t>本文件主要起草人：</w:t>
      </w:r>
      <w:r>
        <w:rPr>
          <w:rFonts w:hAnsi="宋体" w:hint="eastAsia"/>
        </w:rPr>
        <w:t xml:space="preserve"> </w:t>
      </w:r>
    </w:p>
    <w:p w:rsidR="000902A8" w:rsidRDefault="00000000">
      <w:pPr>
        <w:pStyle w:val="afff7"/>
        <w:spacing w:afterLines="200" w:after="624"/>
        <w:rPr>
          <w:rFonts w:hAnsi="宋体" w:hint="eastAsia"/>
          <w:color w:val="1F497D" w:themeColor="text2"/>
        </w:rPr>
      </w:pPr>
      <w:bookmarkStart w:id="7" w:name="_Hlk174625820"/>
      <w:r>
        <w:rPr>
          <w:rFonts w:hAnsi="宋体" w:hint="eastAsia"/>
        </w:rPr>
        <w:lastRenderedPageBreak/>
        <w:t>高纯原料纯铁</w:t>
      </w:r>
    </w:p>
    <w:p w:rsidR="000902A8" w:rsidRDefault="00000000">
      <w:pPr>
        <w:pStyle w:val="a"/>
        <w:spacing w:before="312" w:after="312"/>
      </w:pPr>
      <w:bookmarkStart w:id="8" w:name="_Toc520380391"/>
      <w:bookmarkStart w:id="9" w:name="_Toc30353"/>
      <w:bookmarkEnd w:id="7"/>
      <w:r>
        <w:rPr>
          <w:rFonts w:hint="eastAsia"/>
        </w:rPr>
        <w:t>范围</w:t>
      </w:r>
      <w:bookmarkEnd w:id="8"/>
      <w:bookmarkEnd w:id="9"/>
    </w:p>
    <w:p w:rsidR="000902A8" w:rsidRDefault="00000000">
      <w:pPr>
        <w:ind w:firstLineChars="200" w:firstLine="420"/>
      </w:pPr>
      <w:bookmarkStart w:id="10" w:name="_Toc520380392"/>
      <w:r>
        <w:rPr>
          <w:rFonts w:hAnsi="宋体" w:hint="eastAsia"/>
        </w:rPr>
        <w:t>本文件规定了</w:t>
      </w:r>
      <w:bookmarkStart w:id="11" w:name="_Hlk174627286"/>
      <w:r>
        <w:rPr>
          <w:rFonts w:hAnsi="宋体" w:hint="eastAsia"/>
        </w:rPr>
        <w:t>高纯原料纯铁的牌号表示方法和分类、订货内容、尺寸、外形、重量、技术要求、试验方法、检验规则、包装、标志及质量证明书</w:t>
      </w:r>
      <w:bookmarkEnd w:id="11"/>
      <w:r>
        <w:rPr>
          <w:rFonts w:hAnsi="宋体" w:hint="eastAsia"/>
        </w:rPr>
        <w:t>。</w:t>
      </w:r>
    </w:p>
    <w:p w:rsidR="000902A8" w:rsidRDefault="00000000">
      <w:pPr>
        <w:tabs>
          <w:tab w:val="left" w:pos="3150"/>
        </w:tabs>
        <w:ind w:firstLineChars="200" w:firstLine="420"/>
        <w:rPr>
          <w:rFonts w:hAnsi="宋体" w:hint="eastAsia"/>
        </w:rPr>
      </w:pPr>
      <w:r>
        <w:rPr>
          <w:rFonts w:hAnsi="宋体" w:hint="eastAsia"/>
        </w:rPr>
        <w:t>本文件适用于</w:t>
      </w:r>
      <w:bookmarkStart w:id="12" w:name="_Hlk174627296"/>
      <w:r>
        <w:rPr>
          <w:rFonts w:hAnsi="宋体" w:hint="eastAsia"/>
        </w:rPr>
        <w:t>电热合金、精密合金（包括软磁材料、硬磁材料、弹性合金、膨胀合金等）、低碳不锈钢、超低碳不锈钢、粉末冶金和新能源电池等用途铁含量为</w:t>
      </w:r>
      <w:r>
        <w:rPr>
          <w:rFonts w:hAnsi="宋体" w:hint="eastAsia"/>
        </w:rPr>
        <w:t>99.92%</w:t>
      </w:r>
      <w:r>
        <w:rPr>
          <w:rFonts w:hAnsi="宋体" w:hint="eastAsia"/>
        </w:rPr>
        <w:t>～</w:t>
      </w:r>
      <w:r>
        <w:rPr>
          <w:rFonts w:hAnsi="宋体" w:hint="eastAsia"/>
        </w:rPr>
        <w:t>99.994%</w:t>
      </w:r>
      <w:r>
        <w:rPr>
          <w:rFonts w:hAnsi="宋体" w:hint="eastAsia"/>
        </w:rPr>
        <w:t>的原料纯铁连铸坯、热轧钢棒、热轧盘条</w:t>
      </w:r>
      <w:bookmarkEnd w:id="12"/>
      <w:r>
        <w:rPr>
          <w:rFonts w:hAnsi="宋体" w:hint="eastAsia"/>
        </w:rPr>
        <w:t>和片状铁。</w:t>
      </w:r>
    </w:p>
    <w:p w:rsidR="000902A8" w:rsidRDefault="00000000">
      <w:pPr>
        <w:pStyle w:val="a"/>
        <w:spacing w:before="312" w:after="312"/>
      </w:pPr>
      <w:bookmarkStart w:id="13" w:name="_Toc2140"/>
      <w:r>
        <w:rPr>
          <w:rFonts w:hint="eastAsia"/>
        </w:rPr>
        <w:t>规范性引用文件</w:t>
      </w:r>
      <w:bookmarkEnd w:id="10"/>
      <w:bookmarkEnd w:id="13"/>
    </w:p>
    <w:p w:rsidR="000902A8" w:rsidRDefault="00000000">
      <w:pPr>
        <w:ind w:firstLineChars="200" w:firstLine="420"/>
        <w:rPr>
          <w:rFonts w:hAnsi="宋体" w:hint="eastAsia"/>
        </w:rPr>
      </w:pPr>
      <w:bookmarkStart w:id="14" w:name="_Toc520380393"/>
      <w:r>
        <w:rPr>
          <w:rFonts w:hAnsi="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0902A8" w:rsidRDefault="00000000">
      <w:pPr>
        <w:ind w:firstLineChars="200" w:firstLine="420"/>
      </w:pPr>
      <w:r>
        <w:rPr>
          <w:rFonts w:hint="eastAsia"/>
        </w:rPr>
        <w:t>G</w:t>
      </w:r>
      <w:r>
        <w:t xml:space="preserve">B/T 223.5  </w:t>
      </w:r>
      <w:r>
        <w:rPr>
          <w:rFonts w:hint="eastAsia"/>
        </w:rPr>
        <w:t>钢铁</w:t>
      </w:r>
      <w:r>
        <w:rPr>
          <w:rFonts w:hint="eastAsia"/>
        </w:rPr>
        <w:t xml:space="preserve"> </w:t>
      </w:r>
      <w:r>
        <w:t xml:space="preserve"> </w:t>
      </w:r>
      <w:r>
        <w:rPr>
          <w:rFonts w:hint="eastAsia"/>
        </w:rPr>
        <w:t>酸</w:t>
      </w:r>
      <w:proofErr w:type="gramStart"/>
      <w:r>
        <w:rPr>
          <w:rFonts w:hint="eastAsia"/>
        </w:rPr>
        <w:t>溶硅和全硅</w:t>
      </w:r>
      <w:proofErr w:type="gramEnd"/>
      <w:r>
        <w:rPr>
          <w:rFonts w:hint="eastAsia"/>
        </w:rPr>
        <w:t>含量的测定</w:t>
      </w:r>
      <w:r>
        <w:rPr>
          <w:rFonts w:hint="eastAsia"/>
        </w:rPr>
        <w:t xml:space="preserve"> </w:t>
      </w:r>
      <w:r>
        <w:t xml:space="preserve"> </w:t>
      </w:r>
      <w:r>
        <w:rPr>
          <w:rFonts w:hint="eastAsia"/>
        </w:rPr>
        <w:t>还原型硅钼酸盐分光光度法</w:t>
      </w:r>
    </w:p>
    <w:p w:rsidR="000902A8" w:rsidRDefault="00000000">
      <w:pPr>
        <w:ind w:firstLineChars="200" w:firstLine="420"/>
      </w:pPr>
      <w:r>
        <w:rPr>
          <w:rFonts w:hint="eastAsia"/>
        </w:rPr>
        <w:t>G</w:t>
      </w:r>
      <w:r>
        <w:t xml:space="preserve">B/T 223.9  </w:t>
      </w:r>
      <w:r>
        <w:rPr>
          <w:rFonts w:hint="eastAsia"/>
        </w:rPr>
        <w:t>钢铁及合金</w:t>
      </w:r>
      <w:r>
        <w:rPr>
          <w:rFonts w:hint="eastAsia"/>
        </w:rPr>
        <w:t xml:space="preserve">  </w:t>
      </w:r>
      <w:r>
        <w:rPr>
          <w:rFonts w:hint="eastAsia"/>
        </w:rPr>
        <w:t>铝含量的测定</w:t>
      </w:r>
      <w:proofErr w:type="gramStart"/>
      <w:r>
        <w:rPr>
          <w:rFonts w:hint="eastAsia"/>
        </w:rPr>
        <w:t>铬</w:t>
      </w:r>
      <w:proofErr w:type="gramEnd"/>
      <w:r>
        <w:rPr>
          <w:rFonts w:hint="eastAsia"/>
        </w:rPr>
        <w:t>天青</w:t>
      </w:r>
      <w:r>
        <w:rPr>
          <w:rFonts w:hint="eastAsia"/>
        </w:rPr>
        <w:t>S</w:t>
      </w:r>
      <w:r>
        <w:rPr>
          <w:rFonts w:hint="eastAsia"/>
        </w:rPr>
        <w:t>分光光度法</w:t>
      </w:r>
    </w:p>
    <w:p w:rsidR="000902A8" w:rsidRDefault="00000000">
      <w:pPr>
        <w:ind w:firstLineChars="200" w:firstLine="420"/>
      </w:pPr>
      <w:r>
        <w:rPr>
          <w:rFonts w:hint="eastAsia"/>
        </w:rPr>
        <w:t xml:space="preserve">GB/T 223.14  </w:t>
      </w:r>
      <w:r>
        <w:rPr>
          <w:rFonts w:hint="eastAsia"/>
        </w:rPr>
        <w:t>钢铁及合金化学分析方法</w:t>
      </w:r>
      <w:r>
        <w:rPr>
          <w:rFonts w:hint="eastAsia"/>
        </w:rPr>
        <w:t xml:space="preserve">  </w:t>
      </w:r>
      <w:proofErr w:type="gramStart"/>
      <w:r>
        <w:rPr>
          <w:rFonts w:hint="eastAsia"/>
        </w:rPr>
        <w:t>钽</w:t>
      </w:r>
      <w:proofErr w:type="gramEnd"/>
      <w:r>
        <w:rPr>
          <w:rFonts w:hint="eastAsia"/>
        </w:rPr>
        <w:t>试剂萃取光度法测定</w:t>
      </w:r>
      <w:proofErr w:type="gramStart"/>
      <w:r>
        <w:rPr>
          <w:rFonts w:hint="eastAsia"/>
        </w:rPr>
        <w:t>钒</w:t>
      </w:r>
      <w:proofErr w:type="gramEnd"/>
      <w:r>
        <w:rPr>
          <w:rFonts w:hint="eastAsia"/>
        </w:rPr>
        <w:t>含量</w:t>
      </w:r>
    </w:p>
    <w:p w:rsidR="000902A8" w:rsidRDefault="00000000">
      <w:pPr>
        <w:ind w:firstLineChars="200" w:firstLine="420"/>
      </w:pPr>
      <w:r>
        <w:rPr>
          <w:rFonts w:hint="eastAsia"/>
        </w:rPr>
        <w:t xml:space="preserve">GB/T 223.26  </w:t>
      </w:r>
      <w:r>
        <w:rPr>
          <w:rFonts w:hint="eastAsia"/>
        </w:rPr>
        <w:t>钢铁及合金</w:t>
      </w:r>
      <w:r>
        <w:rPr>
          <w:rFonts w:hint="eastAsia"/>
        </w:rPr>
        <w:t xml:space="preserve">  </w:t>
      </w:r>
      <w:proofErr w:type="gramStart"/>
      <w:r>
        <w:rPr>
          <w:rFonts w:hint="eastAsia"/>
        </w:rPr>
        <w:t>钼</w:t>
      </w:r>
      <w:proofErr w:type="gramEnd"/>
      <w:r>
        <w:rPr>
          <w:rFonts w:hint="eastAsia"/>
        </w:rPr>
        <w:t>含量的测定</w:t>
      </w:r>
      <w:r>
        <w:rPr>
          <w:rFonts w:hint="eastAsia"/>
        </w:rPr>
        <w:t xml:space="preserve">  </w:t>
      </w:r>
      <w:r>
        <w:rPr>
          <w:rFonts w:hint="eastAsia"/>
        </w:rPr>
        <w:t>硫氰酸盐分光光度法</w:t>
      </w:r>
    </w:p>
    <w:p w:rsidR="000902A8" w:rsidRDefault="00000000">
      <w:pPr>
        <w:ind w:firstLineChars="200" w:firstLine="420"/>
      </w:pPr>
      <w:r>
        <w:rPr>
          <w:rFonts w:hint="eastAsia"/>
        </w:rPr>
        <w:t xml:space="preserve">GB/T 223.29  </w:t>
      </w:r>
      <w:r>
        <w:rPr>
          <w:rFonts w:hint="eastAsia"/>
        </w:rPr>
        <w:t>钢铁及合金　铅含量的测定　载体沉淀</w:t>
      </w:r>
      <w:r>
        <w:rPr>
          <w:rFonts w:hint="eastAsia"/>
        </w:rPr>
        <w:t>-</w:t>
      </w:r>
      <w:r>
        <w:rPr>
          <w:rFonts w:hint="eastAsia"/>
        </w:rPr>
        <w:t>二甲酚橙分光光度法</w:t>
      </w:r>
    </w:p>
    <w:p w:rsidR="000902A8" w:rsidRDefault="00000000">
      <w:pPr>
        <w:ind w:firstLineChars="200" w:firstLine="420"/>
      </w:pPr>
      <w:r>
        <w:t>G</w:t>
      </w:r>
      <w:r>
        <w:rPr>
          <w:rFonts w:hint="eastAsia"/>
        </w:rPr>
        <w:t xml:space="preserve">B/T 223.31  </w:t>
      </w:r>
      <w:r>
        <w:rPr>
          <w:rFonts w:hint="eastAsia"/>
        </w:rPr>
        <w:t>钢铁及合金　砷含量的测定　蒸馏分离</w:t>
      </w:r>
      <w:r>
        <w:rPr>
          <w:rFonts w:hint="eastAsia"/>
        </w:rPr>
        <w:t>-</w:t>
      </w:r>
      <w:proofErr w:type="gramStart"/>
      <w:r>
        <w:rPr>
          <w:rFonts w:hint="eastAsia"/>
        </w:rPr>
        <w:t>钼</w:t>
      </w:r>
      <w:proofErr w:type="gramEnd"/>
      <w:r>
        <w:rPr>
          <w:rFonts w:hint="eastAsia"/>
        </w:rPr>
        <w:t>蓝分光光度法</w:t>
      </w:r>
    </w:p>
    <w:p w:rsidR="000902A8" w:rsidRDefault="00000000">
      <w:pPr>
        <w:ind w:firstLineChars="200" w:firstLine="420"/>
      </w:pPr>
      <w:r>
        <w:rPr>
          <w:rFonts w:hint="eastAsia"/>
        </w:rPr>
        <w:t xml:space="preserve">GB/T 223.37  </w:t>
      </w:r>
      <w:r>
        <w:rPr>
          <w:rFonts w:hint="eastAsia"/>
        </w:rPr>
        <w:t>钢铁及合金　氮含量的测定　蒸馏分离</w:t>
      </w:r>
      <w:proofErr w:type="gramStart"/>
      <w:r>
        <w:rPr>
          <w:rFonts w:hint="eastAsia"/>
        </w:rPr>
        <w:t>靛酚</w:t>
      </w:r>
      <w:proofErr w:type="gramEnd"/>
      <w:r>
        <w:rPr>
          <w:rFonts w:hint="eastAsia"/>
        </w:rPr>
        <w:t>蓝分光光度法</w:t>
      </w:r>
    </w:p>
    <w:p w:rsidR="000902A8" w:rsidRDefault="00000000">
      <w:pPr>
        <w:ind w:firstLineChars="200" w:firstLine="420"/>
      </w:pPr>
      <w:r>
        <w:rPr>
          <w:rFonts w:hint="eastAsia"/>
        </w:rPr>
        <w:t xml:space="preserve">GB/T 223.47  </w:t>
      </w:r>
      <w:r>
        <w:rPr>
          <w:rFonts w:hint="eastAsia"/>
        </w:rPr>
        <w:t>钢铁及合金化学分析方法　载体沉淀</w:t>
      </w:r>
      <w:r>
        <w:rPr>
          <w:rFonts w:hint="eastAsia"/>
        </w:rPr>
        <w:t>-</w:t>
      </w:r>
      <w:proofErr w:type="gramStart"/>
      <w:r>
        <w:rPr>
          <w:rFonts w:hint="eastAsia"/>
        </w:rPr>
        <w:t>钼</w:t>
      </w:r>
      <w:proofErr w:type="gramEnd"/>
      <w:r>
        <w:rPr>
          <w:rFonts w:hint="eastAsia"/>
        </w:rPr>
        <w:t>蓝光度法测定锑量</w:t>
      </w:r>
    </w:p>
    <w:p w:rsidR="000902A8" w:rsidRDefault="00000000">
      <w:pPr>
        <w:ind w:firstLineChars="200" w:firstLine="420"/>
      </w:pPr>
      <w:r>
        <w:rPr>
          <w:rFonts w:hint="eastAsia"/>
        </w:rPr>
        <w:t xml:space="preserve">GB/T 223.48  </w:t>
      </w:r>
      <w:r>
        <w:t>钢铁及合金化学分析方法</w:t>
      </w:r>
      <w:r>
        <w:rPr>
          <w:rFonts w:hint="eastAsia"/>
        </w:rPr>
        <w:t xml:space="preserve">  </w:t>
      </w:r>
      <w:r>
        <w:t>半二甲酚橙光度法测定铋量</w:t>
      </w:r>
    </w:p>
    <w:p w:rsidR="000902A8" w:rsidRDefault="00000000">
      <w:pPr>
        <w:ind w:firstLineChars="200" w:firstLine="420"/>
      </w:pPr>
      <w:r>
        <w:rPr>
          <w:rFonts w:hint="eastAsia"/>
        </w:rPr>
        <w:t xml:space="preserve">GB/T 223.50  </w:t>
      </w:r>
      <w:r>
        <w:rPr>
          <w:rFonts w:hint="eastAsia"/>
        </w:rPr>
        <w:t>钢铁及合金化学分析方法</w:t>
      </w:r>
      <w:r>
        <w:rPr>
          <w:rFonts w:hint="eastAsia"/>
        </w:rPr>
        <w:t xml:space="preserve">  </w:t>
      </w:r>
      <w:r>
        <w:rPr>
          <w:rFonts w:hint="eastAsia"/>
        </w:rPr>
        <w:t>苯基荧光酮</w:t>
      </w:r>
      <w:r>
        <w:rPr>
          <w:rFonts w:hint="eastAsia"/>
        </w:rPr>
        <w:t>-</w:t>
      </w:r>
      <w:r>
        <w:rPr>
          <w:rFonts w:hint="eastAsia"/>
        </w:rPr>
        <w:t>溴化十六烷基三甲基</w:t>
      </w:r>
      <w:proofErr w:type="gramStart"/>
      <w:r>
        <w:rPr>
          <w:rFonts w:hint="eastAsia"/>
        </w:rPr>
        <w:t>胺</w:t>
      </w:r>
      <w:proofErr w:type="gramEnd"/>
      <w:r>
        <w:rPr>
          <w:rFonts w:hint="eastAsia"/>
        </w:rPr>
        <w:t>直接光度法测定锡量</w:t>
      </w:r>
    </w:p>
    <w:p w:rsidR="000902A8" w:rsidRDefault="00000000">
      <w:pPr>
        <w:ind w:firstLineChars="200" w:firstLine="420"/>
      </w:pPr>
      <w:r>
        <w:rPr>
          <w:rFonts w:hint="eastAsia"/>
        </w:rPr>
        <w:t xml:space="preserve">GB/T 223.51  </w:t>
      </w:r>
      <w:r>
        <w:t>钢铁及合金化学分析方法</w:t>
      </w:r>
      <w:r>
        <w:t xml:space="preserve"> </w:t>
      </w:r>
      <w:r>
        <w:rPr>
          <w:rFonts w:hint="eastAsia"/>
        </w:rPr>
        <w:t xml:space="preserve"> </w:t>
      </w:r>
      <w:r>
        <w:t xml:space="preserve">5-Br-PADAP </w:t>
      </w:r>
      <w:r>
        <w:t>光度法测定锌量</w:t>
      </w:r>
    </w:p>
    <w:p w:rsidR="000902A8" w:rsidRDefault="00000000">
      <w:pPr>
        <w:ind w:firstLineChars="200" w:firstLine="420"/>
      </w:pPr>
      <w:r>
        <w:t xml:space="preserve">GB/T 223.62  </w:t>
      </w:r>
      <w:r>
        <w:t>钢铁及合金化学分析方法</w:t>
      </w:r>
      <w:r>
        <w:rPr>
          <w:rFonts w:hint="eastAsia"/>
        </w:rPr>
        <w:t xml:space="preserve">  </w:t>
      </w:r>
      <w:r>
        <w:t>乙酸丁酯萃取光度法测量磷</w:t>
      </w:r>
      <w:r>
        <w:rPr>
          <w:rFonts w:hint="eastAsia"/>
        </w:rPr>
        <w:t>量</w:t>
      </w:r>
    </w:p>
    <w:p w:rsidR="000902A8" w:rsidRDefault="00000000">
      <w:pPr>
        <w:ind w:firstLineChars="200" w:firstLine="420"/>
      </w:pPr>
      <w:r>
        <w:t xml:space="preserve">GB/T 223.63  </w:t>
      </w:r>
      <w:r>
        <w:t>钢铁及合金</w:t>
      </w:r>
      <w:r>
        <w:t xml:space="preserve">  </w:t>
      </w:r>
      <w:r>
        <w:rPr>
          <w:rFonts w:hint="eastAsia"/>
        </w:rPr>
        <w:t>锰含量的测定</w:t>
      </w:r>
      <w:r>
        <w:rPr>
          <w:rFonts w:hint="eastAsia"/>
        </w:rPr>
        <w:t xml:space="preserve"> </w:t>
      </w:r>
      <w:r>
        <w:t xml:space="preserve"> </w:t>
      </w:r>
      <w:r>
        <w:rPr>
          <w:rFonts w:hint="eastAsia"/>
        </w:rPr>
        <w:t>高碘酸钠（钾）分光光度法</w:t>
      </w:r>
    </w:p>
    <w:p w:rsidR="000902A8" w:rsidRDefault="00000000">
      <w:pPr>
        <w:ind w:firstLineChars="200" w:firstLine="420"/>
      </w:pPr>
      <w:hyperlink r:id="rId16" w:tgtFrame="_blank" w:history="1">
        <w:r>
          <w:t xml:space="preserve">GB/T 223.64  </w:t>
        </w:r>
        <w:r>
          <w:rPr>
            <w:rFonts w:hint="eastAsia"/>
          </w:rPr>
          <w:t>钢铁及合金</w:t>
        </w:r>
        <w:r>
          <w:rPr>
            <w:rFonts w:hint="eastAsia"/>
          </w:rPr>
          <w:t xml:space="preserve"> </w:t>
        </w:r>
        <w:r>
          <w:t xml:space="preserve"> </w:t>
        </w:r>
        <w:r>
          <w:rPr>
            <w:rFonts w:hint="eastAsia"/>
          </w:rPr>
          <w:t>锰含量的测定　火焰原子吸收光谱法</w:t>
        </w:r>
      </w:hyperlink>
    </w:p>
    <w:p w:rsidR="000902A8" w:rsidRDefault="00000000">
      <w:pPr>
        <w:ind w:firstLineChars="200" w:firstLine="420"/>
      </w:pPr>
      <w:r>
        <w:rPr>
          <w:rFonts w:hint="eastAsia"/>
        </w:rPr>
        <w:t>GB/T</w:t>
      </w:r>
      <w:r>
        <w:t xml:space="preserve"> </w:t>
      </w:r>
      <w:r>
        <w:rPr>
          <w:rFonts w:hint="eastAsia"/>
        </w:rPr>
        <w:t>223.7</w:t>
      </w:r>
      <w:r>
        <w:t>9</w:t>
      </w:r>
      <w:r>
        <w:rPr>
          <w:rFonts w:hint="eastAsia"/>
        </w:rPr>
        <w:t xml:space="preserve">  </w:t>
      </w:r>
      <w:r>
        <w:rPr>
          <w:rFonts w:hint="eastAsia"/>
        </w:rPr>
        <w:t>钢铁</w:t>
      </w:r>
      <w:r>
        <w:rPr>
          <w:rFonts w:hint="eastAsia"/>
        </w:rPr>
        <w:t xml:space="preserve"> </w:t>
      </w:r>
      <w:r>
        <w:t xml:space="preserve"> </w:t>
      </w:r>
      <w:r>
        <w:rPr>
          <w:rFonts w:hint="eastAsia"/>
        </w:rPr>
        <w:t>多元素含量的测定</w:t>
      </w:r>
      <w:r>
        <w:rPr>
          <w:rFonts w:hint="eastAsia"/>
        </w:rPr>
        <w:t>X-</w:t>
      </w:r>
      <w:r>
        <w:rPr>
          <w:rFonts w:hint="eastAsia"/>
        </w:rPr>
        <w:t>射线荧光光谱法（常规法）</w:t>
      </w:r>
    </w:p>
    <w:p w:rsidR="000902A8" w:rsidRDefault="00000000">
      <w:pPr>
        <w:ind w:firstLineChars="200" w:firstLine="420"/>
      </w:pPr>
      <w:r>
        <w:rPr>
          <w:rFonts w:hint="eastAsia"/>
        </w:rPr>
        <w:t>GB/T</w:t>
      </w:r>
      <w:r>
        <w:t xml:space="preserve"> </w:t>
      </w:r>
      <w:r>
        <w:rPr>
          <w:rFonts w:hint="eastAsia"/>
        </w:rPr>
        <w:t xml:space="preserve">223.80  </w:t>
      </w:r>
      <w:r>
        <w:rPr>
          <w:rFonts w:hint="eastAsia"/>
        </w:rPr>
        <w:t>钢铁及合金</w:t>
      </w:r>
      <w:r>
        <w:rPr>
          <w:rFonts w:hint="eastAsia"/>
        </w:rPr>
        <w:t xml:space="preserve">  </w:t>
      </w:r>
      <w:r>
        <w:rPr>
          <w:rFonts w:hint="eastAsia"/>
        </w:rPr>
        <w:t>铋和</w:t>
      </w:r>
      <w:proofErr w:type="gramStart"/>
      <w:r>
        <w:rPr>
          <w:rFonts w:hint="eastAsia"/>
        </w:rPr>
        <w:t>砷含量</w:t>
      </w:r>
      <w:proofErr w:type="gramEnd"/>
      <w:r>
        <w:rPr>
          <w:rFonts w:hint="eastAsia"/>
        </w:rPr>
        <w:t>的测定</w:t>
      </w:r>
      <w:r>
        <w:rPr>
          <w:rFonts w:hint="eastAsia"/>
        </w:rPr>
        <w:t xml:space="preserve">  </w:t>
      </w:r>
      <w:r>
        <w:rPr>
          <w:rFonts w:hint="eastAsia"/>
        </w:rPr>
        <w:t>氢化物发生</w:t>
      </w:r>
      <w:r>
        <w:rPr>
          <w:rFonts w:hint="eastAsia"/>
        </w:rPr>
        <w:t>-</w:t>
      </w:r>
      <w:r>
        <w:rPr>
          <w:rFonts w:hint="eastAsia"/>
        </w:rPr>
        <w:t>原子荧光光谱法</w:t>
      </w:r>
    </w:p>
    <w:p w:rsidR="000902A8" w:rsidRDefault="00000000">
      <w:pPr>
        <w:ind w:firstLineChars="200" w:firstLine="420"/>
      </w:pPr>
      <w:r>
        <w:rPr>
          <w:rFonts w:hint="eastAsia"/>
        </w:rPr>
        <w:t>G</w:t>
      </w:r>
      <w:r>
        <w:t xml:space="preserve">B/T 223.81  </w:t>
      </w:r>
      <w:r>
        <w:rPr>
          <w:rFonts w:hint="eastAsia"/>
        </w:rPr>
        <w:t>铁及合金</w:t>
      </w:r>
      <w:r>
        <w:rPr>
          <w:rFonts w:hint="eastAsia"/>
        </w:rPr>
        <w:t xml:space="preserve"> </w:t>
      </w:r>
      <w:r>
        <w:t xml:space="preserve"> </w:t>
      </w:r>
      <w:proofErr w:type="gramStart"/>
      <w:r>
        <w:rPr>
          <w:rFonts w:hint="eastAsia"/>
        </w:rPr>
        <w:t>总铝和</w:t>
      </w:r>
      <w:proofErr w:type="gramEnd"/>
      <w:r>
        <w:rPr>
          <w:rFonts w:hint="eastAsia"/>
        </w:rPr>
        <w:t>总硼含量的测定</w:t>
      </w:r>
      <w:r>
        <w:rPr>
          <w:rFonts w:hint="eastAsia"/>
        </w:rPr>
        <w:t xml:space="preserve"> </w:t>
      </w:r>
      <w:r>
        <w:t xml:space="preserve"> </w:t>
      </w:r>
      <w:r>
        <w:rPr>
          <w:rFonts w:hint="eastAsia"/>
        </w:rPr>
        <w:t>微波消解</w:t>
      </w:r>
      <w:r>
        <w:rPr>
          <w:rFonts w:hint="eastAsia"/>
        </w:rPr>
        <w:t>-</w:t>
      </w:r>
      <w:r>
        <w:rPr>
          <w:rFonts w:hint="eastAsia"/>
        </w:rPr>
        <w:t>电感耦合等离子体质谱法</w:t>
      </w:r>
    </w:p>
    <w:p w:rsidR="000902A8" w:rsidRDefault="00000000">
      <w:pPr>
        <w:ind w:firstLineChars="200" w:firstLine="420"/>
      </w:pPr>
      <w:r>
        <w:rPr>
          <w:rFonts w:hint="eastAsia"/>
        </w:rPr>
        <w:t>GB/T</w:t>
      </w:r>
      <w:r>
        <w:t xml:space="preserve"> </w:t>
      </w:r>
      <w:r>
        <w:rPr>
          <w:rFonts w:hint="eastAsia"/>
        </w:rPr>
        <w:t xml:space="preserve">223.82  </w:t>
      </w:r>
      <w:r>
        <w:rPr>
          <w:rFonts w:hint="eastAsia"/>
        </w:rPr>
        <w:t>钢铁</w:t>
      </w:r>
      <w:r>
        <w:rPr>
          <w:rFonts w:hint="eastAsia"/>
        </w:rPr>
        <w:t xml:space="preserve">  </w:t>
      </w:r>
      <w:r>
        <w:rPr>
          <w:rFonts w:hint="eastAsia"/>
        </w:rPr>
        <w:t>氢含量的测定</w:t>
      </w:r>
      <w:r>
        <w:rPr>
          <w:rFonts w:hint="eastAsia"/>
        </w:rPr>
        <w:t xml:space="preserve">  </w:t>
      </w:r>
      <w:r>
        <w:rPr>
          <w:rFonts w:hint="eastAsia"/>
        </w:rPr>
        <w:t>惰性气体熔融</w:t>
      </w:r>
      <w:r>
        <w:rPr>
          <w:rFonts w:hint="eastAsia"/>
        </w:rPr>
        <w:t>-</w:t>
      </w:r>
      <w:r>
        <w:rPr>
          <w:rFonts w:hint="eastAsia"/>
        </w:rPr>
        <w:t>热导或红外法</w:t>
      </w:r>
    </w:p>
    <w:p w:rsidR="000902A8" w:rsidRDefault="00000000">
      <w:pPr>
        <w:ind w:firstLineChars="200" w:firstLine="420"/>
      </w:pPr>
      <w:r>
        <w:rPr>
          <w:rFonts w:hint="eastAsia"/>
        </w:rPr>
        <w:t>GB/T</w:t>
      </w:r>
      <w:r>
        <w:t xml:space="preserve"> </w:t>
      </w:r>
      <w:r>
        <w:rPr>
          <w:rFonts w:hint="eastAsia"/>
        </w:rPr>
        <w:t xml:space="preserve">223.84  </w:t>
      </w:r>
      <w:r>
        <w:rPr>
          <w:rFonts w:hint="eastAsia"/>
        </w:rPr>
        <w:t>钢铁及合金　钛含量的测定　二安替比林甲烷分光光度法</w:t>
      </w:r>
    </w:p>
    <w:p w:rsidR="000902A8" w:rsidRDefault="00000000">
      <w:pPr>
        <w:ind w:firstLineChars="200" w:firstLine="420"/>
      </w:pPr>
      <w:r>
        <w:rPr>
          <w:rFonts w:hint="eastAsia"/>
        </w:rPr>
        <w:t>GB/T</w:t>
      </w:r>
      <w:r>
        <w:t xml:space="preserve"> </w:t>
      </w:r>
      <w:r>
        <w:rPr>
          <w:rFonts w:hint="eastAsia"/>
        </w:rPr>
        <w:t xml:space="preserve">223.85  </w:t>
      </w:r>
      <w:r>
        <w:rPr>
          <w:rFonts w:hint="eastAsia"/>
        </w:rPr>
        <w:t>钢铁及合金</w:t>
      </w:r>
      <w:r>
        <w:rPr>
          <w:rFonts w:hint="eastAsia"/>
        </w:rPr>
        <w:t xml:space="preserve">  </w:t>
      </w:r>
      <w:r>
        <w:rPr>
          <w:rFonts w:hint="eastAsia"/>
        </w:rPr>
        <w:t>硫含量的测定</w:t>
      </w:r>
      <w:r>
        <w:rPr>
          <w:rFonts w:hint="eastAsia"/>
        </w:rPr>
        <w:t xml:space="preserve">  </w:t>
      </w:r>
      <w:r>
        <w:rPr>
          <w:rFonts w:hint="eastAsia"/>
        </w:rPr>
        <w:t>感应炉燃烧后红外吸收法</w:t>
      </w:r>
    </w:p>
    <w:p w:rsidR="000902A8" w:rsidRDefault="00000000">
      <w:pPr>
        <w:ind w:firstLineChars="200" w:firstLine="420"/>
      </w:pPr>
      <w:r>
        <w:t xml:space="preserve">GB/T 223.86  </w:t>
      </w:r>
      <w:r>
        <w:rPr>
          <w:rFonts w:hint="eastAsia"/>
        </w:rPr>
        <w:t>钢铁及合金</w:t>
      </w:r>
      <w:r>
        <w:rPr>
          <w:rFonts w:hint="eastAsia"/>
        </w:rPr>
        <w:t xml:space="preserve"> </w:t>
      </w:r>
      <w:ins w:id="15" w:author="作者" w:date="2024-09-03T14:04:00Z">
        <w:r>
          <w:t xml:space="preserve"> </w:t>
        </w:r>
      </w:ins>
      <w:proofErr w:type="gramStart"/>
      <w:r>
        <w:rPr>
          <w:rFonts w:hint="eastAsia"/>
        </w:rPr>
        <w:t>总碳含量</w:t>
      </w:r>
      <w:proofErr w:type="gramEnd"/>
      <w:r>
        <w:rPr>
          <w:rFonts w:hint="eastAsia"/>
        </w:rPr>
        <w:t>的测定</w:t>
      </w:r>
      <w:r>
        <w:rPr>
          <w:rFonts w:hint="eastAsia"/>
        </w:rPr>
        <w:t xml:space="preserve"> </w:t>
      </w:r>
      <w:ins w:id="16" w:author="作者" w:date="2024-09-03T14:04:00Z">
        <w:r>
          <w:t xml:space="preserve"> </w:t>
        </w:r>
      </w:ins>
      <w:r>
        <w:rPr>
          <w:rFonts w:hint="eastAsia"/>
        </w:rPr>
        <w:t>感应炉燃烧后红外吸收法</w:t>
      </w:r>
    </w:p>
    <w:p w:rsidR="000902A8" w:rsidRDefault="00000000">
      <w:pPr>
        <w:ind w:firstLineChars="200" w:firstLine="420"/>
      </w:pPr>
      <w:r>
        <w:t xml:space="preserve">GB/T 247  </w:t>
      </w:r>
      <w:r>
        <w:rPr>
          <w:rFonts w:hint="eastAsia"/>
        </w:rPr>
        <w:t>钢板和钢带包装、标志及质量证明书的一般规定</w:t>
      </w:r>
    </w:p>
    <w:p w:rsidR="000902A8" w:rsidRDefault="00000000">
      <w:pPr>
        <w:ind w:firstLineChars="200" w:firstLine="420"/>
      </w:pPr>
      <w:r>
        <w:rPr>
          <w:rFonts w:hint="eastAsia"/>
        </w:rPr>
        <w:t>G</w:t>
      </w:r>
      <w:r>
        <w:t xml:space="preserve">B/T 702  </w:t>
      </w:r>
      <w:r>
        <w:rPr>
          <w:rFonts w:hint="eastAsia"/>
        </w:rPr>
        <w:t>热轧钢棒尺寸、外形、重量及允许偏差</w:t>
      </w:r>
    </w:p>
    <w:p w:rsidR="000902A8" w:rsidRDefault="00000000">
      <w:pPr>
        <w:ind w:firstLineChars="200" w:firstLine="420"/>
      </w:pPr>
      <w:r>
        <w:t xml:space="preserve">GB/T 2101  </w:t>
      </w:r>
      <w:r>
        <w:rPr>
          <w:rFonts w:hint="eastAsia"/>
        </w:rPr>
        <w:t>型钢验收、包装、标志及质量证明书的一般规定</w:t>
      </w:r>
    </w:p>
    <w:p w:rsidR="000902A8" w:rsidRDefault="00000000">
      <w:pPr>
        <w:ind w:firstLineChars="200" w:firstLine="420"/>
      </w:pPr>
      <w:r>
        <w:rPr>
          <w:rFonts w:hint="eastAsia"/>
        </w:rPr>
        <w:lastRenderedPageBreak/>
        <w:t>GB/T</w:t>
      </w:r>
      <w:r>
        <w:t xml:space="preserve"> </w:t>
      </w:r>
      <w:r>
        <w:rPr>
          <w:rFonts w:hint="eastAsia"/>
        </w:rPr>
        <w:t>4</w:t>
      </w:r>
      <w:r>
        <w:t xml:space="preserve">336  </w:t>
      </w:r>
      <w:r>
        <w:rPr>
          <w:rFonts w:hint="eastAsia"/>
        </w:rPr>
        <w:t>碳素钢和中低合金钢</w:t>
      </w:r>
      <w:r>
        <w:rPr>
          <w:rFonts w:hint="eastAsia"/>
        </w:rPr>
        <w:t xml:space="preserve"> </w:t>
      </w:r>
      <w:r>
        <w:rPr>
          <w:rFonts w:hint="eastAsia"/>
        </w:rPr>
        <w:t>多元素含量的测定</w:t>
      </w:r>
      <w:r>
        <w:rPr>
          <w:rFonts w:hint="eastAsia"/>
        </w:rPr>
        <w:t xml:space="preserve"> </w:t>
      </w:r>
      <w:r>
        <w:rPr>
          <w:rFonts w:hint="eastAsia"/>
        </w:rPr>
        <w:t>火花放电原子发射光谱法</w:t>
      </w:r>
    </w:p>
    <w:p w:rsidR="000902A8" w:rsidRDefault="00000000">
      <w:pPr>
        <w:ind w:firstLineChars="200" w:firstLine="420"/>
        <w:rPr>
          <w:ins w:id="17" w:author="作者" w:date="2024-09-04T18:04:00Z"/>
        </w:rPr>
      </w:pPr>
      <w:r>
        <w:rPr>
          <w:rFonts w:hint="eastAsia"/>
        </w:rPr>
        <w:t>G</w:t>
      </w:r>
      <w:r>
        <w:t xml:space="preserve">B/T 8170  </w:t>
      </w:r>
      <w:r>
        <w:rPr>
          <w:rFonts w:hint="eastAsia"/>
        </w:rPr>
        <w:t>数值</w:t>
      </w:r>
      <w:proofErr w:type="gramStart"/>
      <w:r>
        <w:rPr>
          <w:rFonts w:hint="eastAsia"/>
        </w:rPr>
        <w:t>修约规则</w:t>
      </w:r>
      <w:proofErr w:type="gramEnd"/>
      <w:r>
        <w:rPr>
          <w:rFonts w:hint="eastAsia"/>
        </w:rPr>
        <w:t>与极限数值的表示和判定</w:t>
      </w:r>
    </w:p>
    <w:p w:rsidR="000902A8" w:rsidRDefault="00000000">
      <w:pPr>
        <w:ind w:firstLineChars="200" w:firstLine="420"/>
      </w:pPr>
      <w:r>
        <w:rPr>
          <w:rFonts w:hint="eastAsia"/>
        </w:rPr>
        <w:t xml:space="preserve">GB/T 11261  </w:t>
      </w:r>
      <w:r>
        <w:rPr>
          <w:rFonts w:hint="eastAsia"/>
        </w:rPr>
        <w:t>钢铁</w:t>
      </w:r>
      <w:r>
        <w:rPr>
          <w:rFonts w:hint="eastAsia"/>
        </w:rPr>
        <w:t xml:space="preserve">  </w:t>
      </w:r>
      <w:r>
        <w:rPr>
          <w:rFonts w:hint="eastAsia"/>
        </w:rPr>
        <w:t>氧含量的测定</w:t>
      </w:r>
      <w:r>
        <w:rPr>
          <w:rFonts w:hint="eastAsia"/>
        </w:rPr>
        <w:t xml:space="preserve">  </w:t>
      </w:r>
      <w:r>
        <w:rPr>
          <w:rFonts w:hint="eastAsia"/>
        </w:rPr>
        <w:t>脉冲加热</w:t>
      </w:r>
      <w:proofErr w:type="gramStart"/>
      <w:r>
        <w:rPr>
          <w:rFonts w:hint="eastAsia"/>
        </w:rPr>
        <w:t>惰</w:t>
      </w:r>
      <w:proofErr w:type="gramEnd"/>
      <w:r>
        <w:rPr>
          <w:rFonts w:hint="eastAsia"/>
        </w:rPr>
        <w:t>气熔融</w:t>
      </w:r>
      <w:r>
        <w:rPr>
          <w:rFonts w:hint="eastAsia"/>
        </w:rPr>
        <w:t>-</w:t>
      </w:r>
      <w:r>
        <w:rPr>
          <w:rFonts w:hint="eastAsia"/>
        </w:rPr>
        <w:t>红外线吸收法</w:t>
      </w:r>
    </w:p>
    <w:p w:rsidR="000902A8" w:rsidRDefault="00000000">
      <w:pPr>
        <w:ind w:firstLineChars="200" w:firstLine="420"/>
      </w:pPr>
      <w:r>
        <w:rPr>
          <w:rFonts w:hint="eastAsia"/>
        </w:rPr>
        <w:t>G</w:t>
      </w:r>
      <w:r>
        <w:t xml:space="preserve">B/T 14981  </w:t>
      </w:r>
      <w:r>
        <w:rPr>
          <w:rFonts w:hint="eastAsia"/>
        </w:rPr>
        <w:t>热轧圆盘条尺寸、外形、重量及允许偏差</w:t>
      </w:r>
    </w:p>
    <w:p w:rsidR="000902A8" w:rsidRDefault="00000000">
      <w:pPr>
        <w:ind w:firstLineChars="200" w:firstLine="420"/>
      </w:pPr>
      <w:r>
        <w:rPr>
          <w:rFonts w:hint="eastAsia"/>
        </w:rPr>
        <w:t xml:space="preserve">GB/T </w:t>
      </w:r>
      <w:r>
        <w:t xml:space="preserve">20066  </w:t>
      </w:r>
      <w:r>
        <w:rPr>
          <w:rFonts w:hint="eastAsia"/>
        </w:rPr>
        <w:t>钢和铁化学成分测定用试样的取样和制样方法</w:t>
      </w:r>
    </w:p>
    <w:p w:rsidR="000902A8" w:rsidRDefault="00000000">
      <w:pPr>
        <w:ind w:firstLineChars="200" w:firstLine="420"/>
      </w:pPr>
      <w:r>
        <w:rPr>
          <w:rFonts w:hint="eastAsia"/>
        </w:rPr>
        <w:t>GB/T</w:t>
      </w:r>
      <w:r>
        <w:t xml:space="preserve"> </w:t>
      </w:r>
      <w:r>
        <w:rPr>
          <w:rFonts w:hint="eastAsia"/>
        </w:rPr>
        <w:t>20123</w:t>
      </w:r>
      <w:r>
        <w:t xml:space="preserve">  </w:t>
      </w:r>
      <w:r>
        <w:rPr>
          <w:rFonts w:hint="eastAsia"/>
        </w:rPr>
        <w:t>钢铁</w:t>
      </w:r>
      <w:r>
        <w:rPr>
          <w:rFonts w:hint="eastAsia"/>
        </w:rPr>
        <w:t xml:space="preserve"> </w:t>
      </w:r>
      <w:r>
        <w:t xml:space="preserve"> </w:t>
      </w:r>
      <w:proofErr w:type="gramStart"/>
      <w:r>
        <w:rPr>
          <w:rFonts w:hint="eastAsia"/>
        </w:rPr>
        <w:t>总碳硫</w:t>
      </w:r>
      <w:proofErr w:type="gramEnd"/>
      <w:r>
        <w:rPr>
          <w:rFonts w:hint="eastAsia"/>
        </w:rPr>
        <w:t>含量的测定</w:t>
      </w:r>
      <w:r>
        <w:rPr>
          <w:rFonts w:hint="eastAsia"/>
        </w:rPr>
        <w:t xml:space="preserve">  </w:t>
      </w:r>
      <w:r>
        <w:rPr>
          <w:rFonts w:hint="eastAsia"/>
        </w:rPr>
        <w:t>高频感应炉燃烧后红外吸收法（常规方法）</w:t>
      </w:r>
    </w:p>
    <w:p w:rsidR="000902A8" w:rsidRDefault="00000000">
      <w:pPr>
        <w:ind w:firstLineChars="200" w:firstLine="420"/>
      </w:pPr>
      <w:r>
        <w:t xml:space="preserve">GB/T </w:t>
      </w:r>
      <w:r>
        <w:rPr>
          <w:rFonts w:hint="eastAsia"/>
        </w:rPr>
        <w:t xml:space="preserve">20124  </w:t>
      </w:r>
      <w:r>
        <w:rPr>
          <w:rFonts w:hint="eastAsia"/>
        </w:rPr>
        <w:t>钢铁</w:t>
      </w:r>
      <w:r>
        <w:rPr>
          <w:rFonts w:hint="eastAsia"/>
        </w:rPr>
        <w:t xml:space="preserve">  </w:t>
      </w:r>
      <w:r>
        <w:rPr>
          <w:rFonts w:hint="eastAsia"/>
        </w:rPr>
        <w:t>氮含量的测定</w:t>
      </w:r>
      <w:r>
        <w:rPr>
          <w:rFonts w:hint="eastAsia"/>
        </w:rPr>
        <w:t xml:space="preserve">  </w:t>
      </w:r>
      <w:r>
        <w:rPr>
          <w:rFonts w:hint="eastAsia"/>
        </w:rPr>
        <w:t>惰性气体熔融热导法</w:t>
      </w:r>
      <w:r>
        <w:rPr>
          <w:rFonts w:hint="eastAsia"/>
        </w:rPr>
        <w:t>(</w:t>
      </w:r>
      <w:r>
        <w:rPr>
          <w:rFonts w:hint="eastAsia"/>
        </w:rPr>
        <w:t>常规方法）</w:t>
      </w:r>
    </w:p>
    <w:p w:rsidR="000902A8" w:rsidRDefault="00000000">
      <w:pPr>
        <w:ind w:firstLineChars="200" w:firstLine="420"/>
      </w:pPr>
      <w:r>
        <w:rPr>
          <w:rFonts w:hint="eastAsia"/>
        </w:rPr>
        <w:t>G</w:t>
      </w:r>
      <w:r>
        <w:t xml:space="preserve">B/T 20125  </w:t>
      </w:r>
      <w:r>
        <w:rPr>
          <w:rFonts w:hint="eastAsia"/>
        </w:rPr>
        <w:t>低合金钢多元素含量的测定电感耦合等离子体原子发射光谱法</w:t>
      </w:r>
    </w:p>
    <w:p w:rsidR="000902A8" w:rsidRDefault="00000000">
      <w:pPr>
        <w:snapToGrid w:val="0"/>
        <w:ind w:firstLineChars="200" w:firstLine="420"/>
      </w:pPr>
      <w:r>
        <w:rPr>
          <w:rFonts w:hint="eastAsia"/>
        </w:rPr>
        <w:t>GB/T</w:t>
      </w:r>
      <w:r>
        <w:t xml:space="preserve"> 20126 </w:t>
      </w:r>
      <w:r>
        <w:rPr>
          <w:rFonts w:hint="eastAsia"/>
        </w:rPr>
        <w:t xml:space="preserve"> </w:t>
      </w:r>
      <w:r>
        <w:rPr>
          <w:rFonts w:hint="eastAsia"/>
        </w:rPr>
        <w:t>非合金钢</w:t>
      </w:r>
      <w:r>
        <w:rPr>
          <w:rFonts w:hint="eastAsia"/>
        </w:rPr>
        <w:t xml:space="preserve"> </w:t>
      </w:r>
      <w:r>
        <w:rPr>
          <w:rFonts w:hint="eastAsia"/>
        </w:rPr>
        <w:t>低碳含量的测定</w:t>
      </w:r>
      <w:r>
        <w:rPr>
          <w:rFonts w:hint="eastAsia"/>
        </w:rPr>
        <w:t xml:space="preserve"> </w:t>
      </w:r>
      <w:r>
        <w:rPr>
          <w:rFonts w:hint="eastAsia"/>
        </w:rPr>
        <w:t>第</w:t>
      </w:r>
      <w:r>
        <w:rPr>
          <w:rFonts w:hint="eastAsia"/>
        </w:rPr>
        <w:t>2</w:t>
      </w:r>
      <w:r>
        <w:rPr>
          <w:rFonts w:hint="eastAsia"/>
        </w:rPr>
        <w:t>部分：感应炉（经预加热）内燃烧后红外吸收法</w:t>
      </w:r>
    </w:p>
    <w:p w:rsidR="000902A8" w:rsidRDefault="00000000">
      <w:pPr>
        <w:snapToGrid w:val="0"/>
        <w:ind w:firstLineChars="200" w:firstLine="420"/>
      </w:pPr>
      <w:r>
        <w:rPr>
          <w:rFonts w:hint="eastAsia"/>
        </w:rPr>
        <w:t xml:space="preserve">YB/T 2011  </w:t>
      </w:r>
      <w:r>
        <w:rPr>
          <w:rFonts w:hint="eastAsia"/>
        </w:rPr>
        <w:t>连续铸钢方坯和矩形</w:t>
      </w:r>
      <w:proofErr w:type="gramStart"/>
      <w:r>
        <w:rPr>
          <w:rFonts w:hint="eastAsia"/>
        </w:rPr>
        <w:t>坯</w:t>
      </w:r>
      <w:proofErr w:type="gramEnd"/>
    </w:p>
    <w:p w:rsidR="000902A8" w:rsidRDefault="00000000">
      <w:pPr>
        <w:snapToGrid w:val="0"/>
        <w:ind w:firstLineChars="200" w:firstLine="420"/>
      </w:pPr>
      <w:r>
        <w:rPr>
          <w:rFonts w:hint="eastAsia"/>
        </w:rPr>
        <w:t xml:space="preserve">YB/T 2012  </w:t>
      </w:r>
      <w:r>
        <w:rPr>
          <w:rFonts w:hint="eastAsia"/>
        </w:rPr>
        <w:t>连续铸钢板坯</w:t>
      </w:r>
    </w:p>
    <w:p w:rsidR="000902A8" w:rsidRDefault="00000000">
      <w:pPr>
        <w:pStyle w:val="a"/>
        <w:spacing w:before="312" w:after="312"/>
      </w:pPr>
      <w:r>
        <w:rPr>
          <w:rFonts w:hint="eastAsia"/>
        </w:rPr>
        <w:t>术语和定义</w:t>
      </w:r>
    </w:p>
    <w:p w:rsidR="000902A8" w:rsidRDefault="00000000">
      <w:pPr>
        <w:pStyle w:val="affb"/>
      </w:pPr>
      <w:r>
        <w:rPr>
          <w:rFonts w:hint="eastAsia"/>
        </w:rPr>
        <w:t>下列术语和定义适用于本文件。</w:t>
      </w:r>
    </w:p>
    <w:p w:rsidR="000902A8" w:rsidRDefault="000902A8">
      <w:pPr>
        <w:pStyle w:val="a0"/>
        <w:spacing w:before="156" w:after="156"/>
        <w:ind w:left="0"/>
      </w:pPr>
    </w:p>
    <w:p w:rsidR="000902A8" w:rsidRDefault="00000000">
      <w:pPr>
        <w:pStyle w:val="affb"/>
        <w:rPr>
          <w:rFonts w:ascii="Times New Roman" w:eastAsia="黑体"/>
          <w:szCs w:val="21"/>
        </w:rPr>
      </w:pPr>
      <w:bookmarkStart w:id="18" w:name="_Hlk174627307"/>
      <w:r>
        <w:rPr>
          <w:rFonts w:ascii="黑体" w:eastAsia="黑体" w:hint="eastAsia"/>
          <w:szCs w:val="21"/>
        </w:rPr>
        <w:t xml:space="preserve">高纯原料纯铁  </w:t>
      </w:r>
      <w:r>
        <w:rPr>
          <w:rFonts w:ascii="Times New Roman" w:eastAsia="黑体"/>
          <w:szCs w:val="21"/>
        </w:rPr>
        <w:t>High purity iron of raw material</w:t>
      </w:r>
    </w:p>
    <w:p w:rsidR="000902A8" w:rsidRDefault="00000000">
      <w:pPr>
        <w:pStyle w:val="affb"/>
        <w:rPr>
          <w:rFonts w:ascii="Times New Roman"/>
        </w:rPr>
      </w:pPr>
      <w:r>
        <w:rPr>
          <w:rFonts w:ascii="Times New Roman"/>
        </w:rPr>
        <w:t>铁含量为</w:t>
      </w:r>
      <w:r>
        <w:rPr>
          <w:rFonts w:ascii="Times New Roman"/>
        </w:rPr>
        <w:t>99.9</w:t>
      </w:r>
      <w:r>
        <w:rPr>
          <w:rFonts w:ascii="Times New Roman" w:hint="eastAsia"/>
        </w:rPr>
        <w:t>2</w:t>
      </w:r>
      <w:r>
        <w:rPr>
          <w:rFonts w:ascii="Times New Roman"/>
        </w:rPr>
        <w:t>%</w:t>
      </w:r>
      <w:r>
        <w:rPr>
          <w:rFonts w:ascii="Times New Roman"/>
        </w:rPr>
        <w:t>～</w:t>
      </w:r>
      <w:r>
        <w:rPr>
          <w:rFonts w:ascii="Times New Roman"/>
        </w:rPr>
        <w:t>99.994%</w:t>
      </w:r>
      <w:r>
        <w:rPr>
          <w:rFonts w:ascii="Times New Roman"/>
        </w:rPr>
        <w:t>的铁。</w:t>
      </w:r>
    </w:p>
    <w:p w:rsidR="000902A8" w:rsidRDefault="00000000">
      <w:pPr>
        <w:pStyle w:val="a"/>
        <w:spacing w:before="312" w:after="312"/>
      </w:pPr>
      <w:bookmarkStart w:id="19" w:name="_Hlk174627353"/>
      <w:bookmarkEnd w:id="18"/>
      <w:r>
        <w:rPr>
          <w:rFonts w:hint="eastAsia"/>
        </w:rPr>
        <w:t>牌号表示方法和分类</w:t>
      </w:r>
    </w:p>
    <w:bookmarkEnd w:id="19"/>
    <w:p w:rsidR="000902A8" w:rsidRDefault="00000000">
      <w:pPr>
        <w:pStyle w:val="a0"/>
        <w:spacing w:before="156" w:after="156"/>
        <w:ind w:left="0"/>
      </w:pPr>
      <w:r>
        <w:rPr>
          <w:rFonts w:hint="eastAsia"/>
        </w:rPr>
        <w:t>牌号表示方法</w:t>
      </w:r>
    </w:p>
    <w:p w:rsidR="000902A8" w:rsidRDefault="00000000">
      <w:pPr>
        <w:pStyle w:val="affb"/>
      </w:pPr>
      <w:bookmarkStart w:id="20" w:name="_Hlk178150525"/>
      <w:bookmarkStart w:id="21" w:name="_Hlk174627362"/>
      <w:r>
        <w:rPr>
          <w:rFonts w:hint="eastAsia"/>
        </w:rPr>
        <w:t>高纯原料纯铁</w:t>
      </w:r>
      <w:bookmarkEnd w:id="20"/>
      <w:r>
        <w:rPr>
          <w:rFonts w:hint="eastAsia"/>
        </w:rPr>
        <w:t>的牌号由 “高”、“纯”和“铁”的汉语拼音首字</w:t>
      </w:r>
      <w:r>
        <w:rPr>
          <w:rFonts w:ascii="Times New Roman"/>
        </w:rPr>
        <w:t>母</w:t>
      </w:r>
      <w:r>
        <w:rPr>
          <w:rFonts w:hint="eastAsia"/>
        </w:rPr>
        <w:t>“</w:t>
      </w:r>
      <w:r>
        <w:rPr>
          <w:rFonts w:ascii="Times New Roman"/>
        </w:rPr>
        <w:t>G</w:t>
      </w:r>
      <w:r>
        <w:rPr>
          <w:rFonts w:hint="eastAsia"/>
        </w:rPr>
        <w:t>”</w:t>
      </w:r>
      <w:r>
        <w:rPr>
          <w:rFonts w:ascii="Times New Roman"/>
        </w:rPr>
        <w:t>、</w:t>
      </w:r>
      <w:r>
        <w:rPr>
          <w:rFonts w:hint="eastAsia"/>
        </w:rPr>
        <w:t>“</w:t>
      </w:r>
      <w:r>
        <w:rPr>
          <w:rFonts w:ascii="Times New Roman"/>
        </w:rPr>
        <w:t>C</w:t>
      </w:r>
      <w:r>
        <w:rPr>
          <w:rFonts w:hint="eastAsia"/>
        </w:rPr>
        <w:t>”</w:t>
      </w:r>
      <w:r>
        <w:rPr>
          <w:rFonts w:ascii="Times New Roman"/>
        </w:rPr>
        <w:t>和</w:t>
      </w:r>
      <w:r>
        <w:rPr>
          <w:rFonts w:hint="eastAsia"/>
        </w:rPr>
        <w:t>“</w:t>
      </w:r>
      <w:r>
        <w:rPr>
          <w:rFonts w:ascii="Times New Roman"/>
        </w:rPr>
        <w:t>T</w:t>
      </w:r>
      <w:r>
        <w:rPr>
          <w:rFonts w:hint="eastAsia"/>
        </w:rPr>
        <w:t>”和数字代号组成。</w:t>
      </w:r>
    </w:p>
    <w:p w:rsidR="000902A8" w:rsidRDefault="00000000">
      <w:pPr>
        <w:pStyle w:val="affb"/>
        <w:rPr>
          <w:rFonts w:ascii="Times New Roman"/>
        </w:rPr>
      </w:pPr>
      <w:r>
        <w:rPr>
          <w:rFonts w:ascii="楷体" w:eastAsia="楷体" w:hAnsi="楷体" w:hint="eastAsia"/>
        </w:rPr>
        <w:t>示例</w:t>
      </w:r>
      <w:r>
        <w:rPr>
          <w:rFonts w:ascii="Times New Roman" w:hint="eastAsia"/>
        </w:rPr>
        <w:t>：</w:t>
      </w:r>
      <w:r>
        <w:rPr>
          <w:rFonts w:ascii="Times New Roman" w:hint="eastAsia"/>
        </w:rPr>
        <w:t>GC</w:t>
      </w:r>
      <w:r>
        <w:rPr>
          <w:rFonts w:ascii="Times New Roman"/>
        </w:rPr>
        <w:t>T</w:t>
      </w:r>
      <w:r>
        <w:rPr>
          <w:rFonts w:ascii="Times New Roman" w:hint="eastAsia"/>
        </w:rPr>
        <w:t>001</w:t>
      </w:r>
    </w:p>
    <w:p w:rsidR="000902A8" w:rsidRDefault="00000000">
      <w:pPr>
        <w:pStyle w:val="affb"/>
        <w:rPr>
          <w:rFonts w:ascii="Times New Roman"/>
        </w:rPr>
      </w:pPr>
      <w:r>
        <w:rPr>
          <w:rFonts w:ascii="Times New Roman" w:hint="eastAsia"/>
        </w:rPr>
        <w:t>GC</w:t>
      </w:r>
      <w:r>
        <w:rPr>
          <w:rFonts w:ascii="Times New Roman"/>
        </w:rPr>
        <w:t>T——</w:t>
      </w:r>
      <w:r>
        <w:rPr>
          <w:rFonts w:ascii="Times New Roman" w:hint="eastAsia"/>
        </w:rPr>
        <w:t xml:space="preserve"> </w:t>
      </w:r>
      <w:r>
        <w:rPr>
          <w:rFonts w:ascii="Times New Roman" w:hint="eastAsia"/>
        </w:rPr>
        <w:t>“高”、“纯”和“铁”的汉语拼音首字母；</w:t>
      </w:r>
    </w:p>
    <w:p w:rsidR="000902A8" w:rsidRDefault="00000000">
      <w:pPr>
        <w:pStyle w:val="affb"/>
        <w:rPr>
          <w:rFonts w:ascii="Times New Roman"/>
        </w:rPr>
      </w:pPr>
      <w:r>
        <w:rPr>
          <w:rFonts w:ascii="Times New Roman" w:hint="eastAsia"/>
        </w:rPr>
        <w:t>001</w:t>
      </w:r>
      <w:r>
        <w:rPr>
          <w:rFonts w:ascii="Times New Roman"/>
        </w:rPr>
        <w:t xml:space="preserve"> ——</w:t>
      </w:r>
      <w:r>
        <w:rPr>
          <w:rFonts w:ascii="Times New Roman" w:hint="eastAsia"/>
        </w:rPr>
        <w:t>数字代号。</w:t>
      </w:r>
    </w:p>
    <w:bookmarkEnd w:id="21"/>
    <w:p w:rsidR="000902A8" w:rsidRDefault="00000000">
      <w:pPr>
        <w:pStyle w:val="a0"/>
        <w:spacing w:before="156" w:after="156"/>
        <w:ind w:left="0"/>
      </w:pPr>
      <w:r>
        <w:rPr>
          <w:rFonts w:hint="eastAsia"/>
        </w:rPr>
        <w:t>分类</w:t>
      </w:r>
    </w:p>
    <w:p w:rsidR="000902A8" w:rsidRDefault="00000000">
      <w:pPr>
        <w:pStyle w:val="a1"/>
        <w:numPr>
          <w:ilvl w:val="2"/>
          <w:numId w:val="3"/>
        </w:numPr>
        <w:spacing w:before="156" w:after="156"/>
        <w:ind w:left="0"/>
        <w:rPr>
          <w:rFonts w:ascii="Times New Roman" w:eastAsia="宋体"/>
        </w:rPr>
      </w:pPr>
      <w:r>
        <w:rPr>
          <w:rFonts w:ascii="Times New Roman" w:eastAsia="宋体" w:hint="eastAsia"/>
        </w:rPr>
        <w:t>按</w:t>
      </w:r>
      <w:bookmarkStart w:id="22" w:name="_Hlk174627401"/>
      <w:r>
        <w:rPr>
          <w:rFonts w:ascii="Times New Roman" w:eastAsia="宋体" w:hint="eastAsia"/>
        </w:rPr>
        <w:t>形状分为</w:t>
      </w:r>
      <w:bookmarkEnd w:id="22"/>
      <w:r>
        <w:rPr>
          <w:rFonts w:ascii="Times New Roman" w:eastAsia="宋体" w:hint="eastAsia"/>
        </w:rPr>
        <w:t>：</w:t>
      </w:r>
    </w:p>
    <w:p w:rsidR="000902A8" w:rsidRDefault="00000000">
      <w:pPr>
        <w:pStyle w:val="affb"/>
        <w:numPr>
          <w:ilvl w:val="0"/>
          <w:numId w:val="12"/>
        </w:numPr>
        <w:ind w:firstLineChars="0"/>
      </w:pPr>
      <w:bookmarkStart w:id="23" w:name="_Hlk174627553"/>
      <w:r>
        <w:rPr>
          <w:rFonts w:hAnsi="宋体" w:hint="eastAsia"/>
        </w:rPr>
        <w:t>连铸坯（连铸板坯、方坯及矩形坯）；</w:t>
      </w:r>
    </w:p>
    <w:p w:rsidR="000902A8" w:rsidRDefault="00000000">
      <w:pPr>
        <w:pStyle w:val="affb"/>
        <w:numPr>
          <w:ilvl w:val="0"/>
          <w:numId w:val="12"/>
        </w:numPr>
        <w:ind w:firstLineChars="0"/>
      </w:pPr>
      <w:r>
        <w:rPr>
          <w:rFonts w:hAnsi="宋体" w:hint="eastAsia"/>
        </w:rPr>
        <w:t>热轧钢棒（包括热轧圆钢、方钢、扁钢）；</w:t>
      </w:r>
    </w:p>
    <w:p w:rsidR="000902A8" w:rsidRDefault="00000000">
      <w:pPr>
        <w:pStyle w:val="affb"/>
        <w:numPr>
          <w:ilvl w:val="0"/>
          <w:numId w:val="12"/>
        </w:numPr>
        <w:ind w:firstLineChars="0"/>
      </w:pPr>
      <w:r>
        <w:rPr>
          <w:rFonts w:hAnsi="宋体" w:hint="eastAsia"/>
        </w:rPr>
        <w:t>热轧盘条</w:t>
      </w:r>
      <w:bookmarkEnd w:id="23"/>
      <w:r>
        <w:rPr>
          <w:rFonts w:hAnsi="宋体" w:hint="eastAsia"/>
        </w:rPr>
        <w:t>；</w:t>
      </w:r>
    </w:p>
    <w:p w:rsidR="000902A8" w:rsidRDefault="00000000">
      <w:pPr>
        <w:pStyle w:val="affb"/>
        <w:numPr>
          <w:ilvl w:val="0"/>
          <w:numId w:val="12"/>
        </w:numPr>
        <w:ind w:firstLineChars="0"/>
        <w:rPr>
          <w:rFonts w:hAnsi="宋体" w:hint="eastAsia"/>
        </w:rPr>
      </w:pPr>
      <w:r>
        <w:rPr>
          <w:rFonts w:hAnsi="宋体" w:hint="eastAsia"/>
        </w:rPr>
        <w:t>片状。</w:t>
      </w:r>
    </w:p>
    <w:p w:rsidR="000902A8" w:rsidRDefault="00000000">
      <w:pPr>
        <w:pStyle w:val="a1"/>
        <w:numPr>
          <w:ilvl w:val="2"/>
          <w:numId w:val="3"/>
        </w:numPr>
        <w:spacing w:before="156" w:after="156"/>
        <w:ind w:left="0"/>
        <w:rPr>
          <w:rFonts w:ascii="Times New Roman" w:eastAsia="宋体"/>
        </w:rPr>
      </w:pPr>
      <w:r>
        <w:rPr>
          <w:rFonts w:ascii="Times New Roman" w:eastAsia="宋体" w:hint="eastAsia"/>
        </w:rPr>
        <w:t>按用途分为：</w:t>
      </w:r>
    </w:p>
    <w:p w:rsidR="000902A8" w:rsidRDefault="00000000">
      <w:pPr>
        <w:pStyle w:val="affb"/>
        <w:numPr>
          <w:ilvl w:val="0"/>
          <w:numId w:val="13"/>
        </w:numPr>
        <w:ind w:firstLineChars="0"/>
      </w:pPr>
      <w:bookmarkStart w:id="24" w:name="_Hlk174627572"/>
      <w:r>
        <w:rPr>
          <w:rFonts w:hAnsi="宋体" w:hint="eastAsia"/>
        </w:rPr>
        <w:t>非晶合金用；</w:t>
      </w:r>
    </w:p>
    <w:p w:rsidR="000902A8" w:rsidRDefault="00000000">
      <w:pPr>
        <w:pStyle w:val="affb"/>
        <w:numPr>
          <w:ilvl w:val="0"/>
          <w:numId w:val="13"/>
        </w:numPr>
        <w:ind w:firstLineChars="0"/>
      </w:pPr>
      <w:r>
        <w:rPr>
          <w:rFonts w:hAnsi="宋体" w:hint="eastAsia"/>
        </w:rPr>
        <w:t>电子信息用；</w:t>
      </w:r>
    </w:p>
    <w:p w:rsidR="000902A8" w:rsidRDefault="00000000">
      <w:pPr>
        <w:pStyle w:val="affb"/>
        <w:numPr>
          <w:ilvl w:val="0"/>
          <w:numId w:val="13"/>
        </w:numPr>
        <w:ind w:firstLineChars="0"/>
      </w:pPr>
      <w:r>
        <w:rPr>
          <w:rFonts w:hAnsi="宋体" w:hint="eastAsia"/>
        </w:rPr>
        <w:t>永磁材料用；</w:t>
      </w:r>
    </w:p>
    <w:p w:rsidR="000902A8" w:rsidRDefault="00000000">
      <w:pPr>
        <w:pStyle w:val="affb"/>
        <w:numPr>
          <w:ilvl w:val="0"/>
          <w:numId w:val="13"/>
        </w:numPr>
        <w:ind w:firstLineChars="0"/>
      </w:pPr>
      <w:r>
        <w:rPr>
          <w:rFonts w:hint="eastAsia"/>
        </w:rPr>
        <w:t>电磁材料用；</w:t>
      </w:r>
    </w:p>
    <w:p w:rsidR="000902A8" w:rsidRDefault="00000000">
      <w:pPr>
        <w:pStyle w:val="affb"/>
        <w:numPr>
          <w:ilvl w:val="0"/>
          <w:numId w:val="13"/>
        </w:numPr>
        <w:ind w:firstLineChars="0"/>
      </w:pPr>
      <w:r>
        <w:rPr>
          <w:rFonts w:hint="eastAsia"/>
        </w:rPr>
        <w:t>其它用途。</w:t>
      </w:r>
    </w:p>
    <w:p w:rsidR="000902A8" w:rsidRPr="00E13B8E" w:rsidRDefault="00000000">
      <w:pPr>
        <w:pStyle w:val="a1"/>
        <w:numPr>
          <w:ilvl w:val="2"/>
          <w:numId w:val="3"/>
        </w:numPr>
        <w:spacing w:before="156" w:after="156"/>
        <w:ind w:left="0"/>
        <w:rPr>
          <w:rFonts w:ascii="Times New Roman"/>
          <w:kern w:val="2"/>
        </w:rPr>
      </w:pPr>
      <w:bookmarkStart w:id="25" w:name="_Hlk174627605"/>
      <w:bookmarkEnd w:id="24"/>
      <w:r w:rsidRPr="00E13B8E">
        <w:rPr>
          <w:rFonts w:ascii="Times New Roman" w:eastAsia="宋体" w:hint="eastAsia"/>
        </w:rPr>
        <w:lastRenderedPageBreak/>
        <w:t>纯度</w:t>
      </w:r>
      <w:r w:rsidRPr="00E13B8E">
        <w:rPr>
          <w:rFonts w:ascii="Times New Roman" w:eastAsia="宋体"/>
        </w:rPr>
        <w:t>级别</w:t>
      </w:r>
      <w:r w:rsidRPr="00E13B8E">
        <w:rPr>
          <w:rFonts w:ascii="Times New Roman" w:eastAsia="宋体" w:hint="eastAsia"/>
        </w:rPr>
        <w:t>分类</w:t>
      </w:r>
      <w:r w:rsidRPr="00E13B8E">
        <w:rPr>
          <w:rFonts w:ascii="Times New Roman" w:eastAsia="宋体"/>
        </w:rPr>
        <w:t>用</w:t>
      </w:r>
      <w:r w:rsidRPr="00E13B8E">
        <w:rPr>
          <w:rFonts w:ascii="Times New Roman" w:eastAsia="宋体"/>
        </w:rPr>
        <w:t>“</w:t>
      </w:r>
      <w:r w:rsidRPr="00E13B8E">
        <w:rPr>
          <w:rFonts w:ascii="Times New Roman" w:eastAsia="宋体" w:hint="eastAsia"/>
        </w:rPr>
        <w:t>N</w:t>
      </w:r>
      <w:r w:rsidRPr="00E13B8E">
        <w:rPr>
          <w:rFonts w:ascii="Times New Roman" w:eastAsia="宋体"/>
        </w:rPr>
        <w:t>”</w:t>
      </w:r>
      <w:r w:rsidRPr="00E13B8E">
        <w:rPr>
          <w:rFonts w:ascii="Times New Roman" w:eastAsia="宋体"/>
        </w:rPr>
        <w:t>和数字表示，其中</w:t>
      </w:r>
      <w:r w:rsidRPr="00E13B8E">
        <w:rPr>
          <w:rFonts w:ascii="Times New Roman" w:eastAsia="宋体"/>
        </w:rPr>
        <w:t>“</w:t>
      </w:r>
      <w:r w:rsidRPr="00E13B8E">
        <w:rPr>
          <w:rFonts w:ascii="Times New Roman" w:eastAsia="宋体" w:hint="eastAsia"/>
        </w:rPr>
        <w:t>N</w:t>
      </w:r>
      <w:r w:rsidRPr="00E13B8E">
        <w:rPr>
          <w:rFonts w:ascii="Times New Roman" w:eastAsia="宋体"/>
        </w:rPr>
        <w:t>”</w:t>
      </w:r>
      <w:r w:rsidRPr="00E13B8E">
        <w:rPr>
          <w:rFonts w:ascii="Times New Roman" w:eastAsia="宋体"/>
        </w:rPr>
        <w:t>是英文数字</w:t>
      </w:r>
      <w:r w:rsidRPr="00E13B8E">
        <w:rPr>
          <w:rFonts w:ascii="Times New Roman" w:eastAsia="宋体"/>
        </w:rPr>
        <w:t>“nine”</w:t>
      </w:r>
      <w:r w:rsidRPr="00E13B8E">
        <w:rPr>
          <w:rFonts w:ascii="Times New Roman" w:eastAsia="宋体"/>
        </w:rPr>
        <w:t>的首字母</w:t>
      </w:r>
      <w:r w:rsidRPr="00E13B8E">
        <w:rPr>
          <w:rFonts w:ascii="Times New Roman" w:eastAsia="宋体" w:hint="eastAsia"/>
        </w:rPr>
        <w:t>。</w:t>
      </w:r>
    </w:p>
    <w:p w:rsidR="000902A8" w:rsidRPr="00E13B8E" w:rsidRDefault="00000000">
      <w:pPr>
        <w:pStyle w:val="a1"/>
        <w:numPr>
          <w:ilvl w:val="0"/>
          <w:numId w:val="0"/>
        </w:numPr>
        <w:spacing w:before="156" w:after="156"/>
        <w:ind w:firstLineChars="200" w:firstLine="420"/>
        <w:rPr>
          <w:rFonts w:ascii="Times New Roman"/>
        </w:rPr>
      </w:pPr>
      <w:r w:rsidRPr="00E13B8E">
        <w:rPr>
          <w:rFonts w:ascii="Times New Roman" w:eastAsia="楷体"/>
        </w:rPr>
        <w:t>示例</w:t>
      </w:r>
      <w:r w:rsidRPr="00E13B8E">
        <w:rPr>
          <w:rFonts w:ascii="Times New Roman" w:eastAsia="楷体" w:hint="eastAsia"/>
        </w:rPr>
        <w:t>1</w:t>
      </w:r>
      <w:r w:rsidRPr="00E13B8E">
        <w:rPr>
          <w:rFonts w:ascii="Times New Roman" w:eastAsia="楷体"/>
        </w:rPr>
        <w:t>：</w:t>
      </w:r>
      <w:r w:rsidRPr="00E13B8E">
        <w:rPr>
          <w:rFonts w:ascii="Times New Roman" w:eastAsia="宋体"/>
        </w:rPr>
        <w:t>3N2</w:t>
      </w:r>
      <w:r w:rsidRPr="00E13B8E">
        <w:rPr>
          <w:rFonts w:ascii="Times New Roman" w:eastAsia="宋体"/>
        </w:rPr>
        <w:t>，铁含量为</w:t>
      </w:r>
      <w:r w:rsidRPr="00E13B8E">
        <w:rPr>
          <w:rFonts w:ascii="Times New Roman" w:eastAsia="宋体"/>
        </w:rPr>
        <w:t>99.92%</w:t>
      </w:r>
      <w:r w:rsidRPr="00E13B8E">
        <w:rPr>
          <w:rFonts w:ascii="Times New Roman" w:eastAsia="宋体"/>
        </w:rPr>
        <w:t>的高纯原料纯铁</w:t>
      </w:r>
      <w:r w:rsidRPr="00E13B8E">
        <w:rPr>
          <w:rFonts w:ascii="Times New Roman"/>
        </w:rPr>
        <w:t>。</w:t>
      </w:r>
    </w:p>
    <w:p w:rsidR="000902A8" w:rsidRPr="00E13B8E" w:rsidRDefault="00000000">
      <w:pPr>
        <w:pStyle w:val="affb"/>
        <w:rPr>
          <w:rFonts w:ascii="Times New Roman"/>
          <w:szCs w:val="21"/>
        </w:rPr>
      </w:pPr>
      <w:r w:rsidRPr="00E13B8E">
        <w:rPr>
          <w:rFonts w:ascii="Times New Roman" w:eastAsia="楷体"/>
          <w:szCs w:val="21"/>
        </w:rPr>
        <w:t>示例</w:t>
      </w:r>
      <w:r w:rsidRPr="00E13B8E">
        <w:rPr>
          <w:rFonts w:ascii="Times New Roman" w:eastAsia="楷体" w:hint="eastAsia"/>
          <w:szCs w:val="21"/>
        </w:rPr>
        <w:t>2</w:t>
      </w:r>
      <w:r w:rsidRPr="00E13B8E">
        <w:rPr>
          <w:rFonts w:ascii="Times New Roman" w:eastAsia="楷体"/>
          <w:szCs w:val="21"/>
        </w:rPr>
        <w:t>：</w:t>
      </w:r>
      <w:r w:rsidRPr="00E13B8E">
        <w:rPr>
          <w:rFonts w:ascii="Times New Roman"/>
          <w:szCs w:val="21"/>
        </w:rPr>
        <w:t>4N4</w:t>
      </w:r>
      <w:r w:rsidRPr="00E13B8E">
        <w:rPr>
          <w:rFonts w:ascii="Times New Roman"/>
          <w:szCs w:val="21"/>
        </w:rPr>
        <w:t>，铁含量为</w:t>
      </w:r>
      <w:r w:rsidRPr="00E13B8E">
        <w:rPr>
          <w:rFonts w:ascii="Times New Roman"/>
          <w:szCs w:val="21"/>
        </w:rPr>
        <w:t>99.994%</w:t>
      </w:r>
      <w:r w:rsidRPr="00E13B8E">
        <w:rPr>
          <w:rFonts w:ascii="Times New Roman"/>
          <w:szCs w:val="21"/>
        </w:rPr>
        <w:t>的高纯原料纯铁。</w:t>
      </w:r>
    </w:p>
    <w:p w:rsidR="000902A8" w:rsidRDefault="00000000">
      <w:pPr>
        <w:pStyle w:val="a"/>
        <w:spacing w:before="312" w:after="312"/>
      </w:pPr>
      <w:bookmarkStart w:id="26" w:name="_Toc1245"/>
      <w:bookmarkStart w:id="27" w:name="_Toc520380394"/>
      <w:bookmarkEnd w:id="14"/>
      <w:bookmarkEnd w:id="25"/>
      <w:r>
        <w:rPr>
          <w:rFonts w:hint="eastAsia"/>
        </w:rPr>
        <w:t>订货内容</w:t>
      </w:r>
      <w:bookmarkEnd w:id="26"/>
      <w:bookmarkEnd w:id="27"/>
    </w:p>
    <w:p w:rsidR="000902A8" w:rsidRDefault="00000000">
      <w:pPr>
        <w:pStyle w:val="a0"/>
        <w:numPr>
          <w:ilvl w:val="1"/>
          <w:numId w:val="0"/>
        </w:numPr>
        <w:spacing w:before="156" w:after="156"/>
        <w:ind w:left="426"/>
        <w:rPr>
          <w:rFonts w:asciiTheme="minorEastAsia" w:eastAsiaTheme="minorEastAsia" w:hAnsiTheme="minorEastAsia" w:cstheme="minorEastAsia" w:hint="eastAsia"/>
        </w:rPr>
      </w:pPr>
      <w:r>
        <w:rPr>
          <w:rFonts w:asciiTheme="minorEastAsia" w:eastAsiaTheme="minorEastAsia" w:hAnsiTheme="minorEastAsia" w:cstheme="minorEastAsia" w:hint="eastAsia"/>
        </w:rPr>
        <w:t>按本文件订货的合同或订单应包括下列内容：</w:t>
      </w:r>
    </w:p>
    <w:p w:rsidR="000902A8" w:rsidRDefault="00000000">
      <w:pPr>
        <w:pStyle w:val="affb"/>
        <w:numPr>
          <w:ilvl w:val="0"/>
          <w:numId w:val="14"/>
        </w:numPr>
        <w:ind w:firstLineChars="0"/>
        <w:rPr>
          <w:rFonts w:ascii="Times New Roman"/>
          <w:szCs w:val="21"/>
        </w:rPr>
      </w:pPr>
      <w:bookmarkStart w:id="28" w:name="_Hlk174627627"/>
      <w:r>
        <w:rPr>
          <w:rFonts w:ascii="Times New Roman"/>
          <w:szCs w:val="21"/>
        </w:rPr>
        <w:t>本文件编号；</w:t>
      </w:r>
    </w:p>
    <w:p w:rsidR="000902A8" w:rsidRDefault="00000000">
      <w:pPr>
        <w:pStyle w:val="affb"/>
        <w:numPr>
          <w:ilvl w:val="0"/>
          <w:numId w:val="14"/>
        </w:numPr>
        <w:ind w:firstLineChars="0"/>
        <w:rPr>
          <w:rFonts w:ascii="Times New Roman"/>
          <w:szCs w:val="21"/>
        </w:rPr>
      </w:pPr>
      <w:bookmarkStart w:id="29" w:name="_Toc520380395"/>
      <w:r>
        <w:rPr>
          <w:rFonts w:ascii="Times New Roman"/>
          <w:szCs w:val="21"/>
        </w:rPr>
        <w:t>产品名称；</w:t>
      </w:r>
    </w:p>
    <w:p w:rsidR="000902A8" w:rsidRDefault="00000000">
      <w:pPr>
        <w:pStyle w:val="affb"/>
        <w:numPr>
          <w:ilvl w:val="0"/>
          <w:numId w:val="14"/>
        </w:numPr>
        <w:ind w:firstLineChars="0"/>
        <w:rPr>
          <w:rFonts w:ascii="Times New Roman"/>
          <w:szCs w:val="21"/>
        </w:rPr>
      </w:pPr>
      <w:r>
        <w:rPr>
          <w:rFonts w:ascii="Times New Roman" w:hint="eastAsia"/>
          <w:szCs w:val="21"/>
        </w:rPr>
        <w:t>产品形状；</w:t>
      </w:r>
    </w:p>
    <w:p w:rsidR="000902A8" w:rsidRDefault="00000000">
      <w:pPr>
        <w:pStyle w:val="affb"/>
        <w:numPr>
          <w:ilvl w:val="0"/>
          <w:numId w:val="14"/>
        </w:numPr>
        <w:ind w:firstLineChars="0"/>
        <w:rPr>
          <w:rFonts w:ascii="Times New Roman"/>
          <w:szCs w:val="21"/>
        </w:rPr>
      </w:pPr>
      <w:r>
        <w:rPr>
          <w:rFonts w:ascii="Times New Roman" w:hint="eastAsia"/>
          <w:szCs w:val="21"/>
        </w:rPr>
        <w:t>产品纯度；</w:t>
      </w:r>
    </w:p>
    <w:p w:rsidR="000902A8" w:rsidRDefault="00000000">
      <w:pPr>
        <w:pStyle w:val="affb"/>
        <w:numPr>
          <w:ilvl w:val="0"/>
          <w:numId w:val="14"/>
        </w:numPr>
        <w:ind w:firstLineChars="0"/>
        <w:rPr>
          <w:rFonts w:ascii="Times New Roman"/>
          <w:szCs w:val="21"/>
        </w:rPr>
      </w:pPr>
      <w:r>
        <w:rPr>
          <w:rFonts w:ascii="Times New Roman"/>
          <w:szCs w:val="21"/>
        </w:rPr>
        <w:t>牌号；</w:t>
      </w:r>
    </w:p>
    <w:p w:rsidR="000902A8" w:rsidRDefault="00000000">
      <w:pPr>
        <w:pStyle w:val="affb"/>
        <w:numPr>
          <w:ilvl w:val="0"/>
          <w:numId w:val="14"/>
        </w:numPr>
        <w:ind w:firstLineChars="0"/>
        <w:rPr>
          <w:rFonts w:ascii="Times New Roman"/>
          <w:szCs w:val="21"/>
        </w:rPr>
      </w:pPr>
      <w:r>
        <w:rPr>
          <w:rFonts w:ascii="Times New Roman"/>
          <w:szCs w:val="21"/>
        </w:rPr>
        <w:t>重量</w:t>
      </w:r>
      <w:r>
        <w:rPr>
          <w:rFonts w:ascii="Times New Roman" w:hint="eastAsia"/>
          <w:szCs w:val="21"/>
        </w:rPr>
        <w:t>（后数量）</w:t>
      </w:r>
      <w:r>
        <w:rPr>
          <w:rFonts w:ascii="Times New Roman"/>
          <w:szCs w:val="21"/>
        </w:rPr>
        <w:t>；</w:t>
      </w:r>
    </w:p>
    <w:p w:rsidR="000902A8" w:rsidRDefault="00000000">
      <w:pPr>
        <w:pStyle w:val="affb"/>
        <w:numPr>
          <w:ilvl w:val="0"/>
          <w:numId w:val="14"/>
        </w:numPr>
        <w:ind w:firstLineChars="0"/>
        <w:rPr>
          <w:rFonts w:ascii="Times New Roman"/>
          <w:szCs w:val="21"/>
        </w:rPr>
      </w:pPr>
      <w:r>
        <w:rPr>
          <w:rFonts w:ascii="Times New Roman" w:hint="eastAsia"/>
          <w:szCs w:val="21"/>
        </w:rPr>
        <w:t>尺寸及外形；</w:t>
      </w:r>
    </w:p>
    <w:p w:rsidR="000902A8" w:rsidRDefault="00000000">
      <w:pPr>
        <w:pStyle w:val="affb"/>
        <w:numPr>
          <w:ilvl w:val="0"/>
          <w:numId w:val="14"/>
        </w:numPr>
        <w:ind w:firstLineChars="0"/>
        <w:rPr>
          <w:rFonts w:ascii="Times New Roman"/>
          <w:szCs w:val="21"/>
        </w:rPr>
      </w:pPr>
      <w:r>
        <w:rPr>
          <w:rFonts w:ascii="Times New Roman"/>
          <w:szCs w:val="21"/>
        </w:rPr>
        <w:t>交货状态；</w:t>
      </w:r>
    </w:p>
    <w:p w:rsidR="000902A8" w:rsidRDefault="00000000">
      <w:pPr>
        <w:pStyle w:val="affb"/>
        <w:numPr>
          <w:ilvl w:val="0"/>
          <w:numId w:val="14"/>
        </w:numPr>
        <w:ind w:firstLineChars="0"/>
        <w:rPr>
          <w:rFonts w:ascii="Times New Roman"/>
          <w:szCs w:val="21"/>
        </w:rPr>
      </w:pPr>
      <w:r>
        <w:rPr>
          <w:rFonts w:ascii="Times New Roman" w:hint="eastAsia"/>
          <w:szCs w:val="21"/>
        </w:rPr>
        <w:t>表面质量；</w:t>
      </w:r>
    </w:p>
    <w:p w:rsidR="000902A8" w:rsidRDefault="00000000">
      <w:pPr>
        <w:pStyle w:val="affb"/>
        <w:numPr>
          <w:ilvl w:val="0"/>
          <w:numId w:val="14"/>
        </w:numPr>
        <w:ind w:firstLineChars="0"/>
        <w:rPr>
          <w:rFonts w:ascii="Times New Roman"/>
          <w:szCs w:val="21"/>
        </w:rPr>
      </w:pPr>
      <w:r>
        <w:rPr>
          <w:rFonts w:ascii="Times New Roman" w:hint="eastAsia"/>
          <w:szCs w:val="21"/>
        </w:rPr>
        <w:t>包装和标志；</w:t>
      </w:r>
    </w:p>
    <w:p w:rsidR="000902A8" w:rsidRDefault="00000000">
      <w:pPr>
        <w:pStyle w:val="affb"/>
        <w:numPr>
          <w:ilvl w:val="0"/>
          <w:numId w:val="14"/>
        </w:numPr>
        <w:ind w:firstLineChars="0"/>
        <w:rPr>
          <w:rFonts w:ascii="Times New Roman"/>
          <w:szCs w:val="21"/>
        </w:rPr>
      </w:pPr>
      <w:r>
        <w:rPr>
          <w:rFonts w:ascii="Times New Roman" w:hint="eastAsia"/>
          <w:szCs w:val="21"/>
        </w:rPr>
        <w:t>用途（如有需求）；</w:t>
      </w:r>
    </w:p>
    <w:p w:rsidR="000902A8" w:rsidRDefault="00000000">
      <w:pPr>
        <w:pStyle w:val="affb"/>
        <w:numPr>
          <w:ilvl w:val="0"/>
          <w:numId w:val="14"/>
        </w:numPr>
        <w:ind w:firstLineChars="0"/>
        <w:rPr>
          <w:rFonts w:ascii="Times New Roman"/>
          <w:szCs w:val="21"/>
        </w:rPr>
      </w:pPr>
      <w:r>
        <w:rPr>
          <w:rFonts w:ascii="Times New Roman"/>
          <w:szCs w:val="21"/>
        </w:rPr>
        <w:t>特殊要求。</w:t>
      </w:r>
    </w:p>
    <w:p w:rsidR="000902A8" w:rsidRDefault="00000000">
      <w:pPr>
        <w:pStyle w:val="a"/>
        <w:spacing w:before="312" w:after="312"/>
      </w:pPr>
      <w:bookmarkStart w:id="30" w:name="_Toc22817"/>
      <w:bookmarkEnd w:id="28"/>
      <w:r>
        <w:rPr>
          <w:rFonts w:hint="eastAsia"/>
        </w:rPr>
        <w:t>尺寸、外形</w:t>
      </w:r>
      <w:bookmarkEnd w:id="29"/>
      <w:r>
        <w:rPr>
          <w:rFonts w:hint="eastAsia"/>
        </w:rPr>
        <w:t>、重量</w:t>
      </w:r>
      <w:bookmarkEnd w:id="30"/>
    </w:p>
    <w:p w:rsidR="000902A8" w:rsidRDefault="00000000">
      <w:pPr>
        <w:pStyle w:val="a0"/>
        <w:spacing w:before="156" w:after="156"/>
        <w:ind w:left="0"/>
      </w:pPr>
      <w:r>
        <w:rPr>
          <w:rFonts w:hint="eastAsia"/>
        </w:rPr>
        <w:t>尺寸和外形</w:t>
      </w:r>
    </w:p>
    <w:p w:rsidR="000902A8" w:rsidRDefault="00000000">
      <w:pPr>
        <w:pStyle w:val="a1"/>
        <w:numPr>
          <w:ilvl w:val="2"/>
          <w:numId w:val="3"/>
        </w:numPr>
        <w:spacing w:before="156" w:after="156"/>
        <w:ind w:left="0"/>
        <w:rPr>
          <w:rFonts w:ascii="Times New Roman" w:eastAsia="宋体"/>
        </w:rPr>
      </w:pPr>
      <w:r>
        <w:rPr>
          <w:rFonts w:ascii="Times New Roman" w:eastAsia="宋体"/>
        </w:rPr>
        <w:t>连铸方坯和矩形坯的尺寸、外形及允许偏差应符合</w:t>
      </w:r>
      <w:r>
        <w:rPr>
          <w:rFonts w:ascii="Times New Roman" w:eastAsia="宋体"/>
        </w:rPr>
        <w:t xml:space="preserve"> YB/T 2011 </w:t>
      </w:r>
      <w:r>
        <w:rPr>
          <w:rFonts w:ascii="Times New Roman" w:eastAsia="宋体"/>
        </w:rPr>
        <w:t>的规定</w:t>
      </w:r>
      <w:r>
        <w:rPr>
          <w:rFonts w:ascii="Times New Roman" w:eastAsia="宋体" w:hint="eastAsia"/>
        </w:rPr>
        <w:t>。</w:t>
      </w:r>
    </w:p>
    <w:p w:rsidR="000902A8" w:rsidRDefault="00000000">
      <w:pPr>
        <w:pStyle w:val="a1"/>
        <w:numPr>
          <w:ilvl w:val="2"/>
          <w:numId w:val="3"/>
        </w:numPr>
        <w:spacing w:before="156" w:after="156"/>
        <w:ind w:left="0"/>
        <w:rPr>
          <w:rFonts w:ascii="Times New Roman" w:eastAsia="宋体"/>
        </w:rPr>
      </w:pPr>
      <w:r>
        <w:rPr>
          <w:rFonts w:ascii="Times New Roman" w:eastAsia="宋体"/>
        </w:rPr>
        <w:t>连铸板坯的尺寸、外形及允许偏差应符合</w:t>
      </w:r>
      <w:r>
        <w:rPr>
          <w:rFonts w:ascii="Times New Roman" w:eastAsia="宋体"/>
        </w:rPr>
        <w:t xml:space="preserve"> YB/T 2012 </w:t>
      </w:r>
      <w:r>
        <w:rPr>
          <w:rFonts w:ascii="Times New Roman" w:eastAsia="宋体"/>
        </w:rPr>
        <w:t>的规定</w:t>
      </w:r>
      <w:r>
        <w:rPr>
          <w:rFonts w:ascii="Times New Roman" w:eastAsia="宋体" w:hint="eastAsia"/>
        </w:rPr>
        <w:t>。</w:t>
      </w:r>
    </w:p>
    <w:p w:rsidR="000902A8" w:rsidRDefault="00000000">
      <w:pPr>
        <w:pStyle w:val="a1"/>
        <w:numPr>
          <w:ilvl w:val="2"/>
          <w:numId w:val="3"/>
        </w:numPr>
        <w:spacing w:before="156" w:after="156"/>
        <w:ind w:left="0"/>
        <w:rPr>
          <w:rFonts w:ascii="Times New Roman" w:eastAsia="宋体"/>
        </w:rPr>
      </w:pPr>
      <w:r>
        <w:rPr>
          <w:rFonts w:ascii="Times New Roman" w:eastAsia="宋体"/>
        </w:rPr>
        <w:t>热轧钢棒的尺寸、外形及允许偏差应符合</w:t>
      </w:r>
      <w:r>
        <w:rPr>
          <w:rFonts w:ascii="Times New Roman" w:eastAsia="宋体"/>
        </w:rPr>
        <w:t xml:space="preserve"> GB/T 702 </w:t>
      </w:r>
      <w:r>
        <w:rPr>
          <w:rFonts w:ascii="Times New Roman" w:eastAsia="宋体"/>
        </w:rPr>
        <w:t>的规定。</w:t>
      </w:r>
    </w:p>
    <w:p w:rsidR="000902A8" w:rsidRDefault="00000000">
      <w:pPr>
        <w:pStyle w:val="a1"/>
        <w:numPr>
          <w:ilvl w:val="2"/>
          <w:numId w:val="3"/>
        </w:numPr>
        <w:spacing w:before="156" w:after="156"/>
        <w:ind w:left="0"/>
        <w:rPr>
          <w:rFonts w:ascii="Times New Roman" w:eastAsia="宋体"/>
        </w:rPr>
      </w:pPr>
      <w:r>
        <w:rPr>
          <w:rFonts w:ascii="Times New Roman" w:eastAsia="宋体"/>
        </w:rPr>
        <w:t>热轧盘条的尺寸、外形及允许偏差应符合</w:t>
      </w:r>
      <w:r>
        <w:rPr>
          <w:rFonts w:ascii="Times New Roman" w:eastAsia="宋体"/>
        </w:rPr>
        <w:t xml:space="preserve"> GB/T 14981 </w:t>
      </w:r>
      <w:r>
        <w:rPr>
          <w:rFonts w:ascii="Times New Roman" w:eastAsia="宋体"/>
        </w:rPr>
        <w:t>的规定</w:t>
      </w:r>
      <w:r>
        <w:rPr>
          <w:rFonts w:ascii="Times New Roman" w:eastAsia="宋体" w:hint="eastAsia"/>
        </w:rPr>
        <w:t>。</w:t>
      </w:r>
    </w:p>
    <w:p w:rsidR="000902A8" w:rsidRDefault="00000000">
      <w:pPr>
        <w:pStyle w:val="a1"/>
        <w:numPr>
          <w:ilvl w:val="2"/>
          <w:numId w:val="3"/>
        </w:numPr>
        <w:spacing w:before="156" w:after="156"/>
        <w:ind w:left="0"/>
      </w:pPr>
      <w:r>
        <w:rPr>
          <w:rFonts w:ascii="宋体" w:eastAsia="宋体" w:hAnsi="宋体" w:hint="eastAsia"/>
        </w:rPr>
        <w:t>片状铁的尺寸、外形及允许偏差应符合尺寸外形应符合表1的规定。</w:t>
      </w:r>
    </w:p>
    <w:p w:rsidR="000902A8" w:rsidRDefault="00000000">
      <w:pPr>
        <w:pStyle w:val="affffffb"/>
        <w:numPr>
          <w:ilvl w:val="0"/>
          <w:numId w:val="15"/>
        </w:numPr>
        <w:tabs>
          <w:tab w:val="clear" w:pos="360"/>
        </w:tabs>
        <w:spacing w:before="156" w:after="156" w:line="320" w:lineRule="exact"/>
        <w:jc w:val="right"/>
        <w:rPr>
          <w:rFonts w:ascii="宋体" w:eastAsia="宋体" w:hAnsi="宋体" w:hint="eastAsia"/>
        </w:rPr>
      </w:pPr>
      <w:r>
        <w:rPr>
          <w:rFonts w:ascii="Times New Roman" w:hint="eastAsia"/>
        </w:rPr>
        <w:t>尺寸、外形及允许偏差</w:t>
      </w:r>
      <w:r>
        <w:rPr>
          <w:rFonts w:ascii="Times New Roman" w:hint="eastAsia"/>
        </w:rPr>
        <w:t xml:space="preserve">                          </w:t>
      </w:r>
      <w:r>
        <w:rPr>
          <w:rFonts w:ascii="宋体" w:eastAsia="宋体" w:hAnsi="宋体" w:hint="eastAsia"/>
        </w:rPr>
        <w:t>单位为毫米</w:t>
      </w:r>
    </w:p>
    <w:tbl>
      <w:tblPr>
        <w:tblStyle w:val="affe"/>
        <w:tblW w:w="0" w:type="auto"/>
        <w:jc w:val="center"/>
        <w:tblLook w:val="04A0" w:firstRow="1" w:lastRow="0" w:firstColumn="1" w:lastColumn="0" w:noHBand="0" w:noVBand="1"/>
      </w:tblPr>
      <w:tblGrid>
        <w:gridCol w:w="3060"/>
        <w:gridCol w:w="3302"/>
        <w:gridCol w:w="2982"/>
      </w:tblGrid>
      <w:tr w:rsidR="000902A8" w:rsidTr="00E13B8E">
        <w:trPr>
          <w:jc w:val="center"/>
        </w:trPr>
        <w:tc>
          <w:tcPr>
            <w:tcW w:w="3060" w:type="dxa"/>
            <w:shd w:val="clear" w:color="auto" w:fill="auto"/>
          </w:tcPr>
          <w:p w:rsidR="000902A8" w:rsidRPr="00E13B8E" w:rsidRDefault="00000000">
            <w:pPr>
              <w:pStyle w:val="affb"/>
              <w:numPr>
                <w:ilvl w:val="0"/>
                <w:numId w:val="0"/>
              </w:numPr>
              <w:jc w:val="center"/>
              <w:rPr>
                <w:color w:val="000000" w:themeColor="text1"/>
              </w:rPr>
            </w:pPr>
            <w:r w:rsidRPr="00E13B8E">
              <w:rPr>
                <w:rFonts w:hint="eastAsia"/>
                <w:color w:val="000000" w:themeColor="text1"/>
              </w:rPr>
              <w:t>项目</w:t>
            </w:r>
          </w:p>
        </w:tc>
        <w:tc>
          <w:tcPr>
            <w:tcW w:w="3302" w:type="dxa"/>
            <w:shd w:val="clear" w:color="auto" w:fill="auto"/>
          </w:tcPr>
          <w:p w:rsidR="000902A8" w:rsidRPr="00E13B8E" w:rsidRDefault="00000000">
            <w:pPr>
              <w:pStyle w:val="affb"/>
              <w:numPr>
                <w:ilvl w:val="0"/>
                <w:numId w:val="0"/>
              </w:numPr>
              <w:jc w:val="center"/>
              <w:rPr>
                <w:color w:val="000000" w:themeColor="text1"/>
              </w:rPr>
            </w:pPr>
            <w:r w:rsidRPr="00E13B8E">
              <w:rPr>
                <w:rFonts w:hint="eastAsia"/>
                <w:color w:val="000000" w:themeColor="text1"/>
              </w:rPr>
              <w:t>公称尺寸</w:t>
            </w:r>
          </w:p>
        </w:tc>
        <w:tc>
          <w:tcPr>
            <w:tcW w:w="2982" w:type="dxa"/>
            <w:shd w:val="clear" w:color="auto" w:fill="auto"/>
          </w:tcPr>
          <w:p w:rsidR="000902A8" w:rsidRPr="00E13B8E" w:rsidRDefault="00000000">
            <w:pPr>
              <w:pStyle w:val="affb"/>
              <w:numPr>
                <w:ilvl w:val="0"/>
                <w:numId w:val="0"/>
              </w:numPr>
              <w:jc w:val="center"/>
              <w:rPr>
                <w:color w:val="000000" w:themeColor="text1"/>
              </w:rPr>
            </w:pPr>
            <w:r w:rsidRPr="00E13B8E">
              <w:rPr>
                <w:rFonts w:hint="eastAsia"/>
                <w:color w:val="000000" w:themeColor="text1"/>
              </w:rPr>
              <w:t>允许偏差</w:t>
            </w:r>
          </w:p>
        </w:tc>
      </w:tr>
      <w:tr w:rsidR="000902A8" w:rsidTr="00E13B8E">
        <w:trPr>
          <w:jc w:val="center"/>
        </w:trPr>
        <w:tc>
          <w:tcPr>
            <w:tcW w:w="3060" w:type="dxa"/>
            <w:shd w:val="clear" w:color="auto" w:fill="auto"/>
          </w:tcPr>
          <w:p w:rsidR="000902A8" w:rsidRPr="00E13B8E" w:rsidRDefault="00000000">
            <w:pPr>
              <w:pStyle w:val="affb"/>
              <w:numPr>
                <w:ilvl w:val="0"/>
                <w:numId w:val="0"/>
              </w:numPr>
              <w:jc w:val="center"/>
              <w:rPr>
                <w:color w:val="000000" w:themeColor="text1"/>
              </w:rPr>
            </w:pPr>
            <w:r w:rsidRPr="00E13B8E">
              <w:rPr>
                <w:rFonts w:hint="eastAsia"/>
                <w:color w:val="000000" w:themeColor="text1"/>
              </w:rPr>
              <w:t>公称厚度</w:t>
            </w:r>
          </w:p>
        </w:tc>
        <w:tc>
          <w:tcPr>
            <w:tcW w:w="3302" w:type="dxa"/>
            <w:shd w:val="clear" w:color="auto" w:fill="auto"/>
          </w:tcPr>
          <w:p w:rsidR="000902A8" w:rsidRPr="00E13B8E" w:rsidRDefault="00000000">
            <w:pPr>
              <w:pStyle w:val="affb"/>
              <w:numPr>
                <w:ilvl w:val="0"/>
                <w:numId w:val="0"/>
              </w:numPr>
              <w:jc w:val="center"/>
              <w:rPr>
                <w:rFonts w:ascii="Times New Roman"/>
                <w:color w:val="000000" w:themeColor="text1"/>
              </w:rPr>
            </w:pPr>
            <w:r w:rsidRPr="00E13B8E">
              <w:rPr>
                <w:rFonts w:ascii="Times New Roman"/>
                <w:color w:val="000000" w:themeColor="text1"/>
              </w:rPr>
              <w:t>1.</w:t>
            </w:r>
            <w:r w:rsidRPr="00E13B8E">
              <w:rPr>
                <w:rFonts w:ascii="Times New Roman" w:hint="eastAsia"/>
                <w:color w:val="000000" w:themeColor="text1"/>
              </w:rPr>
              <w:t>0</w:t>
            </w:r>
            <w:r w:rsidRPr="00E13B8E">
              <w:rPr>
                <w:rFonts w:ascii="Times New Roman"/>
                <w:color w:val="000000" w:themeColor="text1"/>
              </w:rPr>
              <w:t>~5.0</w:t>
            </w:r>
          </w:p>
        </w:tc>
        <w:tc>
          <w:tcPr>
            <w:tcW w:w="2982" w:type="dxa"/>
            <w:shd w:val="clear" w:color="auto" w:fill="auto"/>
          </w:tcPr>
          <w:p w:rsidR="000902A8" w:rsidRPr="00E13B8E" w:rsidRDefault="00000000">
            <w:pPr>
              <w:pStyle w:val="affb"/>
              <w:numPr>
                <w:ilvl w:val="0"/>
                <w:numId w:val="0"/>
              </w:numPr>
              <w:jc w:val="center"/>
              <w:rPr>
                <w:rFonts w:ascii="Times New Roman"/>
                <w:color w:val="000000" w:themeColor="text1"/>
              </w:rPr>
            </w:pPr>
            <w:r w:rsidRPr="00E13B8E">
              <w:rPr>
                <w:rFonts w:ascii="Times New Roman" w:hint="eastAsia"/>
                <w:color w:val="000000" w:themeColor="text1"/>
              </w:rPr>
              <w:t>±</w:t>
            </w:r>
            <w:r w:rsidRPr="00E13B8E">
              <w:rPr>
                <w:rFonts w:ascii="Times New Roman" w:hint="eastAsia"/>
                <w:color w:val="000000" w:themeColor="text1"/>
              </w:rPr>
              <w:t>0.20</w:t>
            </w:r>
          </w:p>
        </w:tc>
      </w:tr>
      <w:tr w:rsidR="000902A8" w:rsidTr="00E13B8E">
        <w:trPr>
          <w:jc w:val="center"/>
        </w:trPr>
        <w:tc>
          <w:tcPr>
            <w:tcW w:w="3060" w:type="dxa"/>
            <w:shd w:val="clear" w:color="auto" w:fill="auto"/>
          </w:tcPr>
          <w:p w:rsidR="000902A8" w:rsidRPr="00E13B8E" w:rsidRDefault="00000000">
            <w:pPr>
              <w:pStyle w:val="affb"/>
              <w:numPr>
                <w:ilvl w:val="0"/>
                <w:numId w:val="0"/>
              </w:numPr>
              <w:jc w:val="center"/>
              <w:rPr>
                <w:color w:val="000000" w:themeColor="text1"/>
              </w:rPr>
            </w:pPr>
            <w:r w:rsidRPr="00E13B8E">
              <w:rPr>
                <w:rFonts w:hint="eastAsia"/>
                <w:color w:val="000000" w:themeColor="text1"/>
              </w:rPr>
              <w:t>公称宽度</w:t>
            </w:r>
          </w:p>
        </w:tc>
        <w:tc>
          <w:tcPr>
            <w:tcW w:w="3302" w:type="dxa"/>
            <w:shd w:val="clear" w:color="auto" w:fill="auto"/>
          </w:tcPr>
          <w:p w:rsidR="000902A8" w:rsidRPr="00E13B8E" w:rsidRDefault="00000000">
            <w:pPr>
              <w:pStyle w:val="affb"/>
              <w:numPr>
                <w:ilvl w:val="0"/>
                <w:numId w:val="0"/>
              </w:numPr>
              <w:jc w:val="center"/>
              <w:rPr>
                <w:rFonts w:ascii="Times New Roman"/>
                <w:color w:val="000000" w:themeColor="text1"/>
              </w:rPr>
            </w:pPr>
            <w:r w:rsidRPr="00E13B8E">
              <w:rPr>
                <w:rFonts w:ascii="Times New Roman"/>
                <w:color w:val="000000" w:themeColor="text1"/>
              </w:rPr>
              <w:t>10</w:t>
            </w:r>
            <w:r w:rsidRPr="00E13B8E">
              <w:rPr>
                <w:rFonts w:ascii="Times New Roman" w:hint="eastAsia"/>
                <w:color w:val="000000" w:themeColor="text1"/>
              </w:rPr>
              <w:t>.0</w:t>
            </w:r>
            <w:r w:rsidRPr="00E13B8E">
              <w:rPr>
                <w:rFonts w:ascii="Times New Roman"/>
                <w:color w:val="000000" w:themeColor="text1"/>
              </w:rPr>
              <w:t>~40</w:t>
            </w:r>
            <w:r w:rsidRPr="00E13B8E">
              <w:rPr>
                <w:rFonts w:ascii="Times New Roman" w:hint="eastAsia"/>
                <w:color w:val="000000" w:themeColor="text1"/>
              </w:rPr>
              <w:t>.0</w:t>
            </w:r>
          </w:p>
        </w:tc>
        <w:tc>
          <w:tcPr>
            <w:tcW w:w="2982" w:type="dxa"/>
            <w:shd w:val="clear" w:color="auto" w:fill="auto"/>
          </w:tcPr>
          <w:p w:rsidR="000902A8" w:rsidRPr="00E13B8E" w:rsidRDefault="00000000">
            <w:pPr>
              <w:pStyle w:val="affb"/>
              <w:numPr>
                <w:ilvl w:val="0"/>
                <w:numId w:val="0"/>
              </w:numPr>
              <w:jc w:val="center"/>
              <w:rPr>
                <w:rFonts w:ascii="Times New Roman"/>
                <w:color w:val="000000" w:themeColor="text1"/>
              </w:rPr>
            </w:pPr>
            <w:r w:rsidRPr="00E13B8E">
              <w:rPr>
                <w:rFonts w:ascii="Times New Roman" w:hint="eastAsia"/>
                <w:color w:val="000000" w:themeColor="text1"/>
              </w:rPr>
              <w:t>±</w:t>
            </w:r>
            <w:r w:rsidRPr="00E13B8E">
              <w:rPr>
                <w:rFonts w:ascii="Times New Roman" w:hint="eastAsia"/>
                <w:color w:val="000000" w:themeColor="text1"/>
              </w:rPr>
              <w:t>0.10</w:t>
            </w:r>
          </w:p>
        </w:tc>
      </w:tr>
    </w:tbl>
    <w:p w:rsidR="000902A8" w:rsidRDefault="000902A8">
      <w:pPr>
        <w:pStyle w:val="affb"/>
        <w:rPr>
          <w:highlight w:val="yellow"/>
        </w:rPr>
      </w:pPr>
    </w:p>
    <w:p w:rsidR="000902A8" w:rsidRDefault="000902A8">
      <w:pPr>
        <w:pStyle w:val="affb"/>
        <w:rPr>
          <w:highlight w:val="yellow"/>
        </w:rPr>
      </w:pPr>
    </w:p>
    <w:p w:rsidR="000902A8" w:rsidRDefault="00000000">
      <w:pPr>
        <w:pStyle w:val="a1"/>
        <w:numPr>
          <w:ilvl w:val="2"/>
          <w:numId w:val="3"/>
        </w:numPr>
        <w:spacing w:before="156" w:after="156"/>
        <w:ind w:left="0"/>
        <w:rPr>
          <w:rFonts w:ascii="宋体" w:eastAsia="宋体" w:hAnsi="宋体" w:hint="eastAsia"/>
        </w:rPr>
      </w:pPr>
      <w:r>
        <w:rPr>
          <w:rFonts w:ascii="宋体" w:eastAsia="宋体" w:hAnsi="宋体" w:hint="eastAsia"/>
        </w:rPr>
        <w:t>根据需方要求，经供需双方协商并在合同中注明，可供应其他尺寸、外形及允许偏差的高纯原料纯铁。</w:t>
      </w:r>
    </w:p>
    <w:p w:rsidR="000902A8" w:rsidRDefault="00000000">
      <w:pPr>
        <w:pStyle w:val="a0"/>
        <w:spacing w:before="156" w:after="156"/>
        <w:ind w:left="0"/>
      </w:pPr>
      <w:r>
        <w:rPr>
          <w:rFonts w:hint="eastAsia"/>
        </w:rPr>
        <w:lastRenderedPageBreak/>
        <w:t>重量</w:t>
      </w:r>
    </w:p>
    <w:p w:rsidR="000902A8" w:rsidRDefault="00000000">
      <w:pPr>
        <w:pStyle w:val="affb"/>
      </w:pPr>
      <w:r>
        <w:rPr>
          <w:rFonts w:hint="eastAsia"/>
        </w:rPr>
        <w:t>高纯原料纯铁应按实际重量交货。</w:t>
      </w:r>
    </w:p>
    <w:p w:rsidR="000902A8" w:rsidRDefault="00000000">
      <w:pPr>
        <w:pStyle w:val="a"/>
        <w:spacing w:before="312" w:after="312"/>
      </w:pPr>
      <w:bookmarkStart w:id="31" w:name="_Toc520380396"/>
      <w:bookmarkStart w:id="32" w:name="_Toc20049"/>
      <w:r>
        <w:rPr>
          <w:rFonts w:hint="eastAsia"/>
        </w:rPr>
        <w:t>技术要求</w:t>
      </w:r>
      <w:bookmarkEnd w:id="31"/>
      <w:bookmarkEnd w:id="32"/>
    </w:p>
    <w:p w:rsidR="000902A8" w:rsidRDefault="00000000">
      <w:pPr>
        <w:pStyle w:val="a0"/>
        <w:spacing w:before="156" w:after="156"/>
        <w:ind w:left="0"/>
      </w:pPr>
      <w:r>
        <w:rPr>
          <w:rFonts w:hint="eastAsia"/>
        </w:rPr>
        <w:t>牌号及化学成分</w:t>
      </w:r>
    </w:p>
    <w:p w:rsidR="000902A8" w:rsidRDefault="00000000">
      <w:pPr>
        <w:pStyle w:val="a1"/>
        <w:numPr>
          <w:ilvl w:val="2"/>
          <w:numId w:val="3"/>
        </w:numPr>
        <w:spacing w:before="156" w:after="156"/>
        <w:ind w:left="0"/>
        <w:rPr>
          <w:rFonts w:ascii="宋体" w:eastAsia="宋体" w:hAnsi="宋体" w:hint="eastAsia"/>
        </w:rPr>
      </w:pPr>
      <w:bookmarkStart w:id="33" w:name="_Hlk174627714"/>
      <w:r>
        <w:rPr>
          <w:rFonts w:ascii="宋体" w:eastAsia="宋体" w:hAnsi="宋体" w:hint="eastAsia"/>
        </w:rPr>
        <w:t>高纯原料纯铁的牌号及化学成分</w:t>
      </w:r>
      <w:bookmarkEnd w:id="33"/>
      <w:r>
        <w:rPr>
          <w:rFonts w:ascii="宋体" w:eastAsia="宋体" w:hAnsi="宋体" w:hint="eastAsia"/>
        </w:rPr>
        <w:t>(熔炼分析)应符合表2的规定。</w:t>
      </w:r>
    </w:p>
    <w:p w:rsidR="000902A8" w:rsidRDefault="00000000">
      <w:pPr>
        <w:pStyle w:val="a1"/>
        <w:numPr>
          <w:ilvl w:val="2"/>
          <w:numId w:val="3"/>
        </w:numPr>
        <w:spacing w:before="156" w:after="156"/>
        <w:ind w:left="0"/>
        <w:rPr>
          <w:rFonts w:ascii="Times New Roman" w:eastAsia="宋体"/>
        </w:rPr>
      </w:pPr>
      <w:r>
        <w:rPr>
          <w:rFonts w:ascii="Times New Roman" w:eastAsia="宋体"/>
        </w:rPr>
        <w:t>钢中的</w:t>
      </w:r>
      <w:bookmarkStart w:id="34" w:name="_Hlk174627737"/>
      <w:r>
        <w:rPr>
          <w:rFonts w:ascii="Times New Roman" w:eastAsia="宋体"/>
        </w:rPr>
        <w:t>铅、锡、砷、锑、铋含量之和应不大于</w:t>
      </w:r>
      <w:r>
        <w:rPr>
          <w:rFonts w:ascii="Times New Roman" w:eastAsia="宋体"/>
        </w:rPr>
        <w:t>0.0035%</w:t>
      </w:r>
      <w:bookmarkEnd w:id="34"/>
      <w:r>
        <w:rPr>
          <w:rFonts w:ascii="Times New Roman" w:eastAsia="宋体"/>
        </w:rPr>
        <w:t>，根据需方要求，经供需双方协商</w:t>
      </w:r>
      <w:r>
        <w:rPr>
          <w:rFonts w:ascii="Times New Roman" w:eastAsia="宋体"/>
        </w:rPr>
        <w:t>,</w:t>
      </w:r>
      <w:r>
        <w:rPr>
          <w:rFonts w:ascii="Times New Roman" w:eastAsia="宋体"/>
        </w:rPr>
        <w:t>并在合同中注明，可对</w:t>
      </w:r>
      <w:proofErr w:type="gramStart"/>
      <w:r>
        <w:rPr>
          <w:rFonts w:ascii="Times New Roman" w:eastAsia="宋体"/>
        </w:rPr>
        <w:t>钼</w:t>
      </w:r>
      <w:proofErr w:type="gramEnd"/>
      <w:r>
        <w:rPr>
          <w:rFonts w:ascii="Times New Roman" w:eastAsia="宋体"/>
        </w:rPr>
        <w:t>、锌等元素进行检验</w:t>
      </w:r>
      <w:r>
        <w:rPr>
          <w:rFonts w:ascii="Times New Roman" w:eastAsia="宋体" w:hint="eastAsia"/>
        </w:rPr>
        <w:t>，</w:t>
      </w:r>
      <w:r>
        <w:rPr>
          <w:rFonts w:ascii="Times New Roman" w:eastAsia="宋体"/>
        </w:rPr>
        <w:t>要求和检验方法由供需双方协商确定。</w:t>
      </w:r>
    </w:p>
    <w:p w:rsidR="000902A8" w:rsidRDefault="00000000">
      <w:pPr>
        <w:pStyle w:val="a1"/>
        <w:numPr>
          <w:ilvl w:val="2"/>
          <w:numId w:val="3"/>
        </w:numPr>
        <w:spacing w:before="156" w:after="156"/>
        <w:ind w:left="0"/>
        <w:rPr>
          <w:rFonts w:ascii="宋体" w:eastAsia="宋体" w:hAnsi="宋体" w:hint="eastAsia"/>
        </w:rPr>
      </w:pPr>
      <w:r>
        <w:rPr>
          <w:rFonts w:ascii="Times New Roman" w:eastAsia="宋体"/>
        </w:rPr>
        <w:t>其他不同用途的要求，各元素成分含量可以进</w:t>
      </w:r>
      <w:r>
        <w:rPr>
          <w:rFonts w:ascii="宋体" w:eastAsia="宋体" w:hAnsi="宋体" w:hint="eastAsia"/>
        </w:rPr>
        <w:t>行调整，但总的铁含量计算结果不得小于牌号中规定的铁含量。</w:t>
      </w:r>
    </w:p>
    <w:p w:rsidR="000902A8" w:rsidRDefault="00000000">
      <w:pPr>
        <w:pStyle w:val="a1"/>
        <w:numPr>
          <w:ilvl w:val="2"/>
          <w:numId w:val="3"/>
        </w:numPr>
        <w:spacing w:before="156" w:after="156"/>
        <w:ind w:left="0"/>
        <w:rPr>
          <w:rFonts w:ascii="宋体" w:eastAsia="宋体" w:hAnsi="宋体" w:hint="eastAsia"/>
        </w:rPr>
      </w:pPr>
      <w:r>
        <w:rPr>
          <w:rFonts w:ascii="宋体" w:eastAsia="宋体" w:hAnsi="宋体" w:hint="eastAsia"/>
        </w:rPr>
        <w:t>根据需方要求，经供需双方协商，并在合同中注明，可供应不同于表2规定元素含量的高纯原料纯铁。</w:t>
      </w:r>
    </w:p>
    <w:p w:rsidR="000902A8" w:rsidRDefault="00000000">
      <w:pPr>
        <w:pStyle w:val="affffffb"/>
        <w:numPr>
          <w:ilvl w:val="0"/>
          <w:numId w:val="15"/>
        </w:numPr>
        <w:tabs>
          <w:tab w:val="clear" w:pos="360"/>
        </w:tabs>
        <w:spacing w:before="156" w:after="156" w:line="320" w:lineRule="exact"/>
        <w:rPr>
          <w:rFonts w:ascii="Times New Roman"/>
        </w:rPr>
      </w:pPr>
      <w:bookmarkStart w:id="35" w:name="_Hlk174627768"/>
      <w:r>
        <w:rPr>
          <w:rFonts w:ascii="Times New Roman" w:hint="eastAsia"/>
        </w:rPr>
        <w:t>牌号及化学成分</w:t>
      </w:r>
    </w:p>
    <w:tbl>
      <w:tblPr>
        <w:tblW w:w="4998" w:type="pct"/>
        <w:jc w:val="center"/>
        <w:tblLook w:val="04A0" w:firstRow="1" w:lastRow="0" w:firstColumn="1" w:lastColumn="0" w:noHBand="0" w:noVBand="1"/>
      </w:tblPr>
      <w:tblGrid>
        <w:gridCol w:w="846"/>
        <w:gridCol w:w="850"/>
        <w:gridCol w:w="835"/>
        <w:gridCol w:w="568"/>
        <w:gridCol w:w="568"/>
        <w:gridCol w:w="568"/>
        <w:gridCol w:w="566"/>
        <w:gridCol w:w="566"/>
        <w:gridCol w:w="566"/>
        <w:gridCol w:w="566"/>
        <w:gridCol w:w="566"/>
        <w:gridCol w:w="566"/>
        <w:gridCol w:w="566"/>
        <w:gridCol w:w="566"/>
        <w:gridCol w:w="577"/>
      </w:tblGrid>
      <w:tr w:rsidR="000902A8">
        <w:trPr>
          <w:trHeight w:val="285"/>
          <w:jc w:val="center"/>
        </w:trPr>
        <w:tc>
          <w:tcPr>
            <w:tcW w:w="453" w:type="pct"/>
            <w:vMerge w:val="restart"/>
            <w:tcBorders>
              <w:top w:val="single" w:sz="4" w:space="0" w:color="000000"/>
              <w:left w:val="single" w:sz="4" w:space="0" w:color="000000"/>
              <w:right w:val="single" w:sz="4" w:space="0" w:color="auto"/>
            </w:tcBorders>
            <w:vAlign w:val="center"/>
          </w:tcPr>
          <w:bookmarkEnd w:id="35"/>
          <w:p w:rsidR="000902A8" w:rsidRDefault="00000000">
            <w:pPr>
              <w:widowControl/>
              <w:jc w:val="center"/>
              <w:textAlignment w:val="center"/>
              <w:rPr>
                <w:color w:val="000000" w:themeColor="text1"/>
                <w:sz w:val="18"/>
                <w:szCs w:val="18"/>
              </w:rPr>
            </w:pPr>
            <w:r>
              <w:rPr>
                <w:color w:val="000000" w:themeColor="text1"/>
                <w:sz w:val="18"/>
                <w:szCs w:val="18"/>
              </w:rPr>
              <w:t>牌号</w:t>
            </w:r>
          </w:p>
        </w:tc>
        <w:tc>
          <w:tcPr>
            <w:tcW w:w="455" w:type="pct"/>
            <w:vMerge w:val="restart"/>
            <w:tcBorders>
              <w:top w:val="single" w:sz="4" w:space="0" w:color="000000"/>
              <w:left w:val="single" w:sz="4" w:space="0" w:color="auto"/>
              <w:right w:val="single" w:sz="4" w:space="0" w:color="000000"/>
            </w:tcBorders>
            <w:vAlign w:val="center"/>
          </w:tcPr>
          <w:p w:rsidR="000902A8" w:rsidRDefault="00000000">
            <w:pPr>
              <w:widowControl/>
              <w:jc w:val="center"/>
              <w:textAlignment w:val="center"/>
              <w:rPr>
                <w:color w:val="000000" w:themeColor="text1"/>
                <w:sz w:val="18"/>
                <w:szCs w:val="18"/>
              </w:rPr>
            </w:pPr>
            <w:r>
              <w:rPr>
                <w:color w:val="000000" w:themeColor="text1"/>
                <w:sz w:val="18"/>
                <w:szCs w:val="18"/>
              </w:rPr>
              <w:t>Fe%</w:t>
            </w:r>
          </w:p>
        </w:tc>
        <w:tc>
          <w:tcPr>
            <w:tcW w:w="447" w:type="pct"/>
            <w:vMerge w:val="restart"/>
            <w:tcBorders>
              <w:top w:val="single" w:sz="4" w:space="0" w:color="000000"/>
              <w:left w:val="single" w:sz="4" w:space="0" w:color="000000"/>
              <w:right w:val="single" w:sz="4" w:space="0" w:color="auto"/>
            </w:tcBorders>
            <w:vAlign w:val="center"/>
          </w:tcPr>
          <w:p w:rsidR="000902A8" w:rsidRDefault="00000000">
            <w:pPr>
              <w:widowControl/>
              <w:jc w:val="center"/>
              <w:textAlignment w:val="center"/>
              <w:rPr>
                <w:color w:val="000000" w:themeColor="text1"/>
                <w:sz w:val="18"/>
                <w:szCs w:val="18"/>
              </w:rPr>
            </w:pPr>
            <w:r>
              <w:rPr>
                <w:rFonts w:hint="eastAsia"/>
                <w:color w:val="000000" w:themeColor="text1"/>
                <w:sz w:val="18"/>
                <w:szCs w:val="18"/>
              </w:rPr>
              <w:t>纯度</w:t>
            </w:r>
          </w:p>
        </w:tc>
        <w:tc>
          <w:tcPr>
            <w:tcW w:w="3645" w:type="pct"/>
            <w:gridSpan w:val="12"/>
            <w:tcBorders>
              <w:top w:val="single" w:sz="4" w:space="0" w:color="000000"/>
              <w:left w:val="single" w:sz="4" w:space="0" w:color="000000"/>
              <w:bottom w:val="single" w:sz="4" w:space="0" w:color="000000"/>
              <w:right w:val="single" w:sz="4" w:space="0" w:color="auto"/>
            </w:tcBorders>
            <w:vAlign w:val="center"/>
          </w:tcPr>
          <w:p w:rsidR="000902A8" w:rsidRDefault="00000000">
            <w:pPr>
              <w:jc w:val="center"/>
              <w:rPr>
                <w:color w:val="000000" w:themeColor="text1"/>
                <w:sz w:val="18"/>
                <w:szCs w:val="18"/>
              </w:rPr>
            </w:pPr>
            <w:r>
              <w:rPr>
                <w:color w:val="000000" w:themeColor="text1"/>
                <w:kern w:val="0"/>
                <w:sz w:val="18"/>
                <w:szCs w:val="18"/>
                <w:lang w:bidi="ar"/>
              </w:rPr>
              <w:t>化学成分</w:t>
            </w:r>
            <w:r>
              <w:rPr>
                <w:color w:val="000000" w:themeColor="text1"/>
                <w:sz w:val="18"/>
                <w:szCs w:val="18"/>
              </w:rPr>
              <w:t>（质量分数）</w:t>
            </w:r>
            <w:r>
              <w:rPr>
                <w:color w:val="000000" w:themeColor="text1"/>
                <w:kern w:val="0"/>
                <w:sz w:val="18"/>
                <w:szCs w:val="18"/>
                <w:lang w:bidi="ar"/>
              </w:rPr>
              <w:t xml:space="preserve"> %</w:t>
            </w:r>
            <w:r>
              <w:rPr>
                <w:color w:val="000000" w:themeColor="text1"/>
                <w:kern w:val="0"/>
                <w:sz w:val="18"/>
                <w:szCs w:val="18"/>
                <w:lang w:bidi="ar"/>
              </w:rPr>
              <w:t>，不大于</w:t>
            </w:r>
          </w:p>
        </w:tc>
      </w:tr>
      <w:tr w:rsidR="000902A8">
        <w:trPr>
          <w:trHeight w:val="285"/>
          <w:jc w:val="center"/>
        </w:trPr>
        <w:tc>
          <w:tcPr>
            <w:tcW w:w="453" w:type="pct"/>
            <w:vMerge/>
            <w:tcBorders>
              <w:left w:val="single" w:sz="4" w:space="0" w:color="000000"/>
              <w:bottom w:val="single" w:sz="4" w:space="0" w:color="000000"/>
              <w:right w:val="single" w:sz="4" w:space="0" w:color="auto"/>
            </w:tcBorders>
            <w:vAlign w:val="center"/>
          </w:tcPr>
          <w:p w:rsidR="000902A8" w:rsidRDefault="000902A8">
            <w:pPr>
              <w:widowControl/>
              <w:jc w:val="center"/>
              <w:textAlignment w:val="center"/>
              <w:rPr>
                <w:color w:val="000000" w:themeColor="text1"/>
                <w:sz w:val="18"/>
                <w:szCs w:val="18"/>
              </w:rPr>
            </w:pPr>
          </w:p>
        </w:tc>
        <w:tc>
          <w:tcPr>
            <w:tcW w:w="455" w:type="pct"/>
            <w:vMerge/>
            <w:tcBorders>
              <w:left w:val="single" w:sz="4" w:space="0" w:color="auto"/>
              <w:bottom w:val="single" w:sz="4" w:space="0" w:color="000000"/>
              <w:right w:val="single" w:sz="4" w:space="0" w:color="000000"/>
            </w:tcBorders>
            <w:vAlign w:val="center"/>
          </w:tcPr>
          <w:p w:rsidR="000902A8" w:rsidRDefault="000902A8">
            <w:pPr>
              <w:widowControl/>
              <w:jc w:val="center"/>
              <w:textAlignment w:val="center"/>
              <w:rPr>
                <w:color w:val="000000" w:themeColor="text1"/>
                <w:sz w:val="18"/>
                <w:szCs w:val="18"/>
              </w:rPr>
            </w:pPr>
          </w:p>
        </w:tc>
        <w:tc>
          <w:tcPr>
            <w:tcW w:w="447" w:type="pct"/>
            <w:vMerge/>
            <w:tcBorders>
              <w:left w:val="single" w:sz="4" w:space="0" w:color="000000"/>
              <w:bottom w:val="single" w:sz="4" w:space="0" w:color="000000"/>
              <w:right w:val="single" w:sz="4" w:space="0" w:color="auto"/>
            </w:tcBorders>
            <w:vAlign w:val="center"/>
          </w:tcPr>
          <w:p w:rsidR="000902A8" w:rsidRDefault="000902A8">
            <w:pPr>
              <w:widowControl/>
              <w:jc w:val="center"/>
              <w:textAlignment w:val="center"/>
              <w:rPr>
                <w:color w:val="000000" w:themeColor="text1"/>
                <w:sz w:val="18"/>
                <w:szCs w:val="18"/>
              </w:rPr>
            </w:pPr>
          </w:p>
        </w:tc>
        <w:tc>
          <w:tcPr>
            <w:tcW w:w="304" w:type="pct"/>
            <w:tcBorders>
              <w:top w:val="single" w:sz="4" w:space="0" w:color="000000"/>
              <w:left w:val="single" w:sz="4" w:space="0" w:color="000000"/>
              <w:bottom w:val="single" w:sz="4" w:space="0" w:color="000000"/>
              <w:right w:val="single" w:sz="4" w:space="0" w:color="000000"/>
            </w:tcBorders>
            <w:vAlign w:val="center"/>
          </w:tcPr>
          <w:p w:rsidR="000902A8" w:rsidRDefault="00000000">
            <w:pPr>
              <w:widowControl/>
              <w:jc w:val="center"/>
              <w:textAlignment w:val="center"/>
              <w:rPr>
                <w:color w:val="000000" w:themeColor="text1"/>
                <w:sz w:val="18"/>
                <w:szCs w:val="18"/>
              </w:rPr>
            </w:pPr>
            <w:r>
              <w:rPr>
                <w:color w:val="000000" w:themeColor="text1"/>
                <w:kern w:val="0"/>
                <w:sz w:val="18"/>
                <w:szCs w:val="18"/>
                <w:lang w:bidi="ar"/>
              </w:rPr>
              <w:t>C</w:t>
            </w:r>
          </w:p>
        </w:tc>
        <w:tc>
          <w:tcPr>
            <w:tcW w:w="304" w:type="pct"/>
            <w:tcBorders>
              <w:top w:val="single" w:sz="4" w:space="0" w:color="000000"/>
              <w:left w:val="single" w:sz="4" w:space="0" w:color="000000"/>
              <w:bottom w:val="single" w:sz="4" w:space="0" w:color="000000"/>
              <w:right w:val="single" w:sz="4" w:space="0" w:color="000000"/>
            </w:tcBorders>
            <w:vAlign w:val="center"/>
          </w:tcPr>
          <w:p w:rsidR="000902A8" w:rsidRDefault="00000000">
            <w:pPr>
              <w:widowControl/>
              <w:jc w:val="center"/>
              <w:textAlignment w:val="center"/>
              <w:rPr>
                <w:color w:val="000000" w:themeColor="text1"/>
                <w:sz w:val="18"/>
                <w:szCs w:val="18"/>
              </w:rPr>
            </w:pPr>
            <w:r>
              <w:rPr>
                <w:color w:val="000000" w:themeColor="text1"/>
                <w:kern w:val="0"/>
                <w:sz w:val="18"/>
                <w:szCs w:val="18"/>
                <w:lang w:bidi="ar"/>
              </w:rPr>
              <w:t>Si</w:t>
            </w:r>
          </w:p>
        </w:tc>
        <w:tc>
          <w:tcPr>
            <w:tcW w:w="304" w:type="pct"/>
            <w:tcBorders>
              <w:top w:val="single" w:sz="4" w:space="0" w:color="000000"/>
              <w:left w:val="single" w:sz="4" w:space="0" w:color="000000"/>
              <w:bottom w:val="single" w:sz="4" w:space="0" w:color="000000"/>
              <w:right w:val="single" w:sz="4" w:space="0" w:color="000000"/>
            </w:tcBorders>
            <w:vAlign w:val="center"/>
          </w:tcPr>
          <w:p w:rsidR="000902A8" w:rsidRDefault="00000000">
            <w:pPr>
              <w:widowControl/>
              <w:jc w:val="center"/>
              <w:textAlignment w:val="center"/>
              <w:rPr>
                <w:color w:val="000000" w:themeColor="text1"/>
                <w:sz w:val="18"/>
                <w:szCs w:val="18"/>
              </w:rPr>
            </w:pPr>
            <w:r>
              <w:rPr>
                <w:color w:val="000000" w:themeColor="text1"/>
                <w:kern w:val="0"/>
                <w:sz w:val="18"/>
                <w:szCs w:val="18"/>
                <w:lang w:bidi="ar"/>
              </w:rPr>
              <w:t>Mn</w:t>
            </w:r>
          </w:p>
        </w:tc>
        <w:tc>
          <w:tcPr>
            <w:tcW w:w="303" w:type="pct"/>
            <w:tcBorders>
              <w:top w:val="single" w:sz="4" w:space="0" w:color="000000"/>
              <w:left w:val="single" w:sz="4" w:space="0" w:color="000000"/>
              <w:bottom w:val="single" w:sz="4" w:space="0" w:color="000000"/>
              <w:right w:val="single" w:sz="4" w:space="0" w:color="000000"/>
            </w:tcBorders>
            <w:vAlign w:val="center"/>
          </w:tcPr>
          <w:p w:rsidR="000902A8" w:rsidRDefault="00000000">
            <w:pPr>
              <w:widowControl/>
              <w:jc w:val="center"/>
              <w:textAlignment w:val="center"/>
              <w:rPr>
                <w:color w:val="000000" w:themeColor="text1"/>
                <w:sz w:val="18"/>
                <w:szCs w:val="18"/>
              </w:rPr>
            </w:pPr>
            <w:r>
              <w:rPr>
                <w:color w:val="000000" w:themeColor="text1"/>
                <w:kern w:val="0"/>
                <w:sz w:val="18"/>
                <w:szCs w:val="18"/>
                <w:lang w:bidi="ar"/>
              </w:rPr>
              <w:t>Al</w:t>
            </w:r>
          </w:p>
        </w:tc>
        <w:tc>
          <w:tcPr>
            <w:tcW w:w="303" w:type="pct"/>
            <w:tcBorders>
              <w:top w:val="single" w:sz="4" w:space="0" w:color="000000"/>
              <w:left w:val="single" w:sz="4" w:space="0" w:color="000000"/>
              <w:bottom w:val="single" w:sz="4" w:space="0" w:color="000000"/>
              <w:right w:val="single" w:sz="4" w:space="0" w:color="000000"/>
            </w:tcBorders>
            <w:vAlign w:val="center"/>
          </w:tcPr>
          <w:p w:rsidR="000902A8" w:rsidRDefault="00000000">
            <w:pPr>
              <w:widowControl/>
              <w:jc w:val="center"/>
              <w:textAlignment w:val="center"/>
              <w:rPr>
                <w:color w:val="000000" w:themeColor="text1"/>
                <w:sz w:val="18"/>
                <w:szCs w:val="18"/>
              </w:rPr>
            </w:pPr>
            <w:r>
              <w:rPr>
                <w:color w:val="000000" w:themeColor="text1"/>
                <w:kern w:val="0"/>
                <w:sz w:val="18"/>
                <w:szCs w:val="18"/>
                <w:lang w:bidi="ar"/>
              </w:rPr>
              <w:t>P</w:t>
            </w:r>
          </w:p>
        </w:tc>
        <w:tc>
          <w:tcPr>
            <w:tcW w:w="303" w:type="pct"/>
            <w:tcBorders>
              <w:top w:val="single" w:sz="4" w:space="0" w:color="000000"/>
              <w:left w:val="single" w:sz="4" w:space="0" w:color="000000"/>
              <w:bottom w:val="single" w:sz="4" w:space="0" w:color="000000"/>
              <w:right w:val="single" w:sz="4" w:space="0" w:color="000000"/>
            </w:tcBorders>
            <w:vAlign w:val="center"/>
          </w:tcPr>
          <w:p w:rsidR="000902A8" w:rsidRDefault="00000000">
            <w:pPr>
              <w:widowControl/>
              <w:jc w:val="center"/>
              <w:textAlignment w:val="center"/>
              <w:rPr>
                <w:color w:val="000000" w:themeColor="text1"/>
                <w:sz w:val="18"/>
                <w:szCs w:val="18"/>
              </w:rPr>
            </w:pPr>
            <w:r>
              <w:rPr>
                <w:color w:val="000000" w:themeColor="text1"/>
                <w:kern w:val="0"/>
                <w:sz w:val="18"/>
                <w:szCs w:val="18"/>
                <w:lang w:bidi="ar"/>
              </w:rPr>
              <w:t>S</w:t>
            </w:r>
          </w:p>
        </w:tc>
        <w:tc>
          <w:tcPr>
            <w:tcW w:w="303" w:type="pct"/>
            <w:tcBorders>
              <w:top w:val="single" w:sz="4" w:space="0" w:color="000000"/>
              <w:left w:val="single" w:sz="4" w:space="0" w:color="000000"/>
              <w:bottom w:val="single" w:sz="4" w:space="0" w:color="000000"/>
              <w:right w:val="single" w:sz="4" w:space="0" w:color="000000"/>
            </w:tcBorders>
            <w:noWrap/>
            <w:vAlign w:val="center"/>
          </w:tcPr>
          <w:p w:rsidR="000902A8" w:rsidRDefault="00000000">
            <w:pPr>
              <w:widowControl/>
              <w:jc w:val="center"/>
              <w:textAlignment w:val="center"/>
              <w:rPr>
                <w:color w:val="000000" w:themeColor="text1"/>
                <w:sz w:val="18"/>
                <w:szCs w:val="18"/>
              </w:rPr>
            </w:pPr>
            <w:r>
              <w:rPr>
                <w:color w:val="000000" w:themeColor="text1"/>
                <w:kern w:val="0"/>
                <w:sz w:val="18"/>
                <w:szCs w:val="18"/>
                <w:lang w:bidi="ar"/>
              </w:rPr>
              <w:t>B</w:t>
            </w:r>
          </w:p>
        </w:tc>
        <w:tc>
          <w:tcPr>
            <w:tcW w:w="303" w:type="pct"/>
            <w:tcBorders>
              <w:top w:val="single" w:sz="4" w:space="0" w:color="000000"/>
              <w:left w:val="single" w:sz="4" w:space="0" w:color="000000"/>
              <w:bottom w:val="single" w:sz="4" w:space="0" w:color="000000"/>
              <w:right w:val="single" w:sz="4" w:space="0" w:color="000000"/>
            </w:tcBorders>
            <w:noWrap/>
            <w:vAlign w:val="center"/>
          </w:tcPr>
          <w:p w:rsidR="000902A8" w:rsidRDefault="00000000">
            <w:pPr>
              <w:widowControl/>
              <w:jc w:val="center"/>
              <w:textAlignment w:val="center"/>
              <w:rPr>
                <w:color w:val="000000" w:themeColor="text1"/>
                <w:sz w:val="18"/>
                <w:szCs w:val="18"/>
              </w:rPr>
            </w:pPr>
            <w:r>
              <w:rPr>
                <w:color w:val="000000" w:themeColor="text1"/>
                <w:kern w:val="0"/>
                <w:sz w:val="18"/>
                <w:szCs w:val="18"/>
                <w:lang w:bidi="ar"/>
              </w:rPr>
              <w:t>V</w:t>
            </w:r>
          </w:p>
        </w:tc>
        <w:tc>
          <w:tcPr>
            <w:tcW w:w="303" w:type="pct"/>
            <w:tcBorders>
              <w:top w:val="single" w:sz="4" w:space="0" w:color="000000"/>
              <w:left w:val="single" w:sz="4" w:space="0" w:color="000000"/>
              <w:bottom w:val="single" w:sz="4" w:space="0" w:color="000000"/>
              <w:right w:val="single" w:sz="4" w:space="0" w:color="000000"/>
            </w:tcBorders>
            <w:noWrap/>
            <w:vAlign w:val="center"/>
          </w:tcPr>
          <w:p w:rsidR="000902A8" w:rsidRDefault="00000000">
            <w:pPr>
              <w:widowControl/>
              <w:jc w:val="center"/>
              <w:textAlignment w:val="center"/>
              <w:rPr>
                <w:color w:val="000000" w:themeColor="text1"/>
                <w:sz w:val="18"/>
                <w:szCs w:val="18"/>
              </w:rPr>
            </w:pPr>
            <w:r>
              <w:rPr>
                <w:color w:val="000000" w:themeColor="text1"/>
                <w:kern w:val="0"/>
                <w:sz w:val="18"/>
                <w:szCs w:val="18"/>
                <w:lang w:bidi="ar"/>
              </w:rPr>
              <w:t>Ti</w:t>
            </w:r>
          </w:p>
        </w:tc>
        <w:tc>
          <w:tcPr>
            <w:tcW w:w="303" w:type="pct"/>
            <w:tcBorders>
              <w:top w:val="single" w:sz="4" w:space="0" w:color="000000"/>
              <w:left w:val="single" w:sz="4" w:space="0" w:color="000000"/>
              <w:bottom w:val="single" w:sz="4" w:space="0" w:color="000000"/>
              <w:right w:val="single" w:sz="4" w:space="0" w:color="000000"/>
            </w:tcBorders>
            <w:vAlign w:val="center"/>
          </w:tcPr>
          <w:p w:rsidR="000902A8" w:rsidRDefault="00000000">
            <w:pPr>
              <w:widowControl/>
              <w:jc w:val="center"/>
              <w:textAlignment w:val="center"/>
              <w:rPr>
                <w:color w:val="000000" w:themeColor="text1"/>
                <w:sz w:val="18"/>
                <w:szCs w:val="18"/>
              </w:rPr>
            </w:pPr>
            <w:r>
              <w:rPr>
                <w:color w:val="000000" w:themeColor="text1"/>
                <w:kern w:val="0"/>
                <w:sz w:val="18"/>
                <w:szCs w:val="18"/>
                <w:lang w:bidi="ar"/>
              </w:rPr>
              <w:t>O</w:t>
            </w:r>
          </w:p>
        </w:tc>
        <w:tc>
          <w:tcPr>
            <w:tcW w:w="303" w:type="pct"/>
            <w:tcBorders>
              <w:top w:val="single" w:sz="4" w:space="0" w:color="000000"/>
              <w:left w:val="single" w:sz="4" w:space="0" w:color="000000"/>
              <w:bottom w:val="single" w:sz="4" w:space="0" w:color="000000"/>
              <w:right w:val="single" w:sz="4" w:space="0" w:color="000000"/>
            </w:tcBorders>
            <w:vAlign w:val="center"/>
          </w:tcPr>
          <w:p w:rsidR="000902A8" w:rsidRDefault="00000000">
            <w:pPr>
              <w:widowControl/>
              <w:jc w:val="center"/>
              <w:textAlignment w:val="center"/>
              <w:rPr>
                <w:color w:val="000000" w:themeColor="text1"/>
                <w:sz w:val="18"/>
                <w:szCs w:val="18"/>
              </w:rPr>
            </w:pPr>
            <w:r>
              <w:rPr>
                <w:color w:val="000000" w:themeColor="text1"/>
                <w:kern w:val="0"/>
                <w:sz w:val="18"/>
                <w:szCs w:val="18"/>
                <w:lang w:bidi="ar"/>
              </w:rPr>
              <w:t>N</w:t>
            </w:r>
          </w:p>
        </w:tc>
        <w:tc>
          <w:tcPr>
            <w:tcW w:w="309" w:type="pct"/>
            <w:tcBorders>
              <w:top w:val="single" w:sz="4" w:space="0" w:color="000000"/>
              <w:left w:val="single" w:sz="4" w:space="0" w:color="000000"/>
              <w:bottom w:val="single" w:sz="4" w:space="0" w:color="000000"/>
              <w:right w:val="single" w:sz="4" w:space="0" w:color="auto"/>
            </w:tcBorders>
            <w:vAlign w:val="center"/>
          </w:tcPr>
          <w:p w:rsidR="000902A8" w:rsidRDefault="00000000">
            <w:pPr>
              <w:widowControl/>
              <w:jc w:val="center"/>
              <w:textAlignment w:val="center"/>
              <w:rPr>
                <w:color w:val="000000" w:themeColor="text1"/>
                <w:sz w:val="18"/>
                <w:szCs w:val="18"/>
              </w:rPr>
            </w:pPr>
            <w:r>
              <w:rPr>
                <w:color w:val="000000" w:themeColor="text1"/>
                <w:kern w:val="0"/>
                <w:sz w:val="18"/>
                <w:szCs w:val="18"/>
                <w:lang w:bidi="ar"/>
              </w:rPr>
              <w:t>H</w:t>
            </w:r>
          </w:p>
        </w:tc>
      </w:tr>
      <w:tr w:rsidR="000902A8">
        <w:trPr>
          <w:trHeight w:val="283"/>
          <w:jc w:val="center"/>
        </w:trPr>
        <w:tc>
          <w:tcPr>
            <w:tcW w:w="453" w:type="pct"/>
            <w:tcBorders>
              <w:top w:val="single" w:sz="4" w:space="0" w:color="000000"/>
              <w:left w:val="single" w:sz="4" w:space="0" w:color="000000"/>
              <w:bottom w:val="single" w:sz="4" w:space="0" w:color="000000"/>
              <w:right w:val="single" w:sz="4" w:space="0" w:color="auto"/>
            </w:tcBorders>
            <w:vAlign w:val="center"/>
          </w:tcPr>
          <w:p w:rsidR="000902A8" w:rsidRDefault="00000000">
            <w:pPr>
              <w:widowControl/>
              <w:jc w:val="center"/>
              <w:textAlignment w:val="center"/>
              <w:rPr>
                <w:color w:val="000000" w:themeColor="text1"/>
                <w:sz w:val="18"/>
                <w:szCs w:val="18"/>
              </w:rPr>
            </w:pPr>
            <w:r>
              <w:rPr>
                <w:color w:val="000000" w:themeColor="text1"/>
                <w:sz w:val="18"/>
                <w:szCs w:val="18"/>
              </w:rPr>
              <w:t>GCT001</w:t>
            </w:r>
          </w:p>
        </w:tc>
        <w:tc>
          <w:tcPr>
            <w:tcW w:w="455" w:type="pct"/>
            <w:tcBorders>
              <w:top w:val="single" w:sz="4" w:space="0" w:color="000000"/>
              <w:left w:val="single" w:sz="4" w:space="0" w:color="auto"/>
              <w:bottom w:val="single" w:sz="4" w:space="0" w:color="000000"/>
              <w:right w:val="single" w:sz="4" w:space="0" w:color="000000"/>
            </w:tcBorders>
            <w:vAlign w:val="center"/>
          </w:tcPr>
          <w:p w:rsidR="000902A8" w:rsidRDefault="00000000">
            <w:pPr>
              <w:widowControl/>
              <w:jc w:val="center"/>
              <w:textAlignment w:val="center"/>
              <w:rPr>
                <w:color w:val="000000" w:themeColor="text1"/>
                <w:sz w:val="18"/>
                <w:szCs w:val="18"/>
              </w:rPr>
            </w:pPr>
            <w:r>
              <w:rPr>
                <w:color w:val="000000" w:themeColor="text1"/>
                <w:sz w:val="18"/>
                <w:szCs w:val="18"/>
              </w:rPr>
              <w:t>≥99.92</w:t>
            </w:r>
          </w:p>
        </w:tc>
        <w:tc>
          <w:tcPr>
            <w:tcW w:w="4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sz w:val="18"/>
                <w:szCs w:val="18"/>
              </w:rPr>
            </w:pPr>
            <w:r>
              <w:rPr>
                <w:rFonts w:hint="eastAsia"/>
                <w:color w:val="000000" w:themeColor="text1"/>
                <w:sz w:val="18"/>
                <w:szCs w:val="18"/>
              </w:rPr>
              <w:t>3N2~3N4</w:t>
            </w:r>
          </w:p>
        </w:tc>
        <w:tc>
          <w:tcPr>
            <w:tcW w:w="3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kern w:val="0"/>
                <w:sz w:val="18"/>
                <w:szCs w:val="18"/>
                <w:lang w:bidi="ar"/>
              </w:rPr>
            </w:pPr>
            <w:r>
              <w:rPr>
                <w:color w:val="000000" w:themeColor="text1"/>
                <w:kern w:val="0"/>
                <w:sz w:val="18"/>
                <w:szCs w:val="18"/>
                <w:lang w:bidi="ar"/>
              </w:rPr>
              <w:t xml:space="preserve">0.0080 </w:t>
            </w:r>
          </w:p>
        </w:tc>
        <w:tc>
          <w:tcPr>
            <w:tcW w:w="3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kern w:val="0"/>
                <w:sz w:val="18"/>
                <w:szCs w:val="18"/>
                <w:lang w:bidi="ar"/>
              </w:rPr>
            </w:pPr>
            <w:r>
              <w:rPr>
                <w:color w:val="000000" w:themeColor="text1"/>
                <w:kern w:val="0"/>
                <w:sz w:val="18"/>
                <w:szCs w:val="18"/>
                <w:lang w:bidi="ar"/>
              </w:rPr>
              <w:t xml:space="preserve">0.0080 </w:t>
            </w:r>
          </w:p>
        </w:tc>
        <w:tc>
          <w:tcPr>
            <w:tcW w:w="3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kern w:val="0"/>
                <w:sz w:val="18"/>
                <w:szCs w:val="18"/>
                <w:lang w:bidi="ar"/>
              </w:rPr>
            </w:pPr>
            <w:r>
              <w:rPr>
                <w:color w:val="000000" w:themeColor="text1"/>
                <w:kern w:val="0"/>
                <w:sz w:val="18"/>
                <w:szCs w:val="18"/>
                <w:lang w:bidi="ar"/>
              </w:rPr>
              <w:t xml:space="preserve">0.0200 </w:t>
            </w:r>
          </w:p>
        </w:tc>
        <w:tc>
          <w:tcPr>
            <w:tcW w:w="3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kern w:val="0"/>
                <w:sz w:val="18"/>
                <w:szCs w:val="18"/>
                <w:lang w:bidi="ar"/>
              </w:rPr>
            </w:pPr>
            <w:r>
              <w:rPr>
                <w:color w:val="000000" w:themeColor="text1"/>
                <w:kern w:val="0"/>
                <w:sz w:val="18"/>
                <w:szCs w:val="18"/>
                <w:lang w:bidi="ar"/>
              </w:rPr>
              <w:t xml:space="preserve">0.0100 </w:t>
            </w:r>
          </w:p>
        </w:tc>
        <w:tc>
          <w:tcPr>
            <w:tcW w:w="3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kern w:val="0"/>
                <w:sz w:val="18"/>
                <w:szCs w:val="18"/>
                <w:lang w:bidi="ar"/>
              </w:rPr>
            </w:pPr>
            <w:r>
              <w:rPr>
                <w:color w:val="000000" w:themeColor="text1"/>
                <w:kern w:val="0"/>
                <w:sz w:val="18"/>
                <w:szCs w:val="18"/>
                <w:lang w:bidi="ar"/>
              </w:rPr>
              <w:t xml:space="preserve">0.0080 </w:t>
            </w:r>
          </w:p>
        </w:tc>
        <w:tc>
          <w:tcPr>
            <w:tcW w:w="3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kern w:val="0"/>
                <w:sz w:val="18"/>
                <w:szCs w:val="18"/>
                <w:lang w:bidi="ar"/>
              </w:rPr>
            </w:pPr>
            <w:r>
              <w:rPr>
                <w:color w:val="000000" w:themeColor="text1"/>
                <w:kern w:val="0"/>
                <w:sz w:val="18"/>
                <w:szCs w:val="18"/>
                <w:lang w:bidi="ar"/>
              </w:rPr>
              <w:t xml:space="preserve">0.0080 </w:t>
            </w:r>
          </w:p>
        </w:tc>
        <w:tc>
          <w:tcPr>
            <w:tcW w:w="303" w:type="pc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0902A8" w:rsidRDefault="00000000">
            <w:pPr>
              <w:widowControl/>
              <w:jc w:val="center"/>
              <w:textAlignment w:val="center"/>
              <w:rPr>
                <w:color w:val="000000" w:themeColor="text1"/>
                <w:kern w:val="0"/>
                <w:sz w:val="18"/>
                <w:szCs w:val="18"/>
                <w:lang w:bidi="ar"/>
              </w:rPr>
            </w:pPr>
            <w:r>
              <w:rPr>
                <w:color w:val="000000" w:themeColor="text1"/>
                <w:kern w:val="0"/>
                <w:sz w:val="18"/>
                <w:szCs w:val="18"/>
                <w:lang w:bidi="ar"/>
              </w:rPr>
              <w:t xml:space="preserve">0.0002 </w:t>
            </w:r>
          </w:p>
        </w:tc>
        <w:tc>
          <w:tcPr>
            <w:tcW w:w="303" w:type="pc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0902A8" w:rsidRDefault="00000000">
            <w:pPr>
              <w:widowControl/>
              <w:jc w:val="center"/>
              <w:textAlignment w:val="center"/>
              <w:rPr>
                <w:color w:val="000000" w:themeColor="text1"/>
                <w:kern w:val="0"/>
                <w:sz w:val="18"/>
                <w:szCs w:val="18"/>
                <w:lang w:bidi="ar"/>
              </w:rPr>
            </w:pPr>
            <w:r>
              <w:rPr>
                <w:color w:val="000000" w:themeColor="text1"/>
                <w:kern w:val="0"/>
                <w:sz w:val="18"/>
                <w:szCs w:val="18"/>
                <w:lang w:bidi="ar"/>
              </w:rPr>
              <w:t xml:space="preserve">0.0001 </w:t>
            </w:r>
          </w:p>
        </w:tc>
        <w:tc>
          <w:tcPr>
            <w:tcW w:w="303" w:type="pc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0902A8" w:rsidRDefault="00000000">
            <w:pPr>
              <w:widowControl/>
              <w:jc w:val="center"/>
              <w:textAlignment w:val="center"/>
              <w:rPr>
                <w:color w:val="000000" w:themeColor="text1"/>
                <w:kern w:val="0"/>
                <w:sz w:val="18"/>
                <w:szCs w:val="18"/>
                <w:lang w:bidi="ar"/>
              </w:rPr>
            </w:pPr>
            <w:r>
              <w:rPr>
                <w:color w:val="000000" w:themeColor="text1"/>
                <w:kern w:val="0"/>
                <w:sz w:val="18"/>
                <w:szCs w:val="18"/>
                <w:lang w:bidi="ar"/>
              </w:rPr>
              <w:t xml:space="preserve">0.0015 </w:t>
            </w:r>
          </w:p>
        </w:tc>
        <w:tc>
          <w:tcPr>
            <w:tcW w:w="3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kern w:val="0"/>
                <w:sz w:val="18"/>
                <w:szCs w:val="18"/>
                <w:lang w:bidi="ar"/>
              </w:rPr>
            </w:pPr>
            <w:r>
              <w:rPr>
                <w:color w:val="000000" w:themeColor="text1"/>
                <w:kern w:val="0"/>
                <w:sz w:val="18"/>
                <w:szCs w:val="18"/>
                <w:lang w:bidi="ar"/>
              </w:rPr>
              <w:t xml:space="preserve">0.0080 </w:t>
            </w:r>
          </w:p>
        </w:tc>
        <w:tc>
          <w:tcPr>
            <w:tcW w:w="3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kern w:val="0"/>
                <w:sz w:val="18"/>
                <w:szCs w:val="18"/>
                <w:lang w:bidi="ar"/>
              </w:rPr>
            </w:pPr>
            <w:r>
              <w:rPr>
                <w:color w:val="000000" w:themeColor="text1"/>
                <w:kern w:val="0"/>
                <w:sz w:val="18"/>
                <w:szCs w:val="18"/>
                <w:lang w:bidi="ar"/>
              </w:rPr>
              <w:t xml:space="preserve">0.0080 </w:t>
            </w:r>
          </w:p>
        </w:tc>
        <w:tc>
          <w:tcPr>
            <w:tcW w:w="30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kern w:val="0"/>
                <w:sz w:val="18"/>
                <w:szCs w:val="18"/>
                <w:lang w:bidi="ar"/>
              </w:rPr>
            </w:pPr>
            <w:r>
              <w:rPr>
                <w:color w:val="000000" w:themeColor="text1"/>
                <w:kern w:val="0"/>
                <w:sz w:val="18"/>
                <w:szCs w:val="18"/>
                <w:lang w:bidi="ar"/>
              </w:rPr>
              <w:t xml:space="preserve">0.0002 </w:t>
            </w:r>
          </w:p>
        </w:tc>
      </w:tr>
      <w:tr w:rsidR="000902A8">
        <w:trPr>
          <w:trHeight w:val="407"/>
          <w:jc w:val="center"/>
        </w:trPr>
        <w:tc>
          <w:tcPr>
            <w:tcW w:w="453" w:type="pct"/>
            <w:tcBorders>
              <w:top w:val="single" w:sz="4" w:space="0" w:color="000000"/>
              <w:left w:val="single" w:sz="4" w:space="0" w:color="000000"/>
              <w:bottom w:val="single" w:sz="4" w:space="0" w:color="000000"/>
              <w:right w:val="single" w:sz="4" w:space="0" w:color="auto"/>
            </w:tcBorders>
            <w:vAlign w:val="center"/>
          </w:tcPr>
          <w:p w:rsidR="000902A8" w:rsidRDefault="00000000">
            <w:pPr>
              <w:widowControl/>
              <w:jc w:val="center"/>
              <w:textAlignment w:val="center"/>
              <w:rPr>
                <w:color w:val="000000" w:themeColor="text1"/>
                <w:sz w:val="18"/>
                <w:szCs w:val="18"/>
              </w:rPr>
            </w:pPr>
            <w:r>
              <w:rPr>
                <w:color w:val="000000" w:themeColor="text1"/>
                <w:sz w:val="18"/>
                <w:szCs w:val="18"/>
              </w:rPr>
              <w:t>GCT002</w:t>
            </w:r>
          </w:p>
        </w:tc>
        <w:tc>
          <w:tcPr>
            <w:tcW w:w="455" w:type="pct"/>
            <w:tcBorders>
              <w:top w:val="single" w:sz="4" w:space="0" w:color="000000"/>
              <w:left w:val="single" w:sz="4" w:space="0" w:color="auto"/>
              <w:bottom w:val="single" w:sz="4" w:space="0" w:color="000000"/>
              <w:right w:val="single" w:sz="4" w:space="0" w:color="000000"/>
            </w:tcBorders>
            <w:vAlign w:val="center"/>
          </w:tcPr>
          <w:p w:rsidR="000902A8" w:rsidRDefault="00000000">
            <w:pPr>
              <w:widowControl/>
              <w:jc w:val="center"/>
              <w:textAlignment w:val="center"/>
              <w:rPr>
                <w:color w:val="000000" w:themeColor="text1"/>
                <w:sz w:val="18"/>
                <w:szCs w:val="18"/>
              </w:rPr>
            </w:pPr>
            <w:r>
              <w:rPr>
                <w:color w:val="000000" w:themeColor="text1"/>
                <w:sz w:val="18"/>
                <w:szCs w:val="18"/>
              </w:rPr>
              <w:t>≥99.95</w:t>
            </w:r>
          </w:p>
        </w:tc>
        <w:tc>
          <w:tcPr>
            <w:tcW w:w="4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sz w:val="18"/>
                <w:szCs w:val="18"/>
              </w:rPr>
            </w:pPr>
            <w:r>
              <w:rPr>
                <w:rFonts w:hint="eastAsia"/>
                <w:color w:val="000000" w:themeColor="text1"/>
                <w:sz w:val="18"/>
                <w:szCs w:val="18"/>
              </w:rPr>
              <w:t>3N5~3N6</w:t>
            </w:r>
          </w:p>
        </w:tc>
        <w:tc>
          <w:tcPr>
            <w:tcW w:w="3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sz w:val="18"/>
                <w:szCs w:val="18"/>
              </w:rPr>
            </w:pPr>
            <w:r>
              <w:rPr>
                <w:color w:val="000000" w:themeColor="text1"/>
                <w:kern w:val="0"/>
                <w:sz w:val="18"/>
                <w:szCs w:val="18"/>
                <w:lang w:bidi="ar"/>
              </w:rPr>
              <w:t>0.0035</w:t>
            </w:r>
          </w:p>
        </w:tc>
        <w:tc>
          <w:tcPr>
            <w:tcW w:w="3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sz w:val="18"/>
                <w:szCs w:val="18"/>
              </w:rPr>
            </w:pPr>
            <w:r>
              <w:rPr>
                <w:color w:val="000000" w:themeColor="text1"/>
                <w:kern w:val="0"/>
                <w:sz w:val="18"/>
                <w:szCs w:val="18"/>
                <w:lang w:bidi="ar"/>
              </w:rPr>
              <w:t>0.0045</w:t>
            </w:r>
          </w:p>
        </w:tc>
        <w:tc>
          <w:tcPr>
            <w:tcW w:w="3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sz w:val="18"/>
                <w:szCs w:val="18"/>
              </w:rPr>
            </w:pPr>
            <w:r>
              <w:rPr>
                <w:color w:val="000000" w:themeColor="text1"/>
                <w:kern w:val="0"/>
                <w:sz w:val="18"/>
                <w:szCs w:val="18"/>
                <w:lang w:bidi="ar"/>
              </w:rPr>
              <w:t>0.0130</w:t>
            </w:r>
          </w:p>
        </w:tc>
        <w:tc>
          <w:tcPr>
            <w:tcW w:w="3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sz w:val="18"/>
                <w:szCs w:val="18"/>
              </w:rPr>
            </w:pPr>
            <w:r>
              <w:rPr>
                <w:color w:val="000000" w:themeColor="text1"/>
                <w:kern w:val="0"/>
                <w:sz w:val="18"/>
                <w:szCs w:val="18"/>
                <w:lang w:bidi="ar"/>
              </w:rPr>
              <w:t>0.0090</w:t>
            </w:r>
          </w:p>
        </w:tc>
        <w:tc>
          <w:tcPr>
            <w:tcW w:w="3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sz w:val="18"/>
                <w:szCs w:val="18"/>
              </w:rPr>
            </w:pPr>
            <w:r>
              <w:rPr>
                <w:color w:val="000000" w:themeColor="text1"/>
                <w:kern w:val="0"/>
                <w:sz w:val="18"/>
                <w:szCs w:val="18"/>
                <w:lang w:bidi="ar"/>
              </w:rPr>
              <w:t>0.0030</w:t>
            </w:r>
          </w:p>
        </w:tc>
        <w:tc>
          <w:tcPr>
            <w:tcW w:w="3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sz w:val="18"/>
                <w:szCs w:val="18"/>
              </w:rPr>
            </w:pPr>
            <w:r>
              <w:rPr>
                <w:color w:val="000000" w:themeColor="text1"/>
                <w:kern w:val="0"/>
                <w:sz w:val="18"/>
                <w:szCs w:val="18"/>
                <w:lang w:bidi="ar"/>
              </w:rPr>
              <w:t>0.0030</w:t>
            </w:r>
          </w:p>
        </w:tc>
        <w:tc>
          <w:tcPr>
            <w:tcW w:w="303" w:type="pc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0902A8" w:rsidRDefault="00000000">
            <w:pPr>
              <w:widowControl/>
              <w:jc w:val="center"/>
              <w:textAlignment w:val="center"/>
              <w:rPr>
                <w:color w:val="000000" w:themeColor="text1"/>
                <w:sz w:val="18"/>
                <w:szCs w:val="18"/>
              </w:rPr>
            </w:pPr>
            <w:r>
              <w:rPr>
                <w:color w:val="000000" w:themeColor="text1"/>
                <w:kern w:val="0"/>
                <w:sz w:val="18"/>
                <w:szCs w:val="18"/>
                <w:lang w:bidi="ar"/>
              </w:rPr>
              <w:t>0.0002</w:t>
            </w:r>
          </w:p>
        </w:tc>
        <w:tc>
          <w:tcPr>
            <w:tcW w:w="303" w:type="pc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0902A8" w:rsidRDefault="00000000">
            <w:pPr>
              <w:widowControl/>
              <w:jc w:val="center"/>
              <w:textAlignment w:val="center"/>
              <w:rPr>
                <w:color w:val="000000" w:themeColor="text1"/>
                <w:spacing w:val="-23"/>
                <w:sz w:val="18"/>
                <w:szCs w:val="18"/>
              </w:rPr>
            </w:pPr>
            <w:r>
              <w:rPr>
                <w:color w:val="000000" w:themeColor="text1"/>
                <w:kern w:val="0"/>
                <w:sz w:val="18"/>
                <w:szCs w:val="18"/>
                <w:lang w:bidi="ar"/>
              </w:rPr>
              <w:t>0.0001</w:t>
            </w:r>
          </w:p>
        </w:tc>
        <w:tc>
          <w:tcPr>
            <w:tcW w:w="303" w:type="pc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0902A8" w:rsidRDefault="00000000">
            <w:pPr>
              <w:widowControl/>
              <w:jc w:val="center"/>
              <w:textAlignment w:val="center"/>
              <w:rPr>
                <w:color w:val="000000" w:themeColor="text1"/>
                <w:sz w:val="18"/>
                <w:szCs w:val="18"/>
              </w:rPr>
            </w:pPr>
            <w:r>
              <w:rPr>
                <w:color w:val="000000" w:themeColor="text1"/>
                <w:kern w:val="0"/>
                <w:sz w:val="18"/>
                <w:szCs w:val="18"/>
                <w:lang w:bidi="ar"/>
              </w:rPr>
              <w:t>0.0010</w:t>
            </w:r>
          </w:p>
        </w:tc>
        <w:tc>
          <w:tcPr>
            <w:tcW w:w="3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sz w:val="18"/>
                <w:szCs w:val="18"/>
              </w:rPr>
            </w:pPr>
            <w:r>
              <w:rPr>
                <w:color w:val="000000" w:themeColor="text1"/>
                <w:kern w:val="0"/>
                <w:sz w:val="18"/>
                <w:szCs w:val="18"/>
                <w:lang w:bidi="ar"/>
              </w:rPr>
              <w:t>0.0040</w:t>
            </w:r>
          </w:p>
        </w:tc>
        <w:tc>
          <w:tcPr>
            <w:tcW w:w="3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sz w:val="18"/>
                <w:szCs w:val="18"/>
              </w:rPr>
            </w:pPr>
            <w:r>
              <w:rPr>
                <w:color w:val="000000" w:themeColor="text1"/>
                <w:kern w:val="0"/>
                <w:sz w:val="18"/>
                <w:szCs w:val="18"/>
                <w:lang w:bidi="ar"/>
              </w:rPr>
              <w:t>0.0040</w:t>
            </w:r>
          </w:p>
        </w:tc>
        <w:tc>
          <w:tcPr>
            <w:tcW w:w="30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sz w:val="18"/>
                <w:szCs w:val="18"/>
              </w:rPr>
            </w:pPr>
            <w:r>
              <w:rPr>
                <w:color w:val="000000" w:themeColor="text1"/>
                <w:kern w:val="0"/>
                <w:sz w:val="18"/>
                <w:szCs w:val="18"/>
                <w:lang w:bidi="ar"/>
              </w:rPr>
              <w:t>0.0002</w:t>
            </w:r>
          </w:p>
        </w:tc>
      </w:tr>
      <w:tr w:rsidR="000902A8">
        <w:trPr>
          <w:trHeight w:val="283"/>
          <w:jc w:val="center"/>
        </w:trPr>
        <w:tc>
          <w:tcPr>
            <w:tcW w:w="453" w:type="pct"/>
            <w:tcBorders>
              <w:top w:val="single" w:sz="4" w:space="0" w:color="000000"/>
              <w:left w:val="single" w:sz="4" w:space="0" w:color="000000"/>
              <w:bottom w:val="single" w:sz="4" w:space="0" w:color="000000"/>
              <w:right w:val="single" w:sz="4" w:space="0" w:color="auto"/>
            </w:tcBorders>
            <w:vAlign w:val="center"/>
          </w:tcPr>
          <w:p w:rsidR="000902A8" w:rsidRDefault="00000000">
            <w:pPr>
              <w:widowControl/>
              <w:jc w:val="center"/>
              <w:textAlignment w:val="center"/>
              <w:rPr>
                <w:color w:val="000000" w:themeColor="text1"/>
                <w:kern w:val="0"/>
                <w:sz w:val="18"/>
                <w:szCs w:val="18"/>
                <w:lang w:bidi="ar"/>
              </w:rPr>
            </w:pPr>
            <w:r>
              <w:rPr>
                <w:color w:val="000000" w:themeColor="text1"/>
                <w:sz w:val="18"/>
                <w:szCs w:val="18"/>
              </w:rPr>
              <w:t>GCT003</w:t>
            </w:r>
          </w:p>
        </w:tc>
        <w:tc>
          <w:tcPr>
            <w:tcW w:w="455" w:type="pct"/>
            <w:tcBorders>
              <w:top w:val="single" w:sz="4" w:space="0" w:color="000000"/>
              <w:left w:val="single" w:sz="4" w:space="0" w:color="auto"/>
              <w:bottom w:val="single" w:sz="4" w:space="0" w:color="000000"/>
              <w:right w:val="single" w:sz="4" w:space="0" w:color="000000"/>
            </w:tcBorders>
            <w:vAlign w:val="center"/>
          </w:tcPr>
          <w:p w:rsidR="000902A8" w:rsidRDefault="00000000">
            <w:pPr>
              <w:widowControl/>
              <w:jc w:val="center"/>
              <w:textAlignment w:val="center"/>
              <w:rPr>
                <w:color w:val="000000" w:themeColor="text1"/>
                <w:sz w:val="18"/>
                <w:szCs w:val="18"/>
              </w:rPr>
            </w:pPr>
            <w:r>
              <w:rPr>
                <w:color w:val="000000" w:themeColor="text1"/>
                <w:sz w:val="18"/>
                <w:szCs w:val="18"/>
              </w:rPr>
              <w:t>≥99.97</w:t>
            </w:r>
          </w:p>
        </w:tc>
        <w:tc>
          <w:tcPr>
            <w:tcW w:w="4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sz w:val="18"/>
                <w:szCs w:val="18"/>
              </w:rPr>
            </w:pPr>
            <w:r>
              <w:rPr>
                <w:rFonts w:hint="eastAsia"/>
                <w:color w:val="000000" w:themeColor="text1"/>
                <w:sz w:val="18"/>
                <w:szCs w:val="18"/>
              </w:rPr>
              <w:t>3N7~3N9</w:t>
            </w:r>
          </w:p>
        </w:tc>
        <w:tc>
          <w:tcPr>
            <w:tcW w:w="3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kern w:val="0"/>
                <w:sz w:val="18"/>
                <w:szCs w:val="18"/>
                <w:lang w:bidi="ar"/>
              </w:rPr>
            </w:pPr>
            <w:r>
              <w:rPr>
                <w:color w:val="000000" w:themeColor="text1"/>
                <w:kern w:val="0"/>
                <w:sz w:val="18"/>
                <w:szCs w:val="18"/>
                <w:lang w:bidi="ar"/>
              </w:rPr>
              <w:t>0.0020</w:t>
            </w:r>
          </w:p>
        </w:tc>
        <w:tc>
          <w:tcPr>
            <w:tcW w:w="3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kern w:val="0"/>
                <w:sz w:val="18"/>
                <w:szCs w:val="18"/>
                <w:lang w:bidi="ar"/>
              </w:rPr>
            </w:pPr>
            <w:r>
              <w:rPr>
                <w:color w:val="000000" w:themeColor="text1"/>
                <w:kern w:val="0"/>
                <w:sz w:val="18"/>
                <w:szCs w:val="18"/>
                <w:lang w:bidi="ar"/>
              </w:rPr>
              <w:t>0.0020</w:t>
            </w:r>
          </w:p>
        </w:tc>
        <w:tc>
          <w:tcPr>
            <w:tcW w:w="3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kern w:val="0"/>
                <w:sz w:val="18"/>
                <w:szCs w:val="18"/>
                <w:lang w:bidi="ar"/>
              </w:rPr>
            </w:pPr>
            <w:r>
              <w:rPr>
                <w:color w:val="000000" w:themeColor="text1"/>
                <w:kern w:val="0"/>
                <w:sz w:val="18"/>
                <w:szCs w:val="18"/>
                <w:lang w:bidi="ar"/>
              </w:rPr>
              <w:t>0.0050</w:t>
            </w:r>
          </w:p>
        </w:tc>
        <w:tc>
          <w:tcPr>
            <w:tcW w:w="3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kern w:val="0"/>
                <w:sz w:val="18"/>
                <w:szCs w:val="18"/>
                <w:lang w:bidi="ar"/>
              </w:rPr>
            </w:pPr>
            <w:r>
              <w:rPr>
                <w:color w:val="000000" w:themeColor="text1"/>
                <w:kern w:val="0"/>
                <w:sz w:val="18"/>
                <w:szCs w:val="18"/>
                <w:lang w:bidi="ar"/>
              </w:rPr>
              <w:t>0.0060</w:t>
            </w:r>
          </w:p>
        </w:tc>
        <w:tc>
          <w:tcPr>
            <w:tcW w:w="3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kern w:val="0"/>
                <w:sz w:val="18"/>
                <w:szCs w:val="18"/>
                <w:lang w:bidi="ar"/>
              </w:rPr>
            </w:pPr>
            <w:r>
              <w:rPr>
                <w:color w:val="000000" w:themeColor="text1"/>
                <w:kern w:val="0"/>
                <w:sz w:val="18"/>
                <w:szCs w:val="18"/>
                <w:lang w:bidi="ar"/>
              </w:rPr>
              <w:t>0.0020</w:t>
            </w:r>
          </w:p>
        </w:tc>
        <w:tc>
          <w:tcPr>
            <w:tcW w:w="3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kern w:val="0"/>
                <w:sz w:val="18"/>
                <w:szCs w:val="18"/>
                <w:lang w:bidi="ar"/>
              </w:rPr>
            </w:pPr>
            <w:r>
              <w:rPr>
                <w:color w:val="000000" w:themeColor="text1"/>
                <w:kern w:val="0"/>
                <w:sz w:val="18"/>
                <w:szCs w:val="18"/>
                <w:lang w:bidi="ar"/>
              </w:rPr>
              <w:t>0.0020</w:t>
            </w:r>
          </w:p>
        </w:tc>
        <w:tc>
          <w:tcPr>
            <w:tcW w:w="303" w:type="pc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0902A8" w:rsidRDefault="00000000">
            <w:pPr>
              <w:widowControl/>
              <w:jc w:val="center"/>
              <w:textAlignment w:val="center"/>
              <w:rPr>
                <w:color w:val="000000" w:themeColor="text1"/>
                <w:kern w:val="0"/>
                <w:sz w:val="18"/>
                <w:szCs w:val="18"/>
                <w:lang w:bidi="ar"/>
              </w:rPr>
            </w:pPr>
            <w:r>
              <w:rPr>
                <w:color w:val="000000" w:themeColor="text1"/>
                <w:kern w:val="0"/>
                <w:sz w:val="18"/>
                <w:szCs w:val="18"/>
                <w:lang w:bidi="ar"/>
              </w:rPr>
              <w:t>0.0002</w:t>
            </w:r>
          </w:p>
        </w:tc>
        <w:tc>
          <w:tcPr>
            <w:tcW w:w="303" w:type="pc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0902A8" w:rsidRDefault="00000000">
            <w:pPr>
              <w:widowControl/>
              <w:jc w:val="center"/>
              <w:textAlignment w:val="center"/>
              <w:rPr>
                <w:color w:val="000000" w:themeColor="text1"/>
                <w:kern w:val="0"/>
                <w:sz w:val="18"/>
                <w:szCs w:val="18"/>
                <w:lang w:bidi="ar"/>
              </w:rPr>
            </w:pPr>
            <w:r>
              <w:rPr>
                <w:color w:val="000000" w:themeColor="text1"/>
                <w:kern w:val="0"/>
                <w:sz w:val="18"/>
                <w:szCs w:val="18"/>
                <w:lang w:bidi="ar"/>
              </w:rPr>
              <w:t>0.0001</w:t>
            </w:r>
          </w:p>
        </w:tc>
        <w:tc>
          <w:tcPr>
            <w:tcW w:w="303" w:type="pc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0902A8" w:rsidRDefault="00000000">
            <w:pPr>
              <w:widowControl/>
              <w:jc w:val="center"/>
              <w:textAlignment w:val="center"/>
              <w:rPr>
                <w:color w:val="000000" w:themeColor="text1"/>
                <w:kern w:val="0"/>
                <w:sz w:val="18"/>
                <w:szCs w:val="18"/>
                <w:lang w:bidi="ar"/>
              </w:rPr>
            </w:pPr>
            <w:r>
              <w:rPr>
                <w:color w:val="000000" w:themeColor="text1"/>
                <w:kern w:val="0"/>
                <w:sz w:val="18"/>
                <w:szCs w:val="18"/>
                <w:lang w:bidi="ar"/>
              </w:rPr>
              <w:t>0.0005</w:t>
            </w:r>
          </w:p>
        </w:tc>
        <w:tc>
          <w:tcPr>
            <w:tcW w:w="3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kern w:val="0"/>
                <w:sz w:val="18"/>
                <w:szCs w:val="18"/>
                <w:lang w:bidi="ar"/>
              </w:rPr>
            </w:pPr>
            <w:r>
              <w:rPr>
                <w:color w:val="000000" w:themeColor="text1"/>
                <w:kern w:val="0"/>
                <w:sz w:val="18"/>
                <w:szCs w:val="18"/>
                <w:lang w:bidi="ar"/>
              </w:rPr>
              <w:t>0.0030</w:t>
            </w:r>
          </w:p>
        </w:tc>
        <w:tc>
          <w:tcPr>
            <w:tcW w:w="3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kern w:val="0"/>
                <w:sz w:val="18"/>
                <w:szCs w:val="18"/>
                <w:lang w:bidi="ar"/>
              </w:rPr>
            </w:pPr>
            <w:r>
              <w:rPr>
                <w:color w:val="000000" w:themeColor="text1"/>
                <w:kern w:val="0"/>
                <w:sz w:val="18"/>
                <w:szCs w:val="18"/>
                <w:lang w:bidi="ar"/>
              </w:rPr>
              <w:t>0.0035</w:t>
            </w:r>
          </w:p>
        </w:tc>
        <w:tc>
          <w:tcPr>
            <w:tcW w:w="30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kern w:val="0"/>
                <w:sz w:val="18"/>
                <w:szCs w:val="18"/>
                <w:lang w:bidi="ar"/>
              </w:rPr>
            </w:pPr>
            <w:r>
              <w:rPr>
                <w:color w:val="000000" w:themeColor="text1"/>
                <w:kern w:val="0"/>
                <w:sz w:val="18"/>
                <w:szCs w:val="18"/>
                <w:lang w:bidi="ar"/>
              </w:rPr>
              <w:t>0.0002</w:t>
            </w:r>
          </w:p>
        </w:tc>
      </w:tr>
      <w:tr w:rsidR="000902A8">
        <w:trPr>
          <w:trHeight w:val="283"/>
          <w:jc w:val="center"/>
        </w:trPr>
        <w:tc>
          <w:tcPr>
            <w:tcW w:w="453" w:type="pct"/>
            <w:tcBorders>
              <w:top w:val="single" w:sz="4" w:space="0" w:color="000000"/>
              <w:left w:val="single" w:sz="4" w:space="0" w:color="000000"/>
              <w:bottom w:val="single" w:sz="4" w:space="0" w:color="000000"/>
              <w:right w:val="single" w:sz="4" w:space="0" w:color="auto"/>
            </w:tcBorders>
            <w:vAlign w:val="center"/>
          </w:tcPr>
          <w:p w:rsidR="000902A8" w:rsidRDefault="00000000">
            <w:pPr>
              <w:widowControl/>
              <w:jc w:val="center"/>
              <w:textAlignment w:val="center"/>
              <w:rPr>
                <w:color w:val="000000" w:themeColor="text1"/>
                <w:kern w:val="0"/>
                <w:sz w:val="18"/>
                <w:szCs w:val="18"/>
                <w:lang w:bidi="ar"/>
              </w:rPr>
            </w:pPr>
            <w:r>
              <w:rPr>
                <w:color w:val="000000" w:themeColor="text1"/>
                <w:sz w:val="18"/>
                <w:szCs w:val="18"/>
              </w:rPr>
              <w:t>GCT004</w:t>
            </w:r>
          </w:p>
        </w:tc>
        <w:tc>
          <w:tcPr>
            <w:tcW w:w="455" w:type="pct"/>
            <w:tcBorders>
              <w:top w:val="single" w:sz="4" w:space="0" w:color="000000"/>
              <w:left w:val="single" w:sz="4" w:space="0" w:color="auto"/>
              <w:bottom w:val="single" w:sz="4" w:space="0" w:color="000000"/>
              <w:right w:val="single" w:sz="4" w:space="0" w:color="000000"/>
            </w:tcBorders>
            <w:vAlign w:val="center"/>
          </w:tcPr>
          <w:p w:rsidR="000902A8" w:rsidRDefault="00000000">
            <w:pPr>
              <w:widowControl/>
              <w:jc w:val="center"/>
              <w:textAlignment w:val="center"/>
              <w:rPr>
                <w:color w:val="000000" w:themeColor="text1"/>
                <w:sz w:val="18"/>
                <w:szCs w:val="18"/>
              </w:rPr>
            </w:pPr>
            <w:r>
              <w:rPr>
                <w:color w:val="000000" w:themeColor="text1"/>
                <w:sz w:val="18"/>
                <w:szCs w:val="18"/>
              </w:rPr>
              <w:t>≥99.99</w:t>
            </w:r>
          </w:p>
        </w:tc>
        <w:tc>
          <w:tcPr>
            <w:tcW w:w="4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sz w:val="18"/>
                <w:szCs w:val="18"/>
              </w:rPr>
            </w:pPr>
            <w:r>
              <w:rPr>
                <w:rFonts w:hint="eastAsia"/>
                <w:color w:val="000000" w:themeColor="text1"/>
                <w:sz w:val="18"/>
                <w:szCs w:val="18"/>
              </w:rPr>
              <w:t>4N</w:t>
            </w:r>
            <w:r>
              <w:rPr>
                <w:rFonts w:hint="eastAsia"/>
                <w:color w:val="000000" w:themeColor="text1"/>
                <w:sz w:val="18"/>
                <w:szCs w:val="18"/>
              </w:rPr>
              <w:t>及以上</w:t>
            </w:r>
          </w:p>
        </w:tc>
        <w:tc>
          <w:tcPr>
            <w:tcW w:w="3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kern w:val="0"/>
                <w:sz w:val="18"/>
                <w:szCs w:val="18"/>
                <w:lang w:bidi="ar"/>
              </w:rPr>
            </w:pPr>
            <w:r>
              <w:rPr>
                <w:color w:val="000000" w:themeColor="text1"/>
                <w:kern w:val="0"/>
                <w:sz w:val="18"/>
                <w:szCs w:val="18"/>
                <w:lang w:bidi="ar"/>
              </w:rPr>
              <w:t>0.0006</w:t>
            </w:r>
          </w:p>
        </w:tc>
        <w:tc>
          <w:tcPr>
            <w:tcW w:w="3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kern w:val="0"/>
                <w:sz w:val="18"/>
                <w:szCs w:val="18"/>
                <w:lang w:bidi="ar"/>
              </w:rPr>
            </w:pPr>
            <w:r>
              <w:rPr>
                <w:color w:val="000000" w:themeColor="text1"/>
                <w:kern w:val="0"/>
                <w:sz w:val="18"/>
                <w:szCs w:val="18"/>
                <w:lang w:bidi="ar"/>
              </w:rPr>
              <w:t>0.0003</w:t>
            </w:r>
          </w:p>
        </w:tc>
        <w:tc>
          <w:tcPr>
            <w:tcW w:w="3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kern w:val="0"/>
                <w:sz w:val="18"/>
                <w:szCs w:val="18"/>
                <w:lang w:bidi="ar"/>
              </w:rPr>
            </w:pPr>
            <w:r>
              <w:rPr>
                <w:color w:val="000000" w:themeColor="text1"/>
                <w:kern w:val="0"/>
                <w:sz w:val="18"/>
                <w:szCs w:val="18"/>
                <w:lang w:bidi="ar"/>
              </w:rPr>
              <w:t>0.0003</w:t>
            </w:r>
          </w:p>
        </w:tc>
        <w:tc>
          <w:tcPr>
            <w:tcW w:w="3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kern w:val="0"/>
                <w:sz w:val="18"/>
                <w:szCs w:val="18"/>
                <w:lang w:bidi="ar"/>
              </w:rPr>
            </w:pPr>
            <w:r>
              <w:rPr>
                <w:color w:val="000000" w:themeColor="text1"/>
                <w:kern w:val="0"/>
                <w:sz w:val="18"/>
                <w:szCs w:val="18"/>
                <w:lang w:bidi="ar"/>
              </w:rPr>
              <w:t>0.0003</w:t>
            </w:r>
          </w:p>
        </w:tc>
        <w:tc>
          <w:tcPr>
            <w:tcW w:w="3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kern w:val="0"/>
                <w:sz w:val="18"/>
                <w:szCs w:val="18"/>
                <w:lang w:bidi="ar"/>
              </w:rPr>
            </w:pPr>
            <w:r>
              <w:rPr>
                <w:color w:val="000000" w:themeColor="text1"/>
                <w:kern w:val="0"/>
                <w:sz w:val="18"/>
                <w:szCs w:val="18"/>
                <w:lang w:bidi="ar"/>
              </w:rPr>
              <w:t>0.0005</w:t>
            </w:r>
          </w:p>
        </w:tc>
        <w:tc>
          <w:tcPr>
            <w:tcW w:w="3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kern w:val="0"/>
                <w:sz w:val="18"/>
                <w:szCs w:val="18"/>
                <w:lang w:bidi="ar"/>
              </w:rPr>
            </w:pPr>
            <w:r>
              <w:rPr>
                <w:color w:val="000000" w:themeColor="text1"/>
                <w:kern w:val="0"/>
                <w:sz w:val="18"/>
                <w:szCs w:val="18"/>
                <w:lang w:bidi="ar"/>
              </w:rPr>
              <w:t>0.0005</w:t>
            </w:r>
          </w:p>
        </w:tc>
        <w:tc>
          <w:tcPr>
            <w:tcW w:w="303" w:type="pc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0902A8" w:rsidRDefault="00000000">
            <w:pPr>
              <w:widowControl/>
              <w:jc w:val="center"/>
              <w:textAlignment w:val="center"/>
              <w:rPr>
                <w:color w:val="000000" w:themeColor="text1"/>
                <w:kern w:val="0"/>
                <w:sz w:val="18"/>
                <w:szCs w:val="18"/>
                <w:lang w:bidi="ar"/>
              </w:rPr>
            </w:pPr>
            <w:r>
              <w:rPr>
                <w:color w:val="000000" w:themeColor="text1"/>
                <w:kern w:val="0"/>
                <w:sz w:val="18"/>
                <w:szCs w:val="18"/>
                <w:lang w:bidi="ar"/>
              </w:rPr>
              <w:t>0.0001</w:t>
            </w:r>
          </w:p>
        </w:tc>
        <w:tc>
          <w:tcPr>
            <w:tcW w:w="303" w:type="pc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0902A8" w:rsidRDefault="00000000">
            <w:pPr>
              <w:widowControl/>
              <w:jc w:val="center"/>
              <w:textAlignment w:val="center"/>
              <w:rPr>
                <w:color w:val="000000" w:themeColor="text1"/>
                <w:kern w:val="0"/>
                <w:sz w:val="18"/>
                <w:szCs w:val="18"/>
                <w:lang w:bidi="ar"/>
              </w:rPr>
            </w:pPr>
            <w:r>
              <w:rPr>
                <w:color w:val="000000" w:themeColor="text1"/>
                <w:kern w:val="0"/>
                <w:sz w:val="18"/>
                <w:szCs w:val="18"/>
                <w:lang w:bidi="ar"/>
              </w:rPr>
              <w:t>0.0001</w:t>
            </w:r>
          </w:p>
        </w:tc>
        <w:tc>
          <w:tcPr>
            <w:tcW w:w="303" w:type="pc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0902A8" w:rsidRDefault="00000000">
            <w:pPr>
              <w:widowControl/>
              <w:jc w:val="center"/>
              <w:textAlignment w:val="center"/>
              <w:rPr>
                <w:color w:val="000000" w:themeColor="text1"/>
                <w:kern w:val="0"/>
                <w:sz w:val="18"/>
                <w:szCs w:val="18"/>
                <w:lang w:bidi="ar"/>
              </w:rPr>
            </w:pPr>
            <w:r>
              <w:rPr>
                <w:color w:val="000000" w:themeColor="text1"/>
                <w:kern w:val="0"/>
                <w:sz w:val="18"/>
                <w:szCs w:val="18"/>
                <w:lang w:bidi="ar"/>
              </w:rPr>
              <w:t>0.0002</w:t>
            </w:r>
          </w:p>
        </w:tc>
        <w:tc>
          <w:tcPr>
            <w:tcW w:w="3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kern w:val="0"/>
                <w:sz w:val="18"/>
                <w:szCs w:val="18"/>
                <w:lang w:bidi="ar"/>
              </w:rPr>
            </w:pPr>
            <w:r>
              <w:rPr>
                <w:color w:val="000000" w:themeColor="text1"/>
                <w:kern w:val="0"/>
                <w:sz w:val="18"/>
                <w:szCs w:val="18"/>
                <w:lang w:bidi="ar"/>
              </w:rPr>
              <w:t>0.0045</w:t>
            </w:r>
          </w:p>
        </w:tc>
        <w:tc>
          <w:tcPr>
            <w:tcW w:w="3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kern w:val="0"/>
                <w:sz w:val="18"/>
                <w:szCs w:val="18"/>
                <w:lang w:bidi="ar"/>
              </w:rPr>
            </w:pPr>
            <w:r>
              <w:rPr>
                <w:color w:val="000000" w:themeColor="text1"/>
                <w:kern w:val="0"/>
                <w:sz w:val="18"/>
                <w:szCs w:val="18"/>
                <w:lang w:bidi="ar"/>
              </w:rPr>
              <w:t>0.0008</w:t>
            </w:r>
          </w:p>
        </w:tc>
        <w:tc>
          <w:tcPr>
            <w:tcW w:w="30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902A8" w:rsidRDefault="00000000">
            <w:pPr>
              <w:widowControl/>
              <w:jc w:val="center"/>
              <w:textAlignment w:val="center"/>
              <w:rPr>
                <w:color w:val="000000" w:themeColor="text1"/>
                <w:kern w:val="0"/>
                <w:sz w:val="18"/>
                <w:szCs w:val="18"/>
                <w:lang w:bidi="ar"/>
              </w:rPr>
            </w:pPr>
            <w:r>
              <w:rPr>
                <w:color w:val="000000" w:themeColor="text1"/>
                <w:kern w:val="0"/>
                <w:sz w:val="18"/>
                <w:szCs w:val="18"/>
                <w:lang w:bidi="ar"/>
              </w:rPr>
              <w:t>0.0002</w:t>
            </w:r>
          </w:p>
        </w:tc>
      </w:tr>
    </w:tbl>
    <w:p w:rsidR="000902A8" w:rsidRDefault="00000000">
      <w:pPr>
        <w:pStyle w:val="a0"/>
        <w:spacing w:before="156" w:after="156"/>
        <w:ind w:left="0"/>
      </w:pPr>
      <w:r>
        <w:rPr>
          <w:rFonts w:hint="eastAsia"/>
        </w:rPr>
        <w:t>冶炼方法</w:t>
      </w:r>
    </w:p>
    <w:p w:rsidR="000902A8" w:rsidRDefault="00000000">
      <w:pPr>
        <w:pStyle w:val="affb"/>
        <w:rPr>
          <w:rFonts w:ascii="Times New Roman"/>
        </w:rPr>
      </w:pPr>
      <w:bookmarkStart w:id="36" w:name="_Hlk174627872"/>
      <w:r>
        <w:rPr>
          <w:rFonts w:hint="eastAsia"/>
        </w:rPr>
        <w:t>原料纯铁应采用电弧炉加真空精炼或铁水预处理加转炉加真空精炼进行冶炼。经供需双方协商，并在合同中注明，也可采用其它方法冶炼，但都应经过真空精炼脱气处理。需方指定某一种冶炼方法时,应在合同中注明</w:t>
      </w:r>
      <w:r>
        <w:rPr>
          <w:rFonts w:ascii="Times New Roman" w:hint="eastAsia"/>
        </w:rPr>
        <w:t>。</w:t>
      </w:r>
    </w:p>
    <w:bookmarkEnd w:id="36"/>
    <w:p w:rsidR="000902A8" w:rsidRDefault="00000000">
      <w:pPr>
        <w:pStyle w:val="a0"/>
        <w:spacing w:before="156" w:after="156"/>
        <w:ind w:leftChars="-1" w:left="-2"/>
      </w:pPr>
      <w:r>
        <w:rPr>
          <w:rFonts w:hint="eastAsia"/>
        </w:rPr>
        <w:t>交货状态</w:t>
      </w:r>
    </w:p>
    <w:p w:rsidR="000902A8" w:rsidRDefault="00000000">
      <w:pPr>
        <w:pStyle w:val="affb"/>
        <w:tabs>
          <w:tab w:val="clear" w:pos="4201"/>
          <w:tab w:val="clear" w:pos="9298"/>
        </w:tabs>
        <w:ind w:firstLineChars="0"/>
        <w:jc w:val="left"/>
      </w:pPr>
      <w:bookmarkStart w:id="37" w:name="_Hlk174627943"/>
      <w:bookmarkStart w:id="38" w:name="_Hlk140735226"/>
      <w:r>
        <w:rPr>
          <w:rFonts w:hint="eastAsia"/>
        </w:rPr>
        <w:t>钢棒</w:t>
      </w:r>
      <w:r w:rsidR="00147A0D">
        <w:rPr>
          <w:rFonts w:hint="eastAsia"/>
        </w:rPr>
        <w:t>、</w:t>
      </w:r>
      <w:r>
        <w:rPr>
          <w:rFonts w:hint="eastAsia"/>
        </w:rPr>
        <w:t>盘条</w:t>
      </w:r>
      <w:r w:rsidR="00147A0D">
        <w:rPr>
          <w:rFonts w:hint="eastAsia"/>
        </w:rPr>
        <w:t>、片状</w:t>
      </w:r>
      <w:r>
        <w:rPr>
          <w:rFonts w:hint="eastAsia"/>
        </w:rPr>
        <w:t>应以热轧状态交货,连铸坯应以连铸状态或连铸</w:t>
      </w:r>
      <w:r w:rsidR="00147A0D">
        <w:rPr>
          <w:rFonts w:hint="eastAsia"/>
        </w:rPr>
        <w:t>状态</w:t>
      </w:r>
      <w:r>
        <w:rPr>
          <w:rFonts w:hint="eastAsia"/>
        </w:rPr>
        <w:t>直接切割交货</w:t>
      </w:r>
      <w:bookmarkEnd w:id="37"/>
      <w:r>
        <w:rPr>
          <w:rFonts w:hint="eastAsia"/>
        </w:rPr>
        <w:t>。</w:t>
      </w:r>
    </w:p>
    <w:bookmarkEnd w:id="38"/>
    <w:p w:rsidR="000902A8" w:rsidRDefault="00000000">
      <w:pPr>
        <w:pStyle w:val="a0"/>
        <w:spacing w:before="156" w:after="156"/>
        <w:ind w:leftChars="-1" w:left="-2"/>
      </w:pPr>
      <w:r>
        <w:rPr>
          <w:rFonts w:hint="eastAsia"/>
        </w:rPr>
        <w:t>表面质量</w:t>
      </w:r>
    </w:p>
    <w:p w:rsidR="000902A8" w:rsidRDefault="00000000">
      <w:pPr>
        <w:pStyle w:val="a1"/>
        <w:numPr>
          <w:ilvl w:val="2"/>
          <w:numId w:val="3"/>
        </w:numPr>
        <w:spacing w:before="156" w:after="156"/>
        <w:ind w:left="0"/>
        <w:rPr>
          <w:rFonts w:ascii="Times New Roman" w:eastAsia="宋体"/>
        </w:rPr>
      </w:pPr>
      <w:bookmarkStart w:id="39" w:name="_Hlk174627966"/>
      <w:r>
        <w:rPr>
          <w:rFonts w:ascii="Times New Roman" w:eastAsia="宋体" w:hint="eastAsia"/>
        </w:rPr>
        <w:t>连铸坯表面不应有影响使用的翻皮、结疤</w:t>
      </w:r>
      <w:r>
        <w:rPr>
          <w:rFonts w:ascii="Times New Roman" w:eastAsia="宋体" w:hint="eastAsia"/>
        </w:rPr>
        <w:t>,</w:t>
      </w:r>
      <w:r>
        <w:rPr>
          <w:rFonts w:ascii="Times New Roman" w:eastAsia="宋体" w:hint="eastAsia"/>
        </w:rPr>
        <w:t>夹杂、裂口和龟裂及宽度大于</w:t>
      </w:r>
      <w:r>
        <w:rPr>
          <w:rFonts w:ascii="Times New Roman" w:eastAsia="宋体" w:hint="eastAsia"/>
        </w:rPr>
        <w:t xml:space="preserve">1mm </w:t>
      </w:r>
      <w:r>
        <w:rPr>
          <w:rFonts w:ascii="Times New Roman" w:eastAsia="宋体" w:hint="eastAsia"/>
        </w:rPr>
        <w:t>的裂纹，不应有高度大于</w:t>
      </w:r>
      <w:r>
        <w:rPr>
          <w:rFonts w:ascii="Times New Roman" w:eastAsia="宋体" w:hint="eastAsia"/>
        </w:rPr>
        <w:t>5 mm</w:t>
      </w:r>
      <w:r>
        <w:rPr>
          <w:rFonts w:ascii="Times New Roman" w:eastAsia="宋体" w:hint="eastAsia"/>
        </w:rPr>
        <w:t>的火焰切割瘤。连铸坯横截面不应有影响使用的缩孔、皮下气泡、裂纹。</w:t>
      </w:r>
    </w:p>
    <w:p w:rsidR="000902A8" w:rsidRDefault="00000000">
      <w:pPr>
        <w:pStyle w:val="a1"/>
        <w:numPr>
          <w:ilvl w:val="2"/>
          <w:numId w:val="3"/>
        </w:numPr>
        <w:spacing w:before="156" w:after="156"/>
        <w:ind w:left="0"/>
        <w:rPr>
          <w:rFonts w:ascii="Times New Roman" w:eastAsia="宋体"/>
        </w:rPr>
      </w:pPr>
      <w:r>
        <w:rPr>
          <w:rFonts w:ascii="Times New Roman" w:eastAsia="宋体" w:hint="eastAsia"/>
        </w:rPr>
        <w:t>热轧钢棒表面不应有耳子、折迭、结疤、裂口，允许有宽度和深度不大于</w:t>
      </w:r>
      <w:r>
        <w:rPr>
          <w:rFonts w:ascii="Times New Roman" w:eastAsia="宋体" w:hint="eastAsia"/>
        </w:rPr>
        <w:t xml:space="preserve">1mm </w:t>
      </w:r>
      <w:r>
        <w:rPr>
          <w:rFonts w:ascii="Times New Roman" w:eastAsia="宋体" w:hint="eastAsia"/>
        </w:rPr>
        <w:t>的划痕和细小裂纹。</w:t>
      </w:r>
    </w:p>
    <w:p w:rsidR="000902A8" w:rsidRDefault="00000000">
      <w:pPr>
        <w:pStyle w:val="a1"/>
        <w:numPr>
          <w:ilvl w:val="2"/>
          <w:numId w:val="3"/>
        </w:numPr>
        <w:spacing w:before="156" w:after="156"/>
        <w:ind w:left="0"/>
        <w:rPr>
          <w:rFonts w:ascii="Times New Roman" w:eastAsia="宋体"/>
        </w:rPr>
      </w:pPr>
      <w:r>
        <w:rPr>
          <w:rFonts w:ascii="Times New Roman" w:eastAsia="宋体" w:hint="eastAsia"/>
        </w:rPr>
        <w:t>热轧盘条表面不应有耳子、折迭、结疤、裂口，允许有宽度和深度不大于</w:t>
      </w:r>
      <w:r>
        <w:rPr>
          <w:rFonts w:ascii="Times New Roman" w:eastAsia="宋体" w:hint="eastAsia"/>
        </w:rPr>
        <w:t>0.5 mm</w:t>
      </w:r>
      <w:r>
        <w:rPr>
          <w:rFonts w:ascii="Times New Roman" w:eastAsia="宋体" w:hint="eastAsia"/>
        </w:rPr>
        <w:t>的划痕和细小裂纹。粉末冶金用热轧盘条的表面不应有影响冷拔的缺陷。</w:t>
      </w:r>
    </w:p>
    <w:p w:rsidR="000902A8" w:rsidRDefault="00000000">
      <w:pPr>
        <w:pStyle w:val="a1"/>
        <w:numPr>
          <w:ilvl w:val="2"/>
          <w:numId w:val="3"/>
        </w:numPr>
        <w:spacing w:before="156" w:after="156"/>
        <w:ind w:left="0"/>
        <w:rPr>
          <w:rFonts w:ascii="Times New Roman" w:eastAsia="宋体"/>
        </w:rPr>
      </w:pPr>
      <w:bookmarkStart w:id="40" w:name="_Hlk178239425"/>
      <w:r>
        <w:rPr>
          <w:rFonts w:ascii="Times New Roman" w:eastAsia="宋体" w:hint="eastAsia"/>
        </w:rPr>
        <w:t>表面应清洁，不应有红锈和油污。</w:t>
      </w:r>
      <w:bookmarkEnd w:id="40"/>
      <w:r>
        <w:rPr>
          <w:rFonts w:ascii="Times New Roman" w:eastAsia="宋体" w:hint="eastAsia"/>
        </w:rPr>
        <w:t xml:space="preserve"> </w:t>
      </w:r>
    </w:p>
    <w:p w:rsidR="000902A8" w:rsidRDefault="00000000">
      <w:pPr>
        <w:pStyle w:val="a"/>
        <w:spacing w:before="312" w:after="312"/>
      </w:pPr>
      <w:bookmarkStart w:id="41" w:name="_Toc31677"/>
      <w:bookmarkEnd w:id="39"/>
      <w:r>
        <w:rPr>
          <w:rFonts w:hint="eastAsia"/>
        </w:rPr>
        <w:lastRenderedPageBreak/>
        <w:t>试验方法</w:t>
      </w:r>
      <w:bookmarkEnd w:id="41"/>
    </w:p>
    <w:p w:rsidR="000902A8" w:rsidRDefault="00000000">
      <w:pPr>
        <w:pStyle w:val="a0"/>
        <w:spacing w:before="156" w:after="156"/>
        <w:ind w:left="0"/>
        <w:rPr>
          <w:rFonts w:ascii="Times New Roman" w:eastAsia="宋体"/>
        </w:rPr>
      </w:pPr>
      <w:r>
        <w:rPr>
          <w:rFonts w:ascii="Times New Roman" w:eastAsia="宋体"/>
        </w:rPr>
        <w:t>化学成分试验方法应按</w:t>
      </w:r>
      <w:r>
        <w:rPr>
          <w:rFonts w:ascii="Times New Roman" w:eastAsia="宋体"/>
        </w:rPr>
        <w:t xml:space="preserve">GB/T </w:t>
      </w:r>
      <w:r>
        <w:rPr>
          <w:rFonts w:ascii="Times New Roman" w:eastAsia="宋体" w:hint="eastAsia"/>
        </w:rPr>
        <w:t>4336</w:t>
      </w:r>
      <w:r>
        <w:rPr>
          <w:rFonts w:ascii="Times New Roman" w:eastAsia="宋体"/>
        </w:rPr>
        <w:t>、</w:t>
      </w:r>
      <w:r>
        <w:rPr>
          <w:rFonts w:ascii="Times New Roman" w:eastAsia="宋体"/>
        </w:rPr>
        <w:t>GB/T 20123</w:t>
      </w:r>
      <w:r>
        <w:rPr>
          <w:rFonts w:ascii="Times New Roman" w:eastAsia="宋体"/>
        </w:rPr>
        <w:t>、</w:t>
      </w:r>
      <w:r>
        <w:rPr>
          <w:rFonts w:ascii="Times New Roman" w:eastAsia="宋体"/>
        </w:rPr>
        <w:t xml:space="preserve">GB/T </w:t>
      </w:r>
      <w:r>
        <w:rPr>
          <w:rFonts w:ascii="Times New Roman" w:eastAsia="宋体" w:hint="eastAsia"/>
        </w:rPr>
        <w:t>20124</w:t>
      </w:r>
      <w:r>
        <w:rPr>
          <w:rFonts w:ascii="Times New Roman" w:eastAsia="宋体"/>
        </w:rPr>
        <w:t>或通用的方法进行，仲裁时应按</w:t>
      </w:r>
      <w:r>
        <w:rPr>
          <w:rFonts w:ascii="Times New Roman" w:eastAsia="宋体"/>
        </w:rPr>
        <w:t>GB/T 223.</w:t>
      </w:r>
      <w:r>
        <w:rPr>
          <w:rFonts w:ascii="Times New Roman" w:eastAsia="宋体" w:hint="eastAsia"/>
        </w:rPr>
        <w:t>5</w:t>
      </w:r>
      <w:r>
        <w:rPr>
          <w:rFonts w:ascii="Times New Roman" w:eastAsia="宋体" w:hint="eastAsia"/>
        </w:rPr>
        <w:t>、</w:t>
      </w:r>
      <w:r>
        <w:rPr>
          <w:rFonts w:ascii="Times New Roman" w:eastAsia="宋体"/>
        </w:rPr>
        <w:t>GB/T 223.9</w:t>
      </w:r>
      <w:r>
        <w:rPr>
          <w:rFonts w:ascii="Times New Roman" w:eastAsia="宋体" w:hint="eastAsia"/>
        </w:rPr>
        <w:t>、</w:t>
      </w:r>
      <w:r>
        <w:rPr>
          <w:rFonts w:ascii="Times New Roman" w:eastAsia="宋体"/>
        </w:rPr>
        <w:t>GB/T 223.1</w:t>
      </w:r>
      <w:r>
        <w:rPr>
          <w:rFonts w:ascii="Times New Roman" w:eastAsia="宋体" w:hint="eastAsia"/>
        </w:rPr>
        <w:t>2</w:t>
      </w:r>
      <w:r>
        <w:rPr>
          <w:rFonts w:ascii="Times New Roman" w:eastAsia="宋体" w:hint="eastAsia"/>
        </w:rPr>
        <w:t>、</w:t>
      </w:r>
      <w:r>
        <w:rPr>
          <w:rFonts w:ascii="Times New Roman" w:eastAsia="宋体"/>
        </w:rPr>
        <w:t>GB/T 223.19</w:t>
      </w:r>
      <w:r>
        <w:rPr>
          <w:rFonts w:ascii="Times New Roman" w:eastAsia="宋体" w:hint="eastAsia"/>
        </w:rPr>
        <w:t>、</w:t>
      </w:r>
      <w:r>
        <w:rPr>
          <w:rFonts w:ascii="Times New Roman" w:eastAsia="宋体"/>
        </w:rPr>
        <w:t>GB/T 223.2</w:t>
      </w:r>
      <w:r>
        <w:rPr>
          <w:rFonts w:ascii="Times New Roman" w:eastAsia="宋体" w:hint="eastAsia"/>
        </w:rPr>
        <w:t>3</w:t>
      </w:r>
      <w:r>
        <w:rPr>
          <w:rFonts w:ascii="Times New Roman" w:eastAsia="宋体" w:hint="eastAsia"/>
        </w:rPr>
        <w:t>、</w:t>
      </w:r>
      <w:r>
        <w:rPr>
          <w:rFonts w:ascii="Times New Roman" w:eastAsia="宋体"/>
        </w:rPr>
        <w:t>GB/T 223.2</w:t>
      </w:r>
      <w:r>
        <w:rPr>
          <w:rFonts w:ascii="Times New Roman" w:eastAsia="宋体" w:hint="eastAsia"/>
        </w:rPr>
        <w:t>6</w:t>
      </w:r>
      <w:r>
        <w:rPr>
          <w:rFonts w:ascii="Times New Roman" w:eastAsia="宋体" w:hint="eastAsia"/>
        </w:rPr>
        <w:t>、</w:t>
      </w:r>
      <w:r>
        <w:rPr>
          <w:rFonts w:ascii="Times New Roman" w:eastAsia="宋体"/>
        </w:rPr>
        <w:t>GB/T 223.2</w:t>
      </w:r>
      <w:r>
        <w:rPr>
          <w:rFonts w:ascii="Times New Roman" w:eastAsia="宋体" w:hint="eastAsia"/>
        </w:rPr>
        <w:t>9</w:t>
      </w:r>
      <w:r>
        <w:rPr>
          <w:rFonts w:ascii="Times New Roman" w:eastAsia="宋体" w:hint="eastAsia"/>
        </w:rPr>
        <w:t>、</w:t>
      </w:r>
      <w:r>
        <w:rPr>
          <w:rFonts w:ascii="Times New Roman" w:eastAsia="宋体"/>
        </w:rPr>
        <w:t>GB/T 223.3</w:t>
      </w:r>
      <w:r>
        <w:rPr>
          <w:rFonts w:ascii="Times New Roman" w:eastAsia="宋体" w:hint="eastAsia"/>
        </w:rPr>
        <w:t>1</w:t>
      </w:r>
      <w:r>
        <w:rPr>
          <w:rFonts w:ascii="Times New Roman" w:eastAsia="宋体" w:hint="eastAsia"/>
        </w:rPr>
        <w:t>、</w:t>
      </w:r>
      <w:r>
        <w:rPr>
          <w:rFonts w:ascii="Times New Roman" w:eastAsia="宋体"/>
        </w:rPr>
        <w:t>GB/T 223.3</w:t>
      </w:r>
      <w:r>
        <w:rPr>
          <w:rFonts w:ascii="Times New Roman" w:eastAsia="宋体" w:hint="eastAsia"/>
        </w:rPr>
        <w:t>7</w:t>
      </w:r>
      <w:r>
        <w:rPr>
          <w:rFonts w:ascii="Times New Roman" w:eastAsia="宋体" w:hint="eastAsia"/>
        </w:rPr>
        <w:t>、</w:t>
      </w:r>
      <w:r>
        <w:rPr>
          <w:rFonts w:ascii="Times New Roman" w:eastAsia="宋体"/>
        </w:rPr>
        <w:t>GB/T 223.4</w:t>
      </w:r>
      <w:r>
        <w:rPr>
          <w:rFonts w:ascii="Times New Roman" w:eastAsia="宋体" w:hint="eastAsia"/>
        </w:rPr>
        <w:t>7</w:t>
      </w:r>
      <w:r>
        <w:rPr>
          <w:rFonts w:ascii="Times New Roman" w:eastAsia="宋体" w:hint="eastAsia"/>
        </w:rPr>
        <w:t>、</w:t>
      </w:r>
      <w:r>
        <w:rPr>
          <w:rFonts w:ascii="Times New Roman" w:eastAsia="宋体"/>
        </w:rPr>
        <w:t>GB/T 223.4</w:t>
      </w:r>
      <w:r>
        <w:rPr>
          <w:rFonts w:ascii="Times New Roman" w:eastAsia="宋体" w:hint="eastAsia"/>
        </w:rPr>
        <w:t>8</w:t>
      </w:r>
      <w:r>
        <w:rPr>
          <w:rFonts w:ascii="Times New Roman" w:eastAsia="宋体" w:hint="eastAsia"/>
        </w:rPr>
        <w:t>、</w:t>
      </w:r>
      <w:r>
        <w:rPr>
          <w:rFonts w:ascii="Times New Roman" w:eastAsia="宋体"/>
        </w:rPr>
        <w:t>GB/T 223.</w:t>
      </w:r>
      <w:r>
        <w:rPr>
          <w:rFonts w:ascii="Times New Roman" w:eastAsia="宋体" w:hint="eastAsia"/>
        </w:rPr>
        <w:t>50</w:t>
      </w:r>
      <w:r>
        <w:rPr>
          <w:rFonts w:ascii="Times New Roman" w:eastAsia="宋体" w:hint="eastAsia"/>
        </w:rPr>
        <w:t>、</w:t>
      </w:r>
      <w:r>
        <w:rPr>
          <w:rFonts w:ascii="Times New Roman" w:eastAsia="宋体"/>
        </w:rPr>
        <w:t>GB/T 223.</w:t>
      </w:r>
      <w:r>
        <w:rPr>
          <w:rFonts w:ascii="Times New Roman" w:eastAsia="宋体" w:hint="eastAsia"/>
        </w:rPr>
        <w:t>51</w:t>
      </w:r>
      <w:r>
        <w:rPr>
          <w:rFonts w:ascii="Times New Roman" w:eastAsia="宋体" w:hint="eastAsia"/>
        </w:rPr>
        <w:t>、</w:t>
      </w:r>
      <w:r>
        <w:rPr>
          <w:rFonts w:ascii="Times New Roman" w:eastAsia="宋体"/>
        </w:rPr>
        <w:t>GB/T 223.</w:t>
      </w:r>
      <w:r>
        <w:rPr>
          <w:rFonts w:ascii="Times New Roman" w:eastAsia="宋体" w:hint="eastAsia"/>
        </w:rPr>
        <w:t>53</w:t>
      </w:r>
      <w:r>
        <w:rPr>
          <w:rFonts w:ascii="Times New Roman" w:eastAsia="宋体" w:hint="eastAsia"/>
        </w:rPr>
        <w:t>、</w:t>
      </w:r>
      <w:r>
        <w:rPr>
          <w:rFonts w:ascii="Times New Roman" w:eastAsia="宋体"/>
        </w:rPr>
        <w:t>GB/T 223.</w:t>
      </w:r>
      <w:r>
        <w:rPr>
          <w:rFonts w:ascii="Times New Roman" w:eastAsia="宋体" w:hint="eastAsia"/>
        </w:rPr>
        <w:t>54</w:t>
      </w:r>
      <w:r>
        <w:rPr>
          <w:rFonts w:ascii="Times New Roman" w:eastAsia="宋体" w:hint="eastAsia"/>
        </w:rPr>
        <w:t>、</w:t>
      </w:r>
      <w:r>
        <w:rPr>
          <w:rFonts w:ascii="Times New Roman" w:eastAsia="宋体"/>
        </w:rPr>
        <w:t>GB/T 223.</w:t>
      </w:r>
      <w:r>
        <w:rPr>
          <w:rFonts w:ascii="Times New Roman" w:eastAsia="宋体" w:hint="eastAsia"/>
        </w:rPr>
        <w:t>59</w:t>
      </w:r>
      <w:r>
        <w:rPr>
          <w:rFonts w:ascii="Times New Roman" w:eastAsia="宋体" w:hint="eastAsia"/>
        </w:rPr>
        <w:t>、</w:t>
      </w:r>
      <w:r>
        <w:rPr>
          <w:rFonts w:ascii="Times New Roman" w:eastAsia="宋体"/>
        </w:rPr>
        <w:t>GB/T 223.62</w:t>
      </w:r>
      <w:r>
        <w:rPr>
          <w:rFonts w:ascii="Times New Roman" w:eastAsia="宋体" w:hint="eastAsia"/>
        </w:rPr>
        <w:t>、</w:t>
      </w:r>
      <w:r>
        <w:rPr>
          <w:rFonts w:ascii="Times New Roman" w:eastAsia="宋体"/>
        </w:rPr>
        <w:t>GB/T 223.63</w:t>
      </w:r>
      <w:r>
        <w:rPr>
          <w:rFonts w:ascii="Times New Roman" w:eastAsia="宋体" w:hint="eastAsia"/>
        </w:rPr>
        <w:t>、</w:t>
      </w:r>
      <w:r>
        <w:rPr>
          <w:rFonts w:ascii="Times New Roman" w:eastAsia="宋体"/>
        </w:rPr>
        <w:t>GB/T 223.6</w:t>
      </w:r>
      <w:r>
        <w:rPr>
          <w:rFonts w:ascii="Times New Roman" w:eastAsia="宋体" w:hint="eastAsia"/>
        </w:rPr>
        <w:t>4</w:t>
      </w:r>
      <w:r>
        <w:rPr>
          <w:rFonts w:ascii="Times New Roman" w:eastAsia="宋体" w:hint="eastAsia"/>
        </w:rPr>
        <w:t>、</w:t>
      </w:r>
      <w:r>
        <w:rPr>
          <w:rFonts w:ascii="Times New Roman" w:eastAsia="宋体"/>
        </w:rPr>
        <w:t>GB/T 223.</w:t>
      </w:r>
      <w:r>
        <w:rPr>
          <w:rFonts w:ascii="Times New Roman" w:eastAsia="宋体" w:hint="eastAsia"/>
        </w:rPr>
        <w:t>8</w:t>
      </w:r>
      <w:r>
        <w:rPr>
          <w:rFonts w:ascii="Times New Roman" w:eastAsia="宋体"/>
        </w:rPr>
        <w:t>0</w:t>
      </w:r>
      <w:r>
        <w:rPr>
          <w:rFonts w:ascii="Times New Roman" w:eastAsia="宋体" w:hint="eastAsia"/>
        </w:rPr>
        <w:t>、</w:t>
      </w:r>
      <w:r>
        <w:rPr>
          <w:rFonts w:ascii="Times New Roman" w:eastAsia="宋体"/>
        </w:rPr>
        <w:t>GB/T 223.</w:t>
      </w:r>
      <w:r>
        <w:rPr>
          <w:rFonts w:ascii="Times New Roman" w:eastAsia="宋体" w:hint="eastAsia"/>
        </w:rPr>
        <w:t>81</w:t>
      </w:r>
      <w:r>
        <w:rPr>
          <w:rFonts w:ascii="Times New Roman" w:eastAsia="宋体" w:hint="eastAsia"/>
        </w:rPr>
        <w:t>、</w:t>
      </w:r>
      <w:r>
        <w:rPr>
          <w:rFonts w:ascii="Times New Roman" w:eastAsia="宋体"/>
        </w:rPr>
        <w:t>GB/T 223.</w:t>
      </w:r>
      <w:r>
        <w:rPr>
          <w:rFonts w:ascii="Times New Roman" w:eastAsia="宋体" w:hint="eastAsia"/>
        </w:rPr>
        <w:t>82</w:t>
      </w:r>
      <w:r>
        <w:rPr>
          <w:rFonts w:ascii="Times New Roman" w:eastAsia="宋体" w:hint="eastAsia"/>
        </w:rPr>
        <w:t>、</w:t>
      </w:r>
      <w:r>
        <w:rPr>
          <w:rFonts w:ascii="Times New Roman" w:eastAsia="宋体" w:hint="eastAsia"/>
        </w:rPr>
        <w:t>G</w:t>
      </w:r>
      <w:r>
        <w:rPr>
          <w:rFonts w:ascii="Times New Roman" w:eastAsia="宋体"/>
        </w:rPr>
        <w:t>B/T 223.8</w:t>
      </w:r>
      <w:r>
        <w:rPr>
          <w:rFonts w:ascii="Times New Roman" w:eastAsia="宋体" w:hint="eastAsia"/>
        </w:rPr>
        <w:t>4</w:t>
      </w:r>
      <w:r>
        <w:rPr>
          <w:rFonts w:ascii="Times New Roman" w:eastAsia="宋体" w:hint="eastAsia"/>
        </w:rPr>
        <w:t>、</w:t>
      </w:r>
      <w:r>
        <w:rPr>
          <w:rFonts w:ascii="Times New Roman" w:eastAsia="宋体"/>
        </w:rPr>
        <w:t>GB/T 223.</w:t>
      </w:r>
      <w:r>
        <w:rPr>
          <w:rFonts w:ascii="Times New Roman" w:eastAsia="宋体" w:hint="eastAsia"/>
        </w:rPr>
        <w:t>85</w:t>
      </w:r>
      <w:r>
        <w:rPr>
          <w:rFonts w:ascii="Times New Roman" w:eastAsia="宋体" w:hint="eastAsia"/>
        </w:rPr>
        <w:t>、</w:t>
      </w:r>
      <w:r>
        <w:rPr>
          <w:rFonts w:ascii="Times New Roman" w:eastAsia="宋体" w:hint="eastAsia"/>
        </w:rPr>
        <w:t>G</w:t>
      </w:r>
      <w:r>
        <w:rPr>
          <w:rFonts w:ascii="Times New Roman" w:eastAsia="宋体"/>
        </w:rPr>
        <w:t>B/T 223.8</w:t>
      </w:r>
      <w:r>
        <w:rPr>
          <w:rFonts w:ascii="Times New Roman" w:eastAsia="宋体" w:hint="eastAsia"/>
        </w:rPr>
        <w:t>6</w:t>
      </w:r>
      <w:r>
        <w:rPr>
          <w:rFonts w:ascii="Times New Roman" w:eastAsia="宋体" w:hint="eastAsia"/>
        </w:rPr>
        <w:t>、</w:t>
      </w:r>
      <w:r>
        <w:rPr>
          <w:rFonts w:ascii="Times New Roman" w:eastAsia="宋体" w:hint="eastAsia"/>
        </w:rPr>
        <w:t>GB/T 11261</w:t>
      </w:r>
      <w:r>
        <w:rPr>
          <w:rFonts w:ascii="Times New Roman" w:eastAsia="宋体" w:hint="eastAsia"/>
        </w:rPr>
        <w:t>、</w:t>
      </w:r>
      <w:r>
        <w:rPr>
          <w:rFonts w:ascii="Times New Roman" w:eastAsia="宋体" w:hint="eastAsia"/>
        </w:rPr>
        <w:t>GB/T 20125</w:t>
      </w:r>
      <w:r>
        <w:rPr>
          <w:rFonts w:ascii="Times New Roman" w:eastAsia="宋体"/>
        </w:rPr>
        <w:t>的规定进行。</w:t>
      </w:r>
    </w:p>
    <w:p w:rsidR="000902A8" w:rsidRDefault="00000000">
      <w:pPr>
        <w:pStyle w:val="a0"/>
        <w:spacing w:before="156" w:after="156"/>
        <w:ind w:left="0"/>
        <w:rPr>
          <w:rFonts w:ascii="Times New Roman" w:eastAsia="宋体"/>
        </w:rPr>
      </w:pPr>
      <w:bookmarkStart w:id="42" w:name="_Hlk140736780"/>
      <w:r>
        <w:rPr>
          <w:rFonts w:asciiTheme="minorEastAsia" w:eastAsiaTheme="minorEastAsia" w:hAnsiTheme="minorEastAsia" w:hint="eastAsia"/>
          <w:szCs w:val="22"/>
        </w:rPr>
        <w:t>高纯原料纯铁</w:t>
      </w:r>
      <w:r>
        <w:rPr>
          <w:rFonts w:ascii="Times New Roman" w:eastAsia="宋体" w:hint="eastAsia"/>
        </w:rPr>
        <w:t>的检验项目、取样方法和试验方法符合表</w:t>
      </w:r>
      <w:r>
        <w:rPr>
          <w:rFonts w:ascii="Times New Roman" w:eastAsia="宋体"/>
        </w:rPr>
        <w:t>9</w:t>
      </w:r>
      <w:r>
        <w:rPr>
          <w:rFonts w:ascii="Times New Roman" w:eastAsia="宋体" w:hint="eastAsia"/>
        </w:rPr>
        <w:t>的规定</w:t>
      </w:r>
      <w:bookmarkEnd w:id="42"/>
      <w:r>
        <w:rPr>
          <w:rFonts w:ascii="Times New Roman" w:eastAsia="宋体" w:hint="eastAsia"/>
        </w:rPr>
        <w:t>。</w:t>
      </w:r>
    </w:p>
    <w:p w:rsidR="000902A8" w:rsidRDefault="00000000">
      <w:pPr>
        <w:pStyle w:val="affffffb"/>
        <w:numPr>
          <w:ilvl w:val="0"/>
          <w:numId w:val="15"/>
        </w:numPr>
        <w:tabs>
          <w:tab w:val="clear" w:pos="360"/>
        </w:tabs>
        <w:spacing w:before="156" w:after="156" w:line="320" w:lineRule="exact"/>
        <w:rPr>
          <w:rFonts w:ascii="Times New Roman"/>
        </w:rPr>
      </w:pPr>
      <w:bookmarkStart w:id="43" w:name="_Hlk140737238"/>
      <w:r>
        <w:rPr>
          <w:rFonts w:ascii="Times New Roman" w:hint="eastAsia"/>
        </w:rPr>
        <w:t>检验项目、取样数量、取样方法及试验方法</w:t>
      </w:r>
    </w:p>
    <w:tbl>
      <w:tblPr>
        <w:tblW w:w="94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77"/>
        <w:gridCol w:w="1823"/>
        <w:gridCol w:w="3260"/>
        <w:gridCol w:w="2268"/>
        <w:gridCol w:w="1569"/>
      </w:tblGrid>
      <w:tr w:rsidR="000902A8">
        <w:trPr>
          <w:trHeight w:val="644"/>
          <w:jc w:val="center"/>
        </w:trPr>
        <w:tc>
          <w:tcPr>
            <w:tcW w:w="577" w:type="dxa"/>
            <w:tcBorders>
              <w:top w:val="single" w:sz="8" w:space="0" w:color="auto"/>
            </w:tcBorders>
            <w:shd w:val="clear" w:color="auto" w:fill="auto"/>
            <w:vAlign w:val="center"/>
          </w:tcPr>
          <w:p w:rsidR="000902A8" w:rsidRDefault="00000000">
            <w:pPr>
              <w:jc w:val="center"/>
              <w:rPr>
                <w:color w:val="000000"/>
                <w:sz w:val="18"/>
                <w:szCs w:val="18"/>
              </w:rPr>
            </w:pPr>
            <w:bookmarkStart w:id="44" w:name="_Hlk144396277"/>
            <w:r>
              <w:rPr>
                <w:color w:val="000000"/>
                <w:sz w:val="18"/>
                <w:szCs w:val="18"/>
              </w:rPr>
              <w:t>序号</w:t>
            </w:r>
          </w:p>
        </w:tc>
        <w:tc>
          <w:tcPr>
            <w:tcW w:w="1823" w:type="dxa"/>
            <w:tcBorders>
              <w:top w:val="single" w:sz="8" w:space="0" w:color="auto"/>
            </w:tcBorders>
            <w:shd w:val="clear" w:color="auto" w:fill="auto"/>
            <w:vAlign w:val="center"/>
          </w:tcPr>
          <w:p w:rsidR="000902A8" w:rsidRDefault="00000000">
            <w:pPr>
              <w:jc w:val="center"/>
              <w:rPr>
                <w:color w:val="000000"/>
                <w:sz w:val="18"/>
                <w:szCs w:val="18"/>
              </w:rPr>
            </w:pPr>
            <w:r>
              <w:rPr>
                <w:color w:val="000000"/>
                <w:sz w:val="18"/>
                <w:szCs w:val="18"/>
              </w:rPr>
              <w:t>检验项目</w:t>
            </w:r>
          </w:p>
        </w:tc>
        <w:tc>
          <w:tcPr>
            <w:tcW w:w="3260" w:type="dxa"/>
            <w:tcBorders>
              <w:top w:val="single" w:sz="8" w:space="0" w:color="auto"/>
            </w:tcBorders>
            <w:vAlign w:val="center"/>
          </w:tcPr>
          <w:p w:rsidR="000902A8" w:rsidRDefault="00000000">
            <w:pPr>
              <w:jc w:val="center"/>
              <w:rPr>
                <w:color w:val="000000"/>
                <w:sz w:val="18"/>
                <w:szCs w:val="18"/>
              </w:rPr>
            </w:pPr>
            <w:r>
              <w:rPr>
                <w:color w:val="000000"/>
                <w:sz w:val="18"/>
                <w:szCs w:val="18"/>
              </w:rPr>
              <w:t>取样数量</w:t>
            </w:r>
          </w:p>
        </w:tc>
        <w:tc>
          <w:tcPr>
            <w:tcW w:w="2268" w:type="dxa"/>
            <w:tcBorders>
              <w:top w:val="single" w:sz="8" w:space="0" w:color="auto"/>
            </w:tcBorders>
            <w:shd w:val="clear" w:color="auto" w:fill="auto"/>
            <w:vAlign w:val="center"/>
          </w:tcPr>
          <w:p w:rsidR="000902A8" w:rsidRDefault="00000000">
            <w:pPr>
              <w:jc w:val="center"/>
              <w:rPr>
                <w:color w:val="000000"/>
                <w:sz w:val="18"/>
                <w:szCs w:val="18"/>
              </w:rPr>
            </w:pPr>
            <w:r>
              <w:rPr>
                <w:color w:val="000000"/>
                <w:sz w:val="18"/>
                <w:szCs w:val="18"/>
              </w:rPr>
              <w:t>取样部位及取样方法</w:t>
            </w:r>
          </w:p>
        </w:tc>
        <w:tc>
          <w:tcPr>
            <w:tcW w:w="1569" w:type="dxa"/>
            <w:tcBorders>
              <w:top w:val="single" w:sz="8" w:space="0" w:color="auto"/>
            </w:tcBorders>
            <w:shd w:val="clear" w:color="auto" w:fill="auto"/>
            <w:vAlign w:val="center"/>
          </w:tcPr>
          <w:p w:rsidR="000902A8" w:rsidRDefault="00000000">
            <w:pPr>
              <w:jc w:val="center"/>
              <w:rPr>
                <w:color w:val="000000"/>
                <w:sz w:val="18"/>
                <w:szCs w:val="18"/>
              </w:rPr>
            </w:pPr>
            <w:r>
              <w:rPr>
                <w:color w:val="000000"/>
                <w:sz w:val="18"/>
                <w:szCs w:val="18"/>
              </w:rPr>
              <w:t>试验方法</w:t>
            </w:r>
          </w:p>
        </w:tc>
      </w:tr>
      <w:tr w:rsidR="000902A8">
        <w:trPr>
          <w:trHeight w:val="258"/>
          <w:jc w:val="center"/>
        </w:trPr>
        <w:tc>
          <w:tcPr>
            <w:tcW w:w="577" w:type="dxa"/>
            <w:tcBorders>
              <w:top w:val="single" w:sz="8" w:space="0" w:color="auto"/>
            </w:tcBorders>
            <w:shd w:val="clear" w:color="auto" w:fill="auto"/>
            <w:vAlign w:val="center"/>
          </w:tcPr>
          <w:p w:rsidR="000902A8" w:rsidRDefault="00000000">
            <w:pPr>
              <w:jc w:val="center"/>
              <w:rPr>
                <w:color w:val="000000"/>
                <w:sz w:val="18"/>
                <w:szCs w:val="18"/>
              </w:rPr>
            </w:pPr>
            <w:r>
              <w:rPr>
                <w:color w:val="000000"/>
                <w:sz w:val="18"/>
                <w:szCs w:val="18"/>
              </w:rPr>
              <w:t>1</w:t>
            </w:r>
          </w:p>
        </w:tc>
        <w:tc>
          <w:tcPr>
            <w:tcW w:w="1823" w:type="dxa"/>
            <w:tcBorders>
              <w:top w:val="single" w:sz="8" w:space="0" w:color="auto"/>
            </w:tcBorders>
            <w:shd w:val="clear" w:color="auto" w:fill="auto"/>
            <w:vAlign w:val="center"/>
          </w:tcPr>
          <w:p w:rsidR="000902A8" w:rsidRDefault="00000000">
            <w:pPr>
              <w:jc w:val="center"/>
              <w:rPr>
                <w:color w:val="000000"/>
                <w:sz w:val="18"/>
                <w:szCs w:val="18"/>
              </w:rPr>
            </w:pPr>
            <w:r>
              <w:rPr>
                <w:color w:val="000000"/>
                <w:sz w:val="18"/>
                <w:szCs w:val="18"/>
              </w:rPr>
              <w:t>化学成分</w:t>
            </w:r>
          </w:p>
        </w:tc>
        <w:tc>
          <w:tcPr>
            <w:tcW w:w="3260" w:type="dxa"/>
            <w:tcBorders>
              <w:top w:val="single" w:sz="8" w:space="0" w:color="auto"/>
            </w:tcBorders>
          </w:tcPr>
          <w:p w:rsidR="000902A8" w:rsidRDefault="00000000">
            <w:pPr>
              <w:jc w:val="center"/>
              <w:rPr>
                <w:color w:val="000000"/>
                <w:sz w:val="18"/>
                <w:szCs w:val="18"/>
              </w:rPr>
            </w:pPr>
            <w:r>
              <w:rPr>
                <w:color w:val="000000"/>
                <w:sz w:val="18"/>
                <w:szCs w:val="18"/>
              </w:rPr>
              <w:t>1</w:t>
            </w:r>
            <w:r>
              <w:rPr>
                <w:color w:val="000000"/>
                <w:sz w:val="18"/>
                <w:szCs w:val="18"/>
              </w:rPr>
              <w:t>个</w:t>
            </w:r>
            <w:r>
              <w:rPr>
                <w:color w:val="000000"/>
                <w:sz w:val="18"/>
                <w:szCs w:val="18"/>
              </w:rPr>
              <w:t>/</w:t>
            </w:r>
            <w:r>
              <w:rPr>
                <w:color w:val="000000"/>
                <w:sz w:val="18"/>
                <w:szCs w:val="18"/>
              </w:rPr>
              <w:t>炉</w:t>
            </w:r>
          </w:p>
        </w:tc>
        <w:tc>
          <w:tcPr>
            <w:tcW w:w="2268" w:type="dxa"/>
            <w:vMerge w:val="restart"/>
            <w:tcBorders>
              <w:top w:val="single" w:sz="8" w:space="0" w:color="auto"/>
            </w:tcBorders>
            <w:shd w:val="clear" w:color="auto" w:fill="auto"/>
            <w:vAlign w:val="center"/>
          </w:tcPr>
          <w:p w:rsidR="000902A8" w:rsidRDefault="00000000">
            <w:pPr>
              <w:jc w:val="center"/>
              <w:rPr>
                <w:color w:val="000000"/>
                <w:sz w:val="18"/>
                <w:szCs w:val="18"/>
              </w:rPr>
            </w:pPr>
            <w:r>
              <w:rPr>
                <w:color w:val="000000"/>
                <w:sz w:val="18"/>
                <w:szCs w:val="18"/>
              </w:rPr>
              <w:t>GB/T 20066</w:t>
            </w:r>
          </w:p>
        </w:tc>
        <w:tc>
          <w:tcPr>
            <w:tcW w:w="1569" w:type="dxa"/>
            <w:vMerge w:val="restart"/>
            <w:tcBorders>
              <w:top w:val="single" w:sz="8" w:space="0" w:color="auto"/>
            </w:tcBorders>
            <w:shd w:val="clear" w:color="auto" w:fill="auto"/>
            <w:vAlign w:val="center"/>
          </w:tcPr>
          <w:p w:rsidR="000902A8" w:rsidRDefault="00000000">
            <w:pPr>
              <w:jc w:val="center"/>
              <w:rPr>
                <w:color w:val="000000"/>
                <w:sz w:val="18"/>
                <w:szCs w:val="18"/>
              </w:rPr>
            </w:pPr>
            <w:r>
              <w:rPr>
                <w:rFonts w:hint="eastAsia"/>
                <w:color w:val="000000"/>
                <w:sz w:val="18"/>
                <w:szCs w:val="18"/>
              </w:rPr>
              <w:t>8.1</w:t>
            </w:r>
          </w:p>
        </w:tc>
      </w:tr>
      <w:tr w:rsidR="000902A8">
        <w:trPr>
          <w:trHeight w:val="258"/>
          <w:jc w:val="center"/>
        </w:trPr>
        <w:tc>
          <w:tcPr>
            <w:tcW w:w="577" w:type="dxa"/>
            <w:shd w:val="clear" w:color="auto" w:fill="auto"/>
            <w:vAlign w:val="center"/>
          </w:tcPr>
          <w:p w:rsidR="000902A8" w:rsidRDefault="00000000">
            <w:pPr>
              <w:jc w:val="center"/>
              <w:rPr>
                <w:rFonts w:eastAsiaTheme="majorEastAsia"/>
                <w:strike/>
                <w:color w:val="000000"/>
                <w:sz w:val="18"/>
                <w:szCs w:val="18"/>
              </w:rPr>
            </w:pPr>
            <w:r>
              <w:rPr>
                <w:color w:val="000000"/>
                <w:sz w:val="18"/>
                <w:szCs w:val="18"/>
              </w:rPr>
              <w:t>2</w:t>
            </w:r>
          </w:p>
        </w:tc>
        <w:tc>
          <w:tcPr>
            <w:tcW w:w="1823" w:type="dxa"/>
            <w:shd w:val="clear" w:color="auto" w:fill="auto"/>
            <w:vAlign w:val="center"/>
          </w:tcPr>
          <w:p w:rsidR="000902A8" w:rsidRDefault="00000000">
            <w:pPr>
              <w:jc w:val="center"/>
              <w:rPr>
                <w:color w:val="000000"/>
                <w:sz w:val="18"/>
                <w:szCs w:val="18"/>
              </w:rPr>
            </w:pPr>
            <w:r>
              <w:rPr>
                <w:rFonts w:hint="eastAsia"/>
                <w:sz w:val="18"/>
                <w:szCs w:val="18"/>
              </w:rPr>
              <w:t>气体含量</w:t>
            </w:r>
          </w:p>
        </w:tc>
        <w:tc>
          <w:tcPr>
            <w:tcW w:w="3260" w:type="dxa"/>
            <w:vAlign w:val="center"/>
          </w:tcPr>
          <w:p w:rsidR="000902A8" w:rsidRDefault="00000000">
            <w:pPr>
              <w:jc w:val="center"/>
              <w:rPr>
                <w:color w:val="000000"/>
                <w:sz w:val="18"/>
                <w:szCs w:val="18"/>
              </w:rPr>
            </w:pPr>
            <w:r>
              <w:rPr>
                <w:color w:val="000000"/>
                <w:sz w:val="18"/>
                <w:szCs w:val="18"/>
              </w:rPr>
              <w:t>1</w:t>
            </w:r>
            <w:r>
              <w:rPr>
                <w:color w:val="000000"/>
                <w:sz w:val="18"/>
                <w:szCs w:val="18"/>
              </w:rPr>
              <w:t>个</w:t>
            </w:r>
            <w:r>
              <w:rPr>
                <w:color w:val="000000"/>
                <w:sz w:val="18"/>
                <w:szCs w:val="18"/>
              </w:rPr>
              <w:t>/</w:t>
            </w:r>
            <w:r>
              <w:rPr>
                <w:color w:val="000000"/>
                <w:sz w:val="18"/>
                <w:szCs w:val="18"/>
              </w:rPr>
              <w:t>批</w:t>
            </w:r>
          </w:p>
        </w:tc>
        <w:tc>
          <w:tcPr>
            <w:tcW w:w="2268" w:type="dxa"/>
            <w:vMerge/>
            <w:shd w:val="clear" w:color="auto" w:fill="auto"/>
            <w:vAlign w:val="center"/>
          </w:tcPr>
          <w:p w:rsidR="000902A8" w:rsidRDefault="000902A8">
            <w:pPr>
              <w:jc w:val="center"/>
              <w:rPr>
                <w:color w:val="000000"/>
                <w:sz w:val="18"/>
                <w:szCs w:val="18"/>
              </w:rPr>
            </w:pPr>
          </w:p>
        </w:tc>
        <w:tc>
          <w:tcPr>
            <w:tcW w:w="1569" w:type="dxa"/>
            <w:vMerge/>
            <w:shd w:val="clear" w:color="auto" w:fill="auto"/>
            <w:vAlign w:val="center"/>
          </w:tcPr>
          <w:p w:rsidR="000902A8" w:rsidRDefault="000902A8">
            <w:pPr>
              <w:jc w:val="center"/>
              <w:rPr>
                <w:color w:val="000000"/>
                <w:sz w:val="18"/>
                <w:szCs w:val="18"/>
              </w:rPr>
            </w:pPr>
          </w:p>
        </w:tc>
      </w:tr>
      <w:tr w:rsidR="000902A8">
        <w:trPr>
          <w:trHeight w:val="258"/>
          <w:jc w:val="center"/>
        </w:trPr>
        <w:tc>
          <w:tcPr>
            <w:tcW w:w="577" w:type="dxa"/>
            <w:shd w:val="clear" w:color="auto" w:fill="auto"/>
            <w:vAlign w:val="center"/>
          </w:tcPr>
          <w:p w:rsidR="000902A8" w:rsidRDefault="00000000">
            <w:pPr>
              <w:jc w:val="center"/>
              <w:rPr>
                <w:color w:val="000000"/>
                <w:sz w:val="18"/>
                <w:szCs w:val="18"/>
              </w:rPr>
            </w:pPr>
            <w:r>
              <w:rPr>
                <w:rFonts w:hint="eastAsia"/>
                <w:color w:val="000000"/>
                <w:sz w:val="18"/>
                <w:szCs w:val="18"/>
              </w:rPr>
              <w:t>3</w:t>
            </w:r>
          </w:p>
        </w:tc>
        <w:tc>
          <w:tcPr>
            <w:tcW w:w="1823" w:type="dxa"/>
            <w:shd w:val="clear" w:color="auto" w:fill="auto"/>
            <w:vAlign w:val="center"/>
          </w:tcPr>
          <w:p w:rsidR="000902A8" w:rsidRDefault="00000000">
            <w:pPr>
              <w:jc w:val="center"/>
              <w:rPr>
                <w:color w:val="000000"/>
                <w:sz w:val="18"/>
                <w:szCs w:val="18"/>
              </w:rPr>
            </w:pPr>
            <w:r>
              <w:rPr>
                <w:color w:val="000000"/>
                <w:sz w:val="18"/>
                <w:szCs w:val="18"/>
              </w:rPr>
              <w:t>表面质量</w:t>
            </w:r>
          </w:p>
        </w:tc>
        <w:tc>
          <w:tcPr>
            <w:tcW w:w="3260" w:type="dxa"/>
            <w:vAlign w:val="center"/>
          </w:tcPr>
          <w:p w:rsidR="000902A8" w:rsidRDefault="00000000">
            <w:pPr>
              <w:jc w:val="center"/>
              <w:rPr>
                <w:color w:val="000000" w:themeColor="text1"/>
                <w:sz w:val="18"/>
                <w:szCs w:val="18"/>
              </w:rPr>
            </w:pPr>
            <w:r>
              <w:rPr>
                <w:color w:val="000000" w:themeColor="text1"/>
                <w:sz w:val="18"/>
                <w:szCs w:val="18"/>
              </w:rPr>
              <w:t>逐根</w:t>
            </w:r>
            <w:r>
              <w:rPr>
                <w:rFonts w:hint="eastAsia"/>
                <w:color w:val="000000" w:themeColor="text1"/>
                <w:sz w:val="18"/>
                <w:szCs w:val="18"/>
              </w:rPr>
              <w:t>（</w:t>
            </w:r>
            <w:r>
              <w:rPr>
                <w:color w:val="000000" w:themeColor="text1"/>
                <w:sz w:val="18"/>
                <w:szCs w:val="18"/>
              </w:rPr>
              <w:t>或逐</w:t>
            </w:r>
            <w:r>
              <w:rPr>
                <w:rFonts w:hint="eastAsia"/>
                <w:color w:val="000000" w:themeColor="text1"/>
                <w:sz w:val="18"/>
                <w:szCs w:val="18"/>
              </w:rPr>
              <w:t>块、盘</w:t>
            </w:r>
            <w:r>
              <w:rPr>
                <w:color w:val="000000" w:themeColor="text1"/>
                <w:sz w:val="18"/>
                <w:szCs w:val="18"/>
              </w:rPr>
              <w:t>）</w:t>
            </w:r>
            <w:r>
              <w:rPr>
                <w:rFonts w:hint="eastAsia"/>
                <w:color w:val="000000" w:themeColor="text1"/>
                <w:sz w:val="18"/>
                <w:szCs w:val="18"/>
              </w:rPr>
              <w:t>、片状取</w:t>
            </w:r>
            <w:r>
              <w:rPr>
                <w:rFonts w:hint="eastAsia"/>
                <w:color w:val="000000" w:themeColor="text1"/>
                <w:sz w:val="18"/>
                <w:szCs w:val="18"/>
              </w:rPr>
              <w:t>5%/</w:t>
            </w:r>
            <w:r>
              <w:rPr>
                <w:rFonts w:hint="eastAsia"/>
                <w:color w:val="000000" w:themeColor="text1"/>
                <w:sz w:val="18"/>
                <w:szCs w:val="18"/>
              </w:rPr>
              <w:t>批</w:t>
            </w:r>
          </w:p>
        </w:tc>
        <w:tc>
          <w:tcPr>
            <w:tcW w:w="2268" w:type="dxa"/>
            <w:shd w:val="clear" w:color="auto" w:fill="auto"/>
            <w:vAlign w:val="center"/>
          </w:tcPr>
          <w:p w:rsidR="000902A8" w:rsidRDefault="00000000">
            <w:pPr>
              <w:jc w:val="center"/>
              <w:rPr>
                <w:color w:val="000000"/>
                <w:sz w:val="18"/>
                <w:szCs w:val="18"/>
              </w:rPr>
            </w:pPr>
            <w:r>
              <w:rPr>
                <w:color w:val="000000"/>
                <w:sz w:val="18"/>
                <w:szCs w:val="18"/>
              </w:rPr>
              <w:t>—</w:t>
            </w:r>
          </w:p>
        </w:tc>
        <w:tc>
          <w:tcPr>
            <w:tcW w:w="1569" w:type="dxa"/>
            <w:shd w:val="clear" w:color="auto" w:fill="auto"/>
            <w:vAlign w:val="center"/>
          </w:tcPr>
          <w:p w:rsidR="000902A8" w:rsidRDefault="00000000">
            <w:pPr>
              <w:jc w:val="center"/>
              <w:rPr>
                <w:color w:val="000000"/>
                <w:sz w:val="18"/>
                <w:szCs w:val="18"/>
              </w:rPr>
            </w:pPr>
            <w:r>
              <w:rPr>
                <w:rFonts w:hint="eastAsia"/>
                <w:color w:val="000000"/>
                <w:sz w:val="18"/>
                <w:szCs w:val="18"/>
              </w:rPr>
              <w:t>目视</w:t>
            </w:r>
          </w:p>
        </w:tc>
      </w:tr>
      <w:tr w:rsidR="000902A8">
        <w:trPr>
          <w:trHeight w:val="258"/>
          <w:jc w:val="center"/>
        </w:trPr>
        <w:tc>
          <w:tcPr>
            <w:tcW w:w="577" w:type="dxa"/>
            <w:shd w:val="clear" w:color="auto" w:fill="auto"/>
            <w:vAlign w:val="center"/>
          </w:tcPr>
          <w:p w:rsidR="000902A8" w:rsidRDefault="00000000">
            <w:pPr>
              <w:jc w:val="center"/>
              <w:rPr>
                <w:color w:val="000000"/>
                <w:sz w:val="18"/>
                <w:szCs w:val="18"/>
              </w:rPr>
            </w:pPr>
            <w:r>
              <w:rPr>
                <w:rFonts w:hint="eastAsia"/>
                <w:color w:val="000000"/>
                <w:sz w:val="18"/>
                <w:szCs w:val="18"/>
              </w:rPr>
              <w:t>4</w:t>
            </w:r>
          </w:p>
        </w:tc>
        <w:tc>
          <w:tcPr>
            <w:tcW w:w="1823" w:type="dxa"/>
            <w:shd w:val="clear" w:color="auto" w:fill="auto"/>
            <w:vAlign w:val="center"/>
          </w:tcPr>
          <w:p w:rsidR="000902A8" w:rsidRDefault="00000000">
            <w:pPr>
              <w:jc w:val="center"/>
              <w:rPr>
                <w:color w:val="000000"/>
                <w:sz w:val="18"/>
                <w:szCs w:val="18"/>
              </w:rPr>
            </w:pPr>
            <w:r>
              <w:rPr>
                <w:color w:val="000000"/>
                <w:sz w:val="18"/>
                <w:szCs w:val="18"/>
              </w:rPr>
              <w:t>尺寸外形</w:t>
            </w:r>
          </w:p>
        </w:tc>
        <w:tc>
          <w:tcPr>
            <w:tcW w:w="3260" w:type="dxa"/>
            <w:vAlign w:val="center"/>
          </w:tcPr>
          <w:p w:rsidR="000902A8" w:rsidRDefault="00000000">
            <w:pPr>
              <w:jc w:val="center"/>
              <w:rPr>
                <w:color w:val="000000" w:themeColor="text1"/>
                <w:sz w:val="18"/>
                <w:szCs w:val="18"/>
              </w:rPr>
            </w:pPr>
            <w:r>
              <w:rPr>
                <w:color w:val="000000" w:themeColor="text1"/>
                <w:sz w:val="18"/>
                <w:szCs w:val="18"/>
              </w:rPr>
              <w:t>逐根</w:t>
            </w:r>
            <w:r>
              <w:rPr>
                <w:rFonts w:hint="eastAsia"/>
                <w:color w:val="000000" w:themeColor="text1"/>
                <w:sz w:val="18"/>
                <w:szCs w:val="18"/>
              </w:rPr>
              <w:t>（</w:t>
            </w:r>
            <w:r>
              <w:rPr>
                <w:color w:val="000000" w:themeColor="text1"/>
                <w:sz w:val="18"/>
                <w:szCs w:val="18"/>
              </w:rPr>
              <w:t>或逐</w:t>
            </w:r>
            <w:r>
              <w:rPr>
                <w:rFonts w:hint="eastAsia"/>
                <w:color w:val="000000" w:themeColor="text1"/>
                <w:sz w:val="18"/>
                <w:szCs w:val="18"/>
              </w:rPr>
              <w:t>块、盘</w:t>
            </w:r>
            <w:r>
              <w:rPr>
                <w:color w:val="000000" w:themeColor="text1"/>
                <w:sz w:val="18"/>
                <w:szCs w:val="18"/>
              </w:rPr>
              <w:t>）</w:t>
            </w:r>
            <w:r>
              <w:rPr>
                <w:rFonts w:hint="eastAsia"/>
                <w:color w:val="000000" w:themeColor="text1"/>
                <w:sz w:val="18"/>
                <w:szCs w:val="18"/>
              </w:rPr>
              <w:t>、片状取</w:t>
            </w:r>
            <w:r>
              <w:rPr>
                <w:rFonts w:hint="eastAsia"/>
                <w:color w:val="000000" w:themeColor="text1"/>
                <w:sz w:val="18"/>
                <w:szCs w:val="18"/>
              </w:rPr>
              <w:t>2%/</w:t>
            </w:r>
            <w:r>
              <w:rPr>
                <w:rFonts w:hint="eastAsia"/>
                <w:color w:val="000000" w:themeColor="text1"/>
                <w:sz w:val="18"/>
                <w:szCs w:val="18"/>
              </w:rPr>
              <w:t>批</w:t>
            </w:r>
          </w:p>
        </w:tc>
        <w:tc>
          <w:tcPr>
            <w:tcW w:w="2268" w:type="dxa"/>
            <w:shd w:val="clear" w:color="auto" w:fill="auto"/>
            <w:vAlign w:val="center"/>
          </w:tcPr>
          <w:p w:rsidR="000902A8" w:rsidRDefault="00000000">
            <w:pPr>
              <w:jc w:val="center"/>
              <w:rPr>
                <w:color w:val="000000"/>
                <w:sz w:val="18"/>
                <w:szCs w:val="18"/>
              </w:rPr>
            </w:pPr>
            <w:r>
              <w:rPr>
                <w:color w:val="000000"/>
                <w:sz w:val="18"/>
                <w:szCs w:val="18"/>
              </w:rPr>
              <w:t>—</w:t>
            </w:r>
          </w:p>
        </w:tc>
        <w:tc>
          <w:tcPr>
            <w:tcW w:w="1569" w:type="dxa"/>
            <w:shd w:val="clear" w:color="auto" w:fill="auto"/>
            <w:vAlign w:val="center"/>
          </w:tcPr>
          <w:p w:rsidR="000902A8" w:rsidRDefault="00000000">
            <w:pPr>
              <w:jc w:val="center"/>
              <w:rPr>
                <w:color w:val="000000"/>
                <w:sz w:val="18"/>
                <w:szCs w:val="18"/>
              </w:rPr>
            </w:pPr>
            <w:r>
              <w:rPr>
                <w:rFonts w:hint="eastAsia"/>
                <w:color w:val="000000"/>
                <w:sz w:val="18"/>
                <w:szCs w:val="18"/>
              </w:rPr>
              <w:t>通用量具</w:t>
            </w:r>
          </w:p>
        </w:tc>
      </w:tr>
      <w:bookmarkEnd w:id="43"/>
      <w:bookmarkEnd w:id="44"/>
    </w:tbl>
    <w:p w:rsidR="000902A8" w:rsidRDefault="000902A8">
      <w:pPr>
        <w:spacing w:after="139" w:line="1" w:lineRule="exact"/>
      </w:pPr>
    </w:p>
    <w:p w:rsidR="000902A8" w:rsidRDefault="00000000">
      <w:pPr>
        <w:pStyle w:val="a"/>
        <w:spacing w:before="312" w:after="312"/>
      </w:pPr>
      <w:bookmarkStart w:id="45" w:name="_Toc25525"/>
      <w:r>
        <w:rPr>
          <w:rFonts w:hint="eastAsia"/>
        </w:rPr>
        <w:t>检验规则</w:t>
      </w:r>
      <w:bookmarkEnd w:id="45"/>
    </w:p>
    <w:p w:rsidR="000902A8" w:rsidRDefault="00000000">
      <w:pPr>
        <w:pStyle w:val="a0"/>
        <w:spacing w:before="156" w:after="156"/>
        <w:ind w:left="0"/>
      </w:pPr>
      <w:r>
        <w:rPr>
          <w:rFonts w:hint="eastAsia"/>
        </w:rPr>
        <w:t>检查和验收</w:t>
      </w:r>
    </w:p>
    <w:p w:rsidR="000902A8" w:rsidRDefault="00000000">
      <w:pPr>
        <w:pStyle w:val="affb"/>
        <w:rPr>
          <w:rFonts w:asciiTheme="minorEastAsia" w:eastAsiaTheme="minorEastAsia" w:hAnsiTheme="minorEastAsia" w:hint="eastAsia"/>
          <w:szCs w:val="22"/>
        </w:rPr>
      </w:pPr>
      <w:r>
        <w:rPr>
          <w:rFonts w:asciiTheme="minorEastAsia" w:eastAsiaTheme="minorEastAsia" w:hAnsiTheme="minorEastAsia" w:hint="eastAsia"/>
          <w:szCs w:val="22"/>
        </w:rPr>
        <w:t>高纯原料纯铁的检查和验收由供方质量检验部门进行，需方有权按相应文件进行复验。</w:t>
      </w:r>
    </w:p>
    <w:p w:rsidR="000902A8" w:rsidRDefault="00000000">
      <w:pPr>
        <w:pStyle w:val="a0"/>
        <w:spacing w:before="156" w:after="156"/>
        <w:ind w:left="0"/>
      </w:pPr>
      <w:proofErr w:type="gramStart"/>
      <w:r>
        <w:rPr>
          <w:rFonts w:hint="eastAsia"/>
        </w:rPr>
        <w:t>组批规则</w:t>
      </w:r>
      <w:proofErr w:type="gramEnd"/>
    </w:p>
    <w:p w:rsidR="000902A8" w:rsidRDefault="00000000">
      <w:pPr>
        <w:pStyle w:val="affb"/>
        <w:rPr>
          <w:rFonts w:asciiTheme="minorEastAsia" w:eastAsiaTheme="minorEastAsia" w:hAnsiTheme="minorEastAsia" w:hint="eastAsia"/>
          <w:szCs w:val="22"/>
        </w:rPr>
      </w:pPr>
      <w:r>
        <w:rPr>
          <w:rFonts w:asciiTheme="minorEastAsia" w:eastAsiaTheme="minorEastAsia" w:hAnsiTheme="minorEastAsia" w:hint="eastAsia"/>
          <w:szCs w:val="22"/>
        </w:rPr>
        <w:t>高纯原料纯铁应按批提交检查和验收。每批应由同一牌号、同一熔炼炉号、同一规格的连铸坯或热轧钢棒或热轧盘条组成。</w:t>
      </w:r>
    </w:p>
    <w:p w:rsidR="000902A8" w:rsidRDefault="00000000">
      <w:pPr>
        <w:pStyle w:val="a0"/>
        <w:spacing w:before="156" w:after="156"/>
        <w:ind w:left="0"/>
        <w:rPr>
          <w:rFonts w:ascii="Times New Roman"/>
        </w:rPr>
      </w:pPr>
      <w:r>
        <w:rPr>
          <w:rFonts w:hint="eastAsia"/>
        </w:rPr>
        <w:t>取样数量</w:t>
      </w:r>
    </w:p>
    <w:p w:rsidR="000902A8" w:rsidRDefault="00000000">
      <w:pPr>
        <w:pStyle w:val="affb"/>
        <w:rPr>
          <w:rFonts w:asciiTheme="minorEastAsia" w:eastAsiaTheme="minorEastAsia" w:hAnsiTheme="minorEastAsia" w:hint="eastAsia"/>
          <w:szCs w:val="22"/>
        </w:rPr>
      </w:pPr>
      <w:bookmarkStart w:id="46" w:name="_Hlk174629024"/>
      <w:bookmarkStart w:id="47" w:name="_Hlk117252857"/>
      <w:r>
        <w:rPr>
          <w:rFonts w:ascii="Times New Roman" w:eastAsiaTheme="minorEastAsia"/>
          <w:szCs w:val="22"/>
        </w:rPr>
        <w:t>高纯原料纯铁</w:t>
      </w:r>
      <w:bookmarkEnd w:id="46"/>
      <w:r>
        <w:rPr>
          <w:rFonts w:ascii="Times New Roman" w:eastAsiaTheme="minorEastAsia"/>
          <w:szCs w:val="22"/>
        </w:rPr>
        <w:t>的取样数量应符合表</w:t>
      </w:r>
      <w:r>
        <w:rPr>
          <w:rFonts w:ascii="Times New Roman" w:eastAsiaTheme="minorEastAsia"/>
          <w:szCs w:val="22"/>
        </w:rPr>
        <w:t>2</w:t>
      </w:r>
      <w:r>
        <w:rPr>
          <w:rFonts w:ascii="Times New Roman" w:eastAsiaTheme="minorEastAsia"/>
          <w:szCs w:val="22"/>
        </w:rPr>
        <w:t>的规定</w:t>
      </w:r>
      <w:r>
        <w:rPr>
          <w:rFonts w:asciiTheme="minorEastAsia" w:eastAsiaTheme="minorEastAsia" w:hAnsiTheme="minorEastAsia"/>
          <w:szCs w:val="22"/>
        </w:rPr>
        <w:t>。</w:t>
      </w:r>
      <w:bookmarkEnd w:id="47"/>
    </w:p>
    <w:p w:rsidR="000902A8" w:rsidRDefault="00000000">
      <w:pPr>
        <w:pStyle w:val="a0"/>
        <w:spacing w:before="156" w:after="156"/>
        <w:ind w:left="0"/>
      </w:pPr>
      <w:bookmarkStart w:id="48" w:name="_Hlk165911247"/>
      <w:r>
        <w:rPr>
          <w:rFonts w:hint="eastAsia"/>
        </w:rPr>
        <w:t>复验和判定</w:t>
      </w:r>
      <w:bookmarkEnd w:id="48"/>
      <w:r>
        <w:rPr>
          <w:rFonts w:hint="eastAsia"/>
        </w:rPr>
        <w:t>规则</w:t>
      </w:r>
    </w:p>
    <w:p w:rsidR="000902A8" w:rsidRDefault="00000000">
      <w:pPr>
        <w:pStyle w:val="a1"/>
        <w:numPr>
          <w:ilvl w:val="2"/>
          <w:numId w:val="3"/>
        </w:numPr>
        <w:spacing w:before="156" w:after="156"/>
        <w:ind w:left="0"/>
        <w:rPr>
          <w:rFonts w:ascii="Times New Roman" w:eastAsia="宋体"/>
        </w:rPr>
      </w:pPr>
      <w:r>
        <w:rPr>
          <w:rFonts w:ascii="宋体" w:eastAsia="宋体" w:hAnsi="宋体" w:hint="eastAsia"/>
        </w:rPr>
        <w:t>连铸方坯</w:t>
      </w:r>
      <w:r>
        <w:rPr>
          <w:rFonts w:ascii="Times New Roman" w:eastAsia="宋体"/>
        </w:rPr>
        <w:t>和矩形坯的复验和判定应符合</w:t>
      </w:r>
      <w:r>
        <w:rPr>
          <w:rFonts w:ascii="Times New Roman" w:eastAsia="宋体"/>
        </w:rPr>
        <w:t xml:space="preserve"> YB/T 2011 </w:t>
      </w:r>
      <w:r>
        <w:rPr>
          <w:rFonts w:ascii="Times New Roman" w:eastAsia="宋体"/>
        </w:rPr>
        <w:t>的规定</w:t>
      </w:r>
      <w:r>
        <w:rPr>
          <w:rFonts w:ascii="Times New Roman" w:eastAsia="宋体" w:hint="eastAsia"/>
        </w:rPr>
        <w:t>。</w:t>
      </w:r>
    </w:p>
    <w:p w:rsidR="000902A8" w:rsidRDefault="00000000">
      <w:pPr>
        <w:pStyle w:val="a1"/>
        <w:numPr>
          <w:ilvl w:val="2"/>
          <w:numId w:val="3"/>
        </w:numPr>
        <w:spacing w:before="156" w:after="156"/>
        <w:ind w:left="0"/>
        <w:rPr>
          <w:rFonts w:ascii="Times New Roman" w:eastAsia="宋体"/>
        </w:rPr>
      </w:pPr>
      <w:r>
        <w:rPr>
          <w:rFonts w:ascii="宋体" w:eastAsia="宋体" w:hAnsi="宋体"/>
        </w:rPr>
        <w:t>连铸板坯的复验和判定应符</w:t>
      </w:r>
      <w:r>
        <w:rPr>
          <w:rFonts w:ascii="Times New Roman" w:eastAsia="宋体"/>
        </w:rPr>
        <w:t>合</w:t>
      </w:r>
      <w:r>
        <w:rPr>
          <w:rFonts w:ascii="Times New Roman" w:eastAsia="宋体"/>
        </w:rPr>
        <w:t xml:space="preserve"> YB/T 2012 </w:t>
      </w:r>
      <w:r>
        <w:rPr>
          <w:rFonts w:ascii="Times New Roman" w:eastAsia="宋体"/>
        </w:rPr>
        <w:t>的规定</w:t>
      </w:r>
      <w:r>
        <w:rPr>
          <w:rFonts w:ascii="Times New Roman" w:eastAsia="宋体" w:hint="eastAsia"/>
        </w:rPr>
        <w:t>。</w:t>
      </w:r>
    </w:p>
    <w:p w:rsidR="000902A8" w:rsidRDefault="00000000">
      <w:pPr>
        <w:pStyle w:val="a1"/>
        <w:numPr>
          <w:ilvl w:val="2"/>
          <w:numId w:val="3"/>
        </w:numPr>
        <w:spacing w:before="156" w:after="156"/>
        <w:ind w:left="0"/>
        <w:rPr>
          <w:rFonts w:ascii="宋体" w:eastAsia="宋体" w:hAnsi="宋体" w:hint="eastAsia"/>
        </w:rPr>
      </w:pPr>
      <w:r>
        <w:rPr>
          <w:rFonts w:ascii="Times New Roman" w:eastAsia="宋体"/>
        </w:rPr>
        <w:t>热轧钢棒和热轧盘条的复验和判定应符合</w:t>
      </w:r>
      <w:r>
        <w:rPr>
          <w:rFonts w:ascii="Times New Roman" w:eastAsia="宋体"/>
        </w:rPr>
        <w:t xml:space="preserve"> GB/T 2101</w:t>
      </w:r>
      <w:r>
        <w:rPr>
          <w:rFonts w:ascii="Times New Roman" w:eastAsia="宋体"/>
        </w:rPr>
        <w:t>的规定</w:t>
      </w:r>
      <w:r>
        <w:rPr>
          <w:rFonts w:ascii="宋体" w:eastAsia="宋体" w:hAnsi="宋体"/>
        </w:rPr>
        <w:t>。</w:t>
      </w:r>
    </w:p>
    <w:p w:rsidR="000902A8" w:rsidRDefault="00000000">
      <w:pPr>
        <w:pStyle w:val="a1"/>
        <w:numPr>
          <w:ilvl w:val="2"/>
          <w:numId w:val="3"/>
        </w:numPr>
        <w:spacing w:before="156" w:after="156"/>
        <w:ind w:left="0"/>
        <w:rPr>
          <w:rFonts w:ascii="宋体" w:eastAsia="宋体" w:hAnsi="宋体" w:hint="eastAsia"/>
        </w:rPr>
      </w:pPr>
      <w:r>
        <w:rPr>
          <w:rFonts w:ascii="宋体" w:eastAsia="宋体" w:hAnsi="宋体" w:hint="eastAsia"/>
        </w:rPr>
        <w:t>片状铁化学成分分析结果不合格时，需双方确定样品由第三方检测机构进行检测。</w:t>
      </w:r>
    </w:p>
    <w:p w:rsidR="000902A8" w:rsidRDefault="00000000">
      <w:pPr>
        <w:pStyle w:val="a0"/>
        <w:spacing w:before="156" w:after="156"/>
        <w:ind w:left="0"/>
      </w:pPr>
      <w:r>
        <w:t>数值修约</w:t>
      </w:r>
    </w:p>
    <w:p w:rsidR="000902A8" w:rsidRDefault="00000000">
      <w:pPr>
        <w:pStyle w:val="affb"/>
      </w:pPr>
      <w:r>
        <w:rPr>
          <w:rFonts w:asciiTheme="minorEastAsia" w:eastAsiaTheme="minorEastAsia" w:hAnsiTheme="minorEastAsia" w:hint="eastAsia"/>
          <w:szCs w:val="22"/>
        </w:rPr>
        <w:t>高纯原料纯铁</w:t>
      </w:r>
      <w:r>
        <w:rPr>
          <w:rFonts w:hint="eastAsia"/>
        </w:rPr>
        <w:t>的数值</w:t>
      </w:r>
      <w:proofErr w:type="gramStart"/>
      <w:r>
        <w:rPr>
          <w:rFonts w:hint="eastAsia"/>
        </w:rPr>
        <w:t>修约规则</w:t>
      </w:r>
      <w:proofErr w:type="gramEnd"/>
      <w:r>
        <w:rPr>
          <w:rFonts w:hint="eastAsia"/>
        </w:rPr>
        <w:t>应符</w:t>
      </w:r>
      <w:r>
        <w:rPr>
          <w:rFonts w:ascii="Times New Roman"/>
        </w:rPr>
        <w:t>合</w:t>
      </w:r>
      <w:r>
        <w:rPr>
          <w:rFonts w:ascii="Times New Roman"/>
        </w:rPr>
        <w:t>GB/T 8170</w:t>
      </w:r>
      <w:r>
        <w:rPr>
          <w:rFonts w:ascii="Times New Roman"/>
        </w:rPr>
        <w:t>的</w:t>
      </w:r>
      <w:r>
        <w:rPr>
          <w:rFonts w:hint="eastAsia"/>
        </w:rPr>
        <w:t>规定。</w:t>
      </w:r>
    </w:p>
    <w:p w:rsidR="000902A8" w:rsidRDefault="00000000">
      <w:pPr>
        <w:pStyle w:val="a"/>
        <w:spacing w:before="312" w:after="312"/>
      </w:pPr>
      <w:bookmarkStart w:id="49" w:name="_Toc21896"/>
      <w:r>
        <w:rPr>
          <w:rFonts w:hint="eastAsia"/>
        </w:rPr>
        <w:t>包装、标志及质量证明书</w:t>
      </w:r>
      <w:bookmarkEnd w:id="49"/>
    </w:p>
    <w:p w:rsidR="000902A8" w:rsidRDefault="00000000">
      <w:pPr>
        <w:pStyle w:val="a0"/>
        <w:spacing w:before="156" w:after="156"/>
        <w:ind w:left="0"/>
        <w:rPr>
          <w:rFonts w:ascii="Times New Roman" w:eastAsia="宋体"/>
        </w:rPr>
      </w:pPr>
      <w:bookmarkStart w:id="50" w:name="_Hlk174629004"/>
      <w:r>
        <w:rPr>
          <w:rFonts w:ascii="Times New Roman" w:eastAsia="宋体" w:hint="eastAsia"/>
        </w:rPr>
        <w:lastRenderedPageBreak/>
        <w:t>连铸方坯和矩形坯的包装、标志及质量证明书应符合</w:t>
      </w:r>
      <w:r>
        <w:rPr>
          <w:rFonts w:ascii="Times New Roman" w:eastAsia="宋体" w:hint="eastAsia"/>
        </w:rPr>
        <w:t xml:space="preserve"> YB/T 2011 </w:t>
      </w:r>
      <w:r>
        <w:rPr>
          <w:rFonts w:ascii="Times New Roman" w:eastAsia="宋体" w:hint="eastAsia"/>
        </w:rPr>
        <w:t>的有关规定。</w:t>
      </w:r>
    </w:p>
    <w:p w:rsidR="000902A8" w:rsidRDefault="00000000">
      <w:pPr>
        <w:pStyle w:val="a0"/>
        <w:spacing w:before="156" w:after="156"/>
        <w:ind w:left="0"/>
        <w:rPr>
          <w:rFonts w:ascii="Times New Roman" w:eastAsia="宋体"/>
        </w:rPr>
      </w:pPr>
      <w:r>
        <w:rPr>
          <w:rFonts w:ascii="Times New Roman" w:eastAsia="宋体" w:hint="eastAsia"/>
        </w:rPr>
        <w:t>连铸板坯的包装、标志及质量证明书应符合</w:t>
      </w:r>
      <w:r>
        <w:rPr>
          <w:rFonts w:ascii="Times New Roman" w:eastAsia="宋体" w:hint="eastAsia"/>
        </w:rPr>
        <w:t xml:space="preserve"> YB/T 2012 </w:t>
      </w:r>
      <w:r>
        <w:rPr>
          <w:rFonts w:ascii="Times New Roman" w:eastAsia="宋体" w:hint="eastAsia"/>
        </w:rPr>
        <w:t>的有关规定。</w:t>
      </w:r>
    </w:p>
    <w:p w:rsidR="000902A8" w:rsidRDefault="00000000">
      <w:pPr>
        <w:pStyle w:val="a0"/>
        <w:spacing w:before="156" w:after="156"/>
        <w:ind w:left="0"/>
        <w:rPr>
          <w:rFonts w:ascii="Times New Roman" w:eastAsia="宋体"/>
        </w:rPr>
      </w:pPr>
      <w:r>
        <w:rPr>
          <w:rFonts w:ascii="Times New Roman" w:eastAsia="宋体" w:hint="eastAsia"/>
        </w:rPr>
        <w:t>热轧钢棒和热轧盘条的包装、标志及质量证明书应符合</w:t>
      </w:r>
      <w:r>
        <w:rPr>
          <w:rFonts w:ascii="Times New Roman" w:eastAsia="宋体" w:hint="eastAsia"/>
        </w:rPr>
        <w:t xml:space="preserve"> GB/T 2101</w:t>
      </w:r>
      <w:r>
        <w:rPr>
          <w:rFonts w:ascii="Times New Roman" w:eastAsia="宋体" w:hint="eastAsia"/>
        </w:rPr>
        <w:t>的有关规定</w:t>
      </w:r>
      <w:r>
        <w:rPr>
          <w:rFonts w:ascii="Times New Roman" w:eastAsia="宋体"/>
        </w:rPr>
        <w:t>。</w:t>
      </w:r>
      <w:bookmarkEnd w:id="50"/>
    </w:p>
    <w:p w:rsidR="000902A8" w:rsidRDefault="00000000">
      <w:pPr>
        <w:pStyle w:val="a0"/>
        <w:spacing w:before="156" w:after="156"/>
        <w:ind w:left="0"/>
      </w:pPr>
      <w:bookmarkStart w:id="51" w:name="_Hlk178239463"/>
      <w:r>
        <w:rPr>
          <w:rFonts w:hint="eastAsia"/>
        </w:rPr>
        <w:t>片状</w:t>
      </w:r>
      <w:r w:rsidR="00147A0D">
        <w:rPr>
          <w:rFonts w:hint="eastAsia"/>
        </w:rPr>
        <w:t>铁</w:t>
      </w:r>
    </w:p>
    <w:p w:rsidR="000902A8" w:rsidRDefault="00000000">
      <w:pPr>
        <w:pStyle w:val="a1"/>
        <w:numPr>
          <w:ilvl w:val="2"/>
          <w:numId w:val="3"/>
        </w:numPr>
        <w:spacing w:before="156" w:after="156"/>
        <w:ind w:left="0"/>
        <w:rPr>
          <w:rFonts w:ascii="宋体" w:eastAsia="宋体" w:hAnsi="宋体" w:hint="eastAsia"/>
        </w:rPr>
      </w:pPr>
      <w:r>
        <w:rPr>
          <w:rFonts w:ascii="宋体" w:eastAsia="宋体" w:hAnsi="宋体" w:hint="eastAsia"/>
        </w:rPr>
        <w:t>内包装为塑料袋充保护气体密封包装，外包装根据重量采用铁质或其它材料包装。</w:t>
      </w:r>
    </w:p>
    <w:p w:rsidR="000902A8" w:rsidRDefault="00000000">
      <w:pPr>
        <w:pStyle w:val="a1"/>
        <w:numPr>
          <w:ilvl w:val="2"/>
          <w:numId w:val="3"/>
        </w:numPr>
        <w:spacing w:before="156" w:after="156"/>
        <w:ind w:left="0"/>
        <w:rPr>
          <w:rFonts w:ascii="宋体" w:eastAsia="宋体" w:hAnsi="宋体" w:hint="eastAsia"/>
        </w:rPr>
      </w:pPr>
      <w:r>
        <w:rPr>
          <w:rFonts w:ascii="宋体" w:eastAsia="宋体" w:hAnsi="宋体" w:hint="eastAsia"/>
        </w:rPr>
        <w:t>包装内外</w:t>
      </w:r>
      <w:proofErr w:type="gramStart"/>
      <w:r>
        <w:rPr>
          <w:rFonts w:ascii="宋体" w:eastAsia="宋体" w:hAnsi="宋体" w:hint="eastAsia"/>
        </w:rPr>
        <w:t>贴生产</w:t>
      </w:r>
      <w:proofErr w:type="gramEnd"/>
      <w:r>
        <w:rPr>
          <w:rFonts w:ascii="宋体" w:eastAsia="宋体" w:hAnsi="宋体" w:hint="eastAsia"/>
        </w:rPr>
        <w:t>厂专用产品标签，标签包括产品名称、牌号、生产批次、重量、防伪二维码。</w:t>
      </w:r>
    </w:p>
    <w:p w:rsidR="000902A8" w:rsidRDefault="00000000">
      <w:pPr>
        <w:pStyle w:val="a1"/>
        <w:numPr>
          <w:ilvl w:val="2"/>
          <w:numId w:val="3"/>
        </w:numPr>
        <w:spacing w:before="156" w:after="156"/>
        <w:ind w:left="0"/>
        <w:rPr>
          <w:rFonts w:ascii="宋体" w:eastAsia="宋体" w:hAnsi="宋体" w:hint="eastAsia"/>
        </w:rPr>
      </w:pPr>
      <w:r>
        <w:rPr>
          <w:rFonts w:ascii="宋体" w:eastAsia="宋体" w:hAnsi="宋体" w:hint="eastAsia"/>
        </w:rPr>
        <w:t>质量证明书包含订货单位、收货单位、证书编号、产品名称、元素含量、规格、批次号、牌号、重量、用户订单并加盖质检专用章。</w:t>
      </w:r>
    </w:p>
    <w:bookmarkEnd w:id="51"/>
    <w:p w:rsidR="000902A8" w:rsidRDefault="00000000">
      <w:pPr>
        <w:pStyle w:val="affb"/>
        <w:rPr>
          <w:highlight w:val="yellow"/>
        </w:rPr>
      </w:pPr>
      <w:r>
        <w:rPr>
          <w:rFonts w:ascii="Times New Roman"/>
          <w:noProof/>
          <w:highlight w:val="yellow"/>
        </w:rPr>
        <mc:AlternateContent>
          <mc:Choice Requires="wps">
            <w:drawing>
              <wp:anchor distT="0" distB="0" distL="114300" distR="114300" simplePos="0" relativeHeight="251659264" behindDoc="0" locked="0" layoutInCell="1" allowOverlap="1">
                <wp:simplePos x="0" y="0"/>
                <wp:positionH relativeFrom="margin">
                  <wp:posOffset>1924050</wp:posOffset>
                </wp:positionH>
                <wp:positionV relativeFrom="paragraph">
                  <wp:posOffset>902335</wp:posOffset>
                </wp:positionV>
                <wp:extent cx="2066925" cy="0"/>
                <wp:effectExtent l="0" t="0" r="28575" b="19050"/>
                <wp:wrapNone/>
                <wp:docPr id="2" name="直线 25"/>
                <wp:cNvGraphicFramePr/>
                <a:graphic xmlns:a="http://schemas.openxmlformats.org/drawingml/2006/main">
                  <a:graphicData uri="http://schemas.microsoft.com/office/word/2010/wordprocessingShape">
                    <wps:wsp>
                      <wps:cNvCnPr/>
                      <wps:spPr>
                        <a:xfrm>
                          <a:off x="0" y="0"/>
                          <a:ext cx="20669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25" o:spid="_x0000_s1026" o:spt="20" style="position:absolute;left:0pt;margin-left:151.5pt;margin-top:71.05pt;height:0pt;width:162.75pt;mso-position-horizontal-relative:margin;z-index:251659264;mso-width-relative:page;mso-height-relative:page;" filled="f" stroked="t" coordsize="21600,21600" o:gfxdata="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04sBT1wAAAAsB&#10;AAAPAAAAAAAAAAEAIAAAACIAAABkcnMvZG93bnJldi54bWxQSwECFAAUAAAACACHTuJAYrcX1eMB&#10;AADeAwAADgAAAAAAAAABACAAAAAmAQAAZHJzL2Uyb0RvYy54bWxQSwUGAAAAAAYABgBZAQAAewUA&#10;AAAA&#10;">
                <v:fill on="f" focussize="0,0"/>
                <v:stroke color="#000000" joinstyle="round"/>
                <v:imagedata o:title=""/>
                <o:lock v:ext="edit" aspectratio="f"/>
              </v:line>
            </w:pict>
          </mc:Fallback>
        </mc:AlternateContent>
      </w:r>
    </w:p>
    <w:sectPr w:rsidR="000902A8">
      <w:headerReference w:type="even" r:id="rId17"/>
      <w:headerReference w:type="default" r:id="rId18"/>
      <w:footerReference w:type="even" r:id="rId19"/>
      <w:footerReference w:type="default" r:id="rId20"/>
      <w:headerReference w:type="first" r:id="rId21"/>
      <w:footerReference w:type="first" r:id="rId22"/>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72566" w:rsidRDefault="00372566">
      <w:r>
        <w:separator/>
      </w:r>
    </w:p>
  </w:endnote>
  <w:endnote w:type="continuationSeparator" w:id="0">
    <w:p w:rsidR="00372566" w:rsidRDefault="0037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02A8" w:rsidRDefault="00000000">
    <w:pPr>
      <w:pStyle w:val="aff6"/>
      <w:tabs>
        <w:tab w:val="center" w:pos="4153"/>
        <w:tab w:val="right" w:pos="8306"/>
      </w:tabs>
      <w:jc w:val="center"/>
    </w:pPr>
    <w:r>
      <w:fldChar w:fldCharType="begin"/>
    </w:r>
    <w:r>
      <w:instrText>PAGE   \* MERGEFORMAT</w:instrText>
    </w:r>
    <w:r>
      <w:fldChar w:fldCharType="separate"/>
    </w:r>
    <w:r>
      <w:rPr>
        <w:lang w:val="zh-CN"/>
      </w:rPr>
      <w:t>I</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02A8" w:rsidRDefault="00000000">
    <w:pPr>
      <w:pStyle w:val="aff6"/>
      <w:jc w:val="center"/>
    </w:pPr>
    <w:r>
      <w:fldChar w:fldCharType="begin"/>
    </w:r>
    <w:r>
      <w:instrText xml:space="preserve"> PAGE   \* MERGEFORMAT </w:instrText>
    </w:r>
    <w:r>
      <w:fldChar w:fldCharType="separate"/>
    </w:r>
    <w:r>
      <w:rPr>
        <w:lang w:val="zh-CN"/>
      </w:rPr>
      <w:t>I</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02A8" w:rsidRDefault="000902A8">
    <w:pPr>
      <w:pStyle w:val="af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02A8" w:rsidRDefault="00000000">
    <w:pPr>
      <w:pStyle w:val="afff4"/>
    </w:pPr>
    <w:r>
      <w:fldChar w:fldCharType="begin"/>
    </w:r>
    <w:r>
      <w:instrText xml:space="preserve"> PAGE  \* MERGEFORMAT </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02A8" w:rsidRDefault="000902A8">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72566" w:rsidRDefault="00372566">
      <w:r>
        <w:separator/>
      </w:r>
    </w:p>
  </w:footnote>
  <w:footnote w:type="continuationSeparator" w:id="0">
    <w:p w:rsidR="00372566" w:rsidRDefault="00372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02A8" w:rsidRDefault="00000000">
    <w:pPr>
      <w:pStyle w:val="aff8"/>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02A8" w:rsidRDefault="00000000">
    <w:pPr>
      <w:pStyle w:val="afff5"/>
      <w:spacing w:before="120" w:after="120"/>
      <w:rPr>
        <w:color w:val="000000"/>
      </w:rPr>
    </w:pPr>
    <w:r>
      <w:t>T/SSEA XX</w:t>
    </w:r>
    <w:r>
      <w:rPr>
        <w:rFonts w:hint="eastAsia"/>
      </w:rPr>
      <w:t>XX</w:t>
    </w:r>
    <w:r>
      <w:t>-</w:t>
    </w:r>
    <w:r>
      <w:rPr>
        <w:rFonts w:hint="eastAsia"/>
        <w:color w:val="000000"/>
      </w:rPr>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02A8" w:rsidRDefault="00000000">
    <w:pPr>
      <w:pStyle w:val="aff8"/>
      <w:wordWrap w:val="0"/>
      <w:jc w:val="right"/>
      <w:rPr>
        <w:rFonts w:ascii="黑体" w:eastAsia="黑体"/>
        <w:sz w:val="21"/>
        <w:szCs w:val="21"/>
      </w:rPr>
    </w:pPr>
    <w:r>
      <w:rPr>
        <w:rFonts w:ascii="黑体" w:eastAsia="黑体"/>
        <w:i/>
        <w:sz w:val="21"/>
        <w:szCs w:val="21"/>
      </w:rPr>
      <w:tab/>
    </w:r>
    <w:r>
      <w:rPr>
        <w:rFonts w:ascii="黑体" w:hint="eastAsia"/>
        <w:b/>
        <w:sz w:val="21"/>
        <w:szCs w:val="21"/>
      </w:rPr>
      <w:tab/>
    </w:r>
    <w:r>
      <w:rPr>
        <w:rFonts w:ascii="黑体" w:eastAsia="黑体"/>
        <w:sz w:val="21"/>
        <w:szCs w:val="21"/>
      </w:rPr>
      <w:t>T/SSEA</w:t>
    </w:r>
    <w:r>
      <w:rPr>
        <w:rFonts w:ascii="黑体" w:eastAsia="黑体" w:hint="eastAsia"/>
        <w:sz w:val="21"/>
        <w:szCs w:val="21"/>
      </w:rPr>
      <w:t>XXXX</w:t>
    </w:r>
    <w:r>
      <w:rPr>
        <w:rFonts w:ascii="黑体" w:eastAsia="黑体"/>
        <w:sz w:val="21"/>
        <w:szCs w:val="21"/>
      </w:rPr>
      <w:t>-</w:t>
    </w:r>
    <w:r>
      <w:rPr>
        <w:rFonts w:ascii="黑体" w:eastAsia="黑体" w:hint="eastAsia"/>
        <w:sz w:val="21"/>
        <w:szCs w:val="21"/>
      </w:rPr>
      <w:t>XXXX</w:t>
    </w:r>
  </w:p>
  <w:p w:rsidR="000902A8" w:rsidRDefault="000902A8">
    <w:pPr>
      <w:pStyle w:val="aff8"/>
      <w:jc w:val="right"/>
      <w:rPr>
        <w:rFonts w:ascii="黑体"/>
        <w:b/>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02A8" w:rsidRDefault="000902A8">
    <w:pPr>
      <w:pStyle w:val="aff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02A8" w:rsidRDefault="00000000">
    <w:pPr>
      <w:pStyle w:val="aff8"/>
      <w:wordWrap w:val="0"/>
      <w:spacing w:before="120" w:after="120"/>
      <w:jc w:val="right"/>
      <w:rPr>
        <w:rFonts w:eastAsia="黑体"/>
      </w:rPr>
    </w:pPr>
    <w:r>
      <w:rPr>
        <w:rFonts w:ascii="黑体" w:eastAsia="黑体"/>
        <w:sz w:val="21"/>
        <w:szCs w:val="21"/>
      </w:rPr>
      <w:t>T/SSEA</w:t>
    </w:r>
    <w:r>
      <w:rPr>
        <w:rFonts w:ascii="黑体" w:eastAsia="黑体" w:hint="eastAsia"/>
        <w:sz w:val="21"/>
        <w:szCs w:val="21"/>
      </w:rPr>
      <w:t>XXXX</w:t>
    </w:r>
    <w:r>
      <w:rPr>
        <w:rFonts w:ascii="黑体" w:eastAsia="黑体"/>
        <w:sz w:val="21"/>
        <w:szCs w:val="21"/>
      </w:rPr>
      <w:t>-</w:t>
    </w:r>
    <w:r>
      <w:rPr>
        <w:rFonts w:ascii="黑体" w:eastAsia="黑体" w:hint="eastAsia"/>
        <w:sz w:val="21"/>
        <w:szCs w:val="21"/>
      </w:rPr>
      <w:t>XXXX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02A8" w:rsidRDefault="000902A8">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23E72D2"/>
    <w:multiLevelType w:val="multilevel"/>
    <w:tmpl w:val="E23E72D2"/>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tabs>
          <w:tab w:val="left" w:pos="1135"/>
        </w:tabs>
        <w:ind w:left="1135" w:firstLine="0"/>
      </w:pPr>
      <w:rPr>
        <w:rFonts w:ascii="黑体" w:eastAsia="黑体" w:hAnsi="Times New Roman" w:hint="default"/>
        <w:b w:val="0"/>
        <w:i w:val="0"/>
        <w:sz w:val="21"/>
      </w:rPr>
    </w:lvl>
    <w:lvl w:ilvl="3">
      <w:start w:val="1"/>
      <w:numFmt w:val="decimal"/>
      <w:pStyle w:val="a1"/>
      <w:suff w:val="nothing"/>
      <w:lvlText w:val="%1.%2.%3.%4　"/>
      <w:lvlJc w:val="left"/>
      <w:pPr>
        <w:ind w:left="0" w:firstLine="0"/>
      </w:pPr>
      <w:rPr>
        <w:rFonts w:ascii="黑体" w:eastAsia="黑体" w:hAnsi="黑体" w:cs="宋体" w:hint="default"/>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0DDE2B46"/>
    <w:multiLevelType w:val="multilevel"/>
    <w:tmpl w:val="0DDE2B4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2" w15:restartNumberingAfterBreak="0">
    <w:nsid w:val="115E081A"/>
    <w:multiLevelType w:val="multilevel"/>
    <w:tmpl w:val="115E081A"/>
    <w:lvl w:ilvl="0">
      <w:start w:val="1"/>
      <w:numFmt w:val="decimal"/>
      <w:pStyle w:val="a4"/>
      <w:suff w:val="nothing"/>
      <w:lvlText w:val="%1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1">
      <w:start w:val="1"/>
      <w:numFmt w:val="decimal"/>
      <w:pStyle w:val="1"/>
      <w:suff w:val="nothing"/>
      <w:lvlText w:val="%1.%2  "/>
      <w:lvlJc w:val="left"/>
      <w:pPr>
        <w:ind w:left="5103"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2">
      <w:start w:val="1"/>
      <w:numFmt w:val="decimal"/>
      <w:pStyle w:val="2"/>
      <w:suff w:val="nothing"/>
      <w:lvlText w:val="%1.%2.%3  "/>
      <w:lvlJc w:val="left"/>
      <w:pPr>
        <w:ind w:left="4253"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3">
      <w:start w:val="1"/>
      <w:numFmt w:val="decimal"/>
      <w:pStyle w:val="3"/>
      <w:suff w:val="nothing"/>
      <w:lvlText w:val="%1.%2.%3.%4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4">
      <w:start w:val="1"/>
      <w:numFmt w:val="decimal"/>
      <w:pStyle w:val="4"/>
      <w:suff w:val="nothing"/>
      <w:lvlText w:val="%1.%2.%3.%4.%5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5">
      <w:start w:val="1"/>
      <w:numFmt w:val="decimal"/>
      <w:pStyle w:val="5"/>
      <w:suff w:val="nothing"/>
      <w:lvlText w:val="%1.%2.%3.%4.%5.%6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6">
      <w:start w:val="1"/>
      <w:numFmt w:val="lowerRoman"/>
      <w:lvlText w:val="(%7)"/>
      <w:lvlJc w:val="left"/>
      <w:pPr>
        <w:tabs>
          <w:tab w:val="left" w:pos="5528"/>
        </w:tabs>
        <w:ind w:left="5102" w:firstLine="0"/>
      </w:pPr>
    </w:lvl>
    <w:lvl w:ilvl="7">
      <w:start w:val="1"/>
      <w:numFmt w:val="lowerLetter"/>
      <w:lvlText w:val="(%8)"/>
      <w:lvlJc w:val="left"/>
      <w:pPr>
        <w:tabs>
          <w:tab w:val="left" w:pos="6378"/>
        </w:tabs>
        <w:ind w:left="5953" w:firstLine="0"/>
      </w:pPr>
    </w:lvl>
    <w:lvl w:ilvl="8">
      <w:start w:val="1"/>
      <w:numFmt w:val="lowerRoman"/>
      <w:lvlText w:val="(%9)"/>
      <w:lvlJc w:val="left"/>
      <w:pPr>
        <w:tabs>
          <w:tab w:val="left" w:pos="7228"/>
        </w:tabs>
        <w:ind w:left="6803" w:firstLine="0"/>
      </w:pPr>
    </w:lvl>
  </w:abstractNum>
  <w:abstractNum w:abstractNumId="3" w15:restartNumberingAfterBreak="0">
    <w:nsid w:val="18FC3F32"/>
    <w:multiLevelType w:val="multilevel"/>
    <w:tmpl w:val="18FC3F32"/>
    <w:lvl w:ilvl="0">
      <w:start w:val="1"/>
      <w:numFmt w:val="decimal"/>
      <w:lvlText w:val="表%1"/>
      <w:lvlJc w:val="left"/>
      <w:pPr>
        <w:ind w:left="0" w:firstLine="0"/>
      </w:pPr>
      <w:rPr>
        <w:rFonts w:ascii="黑体" w:eastAsia="黑体" w:hAnsi="黑体" w:hint="eastAsia"/>
        <w:b w:val="0"/>
        <w:i w:val="0"/>
        <w:sz w:val="21"/>
        <w:szCs w:val="21"/>
      </w:rPr>
    </w:lvl>
    <w:lvl w:ilvl="1">
      <w:start w:val="1"/>
      <w:numFmt w:val="decimal"/>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tabs>
          <w:tab w:val="left" w:pos="1135"/>
        </w:tabs>
        <w:ind w:left="1135" w:firstLine="0"/>
      </w:pPr>
      <w:rPr>
        <w:rFonts w:ascii="黑体" w:eastAsia="黑体" w:hAnsi="Times New Roman" w:hint="default"/>
        <w:b w:val="0"/>
        <w:i w:val="0"/>
        <w:sz w:val="21"/>
      </w:rPr>
    </w:lvl>
    <w:lvl w:ilvl="3">
      <w:start w:val="1"/>
      <w:numFmt w:val="decimal"/>
      <w:suff w:val="nothing"/>
      <w:lvlText w:val="%1.%2.%3.%4　"/>
      <w:lvlJc w:val="left"/>
      <w:pPr>
        <w:ind w:left="0" w:firstLine="0"/>
      </w:pPr>
      <w:rPr>
        <w:rFonts w:ascii="宋体" w:eastAsia="宋体" w:hAnsi="宋体" w:cs="宋体" w:hint="default"/>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6" w15:restartNumberingAfterBreak="0">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7" w15:restartNumberingAfterBreak="0">
    <w:nsid w:val="3D733618"/>
    <w:multiLevelType w:val="multilevel"/>
    <w:tmpl w:val="3D733618"/>
    <w:lvl w:ilvl="0">
      <w:start w:val="1"/>
      <w:numFmt w:val="decimal"/>
      <w:pStyle w:val="ab"/>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8" w15:restartNumberingAfterBreak="0">
    <w:nsid w:val="44C50F90"/>
    <w:multiLevelType w:val="multilevel"/>
    <w:tmpl w:val="44C50F90"/>
    <w:lvl w:ilvl="0">
      <w:start w:val="1"/>
      <w:numFmt w:val="lowerLetter"/>
      <w:pStyle w:val="ac"/>
      <w:lvlText w:val="%1)"/>
      <w:lvlJc w:val="left"/>
      <w:pPr>
        <w:tabs>
          <w:tab w:val="left" w:pos="840"/>
        </w:tabs>
        <w:ind w:left="839" w:hanging="419"/>
      </w:pPr>
      <w:rPr>
        <w:rFonts w:ascii="宋体" w:eastAsia="宋体" w:hint="eastAsia"/>
        <w:b w:val="0"/>
        <w:i w:val="0"/>
        <w:sz w:val="21"/>
        <w:szCs w:val="21"/>
      </w:rPr>
    </w:lvl>
    <w:lvl w:ilvl="1">
      <w:start w:val="1"/>
      <w:numFmt w:val="decimal"/>
      <w:pStyle w:val="ad"/>
      <w:lvlText w:val="%2)"/>
      <w:lvlJc w:val="left"/>
      <w:pPr>
        <w:tabs>
          <w:tab w:val="left" w:pos="1260"/>
        </w:tabs>
        <w:ind w:left="1259" w:hanging="419"/>
      </w:pPr>
      <w:rPr>
        <w:rFonts w:hint="eastAsia"/>
      </w:rPr>
    </w:lvl>
    <w:lvl w:ilvl="2">
      <w:start w:val="1"/>
      <w:numFmt w:val="decimal"/>
      <w:pStyle w:val="ae"/>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15:restartNumberingAfterBreak="0">
    <w:nsid w:val="5E565289"/>
    <w:multiLevelType w:val="multilevel"/>
    <w:tmpl w:val="5E565289"/>
    <w:lvl w:ilvl="0">
      <w:start w:val="1"/>
      <w:numFmt w:val="lowerLetter"/>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0" w15:restartNumberingAfterBreak="0">
    <w:nsid w:val="60B55DC2"/>
    <w:multiLevelType w:val="multilevel"/>
    <w:tmpl w:val="60B55DC2"/>
    <w:lvl w:ilvl="0">
      <w:start w:val="1"/>
      <w:numFmt w:val="upperLetter"/>
      <w:pStyle w:val="af"/>
      <w:lvlText w:val="%1"/>
      <w:lvlJc w:val="left"/>
      <w:pPr>
        <w:tabs>
          <w:tab w:val="left"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1" w15:restartNumberingAfterBreak="0">
    <w:nsid w:val="657D3FBC"/>
    <w:multiLevelType w:val="multilevel"/>
    <w:tmpl w:val="657D3FBC"/>
    <w:lvl w:ilvl="0">
      <w:start w:val="1"/>
      <w:numFmt w:val="upperLetter"/>
      <w:pStyle w:val="af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15:restartNumberingAfterBreak="0">
    <w:nsid w:val="6D6C07CD"/>
    <w:multiLevelType w:val="multilevel"/>
    <w:tmpl w:val="6D6C07CD"/>
    <w:lvl w:ilvl="0">
      <w:start w:val="1"/>
      <w:numFmt w:val="lowerLetter"/>
      <w:pStyle w:val="af8"/>
      <w:lvlText w:val="%1)"/>
      <w:lvlJc w:val="left"/>
      <w:pPr>
        <w:tabs>
          <w:tab w:val="left" w:pos="839"/>
        </w:tabs>
        <w:ind w:left="839" w:hanging="419"/>
      </w:pPr>
      <w:rPr>
        <w:rFonts w:ascii="宋体" w:eastAsia="宋体" w:hint="eastAsia"/>
        <w:b w:val="0"/>
        <w:i w:val="0"/>
        <w:sz w:val="21"/>
      </w:rPr>
    </w:lvl>
    <w:lvl w:ilvl="1">
      <w:start w:val="1"/>
      <w:numFmt w:val="decimal"/>
      <w:pStyle w:val="af9"/>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3" w15:restartNumberingAfterBreak="0">
    <w:nsid w:val="74192455"/>
    <w:multiLevelType w:val="multilevel"/>
    <w:tmpl w:val="74192455"/>
    <w:lvl w:ilvl="0">
      <w:start w:val="1"/>
      <w:numFmt w:val="lowerLetter"/>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4" w15:restartNumberingAfterBreak="0">
    <w:nsid w:val="7F4852A5"/>
    <w:multiLevelType w:val="multilevel"/>
    <w:tmpl w:val="7F4852A5"/>
    <w:lvl w:ilvl="0">
      <w:start w:val="1"/>
      <w:numFmt w:val="lowerLetter"/>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16cid:durableId="452867442">
    <w:abstractNumId w:val="7"/>
  </w:num>
  <w:num w:numId="2" w16cid:durableId="855121733">
    <w:abstractNumId w:val="1"/>
  </w:num>
  <w:num w:numId="3" w16cid:durableId="1120883866">
    <w:abstractNumId w:val="0"/>
  </w:num>
  <w:num w:numId="4" w16cid:durableId="943653654">
    <w:abstractNumId w:val="6"/>
  </w:num>
  <w:num w:numId="5" w16cid:durableId="1476412230">
    <w:abstractNumId w:val="8"/>
  </w:num>
  <w:num w:numId="6" w16cid:durableId="372313324">
    <w:abstractNumId w:val="4"/>
  </w:num>
  <w:num w:numId="7" w16cid:durableId="846408066">
    <w:abstractNumId w:val="11"/>
  </w:num>
  <w:num w:numId="8" w16cid:durableId="1588417387">
    <w:abstractNumId w:val="10"/>
  </w:num>
  <w:num w:numId="9" w16cid:durableId="552543530">
    <w:abstractNumId w:val="12"/>
  </w:num>
  <w:num w:numId="10" w16cid:durableId="1935623774">
    <w:abstractNumId w:val="5"/>
  </w:num>
  <w:num w:numId="11" w16cid:durableId="1824615939">
    <w:abstractNumId w:val="2"/>
  </w:num>
  <w:num w:numId="12" w16cid:durableId="1782650516">
    <w:abstractNumId w:val="13"/>
  </w:num>
  <w:num w:numId="13" w16cid:durableId="1368800527">
    <w:abstractNumId w:val="9"/>
  </w:num>
  <w:num w:numId="14" w16cid:durableId="194197860">
    <w:abstractNumId w:val="14"/>
  </w:num>
  <w:num w:numId="15" w16cid:durableId="656940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JhYmY3ZGEyMWE5N2I1OGRmNTlmZmMzNTRkMjI2ZTcifQ=="/>
  </w:docVars>
  <w:rsids>
    <w:rsidRoot w:val="00172A27"/>
    <w:rsid w:val="00000244"/>
    <w:rsid w:val="00001699"/>
    <w:rsid w:val="0000185F"/>
    <w:rsid w:val="000018DE"/>
    <w:rsid w:val="00001F90"/>
    <w:rsid w:val="00003A08"/>
    <w:rsid w:val="0000586F"/>
    <w:rsid w:val="00013016"/>
    <w:rsid w:val="00013D86"/>
    <w:rsid w:val="00013E02"/>
    <w:rsid w:val="00020BCE"/>
    <w:rsid w:val="0002143C"/>
    <w:rsid w:val="00021CF8"/>
    <w:rsid w:val="00025A65"/>
    <w:rsid w:val="00026C31"/>
    <w:rsid w:val="00027280"/>
    <w:rsid w:val="000320A7"/>
    <w:rsid w:val="00035925"/>
    <w:rsid w:val="000368F5"/>
    <w:rsid w:val="00036D62"/>
    <w:rsid w:val="000423E0"/>
    <w:rsid w:val="00050247"/>
    <w:rsid w:val="000518FC"/>
    <w:rsid w:val="0005355F"/>
    <w:rsid w:val="00053647"/>
    <w:rsid w:val="000566EF"/>
    <w:rsid w:val="000645E6"/>
    <w:rsid w:val="00064737"/>
    <w:rsid w:val="00064E31"/>
    <w:rsid w:val="00065E1B"/>
    <w:rsid w:val="00067CDF"/>
    <w:rsid w:val="00073852"/>
    <w:rsid w:val="00074FBE"/>
    <w:rsid w:val="000813BD"/>
    <w:rsid w:val="00083A09"/>
    <w:rsid w:val="00084675"/>
    <w:rsid w:val="00086417"/>
    <w:rsid w:val="0008692E"/>
    <w:rsid w:val="00086FB6"/>
    <w:rsid w:val="0009005E"/>
    <w:rsid w:val="000902A8"/>
    <w:rsid w:val="00092857"/>
    <w:rsid w:val="0009349E"/>
    <w:rsid w:val="00097F4C"/>
    <w:rsid w:val="000A1FBE"/>
    <w:rsid w:val="000A20A9"/>
    <w:rsid w:val="000A48B1"/>
    <w:rsid w:val="000A4E6A"/>
    <w:rsid w:val="000B24BA"/>
    <w:rsid w:val="000B3143"/>
    <w:rsid w:val="000B55D3"/>
    <w:rsid w:val="000B6F99"/>
    <w:rsid w:val="000C6690"/>
    <w:rsid w:val="000C6B05"/>
    <w:rsid w:val="000C6DD6"/>
    <w:rsid w:val="000C73D4"/>
    <w:rsid w:val="000D3D4C"/>
    <w:rsid w:val="000D4505"/>
    <w:rsid w:val="000D4F51"/>
    <w:rsid w:val="000D68F9"/>
    <w:rsid w:val="000D718B"/>
    <w:rsid w:val="000E0C46"/>
    <w:rsid w:val="000E4E8E"/>
    <w:rsid w:val="000E5000"/>
    <w:rsid w:val="000E71BA"/>
    <w:rsid w:val="000F030C"/>
    <w:rsid w:val="000F129C"/>
    <w:rsid w:val="000F5A71"/>
    <w:rsid w:val="00100D0B"/>
    <w:rsid w:val="0010489C"/>
    <w:rsid w:val="001056DE"/>
    <w:rsid w:val="0010651A"/>
    <w:rsid w:val="00106C4A"/>
    <w:rsid w:val="00110BFA"/>
    <w:rsid w:val="00111863"/>
    <w:rsid w:val="0011234A"/>
    <w:rsid w:val="001124C0"/>
    <w:rsid w:val="001145BE"/>
    <w:rsid w:val="0011518E"/>
    <w:rsid w:val="00124953"/>
    <w:rsid w:val="0013175F"/>
    <w:rsid w:val="00132A7D"/>
    <w:rsid w:val="00134CDB"/>
    <w:rsid w:val="00135E24"/>
    <w:rsid w:val="00147A0D"/>
    <w:rsid w:val="001512B4"/>
    <w:rsid w:val="0015528C"/>
    <w:rsid w:val="00161F6B"/>
    <w:rsid w:val="001620A5"/>
    <w:rsid w:val="00164E53"/>
    <w:rsid w:val="0016699D"/>
    <w:rsid w:val="00170B12"/>
    <w:rsid w:val="00172A27"/>
    <w:rsid w:val="00174D84"/>
    <w:rsid w:val="00175159"/>
    <w:rsid w:val="001755F9"/>
    <w:rsid w:val="00175F26"/>
    <w:rsid w:val="00176208"/>
    <w:rsid w:val="00182022"/>
    <w:rsid w:val="0018211B"/>
    <w:rsid w:val="00183D43"/>
    <w:rsid w:val="001840D3"/>
    <w:rsid w:val="00186396"/>
    <w:rsid w:val="00187395"/>
    <w:rsid w:val="001900F8"/>
    <w:rsid w:val="00191258"/>
    <w:rsid w:val="001914C1"/>
    <w:rsid w:val="00192680"/>
    <w:rsid w:val="00193037"/>
    <w:rsid w:val="00193713"/>
    <w:rsid w:val="00193A2C"/>
    <w:rsid w:val="00195E5B"/>
    <w:rsid w:val="001A288E"/>
    <w:rsid w:val="001A7B83"/>
    <w:rsid w:val="001B13CE"/>
    <w:rsid w:val="001B2AB5"/>
    <w:rsid w:val="001B4135"/>
    <w:rsid w:val="001B5C83"/>
    <w:rsid w:val="001B6DC2"/>
    <w:rsid w:val="001C149C"/>
    <w:rsid w:val="001C21AC"/>
    <w:rsid w:val="001C47BA"/>
    <w:rsid w:val="001C530C"/>
    <w:rsid w:val="001C59EA"/>
    <w:rsid w:val="001C5E84"/>
    <w:rsid w:val="001D406C"/>
    <w:rsid w:val="001D41EE"/>
    <w:rsid w:val="001E0380"/>
    <w:rsid w:val="001E13B1"/>
    <w:rsid w:val="001E454A"/>
    <w:rsid w:val="001E7BB4"/>
    <w:rsid w:val="001F3A19"/>
    <w:rsid w:val="0020000B"/>
    <w:rsid w:val="002034A9"/>
    <w:rsid w:val="00203C3B"/>
    <w:rsid w:val="002102BE"/>
    <w:rsid w:val="0022112B"/>
    <w:rsid w:val="002306AD"/>
    <w:rsid w:val="00231970"/>
    <w:rsid w:val="00234467"/>
    <w:rsid w:val="0023585F"/>
    <w:rsid w:val="00237D8D"/>
    <w:rsid w:val="0024168A"/>
    <w:rsid w:val="00241DA2"/>
    <w:rsid w:val="00243D9B"/>
    <w:rsid w:val="002465A3"/>
    <w:rsid w:val="00247FEE"/>
    <w:rsid w:val="00250E7D"/>
    <w:rsid w:val="002565D5"/>
    <w:rsid w:val="0025735A"/>
    <w:rsid w:val="002578C8"/>
    <w:rsid w:val="00261484"/>
    <w:rsid w:val="002622C0"/>
    <w:rsid w:val="002629F3"/>
    <w:rsid w:val="00267736"/>
    <w:rsid w:val="00270075"/>
    <w:rsid w:val="00272B7C"/>
    <w:rsid w:val="00273C68"/>
    <w:rsid w:val="002749DA"/>
    <w:rsid w:val="00274EB0"/>
    <w:rsid w:val="00275B13"/>
    <w:rsid w:val="002778AE"/>
    <w:rsid w:val="0028200E"/>
    <w:rsid w:val="0028269A"/>
    <w:rsid w:val="0028298A"/>
    <w:rsid w:val="00282B9B"/>
    <w:rsid w:val="00283590"/>
    <w:rsid w:val="00286973"/>
    <w:rsid w:val="00291657"/>
    <w:rsid w:val="00291AA9"/>
    <w:rsid w:val="00292D76"/>
    <w:rsid w:val="00294E70"/>
    <w:rsid w:val="002A1353"/>
    <w:rsid w:val="002A1924"/>
    <w:rsid w:val="002A6864"/>
    <w:rsid w:val="002A68FD"/>
    <w:rsid w:val="002A7420"/>
    <w:rsid w:val="002A78F2"/>
    <w:rsid w:val="002B0F12"/>
    <w:rsid w:val="002B1308"/>
    <w:rsid w:val="002B24BE"/>
    <w:rsid w:val="002B3C93"/>
    <w:rsid w:val="002B4554"/>
    <w:rsid w:val="002B4801"/>
    <w:rsid w:val="002B5420"/>
    <w:rsid w:val="002B781B"/>
    <w:rsid w:val="002B7E2A"/>
    <w:rsid w:val="002C0C98"/>
    <w:rsid w:val="002C72D8"/>
    <w:rsid w:val="002D04E2"/>
    <w:rsid w:val="002D11FA"/>
    <w:rsid w:val="002D1F2F"/>
    <w:rsid w:val="002D538B"/>
    <w:rsid w:val="002D785A"/>
    <w:rsid w:val="002E0DDF"/>
    <w:rsid w:val="002E2906"/>
    <w:rsid w:val="002E5635"/>
    <w:rsid w:val="002E63E4"/>
    <w:rsid w:val="002E64C3"/>
    <w:rsid w:val="002E6A2C"/>
    <w:rsid w:val="002F1D8C"/>
    <w:rsid w:val="002F21DA"/>
    <w:rsid w:val="002F28D8"/>
    <w:rsid w:val="002F38FD"/>
    <w:rsid w:val="002F6E22"/>
    <w:rsid w:val="00301F39"/>
    <w:rsid w:val="00311D39"/>
    <w:rsid w:val="003152C8"/>
    <w:rsid w:val="00324B44"/>
    <w:rsid w:val="00324E5F"/>
    <w:rsid w:val="00325926"/>
    <w:rsid w:val="0032784B"/>
    <w:rsid w:val="00327A8A"/>
    <w:rsid w:val="00336610"/>
    <w:rsid w:val="00337EC3"/>
    <w:rsid w:val="00343F73"/>
    <w:rsid w:val="00345060"/>
    <w:rsid w:val="00350D20"/>
    <w:rsid w:val="00352CC5"/>
    <w:rsid w:val="00353152"/>
    <w:rsid w:val="0035323B"/>
    <w:rsid w:val="003609D2"/>
    <w:rsid w:val="00363F22"/>
    <w:rsid w:val="0036530F"/>
    <w:rsid w:val="00365DE2"/>
    <w:rsid w:val="00366E48"/>
    <w:rsid w:val="00372566"/>
    <w:rsid w:val="0037444F"/>
    <w:rsid w:val="00375564"/>
    <w:rsid w:val="00376266"/>
    <w:rsid w:val="00376E39"/>
    <w:rsid w:val="00383191"/>
    <w:rsid w:val="00383827"/>
    <w:rsid w:val="003856D1"/>
    <w:rsid w:val="0038581F"/>
    <w:rsid w:val="00385884"/>
    <w:rsid w:val="00386DED"/>
    <w:rsid w:val="003912E7"/>
    <w:rsid w:val="0039140F"/>
    <w:rsid w:val="0039238E"/>
    <w:rsid w:val="00392EA1"/>
    <w:rsid w:val="00393947"/>
    <w:rsid w:val="00397EEB"/>
    <w:rsid w:val="003A0C94"/>
    <w:rsid w:val="003A2275"/>
    <w:rsid w:val="003A2ABE"/>
    <w:rsid w:val="003A35E3"/>
    <w:rsid w:val="003A6A4F"/>
    <w:rsid w:val="003A7088"/>
    <w:rsid w:val="003B00DF"/>
    <w:rsid w:val="003B1275"/>
    <w:rsid w:val="003B1778"/>
    <w:rsid w:val="003B2659"/>
    <w:rsid w:val="003C11CB"/>
    <w:rsid w:val="003C75F3"/>
    <w:rsid w:val="003C78A3"/>
    <w:rsid w:val="003C7BEB"/>
    <w:rsid w:val="003D0F18"/>
    <w:rsid w:val="003D2ECB"/>
    <w:rsid w:val="003E0C41"/>
    <w:rsid w:val="003E0EA9"/>
    <w:rsid w:val="003E1867"/>
    <w:rsid w:val="003E5497"/>
    <w:rsid w:val="003E5729"/>
    <w:rsid w:val="003E7E34"/>
    <w:rsid w:val="003F0E2C"/>
    <w:rsid w:val="003F1B87"/>
    <w:rsid w:val="003F4EE0"/>
    <w:rsid w:val="003F5949"/>
    <w:rsid w:val="0040176E"/>
    <w:rsid w:val="00402153"/>
    <w:rsid w:val="00402FC1"/>
    <w:rsid w:val="0040652D"/>
    <w:rsid w:val="00417EE1"/>
    <w:rsid w:val="0042132E"/>
    <w:rsid w:val="00425082"/>
    <w:rsid w:val="00425A43"/>
    <w:rsid w:val="00431DEB"/>
    <w:rsid w:val="00434EFB"/>
    <w:rsid w:val="00442EC8"/>
    <w:rsid w:val="00446B29"/>
    <w:rsid w:val="00453B77"/>
    <w:rsid w:val="00453F9A"/>
    <w:rsid w:val="00454CB7"/>
    <w:rsid w:val="00455D97"/>
    <w:rsid w:val="004610E1"/>
    <w:rsid w:val="00471E91"/>
    <w:rsid w:val="00472A7F"/>
    <w:rsid w:val="00474675"/>
    <w:rsid w:val="0047470C"/>
    <w:rsid w:val="00483F1A"/>
    <w:rsid w:val="0049122A"/>
    <w:rsid w:val="004A35F9"/>
    <w:rsid w:val="004A5407"/>
    <w:rsid w:val="004A6A85"/>
    <w:rsid w:val="004B24C1"/>
    <w:rsid w:val="004C292F"/>
    <w:rsid w:val="004C3A22"/>
    <w:rsid w:val="004C5146"/>
    <w:rsid w:val="004C5353"/>
    <w:rsid w:val="004D021A"/>
    <w:rsid w:val="004D2E75"/>
    <w:rsid w:val="004D3DE1"/>
    <w:rsid w:val="004D70D7"/>
    <w:rsid w:val="004E072B"/>
    <w:rsid w:val="004F2D48"/>
    <w:rsid w:val="004F474C"/>
    <w:rsid w:val="00503AF8"/>
    <w:rsid w:val="00504B43"/>
    <w:rsid w:val="005063DC"/>
    <w:rsid w:val="00510280"/>
    <w:rsid w:val="005118BB"/>
    <w:rsid w:val="00513D73"/>
    <w:rsid w:val="00514A43"/>
    <w:rsid w:val="005174E5"/>
    <w:rsid w:val="00522393"/>
    <w:rsid w:val="00522620"/>
    <w:rsid w:val="00525656"/>
    <w:rsid w:val="00525A8C"/>
    <w:rsid w:val="00533DBE"/>
    <w:rsid w:val="00534C02"/>
    <w:rsid w:val="00535ACE"/>
    <w:rsid w:val="00540EF4"/>
    <w:rsid w:val="0054264B"/>
    <w:rsid w:val="00543786"/>
    <w:rsid w:val="0054433F"/>
    <w:rsid w:val="00546124"/>
    <w:rsid w:val="00552915"/>
    <w:rsid w:val="005533D7"/>
    <w:rsid w:val="0055399E"/>
    <w:rsid w:val="00554B5D"/>
    <w:rsid w:val="00555AFE"/>
    <w:rsid w:val="00557753"/>
    <w:rsid w:val="005662D3"/>
    <w:rsid w:val="005703DE"/>
    <w:rsid w:val="00572CD6"/>
    <w:rsid w:val="0057539E"/>
    <w:rsid w:val="005802A6"/>
    <w:rsid w:val="00580CBD"/>
    <w:rsid w:val="0058143A"/>
    <w:rsid w:val="00581645"/>
    <w:rsid w:val="00582C0D"/>
    <w:rsid w:val="0058464E"/>
    <w:rsid w:val="005922F7"/>
    <w:rsid w:val="00592A8A"/>
    <w:rsid w:val="00593B0F"/>
    <w:rsid w:val="005A01CB"/>
    <w:rsid w:val="005A58FF"/>
    <w:rsid w:val="005A5EAF"/>
    <w:rsid w:val="005A64C0"/>
    <w:rsid w:val="005A6B1B"/>
    <w:rsid w:val="005B3C11"/>
    <w:rsid w:val="005B493B"/>
    <w:rsid w:val="005C038B"/>
    <w:rsid w:val="005C1C28"/>
    <w:rsid w:val="005C6DB5"/>
    <w:rsid w:val="005C6FD4"/>
    <w:rsid w:val="005D300C"/>
    <w:rsid w:val="005E001F"/>
    <w:rsid w:val="005E19E7"/>
    <w:rsid w:val="005E7408"/>
    <w:rsid w:val="005E7CA1"/>
    <w:rsid w:val="005F4522"/>
    <w:rsid w:val="005F51C3"/>
    <w:rsid w:val="006006CE"/>
    <w:rsid w:val="00601FC8"/>
    <w:rsid w:val="0060680A"/>
    <w:rsid w:val="00614452"/>
    <w:rsid w:val="006156E5"/>
    <w:rsid w:val="00615F27"/>
    <w:rsid w:val="0061716C"/>
    <w:rsid w:val="006243A1"/>
    <w:rsid w:val="006262FA"/>
    <w:rsid w:val="0063111E"/>
    <w:rsid w:val="00632E56"/>
    <w:rsid w:val="006342DF"/>
    <w:rsid w:val="006358E7"/>
    <w:rsid w:val="00635CBA"/>
    <w:rsid w:val="006418E1"/>
    <w:rsid w:val="0064338B"/>
    <w:rsid w:val="006454D3"/>
    <w:rsid w:val="006456AC"/>
    <w:rsid w:val="00646542"/>
    <w:rsid w:val="006504F4"/>
    <w:rsid w:val="00651D37"/>
    <w:rsid w:val="00654BC9"/>
    <w:rsid w:val="0065517C"/>
    <w:rsid w:val="006552FD"/>
    <w:rsid w:val="0065603A"/>
    <w:rsid w:val="00657DC9"/>
    <w:rsid w:val="0066001F"/>
    <w:rsid w:val="0066034E"/>
    <w:rsid w:val="0066359F"/>
    <w:rsid w:val="006639EA"/>
    <w:rsid w:val="00663AF3"/>
    <w:rsid w:val="00666B6C"/>
    <w:rsid w:val="00680080"/>
    <w:rsid w:val="00682682"/>
    <w:rsid w:val="00682702"/>
    <w:rsid w:val="00682F1F"/>
    <w:rsid w:val="0068339A"/>
    <w:rsid w:val="00692368"/>
    <w:rsid w:val="00692B71"/>
    <w:rsid w:val="00694FB5"/>
    <w:rsid w:val="00697272"/>
    <w:rsid w:val="006A2EBC"/>
    <w:rsid w:val="006A5EA0"/>
    <w:rsid w:val="006A783B"/>
    <w:rsid w:val="006A7B33"/>
    <w:rsid w:val="006B4E13"/>
    <w:rsid w:val="006B75DD"/>
    <w:rsid w:val="006C67E0"/>
    <w:rsid w:val="006C7ABA"/>
    <w:rsid w:val="006D0D60"/>
    <w:rsid w:val="006D1122"/>
    <w:rsid w:val="006D1A12"/>
    <w:rsid w:val="006D3C00"/>
    <w:rsid w:val="006E1315"/>
    <w:rsid w:val="006E185D"/>
    <w:rsid w:val="006E3675"/>
    <w:rsid w:val="006E4A7F"/>
    <w:rsid w:val="006F1265"/>
    <w:rsid w:val="006F2A82"/>
    <w:rsid w:val="006F67EC"/>
    <w:rsid w:val="0070301C"/>
    <w:rsid w:val="00704DF6"/>
    <w:rsid w:val="007051EA"/>
    <w:rsid w:val="00705479"/>
    <w:rsid w:val="0070651C"/>
    <w:rsid w:val="00706AB4"/>
    <w:rsid w:val="0071255F"/>
    <w:rsid w:val="007132A3"/>
    <w:rsid w:val="00714E91"/>
    <w:rsid w:val="00716421"/>
    <w:rsid w:val="00721EBC"/>
    <w:rsid w:val="00724EFB"/>
    <w:rsid w:val="00725DF5"/>
    <w:rsid w:val="00726761"/>
    <w:rsid w:val="007311D9"/>
    <w:rsid w:val="00731C1D"/>
    <w:rsid w:val="00734CD0"/>
    <w:rsid w:val="007419C3"/>
    <w:rsid w:val="007424B9"/>
    <w:rsid w:val="007467A7"/>
    <w:rsid w:val="007469DD"/>
    <w:rsid w:val="0074741B"/>
    <w:rsid w:val="0074759E"/>
    <w:rsid w:val="007478EA"/>
    <w:rsid w:val="00750735"/>
    <w:rsid w:val="00752E08"/>
    <w:rsid w:val="0075415C"/>
    <w:rsid w:val="00763502"/>
    <w:rsid w:val="007649CE"/>
    <w:rsid w:val="00772803"/>
    <w:rsid w:val="00776B0B"/>
    <w:rsid w:val="00780D24"/>
    <w:rsid w:val="007913AB"/>
    <w:rsid w:val="007914F7"/>
    <w:rsid w:val="007939BD"/>
    <w:rsid w:val="007A0F7E"/>
    <w:rsid w:val="007B0947"/>
    <w:rsid w:val="007B15FB"/>
    <w:rsid w:val="007B1625"/>
    <w:rsid w:val="007B2431"/>
    <w:rsid w:val="007B3D5C"/>
    <w:rsid w:val="007B706E"/>
    <w:rsid w:val="007B71EB"/>
    <w:rsid w:val="007B7EBC"/>
    <w:rsid w:val="007C6205"/>
    <w:rsid w:val="007C686A"/>
    <w:rsid w:val="007C6AE3"/>
    <w:rsid w:val="007C728E"/>
    <w:rsid w:val="007C76C3"/>
    <w:rsid w:val="007D1317"/>
    <w:rsid w:val="007D2C53"/>
    <w:rsid w:val="007D3D60"/>
    <w:rsid w:val="007E1980"/>
    <w:rsid w:val="007E4B76"/>
    <w:rsid w:val="007E5EA8"/>
    <w:rsid w:val="007E6FED"/>
    <w:rsid w:val="007F0AF3"/>
    <w:rsid w:val="007F0CF1"/>
    <w:rsid w:val="007F12A5"/>
    <w:rsid w:val="007F3E23"/>
    <w:rsid w:val="007F4CF1"/>
    <w:rsid w:val="007F58C3"/>
    <w:rsid w:val="007F758D"/>
    <w:rsid w:val="007F7D52"/>
    <w:rsid w:val="008012BD"/>
    <w:rsid w:val="0080654C"/>
    <w:rsid w:val="008071C6"/>
    <w:rsid w:val="008103FB"/>
    <w:rsid w:val="00813EF8"/>
    <w:rsid w:val="0081407D"/>
    <w:rsid w:val="008145BD"/>
    <w:rsid w:val="00817A00"/>
    <w:rsid w:val="008205D1"/>
    <w:rsid w:val="00820D03"/>
    <w:rsid w:val="00830198"/>
    <w:rsid w:val="008303F2"/>
    <w:rsid w:val="008314A3"/>
    <w:rsid w:val="00833EBA"/>
    <w:rsid w:val="00835DB3"/>
    <w:rsid w:val="0083617B"/>
    <w:rsid w:val="008371BD"/>
    <w:rsid w:val="008436BC"/>
    <w:rsid w:val="00845AFA"/>
    <w:rsid w:val="008504A8"/>
    <w:rsid w:val="0085282E"/>
    <w:rsid w:val="00857F74"/>
    <w:rsid w:val="0086341E"/>
    <w:rsid w:val="00866924"/>
    <w:rsid w:val="00871150"/>
    <w:rsid w:val="0087198C"/>
    <w:rsid w:val="00872C1F"/>
    <w:rsid w:val="0087398E"/>
    <w:rsid w:val="00873B42"/>
    <w:rsid w:val="00883483"/>
    <w:rsid w:val="008856D8"/>
    <w:rsid w:val="008874C1"/>
    <w:rsid w:val="00892E82"/>
    <w:rsid w:val="008933FD"/>
    <w:rsid w:val="00896DA9"/>
    <w:rsid w:val="00896ED9"/>
    <w:rsid w:val="008A2509"/>
    <w:rsid w:val="008A4D95"/>
    <w:rsid w:val="008B1C1C"/>
    <w:rsid w:val="008B6E88"/>
    <w:rsid w:val="008B7DF0"/>
    <w:rsid w:val="008C1B58"/>
    <w:rsid w:val="008C3169"/>
    <w:rsid w:val="008C39AE"/>
    <w:rsid w:val="008C5088"/>
    <w:rsid w:val="008C590D"/>
    <w:rsid w:val="008C6CDB"/>
    <w:rsid w:val="008D1B29"/>
    <w:rsid w:val="008E031B"/>
    <w:rsid w:val="008E7029"/>
    <w:rsid w:val="008E7C59"/>
    <w:rsid w:val="008E7EF6"/>
    <w:rsid w:val="008F1F98"/>
    <w:rsid w:val="008F6758"/>
    <w:rsid w:val="008F6885"/>
    <w:rsid w:val="008F7B8E"/>
    <w:rsid w:val="00902C96"/>
    <w:rsid w:val="009040DD"/>
    <w:rsid w:val="00905B47"/>
    <w:rsid w:val="00911FD5"/>
    <w:rsid w:val="009120F9"/>
    <w:rsid w:val="0091331C"/>
    <w:rsid w:val="00916A53"/>
    <w:rsid w:val="00926CF5"/>
    <w:rsid w:val="009270FA"/>
    <w:rsid w:val="009279DE"/>
    <w:rsid w:val="00930116"/>
    <w:rsid w:val="0094053C"/>
    <w:rsid w:val="0094212C"/>
    <w:rsid w:val="00942E70"/>
    <w:rsid w:val="00945FA5"/>
    <w:rsid w:val="00946A29"/>
    <w:rsid w:val="00954689"/>
    <w:rsid w:val="0096048A"/>
    <w:rsid w:val="009617C9"/>
    <w:rsid w:val="00961C93"/>
    <w:rsid w:val="00965324"/>
    <w:rsid w:val="00966096"/>
    <w:rsid w:val="0097091E"/>
    <w:rsid w:val="009760D3"/>
    <w:rsid w:val="00977132"/>
    <w:rsid w:val="00981A4B"/>
    <w:rsid w:val="00982501"/>
    <w:rsid w:val="00983E27"/>
    <w:rsid w:val="00984305"/>
    <w:rsid w:val="0098760C"/>
    <w:rsid w:val="009877D3"/>
    <w:rsid w:val="00992809"/>
    <w:rsid w:val="00994E8F"/>
    <w:rsid w:val="009951DC"/>
    <w:rsid w:val="009959BB"/>
    <w:rsid w:val="00997158"/>
    <w:rsid w:val="0099746A"/>
    <w:rsid w:val="009A3225"/>
    <w:rsid w:val="009A3A7C"/>
    <w:rsid w:val="009A5FD8"/>
    <w:rsid w:val="009A68F1"/>
    <w:rsid w:val="009A6E4B"/>
    <w:rsid w:val="009B20BD"/>
    <w:rsid w:val="009B2ADB"/>
    <w:rsid w:val="009B603A"/>
    <w:rsid w:val="009B72DE"/>
    <w:rsid w:val="009C2D0E"/>
    <w:rsid w:val="009C3DAC"/>
    <w:rsid w:val="009C42E0"/>
    <w:rsid w:val="009C691F"/>
    <w:rsid w:val="009D1A7E"/>
    <w:rsid w:val="009D46BD"/>
    <w:rsid w:val="009D5362"/>
    <w:rsid w:val="009D5C5D"/>
    <w:rsid w:val="009E1415"/>
    <w:rsid w:val="009E32B4"/>
    <w:rsid w:val="009E6116"/>
    <w:rsid w:val="009F1749"/>
    <w:rsid w:val="009F5288"/>
    <w:rsid w:val="00A02E43"/>
    <w:rsid w:val="00A065F9"/>
    <w:rsid w:val="00A07D24"/>
    <w:rsid w:val="00A07F34"/>
    <w:rsid w:val="00A11A25"/>
    <w:rsid w:val="00A2083E"/>
    <w:rsid w:val="00A22154"/>
    <w:rsid w:val="00A24022"/>
    <w:rsid w:val="00A24B98"/>
    <w:rsid w:val="00A25C38"/>
    <w:rsid w:val="00A26B4C"/>
    <w:rsid w:val="00A365BB"/>
    <w:rsid w:val="00A36AC2"/>
    <w:rsid w:val="00A36BBE"/>
    <w:rsid w:val="00A40F77"/>
    <w:rsid w:val="00A4307A"/>
    <w:rsid w:val="00A4703E"/>
    <w:rsid w:val="00A47EBB"/>
    <w:rsid w:val="00A47F3B"/>
    <w:rsid w:val="00A51CDD"/>
    <w:rsid w:val="00A61B8C"/>
    <w:rsid w:val="00A65D48"/>
    <w:rsid w:val="00A6730D"/>
    <w:rsid w:val="00A71625"/>
    <w:rsid w:val="00A71B9B"/>
    <w:rsid w:val="00A720B9"/>
    <w:rsid w:val="00A751C7"/>
    <w:rsid w:val="00A77240"/>
    <w:rsid w:val="00A81A9C"/>
    <w:rsid w:val="00A83AE5"/>
    <w:rsid w:val="00A8541A"/>
    <w:rsid w:val="00A87844"/>
    <w:rsid w:val="00A91A2F"/>
    <w:rsid w:val="00A94C41"/>
    <w:rsid w:val="00A97659"/>
    <w:rsid w:val="00AA038C"/>
    <w:rsid w:val="00AA15E2"/>
    <w:rsid w:val="00AA39C3"/>
    <w:rsid w:val="00AA6812"/>
    <w:rsid w:val="00AA6BC6"/>
    <w:rsid w:val="00AA7A09"/>
    <w:rsid w:val="00AB0B61"/>
    <w:rsid w:val="00AB3B50"/>
    <w:rsid w:val="00AB66AD"/>
    <w:rsid w:val="00AC05B1"/>
    <w:rsid w:val="00AC4757"/>
    <w:rsid w:val="00AD0574"/>
    <w:rsid w:val="00AD180C"/>
    <w:rsid w:val="00AD2A07"/>
    <w:rsid w:val="00AD356C"/>
    <w:rsid w:val="00AD6B2B"/>
    <w:rsid w:val="00AD70D9"/>
    <w:rsid w:val="00AE2914"/>
    <w:rsid w:val="00AE37AD"/>
    <w:rsid w:val="00AE6D15"/>
    <w:rsid w:val="00AE7661"/>
    <w:rsid w:val="00AF3558"/>
    <w:rsid w:val="00B04182"/>
    <w:rsid w:val="00B04529"/>
    <w:rsid w:val="00B0503D"/>
    <w:rsid w:val="00B05F0A"/>
    <w:rsid w:val="00B07AE3"/>
    <w:rsid w:val="00B11430"/>
    <w:rsid w:val="00B16635"/>
    <w:rsid w:val="00B22E3C"/>
    <w:rsid w:val="00B353EB"/>
    <w:rsid w:val="00B35AE1"/>
    <w:rsid w:val="00B35B3F"/>
    <w:rsid w:val="00B35E95"/>
    <w:rsid w:val="00B406AC"/>
    <w:rsid w:val="00B42D15"/>
    <w:rsid w:val="00B439C4"/>
    <w:rsid w:val="00B4535E"/>
    <w:rsid w:val="00B45BC3"/>
    <w:rsid w:val="00B520E6"/>
    <w:rsid w:val="00B52A8C"/>
    <w:rsid w:val="00B56557"/>
    <w:rsid w:val="00B57B5C"/>
    <w:rsid w:val="00B60C1A"/>
    <w:rsid w:val="00B636A8"/>
    <w:rsid w:val="00B665C6"/>
    <w:rsid w:val="00B805AF"/>
    <w:rsid w:val="00B8353E"/>
    <w:rsid w:val="00B869EC"/>
    <w:rsid w:val="00B9397A"/>
    <w:rsid w:val="00B9633D"/>
    <w:rsid w:val="00BA0BE9"/>
    <w:rsid w:val="00BA2EBE"/>
    <w:rsid w:val="00BA31E9"/>
    <w:rsid w:val="00BB0F28"/>
    <w:rsid w:val="00BB458A"/>
    <w:rsid w:val="00BB6895"/>
    <w:rsid w:val="00BD00D3"/>
    <w:rsid w:val="00BD1659"/>
    <w:rsid w:val="00BD3AA9"/>
    <w:rsid w:val="00BD4A18"/>
    <w:rsid w:val="00BD52A0"/>
    <w:rsid w:val="00BD6DB2"/>
    <w:rsid w:val="00BD71E4"/>
    <w:rsid w:val="00BE11CF"/>
    <w:rsid w:val="00BE21AB"/>
    <w:rsid w:val="00BE55CB"/>
    <w:rsid w:val="00BF617A"/>
    <w:rsid w:val="00BF7D12"/>
    <w:rsid w:val="00C0379D"/>
    <w:rsid w:val="00C03931"/>
    <w:rsid w:val="00C04B36"/>
    <w:rsid w:val="00C05FE3"/>
    <w:rsid w:val="00C13919"/>
    <w:rsid w:val="00C15829"/>
    <w:rsid w:val="00C2136D"/>
    <w:rsid w:val="00C214EE"/>
    <w:rsid w:val="00C2314B"/>
    <w:rsid w:val="00C24971"/>
    <w:rsid w:val="00C2664C"/>
    <w:rsid w:val="00C26BE5"/>
    <w:rsid w:val="00C26E4D"/>
    <w:rsid w:val="00C27909"/>
    <w:rsid w:val="00C27B03"/>
    <w:rsid w:val="00C3051C"/>
    <w:rsid w:val="00C308B3"/>
    <w:rsid w:val="00C314E1"/>
    <w:rsid w:val="00C31C9E"/>
    <w:rsid w:val="00C34397"/>
    <w:rsid w:val="00C3616E"/>
    <w:rsid w:val="00C36D0D"/>
    <w:rsid w:val="00C4095D"/>
    <w:rsid w:val="00C40E2E"/>
    <w:rsid w:val="00C46432"/>
    <w:rsid w:val="00C52367"/>
    <w:rsid w:val="00C5320A"/>
    <w:rsid w:val="00C548E5"/>
    <w:rsid w:val="00C601D2"/>
    <w:rsid w:val="00C60940"/>
    <w:rsid w:val="00C61CF6"/>
    <w:rsid w:val="00C657AB"/>
    <w:rsid w:val="00C65BCC"/>
    <w:rsid w:val="00C66970"/>
    <w:rsid w:val="00C865B3"/>
    <w:rsid w:val="00C8691C"/>
    <w:rsid w:val="00C905F8"/>
    <w:rsid w:val="00C91BD4"/>
    <w:rsid w:val="00C92775"/>
    <w:rsid w:val="00C92D16"/>
    <w:rsid w:val="00C94CA8"/>
    <w:rsid w:val="00C965B8"/>
    <w:rsid w:val="00CA168A"/>
    <w:rsid w:val="00CA357E"/>
    <w:rsid w:val="00CA44F9"/>
    <w:rsid w:val="00CA4A69"/>
    <w:rsid w:val="00CA543A"/>
    <w:rsid w:val="00CA5C40"/>
    <w:rsid w:val="00CA5DDA"/>
    <w:rsid w:val="00CA61D2"/>
    <w:rsid w:val="00CB178E"/>
    <w:rsid w:val="00CB4176"/>
    <w:rsid w:val="00CC3E0C"/>
    <w:rsid w:val="00CC4149"/>
    <w:rsid w:val="00CC58D3"/>
    <w:rsid w:val="00CC59C6"/>
    <w:rsid w:val="00CC784D"/>
    <w:rsid w:val="00CD1A55"/>
    <w:rsid w:val="00CD33A3"/>
    <w:rsid w:val="00CE22E0"/>
    <w:rsid w:val="00CE4D94"/>
    <w:rsid w:val="00CF4646"/>
    <w:rsid w:val="00D01918"/>
    <w:rsid w:val="00D02A73"/>
    <w:rsid w:val="00D0337B"/>
    <w:rsid w:val="00D055B0"/>
    <w:rsid w:val="00D079B2"/>
    <w:rsid w:val="00D114E9"/>
    <w:rsid w:val="00D130BD"/>
    <w:rsid w:val="00D24950"/>
    <w:rsid w:val="00D3173B"/>
    <w:rsid w:val="00D429C6"/>
    <w:rsid w:val="00D454D4"/>
    <w:rsid w:val="00D456CD"/>
    <w:rsid w:val="00D457D2"/>
    <w:rsid w:val="00D45D0A"/>
    <w:rsid w:val="00D47748"/>
    <w:rsid w:val="00D47EBF"/>
    <w:rsid w:val="00D53415"/>
    <w:rsid w:val="00D54CC3"/>
    <w:rsid w:val="00D57699"/>
    <w:rsid w:val="00D6041A"/>
    <w:rsid w:val="00D633EB"/>
    <w:rsid w:val="00D63AEA"/>
    <w:rsid w:val="00D76144"/>
    <w:rsid w:val="00D82FF7"/>
    <w:rsid w:val="00D847FE"/>
    <w:rsid w:val="00D911EA"/>
    <w:rsid w:val="00D964EA"/>
    <w:rsid w:val="00D966D0"/>
    <w:rsid w:val="00DA0C59"/>
    <w:rsid w:val="00DA0E1F"/>
    <w:rsid w:val="00DA3078"/>
    <w:rsid w:val="00DA3991"/>
    <w:rsid w:val="00DA4382"/>
    <w:rsid w:val="00DA5351"/>
    <w:rsid w:val="00DB7E6C"/>
    <w:rsid w:val="00DD0C81"/>
    <w:rsid w:val="00DD0FB4"/>
    <w:rsid w:val="00DD5A29"/>
    <w:rsid w:val="00DD5D9D"/>
    <w:rsid w:val="00DE144F"/>
    <w:rsid w:val="00DE35CB"/>
    <w:rsid w:val="00DE78D6"/>
    <w:rsid w:val="00DF0917"/>
    <w:rsid w:val="00DF0A2B"/>
    <w:rsid w:val="00DF21E9"/>
    <w:rsid w:val="00E00F14"/>
    <w:rsid w:val="00E06386"/>
    <w:rsid w:val="00E06592"/>
    <w:rsid w:val="00E06B4E"/>
    <w:rsid w:val="00E13B8E"/>
    <w:rsid w:val="00E144A2"/>
    <w:rsid w:val="00E162BF"/>
    <w:rsid w:val="00E22254"/>
    <w:rsid w:val="00E2419B"/>
    <w:rsid w:val="00E24EB4"/>
    <w:rsid w:val="00E30133"/>
    <w:rsid w:val="00E3058F"/>
    <w:rsid w:val="00E319B0"/>
    <w:rsid w:val="00E320ED"/>
    <w:rsid w:val="00E33AFB"/>
    <w:rsid w:val="00E33DEA"/>
    <w:rsid w:val="00E34218"/>
    <w:rsid w:val="00E34855"/>
    <w:rsid w:val="00E46282"/>
    <w:rsid w:val="00E5216E"/>
    <w:rsid w:val="00E65575"/>
    <w:rsid w:val="00E66DFA"/>
    <w:rsid w:val="00E81037"/>
    <w:rsid w:val="00E82344"/>
    <w:rsid w:val="00E84C82"/>
    <w:rsid w:val="00E84D64"/>
    <w:rsid w:val="00E87408"/>
    <w:rsid w:val="00E914C4"/>
    <w:rsid w:val="00E93050"/>
    <w:rsid w:val="00E934F5"/>
    <w:rsid w:val="00E96961"/>
    <w:rsid w:val="00EA51B2"/>
    <w:rsid w:val="00EA5F8E"/>
    <w:rsid w:val="00EA72EC"/>
    <w:rsid w:val="00EB11CB"/>
    <w:rsid w:val="00EB1ED9"/>
    <w:rsid w:val="00EB275A"/>
    <w:rsid w:val="00EB3FC2"/>
    <w:rsid w:val="00EB786A"/>
    <w:rsid w:val="00EC1578"/>
    <w:rsid w:val="00EC1C72"/>
    <w:rsid w:val="00EC3CC9"/>
    <w:rsid w:val="00EC680A"/>
    <w:rsid w:val="00EC7F18"/>
    <w:rsid w:val="00ED2392"/>
    <w:rsid w:val="00ED467C"/>
    <w:rsid w:val="00EE00AA"/>
    <w:rsid w:val="00EE07FD"/>
    <w:rsid w:val="00EE2BED"/>
    <w:rsid w:val="00EE374B"/>
    <w:rsid w:val="00EE5879"/>
    <w:rsid w:val="00F008B2"/>
    <w:rsid w:val="00F00A97"/>
    <w:rsid w:val="00F01B84"/>
    <w:rsid w:val="00F01BC7"/>
    <w:rsid w:val="00F11BB5"/>
    <w:rsid w:val="00F1417B"/>
    <w:rsid w:val="00F2212B"/>
    <w:rsid w:val="00F25033"/>
    <w:rsid w:val="00F34B99"/>
    <w:rsid w:val="00F42544"/>
    <w:rsid w:val="00F42A9E"/>
    <w:rsid w:val="00F4416A"/>
    <w:rsid w:val="00F46829"/>
    <w:rsid w:val="00F52DAB"/>
    <w:rsid w:val="00F533F4"/>
    <w:rsid w:val="00F543F0"/>
    <w:rsid w:val="00F57B84"/>
    <w:rsid w:val="00F7081C"/>
    <w:rsid w:val="00F721DE"/>
    <w:rsid w:val="00F73447"/>
    <w:rsid w:val="00F75A0E"/>
    <w:rsid w:val="00F7607C"/>
    <w:rsid w:val="00F76EDC"/>
    <w:rsid w:val="00F7785F"/>
    <w:rsid w:val="00F81D29"/>
    <w:rsid w:val="00F83E61"/>
    <w:rsid w:val="00F87A8E"/>
    <w:rsid w:val="00F91C4D"/>
    <w:rsid w:val="00F92FD9"/>
    <w:rsid w:val="00F94B26"/>
    <w:rsid w:val="00F952D5"/>
    <w:rsid w:val="00FA6684"/>
    <w:rsid w:val="00FA731E"/>
    <w:rsid w:val="00FB13D7"/>
    <w:rsid w:val="00FB2B38"/>
    <w:rsid w:val="00FB3895"/>
    <w:rsid w:val="00FB6ABE"/>
    <w:rsid w:val="00FC4FEF"/>
    <w:rsid w:val="00FC6358"/>
    <w:rsid w:val="00FD25A7"/>
    <w:rsid w:val="00FD320D"/>
    <w:rsid w:val="00FD32A0"/>
    <w:rsid w:val="00FD524D"/>
    <w:rsid w:val="00FE02E3"/>
    <w:rsid w:val="00FE23DE"/>
    <w:rsid w:val="00FE4996"/>
    <w:rsid w:val="00FE7867"/>
    <w:rsid w:val="00FF12C0"/>
    <w:rsid w:val="00FF523F"/>
    <w:rsid w:val="00FF6955"/>
    <w:rsid w:val="00FF7158"/>
    <w:rsid w:val="0114436C"/>
    <w:rsid w:val="018D570E"/>
    <w:rsid w:val="01B26AFB"/>
    <w:rsid w:val="01B64445"/>
    <w:rsid w:val="01E6455C"/>
    <w:rsid w:val="020D53CA"/>
    <w:rsid w:val="02B171FD"/>
    <w:rsid w:val="02D95747"/>
    <w:rsid w:val="02DD1EF5"/>
    <w:rsid w:val="02FA2D42"/>
    <w:rsid w:val="031A329A"/>
    <w:rsid w:val="03354B68"/>
    <w:rsid w:val="034E5E68"/>
    <w:rsid w:val="03684BF1"/>
    <w:rsid w:val="03E801E6"/>
    <w:rsid w:val="04486B13"/>
    <w:rsid w:val="04642B98"/>
    <w:rsid w:val="04690ED9"/>
    <w:rsid w:val="049D3AAA"/>
    <w:rsid w:val="04F91E22"/>
    <w:rsid w:val="050D45D1"/>
    <w:rsid w:val="0553544C"/>
    <w:rsid w:val="05E30D04"/>
    <w:rsid w:val="05FB63B2"/>
    <w:rsid w:val="06763D8C"/>
    <w:rsid w:val="06CE1CB3"/>
    <w:rsid w:val="072275DD"/>
    <w:rsid w:val="074C6611"/>
    <w:rsid w:val="075E1B1B"/>
    <w:rsid w:val="07D35537"/>
    <w:rsid w:val="08453180"/>
    <w:rsid w:val="089F5E82"/>
    <w:rsid w:val="08A00D1F"/>
    <w:rsid w:val="08B42D85"/>
    <w:rsid w:val="08ED674E"/>
    <w:rsid w:val="096B5D13"/>
    <w:rsid w:val="0A4C50C6"/>
    <w:rsid w:val="0A9C2724"/>
    <w:rsid w:val="0AE77D3A"/>
    <w:rsid w:val="0B34055E"/>
    <w:rsid w:val="0B9B1CA0"/>
    <w:rsid w:val="0C4E5DD2"/>
    <w:rsid w:val="0C7861CA"/>
    <w:rsid w:val="0D3966E9"/>
    <w:rsid w:val="0DC14E6F"/>
    <w:rsid w:val="0E074000"/>
    <w:rsid w:val="0E0B001C"/>
    <w:rsid w:val="0E4F0399"/>
    <w:rsid w:val="0EE07DE3"/>
    <w:rsid w:val="0EE41F1A"/>
    <w:rsid w:val="0F81560F"/>
    <w:rsid w:val="105F060F"/>
    <w:rsid w:val="110F1B08"/>
    <w:rsid w:val="11237DA8"/>
    <w:rsid w:val="1130655F"/>
    <w:rsid w:val="11A31F58"/>
    <w:rsid w:val="11B5429E"/>
    <w:rsid w:val="12214841"/>
    <w:rsid w:val="12411FD6"/>
    <w:rsid w:val="12471437"/>
    <w:rsid w:val="13165AFC"/>
    <w:rsid w:val="13204D15"/>
    <w:rsid w:val="13C12A73"/>
    <w:rsid w:val="13E23AF9"/>
    <w:rsid w:val="13EB4108"/>
    <w:rsid w:val="144A5F5E"/>
    <w:rsid w:val="14A95960"/>
    <w:rsid w:val="14ED5544"/>
    <w:rsid w:val="1528483A"/>
    <w:rsid w:val="152B6676"/>
    <w:rsid w:val="158C62A5"/>
    <w:rsid w:val="15A34FBE"/>
    <w:rsid w:val="15CD2A01"/>
    <w:rsid w:val="15D75BCA"/>
    <w:rsid w:val="15E54E8F"/>
    <w:rsid w:val="15FF3B2D"/>
    <w:rsid w:val="16343597"/>
    <w:rsid w:val="16C541E2"/>
    <w:rsid w:val="17034783"/>
    <w:rsid w:val="1709340E"/>
    <w:rsid w:val="17C95909"/>
    <w:rsid w:val="191815D5"/>
    <w:rsid w:val="19306EFE"/>
    <w:rsid w:val="194147C1"/>
    <w:rsid w:val="195947EA"/>
    <w:rsid w:val="19907003"/>
    <w:rsid w:val="1A6373C2"/>
    <w:rsid w:val="1AB30716"/>
    <w:rsid w:val="1C262F73"/>
    <w:rsid w:val="1C4D3AAC"/>
    <w:rsid w:val="1C795241"/>
    <w:rsid w:val="1CBA3B8E"/>
    <w:rsid w:val="1D5368C7"/>
    <w:rsid w:val="1D8B5FFE"/>
    <w:rsid w:val="1DFA4603"/>
    <w:rsid w:val="1E055F4A"/>
    <w:rsid w:val="1E0839A8"/>
    <w:rsid w:val="1F055028"/>
    <w:rsid w:val="1F15795E"/>
    <w:rsid w:val="1F5B50AE"/>
    <w:rsid w:val="1F6B5471"/>
    <w:rsid w:val="20E84074"/>
    <w:rsid w:val="21186B21"/>
    <w:rsid w:val="21ED5644"/>
    <w:rsid w:val="21FE179D"/>
    <w:rsid w:val="22020D35"/>
    <w:rsid w:val="220750C7"/>
    <w:rsid w:val="222551F0"/>
    <w:rsid w:val="22461972"/>
    <w:rsid w:val="225E5FC3"/>
    <w:rsid w:val="22B718BA"/>
    <w:rsid w:val="22B920D4"/>
    <w:rsid w:val="23053E32"/>
    <w:rsid w:val="23072EEF"/>
    <w:rsid w:val="231210A5"/>
    <w:rsid w:val="23346670"/>
    <w:rsid w:val="24443B90"/>
    <w:rsid w:val="24D72A63"/>
    <w:rsid w:val="25753B49"/>
    <w:rsid w:val="25781B47"/>
    <w:rsid w:val="25EB27DC"/>
    <w:rsid w:val="26122685"/>
    <w:rsid w:val="26996451"/>
    <w:rsid w:val="26C42CCB"/>
    <w:rsid w:val="26EF49B1"/>
    <w:rsid w:val="272F3B32"/>
    <w:rsid w:val="27424611"/>
    <w:rsid w:val="27831B0E"/>
    <w:rsid w:val="281202C1"/>
    <w:rsid w:val="28241FA6"/>
    <w:rsid w:val="29AB780B"/>
    <w:rsid w:val="29DD2DC5"/>
    <w:rsid w:val="29FB494F"/>
    <w:rsid w:val="2A2D35F9"/>
    <w:rsid w:val="2A690A59"/>
    <w:rsid w:val="2A9221AA"/>
    <w:rsid w:val="2AE04D25"/>
    <w:rsid w:val="2BA75683"/>
    <w:rsid w:val="2C100C15"/>
    <w:rsid w:val="2C841376"/>
    <w:rsid w:val="2D5C69CF"/>
    <w:rsid w:val="2D805775"/>
    <w:rsid w:val="2DDA5CC6"/>
    <w:rsid w:val="2DE407F3"/>
    <w:rsid w:val="2E386F2E"/>
    <w:rsid w:val="2E906B1C"/>
    <w:rsid w:val="2EC81E4C"/>
    <w:rsid w:val="2F0C27A5"/>
    <w:rsid w:val="2F504892"/>
    <w:rsid w:val="2FA86965"/>
    <w:rsid w:val="2FCE538A"/>
    <w:rsid w:val="2FD52E3F"/>
    <w:rsid w:val="2FD83A0F"/>
    <w:rsid w:val="2FE07301"/>
    <w:rsid w:val="3035262C"/>
    <w:rsid w:val="30B30D50"/>
    <w:rsid w:val="30D608F3"/>
    <w:rsid w:val="30F23903"/>
    <w:rsid w:val="31143854"/>
    <w:rsid w:val="31262709"/>
    <w:rsid w:val="31672CF1"/>
    <w:rsid w:val="31812631"/>
    <w:rsid w:val="31E26BCE"/>
    <w:rsid w:val="31FC65D1"/>
    <w:rsid w:val="32341D04"/>
    <w:rsid w:val="323D7691"/>
    <w:rsid w:val="329840FE"/>
    <w:rsid w:val="32A41610"/>
    <w:rsid w:val="3314348A"/>
    <w:rsid w:val="33507B78"/>
    <w:rsid w:val="33814BBD"/>
    <w:rsid w:val="33CB0217"/>
    <w:rsid w:val="33CD16EC"/>
    <w:rsid w:val="34045C9E"/>
    <w:rsid w:val="34A304D5"/>
    <w:rsid w:val="35436E8C"/>
    <w:rsid w:val="35AA2E1A"/>
    <w:rsid w:val="35FC3422"/>
    <w:rsid w:val="36080405"/>
    <w:rsid w:val="361C4597"/>
    <w:rsid w:val="36E14B24"/>
    <w:rsid w:val="36E8492E"/>
    <w:rsid w:val="36FD3FA4"/>
    <w:rsid w:val="37656062"/>
    <w:rsid w:val="3785375D"/>
    <w:rsid w:val="3805499B"/>
    <w:rsid w:val="38076F4B"/>
    <w:rsid w:val="38501F63"/>
    <w:rsid w:val="38830877"/>
    <w:rsid w:val="38C03275"/>
    <w:rsid w:val="39056E4D"/>
    <w:rsid w:val="390662C4"/>
    <w:rsid w:val="39531BD8"/>
    <w:rsid w:val="39784F54"/>
    <w:rsid w:val="39A84BF2"/>
    <w:rsid w:val="39CF123D"/>
    <w:rsid w:val="3A1D3FDB"/>
    <w:rsid w:val="3A394077"/>
    <w:rsid w:val="3AAA09FD"/>
    <w:rsid w:val="3AD92918"/>
    <w:rsid w:val="3BE47F5C"/>
    <w:rsid w:val="3BED3DAE"/>
    <w:rsid w:val="3C0E1006"/>
    <w:rsid w:val="3C874F22"/>
    <w:rsid w:val="3D3F65FE"/>
    <w:rsid w:val="3D67349D"/>
    <w:rsid w:val="3DB91179"/>
    <w:rsid w:val="3DCA7473"/>
    <w:rsid w:val="3E7952D1"/>
    <w:rsid w:val="3E8C00BA"/>
    <w:rsid w:val="3EA30E2D"/>
    <w:rsid w:val="3EA66361"/>
    <w:rsid w:val="3ED97A98"/>
    <w:rsid w:val="3EEB1C87"/>
    <w:rsid w:val="3F2C507A"/>
    <w:rsid w:val="3F7E5C94"/>
    <w:rsid w:val="3FA0611C"/>
    <w:rsid w:val="3FDA1F02"/>
    <w:rsid w:val="3FFE1754"/>
    <w:rsid w:val="40145CC5"/>
    <w:rsid w:val="40580367"/>
    <w:rsid w:val="411734E8"/>
    <w:rsid w:val="41226036"/>
    <w:rsid w:val="415F318F"/>
    <w:rsid w:val="4193036C"/>
    <w:rsid w:val="41A67135"/>
    <w:rsid w:val="41C77552"/>
    <w:rsid w:val="41CD3545"/>
    <w:rsid w:val="41D915C5"/>
    <w:rsid w:val="41E63842"/>
    <w:rsid w:val="41F70327"/>
    <w:rsid w:val="423525B7"/>
    <w:rsid w:val="42CE4911"/>
    <w:rsid w:val="43530EFF"/>
    <w:rsid w:val="43DD12AF"/>
    <w:rsid w:val="44036B60"/>
    <w:rsid w:val="44CE0A14"/>
    <w:rsid w:val="450F57C2"/>
    <w:rsid w:val="45966494"/>
    <w:rsid w:val="45986FD3"/>
    <w:rsid w:val="470C28EB"/>
    <w:rsid w:val="47160FC6"/>
    <w:rsid w:val="474F501D"/>
    <w:rsid w:val="477B5FE6"/>
    <w:rsid w:val="47952EC6"/>
    <w:rsid w:val="47A17CC0"/>
    <w:rsid w:val="480731A3"/>
    <w:rsid w:val="483416F3"/>
    <w:rsid w:val="48644CF1"/>
    <w:rsid w:val="486C04AC"/>
    <w:rsid w:val="488E3ABF"/>
    <w:rsid w:val="48D445E3"/>
    <w:rsid w:val="48FA645F"/>
    <w:rsid w:val="49500206"/>
    <w:rsid w:val="495E6869"/>
    <w:rsid w:val="49674916"/>
    <w:rsid w:val="49912CB6"/>
    <w:rsid w:val="49F77B66"/>
    <w:rsid w:val="4A0907B7"/>
    <w:rsid w:val="4AD26516"/>
    <w:rsid w:val="4B561A24"/>
    <w:rsid w:val="4B914CC4"/>
    <w:rsid w:val="4BD078B5"/>
    <w:rsid w:val="4C216D46"/>
    <w:rsid w:val="4C2A7C32"/>
    <w:rsid w:val="4C666637"/>
    <w:rsid w:val="4CB22FAD"/>
    <w:rsid w:val="4CC959AC"/>
    <w:rsid w:val="4CD501D3"/>
    <w:rsid w:val="4D3A0EBF"/>
    <w:rsid w:val="4D4433DB"/>
    <w:rsid w:val="4D71033A"/>
    <w:rsid w:val="4DF405E7"/>
    <w:rsid w:val="4E301046"/>
    <w:rsid w:val="4F5B07E0"/>
    <w:rsid w:val="4FD76B9C"/>
    <w:rsid w:val="501B4CF5"/>
    <w:rsid w:val="50DC5177"/>
    <w:rsid w:val="50DD7D98"/>
    <w:rsid w:val="5119756B"/>
    <w:rsid w:val="51245D98"/>
    <w:rsid w:val="512B1825"/>
    <w:rsid w:val="51465000"/>
    <w:rsid w:val="51A17528"/>
    <w:rsid w:val="51FC2BAC"/>
    <w:rsid w:val="522E29A1"/>
    <w:rsid w:val="52323C87"/>
    <w:rsid w:val="52403930"/>
    <w:rsid w:val="525C5760"/>
    <w:rsid w:val="525E5632"/>
    <w:rsid w:val="52E60246"/>
    <w:rsid w:val="53032DCA"/>
    <w:rsid w:val="53C4486F"/>
    <w:rsid w:val="541918F7"/>
    <w:rsid w:val="541E6EEA"/>
    <w:rsid w:val="54302863"/>
    <w:rsid w:val="54963AEC"/>
    <w:rsid w:val="552B1EB0"/>
    <w:rsid w:val="554358E2"/>
    <w:rsid w:val="557A7616"/>
    <w:rsid w:val="55B92E25"/>
    <w:rsid w:val="55E8083C"/>
    <w:rsid w:val="562974C8"/>
    <w:rsid w:val="5698229F"/>
    <w:rsid w:val="56982435"/>
    <w:rsid w:val="57941D96"/>
    <w:rsid w:val="57E5698D"/>
    <w:rsid w:val="57E976D3"/>
    <w:rsid w:val="589A3BE2"/>
    <w:rsid w:val="58AD6164"/>
    <w:rsid w:val="59E27C37"/>
    <w:rsid w:val="59EC1922"/>
    <w:rsid w:val="5ACF1C50"/>
    <w:rsid w:val="5AFA54D1"/>
    <w:rsid w:val="5B2313FD"/>
    <w:rsid w:val="5B334E74"/>
    <w:rsid w:val="5B544D4C"/>
    <w:rsid w:val="5D1A092B"/>
    <w:rsid w:val="5D3B6BB0"/>
    <w:rsid w:val="5DB64133"/>
    <w:rsid w:val="5E516062"/>
    <w:rsid w:val="5EAD4984"/>
    <w:rsid w:val="5EDE572E"/>
    <w:rsid w:val="5F2D7FE9"/>
    <w:rsid w:val="5F496E89"/>
    <w:rsid w:val="5F9B1B71"/>
    <w:rsid w:val="5FE63AAF"/>
    <w:rsid w:val="60475555"/>
    <w:rsid w:val="6064009B"/>
    <w:rsid w:val="607E6B43"/>
    <w:rsid w:val="608D511F"/>
    <w:rsid w:val="60DB550F"/>
    <w:rsid w:val="60EF3518"/>
    <w:rsid w:val="61167757"/>
    <w:rsid w:val="611B24B4"/>
    <w:rsid w:val="61C44DD2"/>
    <w:rsid w:val="623E6CAD"/>
    <w:rsid w:val="62B9179F"/>
    <w:rsid w:val="63204D5B"/>
    <w:rsid w:val="632E7BDF"/>
    <w:rsid w:val="635D0562"/>
    <w:rsid w:val="63A30C7F"/>
    <w:rsid w:val="63D807DE"/>
    <w:rsid w:val="63E11119"/>
    <w:rsid w:val="64070A5E"/>
    <w:rsid w:val="65067591"/>
    <w:rsid w:val="652E2E64"/>
    <w:rsid w:val="653B6848"/>
    <w:rsid w:val="658E4BE1"/>
    <w:rsid w:val="65AD26DF"/>
    <w:rsid w:val="65C97630"/>
    <w:rsid w:val="6619684B"/>
    <w:rsid w:val="661C2140"/>
    <w:rsid w:val="661C52E5"/>
    <w:rsid w:val="66301C98"/>
    <w:rsid w:val="665F17C4"/>
    <w:rsid w:val="66AD3BAA"/>
    <w:rsid w:val="66BF196D"/>
    <w:rsid w:val="66C832A1"/>
    <w:rsid w:val="66CF26D9"/>
    <w:rsid w:val="67562C66"/>
    <w:rsid w:val="67572755"/>
    <w:rsid w:val="681C6D16"/>
    <w:rsid w:val="68F23A8A"/>
    <w:rsid w:val="69844922"/>
    <w:rsid w:val="69F5122B"/>
    <w:rsid w:val="69FC1F3F"/>
    <w:rsid w:val="6A17397E"/>
    <w:rsid w:val="6AFA7566"/>
    <w:rsid w:val="6AFB0BED"/>
    <w:rsid w:val="6B277361"/>
    <w:rsid w:val="6BE11768"/>
    <w:rsid w:val="6C8E1EF9"/>
    <w:rsid w:val="6C97554A"/>
    <w:rsid w:val="6CEC3C0D"/>
    <w:rsid w:val="6D6852A7"/>
    <w:rsid w:val="6DC86BA8"/>
    <w:rsid w:val="6DD0072A"/>
    <w:rsid w:val="6E4D0A2E"/>
    <w:rsid w:val="6E9553CC"/>
    <w:rsid w:val="6FB74612"/>
    <w:rsid w:val="6FBB487E"/>
    <w:rsid w:val="70815B9C"/>
    <w:rsid w:val="70B53BD9"/>
    <w:rsid w:val="71321BA9"/>
    <w:rsid w:val="71D87F1D"/>
    <w:rsid w:val="720B0949"/>
    <w:rsid w:val="72123B09"/>
    <w:rsid w:val="725A6E95"/>
    <w:rsid w:val="729B6474"/>
    <w:rsid w:val="72BC09DF"/>
    <w:rsid w:val="72EE3C33"/>
    <w:rsid w:val="734812AB"/>
    <w:rsid w:val="74303BAC"/>
    <w:rsid w:val="74463365"/>
    <w:rsid w:val="76CC6CCE"/>
    <w:rsid w:val="76F41C56"/>
    <w:rsid w:val="772D2782"/>
    <w:rsid w:val="774A5724"/>
    <w:rsid w:val="77BD126B"/>
    <w:rsid w:val="77D02E22"/>
    <w:rsid w:val="784F5B86"/>
    <w:rsid w:val="78A36919"/>
    <w:rsid w:val="78C102EF"/>
    <w:rsid w:val="78CB2C91"/>
    <w:rsid w:val="78F124F5"/>
    <w:rsid w:val="79135EAF"/>
    <w:rsid w:val="79760DFD"/>
    <w:rsid w:val="79AE6270"/>
    <w:rsid w:val="79C22811"/>
    <w:rsid w:val="7A022CC7"/>
    <w:rsid w:val="7A1F0496"/>
    <w:rsid w:val="7A481F6B"/>
    <w:rsid w:val="7A517B7D"/>
    <w:rsid w:val="7A6F658D"/>
    <w:rsid w:val="7A9F5AA0"/>
    <w:rsid w:val="7AAB32DB"/>
    <w:rsid w:val="7AE302DC"/>
    <w:rsid w:val="7B56262D"/>
    <w:rsid w:val="7CA7453B"/>
    <w:rsid w:val="7CD6400E"/>
    <w:rsid w:val="7D1B71ED"/>
    <w:rsid w:val="7D4C5F86"/>
    <w:rsid w:val="7D6D0AF7"/>
    <w:rsid w:val="7D7C6F37"/>
    <w:rsid w:val="7DF022BA"/>
    <w:rsid w:val="7DF6246E"/>
    <w:rsid w:val="7E290E19"/>
    <w:rsid w:val="7E345A55"/>
    <w:rsid w:val="7EC96CA7"/>
    <w:rsid w:val="7EFC1E02"/>
    <w:rsid w:val="7F10426C"/>
    <w:rsid w:val="7F166464"/>
    <w:rsid w:val="7F1F3036"/>
    <w:rsid w:val="7FA803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168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a">
    <w:name w:val="Normal"/>
    <w:qFormat/>
    <w:pPr>
      <w:widowControl w:val="0"/>
      <w:jc w:val="both"/>
    </w:pPr>
    <w:rPr>
      <w:kern w:val="2"/>
      <w:sz w:val="21"/>
      <w:szCs w:val="24"/>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TOC7">
    <w:name w:val="toc 7"/>
    <w:basedOn w:val="afa"/>
    <w:next w:val="afa"/>
    <w:semiHidden/>
    <w:qFormat/>
    <w:pPr>
      <w:tabs>
        <w:tab w:val="right" w:leader="dot" w:pos="9241"/>
      </w:tabs>
      <w:ind w:firstLineChars="500" w:firstLine="500"/>
      <w:jc w:val="left"/>
    </w:pPr>
    <w:rPr>
      <w:rFonts w:ascii="宋体"/>
      <w:szCs w:val="21"/>
    </w:rPr>
  </w:style>
  <w:style w:type="paragraph" w:styleId="8">
    <w:name w:val="index 8"/>
    <w:basedOn w:val="afa"/>
    <w:next w:val="afa"/>
    <w:qFormat/>
    <w:pPr>
      <w:ind w:left="1680" w:hanging="210"/>
      <w:jc w:val="left"/>
    </w:pPr>
    <w:rPr>
      <w:rFonts w:ascii="Calibri" w:hAnsi="Calibri"/>
      <w:sz w:val="20"/>
      <w:szCs w:val="20"/>
    </w:rPr>
  </w:style>
  <w:style w:type="paragraph" w:styleId="afe">
    <w:name w:val="caption"/>
    <w:basedOn w:val="afa"/>
    <w:next w:val="afa"/>
    <w:qFormat/>
    <w:pPr>
      <w:spacing w:before="152" w:after="160"/>
    </w:pPr>
    <w:rPr>
      <w:rFonts w:ascii="Arial" w:eastAsia="黑体" w:hAnsi="Arial" w:cs="Arial"/>
      <w:sz w:val="20"/>
      <w:szCs w:val="20"/>
    </w:rPr>
  </w:style>
  <w:style w:type="paragraph" w:styleId="50">
    <w:name w:val="index 5"/>
    <w:basedOn w:val="afa"/>
    <w:next w:val="afa"/>
    <w:qFormat/>
    <w:pPr>
      <w:ind w:left="1050" w:hanging="210"/>
      <w:jc w:val="left"/>
    </w:pPr>
    <w:rPr>
      <w:rFonts w:ascii="Calibri" w:hAnsi="Calibri"/>
      <w:sz w:val="20"/>
      <w:szCs w:val="20"/>
    </w:rPr>
  </w:style>
  <w:style w:type="paragraph" w:styleId="aff">
    <w:name w:val="Document Map"/>
    <w:basedOn w:val="afa"/>
    <w:semiHidden/>
    <w:qFormat/>
    <w:pPr>
      <w:shd w:val="clear" w:color="auto" w:fill="000080"/>
    </w:pPr>
  </w:style>
  <w:style w:type="paragraph" w:styleId="aff0">
    <w:name w:val="annotation text"/>
    <w:basedOn w:val="afa"/>
    <w:link w:val="aff1"/>
    <w:unhideWhenUsed/>
    <w:qFormat/>
    <w:pPr>
      <w:jc w:val="left"/>
    </w:pPr>
  </w:style>
  <w:style w:type="paragraph" w:styleId="6">
    <w:name w:val="index 6"/>
    <w:basedOn w:val="afa"/>
    <w:next w:val="afa"/>
    <w:qFormat/>
    <w:pPr>
      <w:ind w:left="1260" w:hanging="210"/>
      <w:jc w:val="left"/>
    </w:pPr>
    <w:rPr>
      <w:rFonts w:ascii="Calibri" w:hAnsi="Calibri"/>
      <w:sz w:val="20"/>
      <w:szCs w:val="20"/>
    </w:rPr>
  </w:style>
  <w:style w:type="paragraph" w:styleId="40">
    <w:name w:val="index 4"/>
    <w:basedOn w:val="afa"/>
    <w:next w:val="afa"/>
    <w:qFormat/>
    <w:pPr>
      <w:ind w:left="840" w:hanging="210"/>
      <w:jc w:val="left"/>
    </w:pPr>
    <w:rPr>
      <w:rFonts w:ascii="Calibri" w:hAnsi="Calibri"/>
      <w:sz w:val="20"/>
      <w:szCs w:val="20"/>
    </w:rPr>
  </w:style>
  <w:style w:type="paragraph" w:styleId="TOC5">
    <w:name w:val="toc 5"/>
    <w:basedOn w:val="afa"/>
    <w:next w:val="afa"/>
    <w:semiHidden/>
    <w:qFormat/>
    <w:pPr>
      <w:tabs>
        <w:tab w:val="right" w:leader="dot" w:pos="9241"/>
      </w:tabs>
      <w:ind w:firstLineChars="300" w:firstLine="300"/>
      <w:jc w:val="left"/>
    </w:pPr>
    <w:rPr>
      <w:rFonts w:ascii="宋体"/>
      <w:szCs w:val="21"/>
    </w:rPr>
  </w:style>
  <w:style w:type="paragraph" w:styleId="TOC3">
    <w:name w:val="toc 3"/>
    <w:basedOn w:val="afa"/>
    <w:next w:val="afa"/>
    <w:semiHidden/>
    <w:qFormat/>
    <w:pPr>
      <w:tabs>
        <w:tab w:val="right" w:leader="dot" w:pos="9241"/>
      </w:tabs>
      <w:ind w:firstLineChars="100" w:firstLine="100"/>
      <w:jc w:val="left"/>
    </w:pPr>
    <w:rPr>
      <w:rFonts w:ascii="宋体"/>
      <w:szCs w:val="21"/>
    </w:rPr>
  </w:style>
  <w:style w:type="paragraph" w:styleId="aff2">
    <w:name w:val="Plain Text"/>
    <w:basedOn w:val="afa"/>
    <w:qFormat/>
    <w:rPr>
      <w:rFonts w:ascii="宋体" w:hAnsi="Courier New"/>
      <w:szCs w:val="20"/>
    </w:rPr>
  </w:style>
  <w:style w:type="paragraph" w:styleId="TOC8">
    <w:name w:val="toc 8"/>
    <w:basedOn w:val="afa"/>
    <w:next w:val="afa"/>
    <w:semiHidden/>
    <w:qFormat/>
    <w:pPr>
      <w:tabs>
        <w:tab w:val="right" w:leader="dot" w:pos="9241"/>
      </w:tabs>
      <w:ind w:firstLineChars="600" w:firstLine="607"/>
      <w:jc w:val="left"/>
    </w:pPr>
    <w:rPr>
      <w:rFonts w:ascii="宋体"/>
      <w:szCs w:val="21"/>
    </w:rPr>
  </w:style>
  <w:style w:type="paragraph" w:styleId="30">
    <w:name w:val="index 3"/>
    <w:basedOn w:val="afa"/>
    <w:next w:val="afa"/>
    <w:qFormat/>
    <w:pPr>
      <w:ind w:left="630" w:hanging="210"/>
      <w:jc w:val="left"/>
    </w:pPr>
    <w:rPr>
      <w:rFonts w:ascii="Calibri" w:hAnsi="Calibri"/>
      <w:sz w:val="20"/>
      <w:szCs w:val="20"/>
    </w:rPr>
  </w:style>
  <w:style w:type="paragraph" w:styleId="aff3">
    <w:name w:val="endnote text"/>
    <w:basedOn w:val="afa"/>
    <w:semiHidden/>
    <w:qFormat/>
    <w:pPr>
      <w:snapToGrid w:val="0"/>
      <w:jc w:val="left"/>
    </w:pPr>
  </w:style>
  <w:style w:type="paragraph" w:styleId="aff4">
    <w:name w:val="Balloon Text"/>
    <w:basedOn w:val="afa"/>
    <w:link w:val="aff5"/>
    <w:qFormat/>
    <w:rPr>
      <w:sz w:val="18"/>
      <w:szCs w:val="18"/>
    </w:rPr>
  </w:style>
  <w:style w:type="paragraph" w:styleId="aff6">
    <w:name w:val="footer"/>
    <w:basedOn w:val="afa"/>
    <w:link w:val="aff7"/>
    <w:uiPriority w:val="99"/>
    <w:qFormat/>
    <w:pPr>
      <w:snapToGrid w:val="0"/>
      <w:ind w:rightChars="100" w:right="210"/>
      <w:jc w:val="right"/>
    </w:pPr>
    <w:rPr>
      <w:sz w:val="18"/>
      <w:szCs w:val="18"/>
    </w:rPr>
  </w:style>
  <w:style w:type="paragraph" w:styleId="aff8">
    <w:name w:val="header"/>
    <w:basedOn w:val="afa"/>
    <w:link w:val="aff9"/>
    <w:uiPriority w:val="99"/>
    <w:qFormat/>
    <w:pPr>
      <w:snapToGrid w:val="0"/>
      <w:jc w:val="left"/>
    </w:pPr>
    <w:rPr>
      <w:sz w:val="18"/>
      <w:szCs w:val="18"/>
    </w:rPr>
  </w:style>
  <w:style w:type="paragraph" w:styleId="TOC1">
    <w:name w:val="toc 1"/>
    <w:basedOn w:val="afa"/>
    <w:next w:val="afa"/>
    <w:semiHidden/>
    <w:qFormat/>
    <w:pPr>
      <w:tabs>
        <w:tab w:val="right" w:leader="dot" w:pos="9242"/>
      </w:tabs>
      <w:spacing w:beforeLines="25" w:afterLines="25"/>
      <w:jc w:val="left"/>
    </w:pPr>
    <w:rPr>
      <w:rFonts w:ascii="宋体"/>
      <w:szCs w:val="21"/>
    </w:rPr>
  </w:style>
  <w:style w:type="paragraph" w:styleId="TOC4">
    <w:name w:val="toc 4"/>
    <w:basedOn w:val="afa"/>
    <w:next w:val="afa"/>
    <w:semiHidden/>
    <w:qFormat/>
    <w:pPr>
      <w:tabs>
        <w:tab w:val="right" w:leader="dot" w:pos="9241"/>
      </w:tabs>
      <w:ind w:firstLineChars="200" w:firstLine="200"/>
      <w:jc w:val="left"/>
    </w:pPr>
    <w:rPr>
      <w:rFonts w:ascii="宋体"/>
      <w:szCs w:val="21"/>
    </w:rPr>
  </w:style>
  <w:style w:type="paragraph" w:styleId="affa">
    <w:name w:val="index heading"/>
    <w:basedOn w:val="afa"/>
    <w:next w:val="10"/>
    <w:qFormat/>
    <w:pPr>
      <w:spacing w:before="120" w:after="120"/>
      <w:jc w:val="center"/>
    </w:pPr>
    <w:rPr>
      <w:rFonts w:ascii="Calibri" w:hAnsi="Calibri"/>
      <w:b/>
      <w:bCs/>
      <w:iCs/>
      <w:szCs w:val="20"/>
    </w:rPr>
  </w:style>
  <w:style w:type="paragraph" w:styleId="10">
    <w:name w:val="index 1"/>
    <w:basedOn w:val="afa"/>
    <w:next w:val="affb"/>
    <w:qFormat/>
    <w:pPr>
      <w:tabs>
        <w:tab w:val="right" w:leader="dot" w:pos="9299"/>
      </w:tabs>
      <w:jc w:val="left"/>
    </w:pPr>
    <w:rPr>
      <w:rFonts w:ascii="宋体"/>
      <w:szCs w:val="21"/>
    </w:rPr>
  </w:style>
  <w:style w:type="paragraph" w:customStyle="1" w:styleId="affb">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b">
    <w:name w:val="footnote text"/>
    <w:basedOn w:val="afa"/>
    <w:qFormat/>
    <w:pPr>
      <w:numPr>
        <w:numId w:val="1"/>
      </w:numPr>
      <w:snapToGrid w:val="0"/>
      <w:jc w:val="left"/>
    </w:pPr>
    <w:rPr>
      <w:rFonts w:ascii="宋体"/>
      <w:sz w:val="18"/>
      <w:szCs w:val="18"/>
    </w:rPr>
  </w:style>
  <w:style w:type="paragraph" w:styleId="TOC6">
    <w:name w:val="toc 6"/>
    <w:basedOn w:val="afa"/>
    <w:next w:val="afa"/>
    <w:semiHidden/>
    <w:qFormat/>
    <w:pPr>
      <w:tabs>
        <w:tab w:val="right" w:leader="dot" w:pos="9241"/>
      </w:tabs>
      <w:ind w:firstLineChars="400" w:firstLine="400"/>
      <w:jc w:val="left"/>
    </w:pPr>
    <w:rPr>
      <w:rFonts w:ascii="宋体"/>
      <w:szCs w:val="21"/>
    </w:rPr>
  </w:style>
  <w:style w:type="paragraph" w:styleId="7">
    <w:name w:val="index 7"/>
    <w:basedOn w:val="afa"/>
    <w:next w:val="afa"/>
    <w:qFormat/>
    <w:pPr>
      <w:ind w:left="1470" w:hanging="210"/>
      <w:jc w:val="left"/>
    </w:pPr>
    <w:rPr>
      <w:rFonts w:ascii="Calibri" w:hAnsi="Calibri"/>
      <w:sz w:val="20"/>
      <w:szCs w:val="20"/>
    </w:rPr>
  </w:style>
  <w:style w:type="paragraph" w:styleId="9">
    <w:name w:val="index 9"/>
    <w:basedOn w:val="afa"/>
    <w:next w:val="afa"/>
    <w:qFormat/>
    <w:pPr>
      <w:ind w:left="1890" w:hanging="210"/>
      <w:jc w:val="left"/>
    </w:pPr>
    <w:rPr>
      <w:rFonts w:ascii="Calibri" w:hAnsi="Calibri"/>
      <w:sz w:val="20"/>
      <w:szCs w:val="20"/>
    </w:rPr>
  </w:style>
  <w:style w:type="paragraph" w:styleId="TOC2">
    <w:name w:val="toc 2"/>
    <w:basedOn w:val="afa"/>
    <w:next w:val="afa"/>
    <w:semiHidden/>
    <w:qFormat/>
    <w:pPr>
      <w:tabs>
        <w:tab w:val="right" w:leader="dot" w:pos="9242"/>
      </w:tabs>
    </w:pPr>
    <w:rPr>
      <w:rFonts w:ascii="宋体"/>
      <w:szCs w:val="21"/>
    </w:rPr>
  </w:style>
  <w:style w:type="paragraph" w:styleId="TOC9">
    <w:name w:val="toc 9"/>
    <w:basedOn w:val="afa"/>
    <w:next w:val="afa"/>
    <w:semiHidden/>
    <w:qFormat/>
    <w:pPr>
      <w:ind w:left="1470"/>
      <w:jc w:val="left"/>
    </w:pPr>
    <w:rPr>
      <w:sz w:val="20"/>
      <w:szCs w:val="20"/>
    </w:rPr>
  </w:style>
  <w:style w:type="paragraph" w:styleId="20">
    <w:name w:val="index 2"/>
    <w:basedOn w:val="afa"/>
    <w:next w:val="afa"/>
    <w:qFormat/>
    <w:pPr>
      <w:ind w:left="420" w:hanging="210"/>
      <w:jc w:val="left"/>
    </w:pPr>
    <w:rPr>
      <w:rFonts w:ascii="Calibri" w:hAnsi="Calibri"/>
      <w:sz w:val="20"/>
      <w:szCs w:val="20"/>
    </w:rPr>
  </w:style>
  <w:style w:type="paragraph" w:styleId="affc">
    <w:name w:val="annotation subject"/>
    <w:basedOn w:val="aff0"/>
    <w:next w:val="aff0"/>
    <w:link w:val="affd"/>
    <w:unhideWhenUsed/>
    <w:qFormat/>
    <w:rPr>
      <w:b/>
      <w:bCs/>
    </w:rPr>
  </w:style>
  <w:style w:type="table" w:styleId="affe">
    <w:name w:val="Table Grid"/>
    <w:basedOn w:val="afc"/>
    <w:uiPriority w:val="59"/>
    <w:qFormat/>
    <w:pPr>
      <w:numPr>
        <w:numId w:val="2"/>
      </w:numPr>
      <w:tabs>
        <w:tab w:val="left" w:pos="360"/>
      </w:tabs>
      <w:ind w:left="0" w:firstLine="0"/>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
    <w:name w:val="endnote reference"/>
    <w:semiHidden/>
    <w:qFormat/>
    <w:rPr>
      <w:vertAlign w:val="superscript"/>
    </w:rPr>
  </w:style>
  <w:style w:type="character" w:styleId="afff0">
    <w:name w:val="page number"/>
    <w:qFormat/>
    <w:rPr>
      <w:rFonts w:ascii="Times New Roman" w:eastAsia="宋体" w:hAnsi="Times New Roman"/>
      <w:sz w:val="18"/>
    </w:rPr>
  </w:style>
  <w:style w:type="character" w:styleId="afff1">
    <w:name w:val="Hyperlink"/>
    <w:qFormat/>
    <w:rPr>
      <w:color w:val="0000FF"/>
      <w:spacing w:val="0"/>
      <w:w w:val="100"/>
      <w:szCs w:val="21"/>
      <w:u w:val="single"/>
    </w:rPr>
  </w:style>
  <w:style w:type="character" w:styleId="afff2">
    <w:name w:val="annotation reference"/>
    <w:basedOn w:val="afb"/>
    <w:unhideWhenUsed/>
    <w:qFormat/>
    <w:rPr>
      <w:sz w:val="21"/>
      <w:szCs w:val="21"/>
    </w:rPr>
  </w:style>
  <w:style w:type="character" w:styleId="afff3">
    <w:name w:val="footnote reference"/>
    <w:semiHidden/>
    <w:qFormat/>
    <w:rPr>
      <w:vertAlign w:val="superscript"/>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character" w:customStyle="1" w:styleId="Char">
    <w:name w:val="段 Char"/>
    <w:link w:val="affb"/>
    <w:qFormat/>
    <w:rPr>
      <w:rFonts w:ascii="宋体"/>
      <w:sz w:val="21"/>
      <w:lang w:val="en-US" w:eastAsia="zh-CN" w:bidi="ar-SA"/>
    </w:rPr>
  </w:style>
  <w:style w:type="paragraph" w:customStyle="1" w:styleId="a0">
    <w:name w:val="一级条标题"/>
    <w:next w:val="affb"/>
    <w:link w:val="Char0"/>
    <w:qFormat/>
    <w:pPr>
      <w:numPr>
        <w:ilvl w:val="1"/>
        <w:numId w:val="3"/>
      </w:numPr>
      <w:spacing w:beforeLines="50" w:afterLines="50"/>
      <w:outlineLvl w:val="2"/>
    </w:pPr>
    <w:rPr>
      <w:rFonts w:ascii="黑体" w:eastAsia="黑体"/>
      <w:sz w:val="21"/>
      <w:szCs w:val="21"/>
    </w:rPr>
  </w:style>
  <w:style w:type="paragraph" w:customStyle="1" w:styleId="afff4">
    <w:name w:val="标准书脚_奇数页"/>
    <w:qFormat/>
    <w:pPr>
      <w:spacing w:before="120"/>
      <w:ind w:right="198"/>
      <w:jc w:val="right"/>
    </w:pPr>
    <w:rPr>
      <w:rFonts w:ascii="宋体"/>
      <w:sz w:val="18"/>
      <w:szCs w:val="18"/>
    </w:rPr>
  </w:style>
  <w:style w:type="paragraph" w:customStyle="1" w:styleId="afff5">
    <w:name w:val="标准书眉_奇数页"/>
    <w:next w:val="afa"/>
    <w:qFormat/>
    <w:pPr>
      <w:tabs>
        <w:tab w:val="center" w:pos="4154"/>
        <w:tab w:val="right" w:pos="8306"/>
      </w:tabs>
      <w:spacing w:after="220"/>
      <w:jc w:val="right"/>
    </w:pPr>
    <w:rPr>
      <w:rFonts w:ascii="黑体" w:eastAsia="黑体"/>
      <w:sz w:val="21"/>
      <w:szCs w:val="21"/>
    </w:rPr>
  </w:style>
  <w:style w:type="paragraph" w:customStyle="1" w:styleId="a">
    <w:name w:val="章标题"/>
    <w:next w:val="affb"/>
    <w:link w:val="Char1"/>
    <w:qFormat/>
    <w:pPr>
      <w:numPr>
        <w:numId w:val="3"/>
      </w:numPr>
      <w:spacing w:beforeLines="100" w:afterLines="100"/>
      <w:jc w:val="both"/>
      <w:outlineLvl w:val="1"/>
    </w:pPr>
    <w:rPr>
      <w:rFonts w:ascii="黑体" w:eastAsia="黑体"/>
      <w:sz w:val="21"/>
    </w:rPr>
  </w:style>
  <w:style w:type="paragraph" w:customStyle="1" w:styleId="afff6">
    <w:name w:val="二级条标题"/>
    <w:basedOn w:val="a0"/>
    <w:next w:val="affb"/>
    <w:link w:val="Char2"/>
    <w:qFormat/>
    <w:pPr>
      <w:tabs>
        <w:tab w:val="left" w:pos="0"/>
        <w:tab w:val="left" w:pos="1135"/>
      </w:tabs>
      <w:spacing w:before="50" w:after="50"/>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qFormat/>
    <w:pPr>
      <w:widowControl w:val="0"/>
      <w:numPr>
        <w:numId w:val="4"/>
      </w:numPr>
      <w:jc w:val="both"/>
    </w:pPr>
    <w:rPr>
      <w:rFonts w:ascii="宋体"/>
      <w:sz w:val="21"/>
    </w:rPr>
  </w:style>
  <w:style w:type="paragraph" w:customStyle="1" w:styleId="a9">
    <w:name w:val="列项●（二级）"/>
    <w:qFormat/>
    <w:pPr>
      <w:numPr>
        <w:ilvl w:val="1"/>
        <w:numId w:val="4"/>
      </w:numPr>
      <w:tabs>
        <w:tab w:val="left" w:pos="840"/>
      </w:tabs>
      <w:jc w:val="both"/>
    </w:pPr>
    <w:rPr>
      <w:rFonts w:ascii="宋体"/>
      <w:sz w:val="21"/>
    </w:rPr>
  </w:style>
  <w:style w:type="paragraph" w:customStyle="1" w:styleId="afff7">
    <w:name w:val="目次、标准名称标题"/>
    <w:basedOn w:val="afa"/>
    <w:next w:val="affb"/>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1">
    <w:name w:val="三级条标题"/>
    <w:basedOn w:val="afff6"/>
    <w:next w:val="affb"/>
    <w:uiPriority w:val="99"/>
    <w:qFormat/>
    <w:pPr>
      <w:numPr>
        <w:ilvl w:val="3"/>
      </w:numPr>
      <w:outlineLvl w:val="4"/>
    </w:pPr>
  </w:style>
  <w:style w:type="paragraph" w:customStyle="1" w:styleId="afff8">
    <w:name w:val="示例"/>
    <w:next w:val="afff9"/>
    <w:qFormat/>
    <w:pPr>
      <w:widowControl w:val="0"/>
      <w:ind w:firstLine="363"/>
      <w:jc w:val="both"/>
    </w:pPr>
    <w:rPr>
      <w:rFonts w:ascii="宋体"/>
      <w:sz w:val="18"/>
      <w:szCs w:val="18"/>
    </w:rPr>
  </w:style>
  <w:style w:type="paragraph" w:customStyle="1" w:styleId="afff9">
    <w:name w:val="示例内容"/>
    <w:qFormat/>
    <w:pPr>
      <w:ind w:firstLineChars="200" w:firstLine="200"/>
    </w:pPr>
    <w:rPr>
      <w:rFonts w:ascii="宋体"/>
      <w:sz w:val="18"/>
      <w:szCs w:val="18"/>
    </w:rPr>
  </w:style>
  <w:style w:type="paragraph" w:customStyle="1" w:styleId="ad">
    <w:name w:val="数字编号列项（二级）"/>
    <w:qFormat/>
    <w:pPr>
      <w:numPr>
        <w:ilvl w:val="1"/>
        <w:numId w:val="5"/>
      </w:numPr>
      <w:jc w:val="both"/>
    </w:pPr>
    <w:rPr>
      <w:rFonts w:ascii="宋体"/>
      <w:sz w:val="21"/>
    </w:rPr>
  </w:style>
  <w:style w:type="paragraph" w:customStyle="1" w:styleId="a2">
    <w:name w:val="四级条标题"/>
    <w:basedOn w:val="a1"/>
    <w:next w:val="affb"/>
    <w:qFormat/>
    <w:pPr>
      <w:numPr>
        <w:ilvl w:val="4"/>
      </w:numPr>
      <w:outlineLvl w:val="5"/>
    </w:pPr>
  </w:style>
  <w:style w:type="paragraph" w:customStyle="1" w:styleId="a3">
    <w:name w:val="五级条标题"/>
    <w:basedOn w:val="a2"/>
    <w:next w:val="affb"/>
    <w:qFormat/>
    <w:pPr>
      <w:numPr>
        <w:ilvl w:val="5"/>
      </w:numPr>
      <w:outlineLvl w:val="6"/>
    </w:pPr>
  </w:style>
  <w:style w:type="paragraph" w:customStyle="1" w:styleId="afffa">
    <w:name w:val="注："/>
    <w:next w:val="affb"/>
    <w:qFormat/>
    <w:pPr>
      <w:widowControl w:val="0"/>
      <w:autoSpaceDE w:val="0"/>
      <w:autoSpaceDN w:val="0"/>
      <w:ind w:left="726" w:hanging="363"/>
      <w:jc w:val="both"/>
    </w:pPr>
    <w:rPr>
      <w:rFonts w:ascii="宋体"/>
      <w:sz w:val="18"/>
      <w:szCs w:val="18"/>
    </w:rPr>
  </w:style>
  <w:style w:type="paragraph" w:customStyle="1" w:styleId="afffb">
    <w:name w:val="注×："/>
    <w:uiPriority w:val="99"/>
    <w:qFormat/>
    <w:pPr>
      <w:widowControl w:val="0"/>
      <w:autoSpaceDE w:val="0"/>
      <w:autoSpaceDN w:val="0"/>
      <w:ind w:left="811" w:hanging="448"/>
      <w:jc w:val="both"/>
    </w:pPr>
    <w:rPr>
      <w:rFonts w:ascii="宋体"/>
      <w:sz w:val="18"/>
      <w:szCs w:val="18"/>
    </w:rPr>
  </w:style>
  <w:style w:type="paragraph" w:customStyle="1" w:styleId="ac">
    <w:name w:val="字母编号列项（一级）"/>
    <w:qFormat/>
    <w:pPr>
      <w:numPr>
        <w:numId w:val="5"/>
      </w:numPr>
      <w:jc w:val="both"/>
    </w:pPr>
    <w:rPr>
      <w:rFonts w:ascii="宋体"/>
      <w:sz w:val="21"/>
    </w:rPr>
  </w:style>
  <w:style w:type="paragraph" w:customStyle="1" w:styleId="aa">
    <w:name w:val="列项◆（三级）"/>
    <w:basedOn w:val="afa"/>
    <w:qFormat/>
    <w:pPr>
      <w:numPr>
        <w:ilvl w:val="2"/>
        <w:numId w:val="4"/>
      </w:numPr>
    </w:pPr>
    <w:rPr>
      <w:rFonts w:ascii="宋体"/>
      <w:szCs w:val="21"/>
    </w:rPr>
  </w:style>
  <w:style w:type="paragraph" w:customStyle="1" w:styleId="ae">
    <w:name w:val="编号列项（三级）"/>
    <w:qFormat/>
    <w:pPr>
      <w:numPr>
        <w:ilvl w:val="2"/>
        <w:numId w:val="5"/>
      </w:numPr>
    </w:pPr>
    <w:rPr>
      <w:rFonts w:ascii="宋体"/>
      <w:sz w:val="21"/>
    </w:rPr>
  </w:style>
  <w:style w:type="paragraph" w:customStyle="1" w:styleId="afffc">
    <w:name w:val="示例×："/>
    <w:basedOn w:val="a"/>
    <w:qFormat/>
    <w:pPr>
      <w:numPr>
        <w:numId w:val="0"/>
      </w:numPr>
      <w:spacing w:beforeLines="0" w:afterLines="0"/>
      <w:ind w:firstLine="363"/>
      <w:outlineLvl w:val="9"/>
    </w:pPr>
    <w:rPr>
      <w:rFonts w:ascii="宋体" w:eastAsia="宋体"/>
      <w:sz w:val="18"/>
      <w:szCs w:val="18"/>
    </w:rPr>
  </w:style>
  <w:style w:type="paragraph" w:customStyle="1" w:styleId="afffd">
    <w:name w:val="二级无"/>
    <w:basedOn w:val="afff6"/>
    <w:link w:val="Char3"/>
    <w:qFormat/>
    <w:pPr>
      <w:spacing w:beforeLines="0" w:afterLines="0"/>
      <w:ind w:left="1135"/>
    </w:pPr>
    <w:rPr>
      <w:rFonts w:ascii="宋体" w:eastAsia="宋体"/>
    </w:rPr>
  </w:style>
  <w:style w:type="paragraph" w:customStyle="1" w:styleId="afffe">
    <w:name w:val="注：（正文）"/>
    <w:basedOn w:val="afffa"/>
    <w:next w:val="affb"/>
    <w:qFormat/>
  </w:style>
  <w:style w:type="paragraph" w:customStyle="1" w:styleId="a5">
    <w:name w:val="注×：（正文）"/>
    <w:qFormat/>
    <w:pPr>
      <w:numPr>
        <w:numId w:val="6"/>
      </w:numPr>
      <w:jc w:val="both"/>
    </w:pPr>
    <w:rPr>
      <w:rFonts w:ascii="宋体"/>
      <w:sz w:val="18"/>
      <w:szCs w:val="18"/>
    </w:rPr>
  </w:style>
  <w:style w:type="paragraph" w:customStyle="1" w:styleId="affff">
    <w:name w:val="标准标志"/>
    <w:next w:val="afa"/>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0">
    <w:name w:val="标准称谓"/>
    <w:next w:val="afa"/>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1">
    <w:name w:val="标准书脚_偶数页"/>
    <w:qFormat/>
    <w:pPr>
      <w:spacing w:before="120"/>
      <w:ind w:left="221"/>
    </w:pPr>
    <w:rPr>
      <w:rFonts w:ascii="宋体"/>
      <w:sz w:val="18"/>
      <w:szCs w:val="18"/>
    </w:rPr>
  </w:style>
  <w:style w:type="paragraph" w:customStyle="1" w:styleId="affff2">
    <w:name w:val="标准书眉_偶数页"/>
    <w:basedOn w:val="afff5"/>
    <w:next w:val="afa"/>
    <w:qFormat/>
    <w:pPr>
      <w:jc w:val="left"/>
    </w:pPr>
  </w:style>
  <w:style w:type="paragraph" w:customStyle="1" w:styleId="affff3">
    <w:name w:val="标准书眉一"/>
    <w:qFormat/>
    <w:pPr>
      <w:jc w:val="both"/>
    </w:pPr>
  </w:style>
  <w:style w:type="paragraph" w:customStyle="1" w:styleId="affff4">
    <w:name w:val="参考文献"/>
    <w:basedOn w:val="afa"/>
    <w:next w:val="af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5">
    <w:name w:val="参考文献、索引标题"/>
    <w:basedOn w:val="afa"/>
    <w:next w:val="affb"/>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6">
    <w:name w:val="发布"/>
    <w:qFormat/>
    <w:rPr>
      <w:rFonts w:ascii="黑体" w:eastAsia="黑体"/>
      <w:spacing w:val="85"/>
      <w:w w:val="100"/>
      <w:position w:val="3"/>
      <w:sz w:val="28"/>
      <w:szCs w:val="28"/>
    </w:rPr>
  </w:style>
  <w:style w:type="paragraph" w:customStyle="1" w:styleId="affff7">
    <w:name w:val="发布部门"/>
    <w:next w:val="affb"/>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8">
    <w:name w:val="发布日期"/>
    <w:qFormat/>
    <w:pPr>
      <w:framePr w:w="3997" w:h="471" w:hRule="exact" w:vSpace="181" w:wrap="around" w:hAnchor="page" w:x="7089" w:y="14097" w:anchorLock="1"/>
    </w:pPr>
    <w:rPr>
      <w:rFonts w:eastAsia="黑体"/>
      <w:sz w:val="28"/>
    </w:rPr>
  </w:style>
  <w:style w:type="paragraph" w:customStyle="1" w:styleId="affff9">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a">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b">
    <w:name w:val="封面标准英文名称"/>
    <w:basedOn w:val="affffa"/>
    <w:qFormat/>
    <w:pPr>
      <w:framePr w:wrap="around"/>
      <w:spacing w:before="370" w:line="400" w:lineRule="exact"/>
    </w:pPr>
    <w:rPr>
      <w:rFonts w:ascii="Times New Roman"/>
      <w:sz w:val="28"/>
      <w:szCs w:val="28"/>
    </w:rPr>
  </w:style>
  <w:style w:type="paragraph" w:customStyle="1" w:styleId="affffc">
    <w:name w:val="封面一致性程度标识"/>
    <w:basedOn w:val="affffb"/>
    <w:uiPriority w:val="99"/>
    <w:qFormat/>
    <w:pPr>
      <w:framePr w:wrap="around"/>
      <w:spacing w:before="440"/>
    </w:pPr>
    <w:rPr>
      <w:rFonts w:ascii="宋体" w:eastAsia="宋体"/>
    </w:rPr>
  </w:style>
  <w:style w:type="paragraph" w:customStyle="1" w:styleId="affffd">
    <w:name w:val="封面标准文稿类别"/>
    <w:basedOn w:val="affffc"/>
    <w:qFormat/>
    <w:pPr>
      <w:framePr w:wrap="around"/>
      <w:spacing w:after="160" w:line="240" w:lineRule="auto"/>
    </w:pPr>
    <w:rPr>
      <w:sz w:val="24"/>
    </w:rPr>
  </w:style>
  <w:style w:type="paragraph" w:customStyle="1" w:styleId="affffe">
    <w:name w:val="封面标准文稿编辑信息"/>
    <w:basedOn w:val="affffd"/>
    <w:qFormat/>
    <w:pPr>
      <w:framePr w:wrap="around"/>
      <w:spacing w:before="180" w:line="180" w:lineRule="exact"/>
    </w:pPr>
    <w:rPr>
      <w:sz w:val="21"/>
    </w:rPr>
  </w:style>
  <w:style w:type="paragraph" w:customStyle="1" w:styleId="afffff">
    <w:name w:val="封面正文"/>
    <w:qFormat/>
    <w:pPr>
      <w:jc w:val="both"/>
    </w:pPr>
  </w:style>
  <w:style w:type="paragraph" w:customStyle="1" w:styleId="af1">
    <w:name w:val="附录标识"/>
    <w:basedOn w:val="afa"/>
    <w:next w:val="affb"/>
    <w:qFormat/>
    <w:pPr>
      <w:keepNext/>
      <w:widowControl/>
      <w:numPr>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0">
    <w:name w:val="附录标题"/>
    <w:basedOn w:val="affb"/>
    <w:next w:val="affb"/>
    <w:qFormat/>
    <w:pPr>
      <w:ind w:firstLineChars="0" w:firstLine="0"/>
      <w:jc w:val="center"/>
    </w:pPr>
    <w:rPr>
      <w:rFonts w:ascii="黑体" w:eastAsia="黑体"/>
    </w:rPr>
  </w:style>
  <w:style w:type="paragraph" w:customStyle="1" w:styleId="af">
    <w:name w:val="附录表标号"/>
    <w:basedOn w:val="afa"/>
    <w:next w:val="affb"/>
    <w:qFormat/>
    <w:pPr>
      <w:numPr>
        <w:numId w:val="8"/>
      </w:numPr>
      <w:tabs>
        <w:tab w:val="clear" w:pos="0"/>
      </w:tabs>
      <w:spacing w:line="14" w:lineRule="exact"/>
      <w:ind w:left="811" w:hanging="448"/>
      <w:jc w:val="center"/>
      <w:outlineLvl w:val="0"/>
    </w:pPr>
    <w:rPr>
      <w:color w:val="FFFFFF"/>
    </w:rPr>
  </w:style>
  <w:style w:type="paragraph" w:customStyle="1" w:styleId="af0">
    <w:name w:val="附录表标题"/>
    <w:basedOn w:val="afa"/>
    <w:next w:val="affb"/>
    <w:qFormat/>
    <w:pPr>
      <w:numPr>
        <w:ilvl w:val="1"/>
        <w:numId w:val="8"/>
      </w:numPr>
      <w:tabs>
        <w:tab w:val="left" w:pos="180"/>
      </w:tabs>
      <w:spacing w:beforeLines="50" w:afterLines="50"/>
      <w:ind w:left="0" w:firstLine="0"/>
      <w:jc w:val="center"/>
    </w:pPr>
    <w:rPr>
      <w:rFonts w:ascii="黑体" w:eastAsia="黑体"/>
      <w:szCs w:val="21"/>
    </w:rPr>
  </w:style>
  <w:style w:type="paragraph" w:customStyle="1" w:styleId="af4">
    <w:name w:val="附录二级条标题"/>
    <w:basedOn w:val="afa"/>
    <w:next w:val="affb"/>
    <w:qFormat/>
    <w:pPr>
      <w:widowControl/>
      <w:numPr>
        <w:ilvl w:val="3"/>
        <w:numId w:val="7"/>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1">
    <w:name w:val="附录二级无"/>
    <w:basedOn w:val="af4"/>
    <w:qFormat/>
    <w:pPr>
      <w:tabs>
        <w:tab w:val="clear" w:pos="360"/>
      </w:tabs>
      <w:spacing w:beforeLines="0" w:afterLines="0"/>
    </w:pPr>
    <w:rPr>
      <w:rFonts w:ascii="宋体" w:eastAsia="宋体"/>
      <w:szCs w:val="21"/>
    </w:rPr>
  </w:style>
  <w:style w:type="paragraph" w:customStyle="1" w:styleId="afffff2">
    <w:name w:val="附录公式"/>
    <w:basedOn w:val="affb"/>
    <w:next w:val="affb"/>
    <w:link w:val="Char4"/>
    <w:qFormat/>
  </w:style>
  <w:style w:type="character" w:customStyle="1" w:styleId="Char4">
    <w:name w:val="附录公式 Char"/>
    <w:basedOn w:val="Char"/>
    <w:link w:val="afffff2"/>
    <w:qFormat/>
    <w:rPr>
      <w:rFonts w:ascii="宋体"/>
      <w:sz w:val="21"/>
      <w:lang w:val="en-US" w:eastAsia="zh-CN" w:bidi="ar-SA"/>
    </w:rPr>
  </w:style>
  <w:style w:type="paragraph" w:customStyle="1" w:styleId="afffff3">
    <w:name w:val="附录公式编号制表符"/>
    <w:basedOn w:val="afa"/>
    <w:next w:val="affb"/>
    <w:qFormat/>
    <w:pPr>
      <w:widowControl/>
      <w:tabs>
        <w:tab w:val="center" w:pos="4201"/>
        <w:tab w:val="right" w:leader="dot" w:pos="9298"/>
      </w:tabs>
      <w:autoSpaceDE w:val="0"/>
      <w:autoSpaceDN w:val="0"/>
    </w:pPr>
    <w:rPr>
      <w:rFonts w:ascii="宋体"/>
      <w:kern w:val="0"/>
      <w:szCs w:val="20"/>
    </w:rPr>
  </w:style>
  <w:style w:type="paragraph" w:customStyle="1" w:styleId="af5">
    <w:name w:val="附录三级条标题"/>
    <w:basedOn w:val="af4"/>
    <w:next w:val="affb"/>
    <w:qFormat/>
    <w:pPr>
      <w:numPr>
        <w:ilvl w:val="4"/>
      </w:numPr>
      <w:outlineLvl w:val="4"/>
    </w:pPr>
  </w:style>
  <w:style w:type="paragraph" w:customStyle="1" w:styleId="afffff4">
    <w:name w:val="附录三级无"/>
    <w:basedOn w:val="af5"/>
    <w:qFormat/>
    <w:pPr>
      <w:tabs>
        <w:tab w:val="clear" w:pos="360"/>
      </w:tabs>
      <w:spacing w:beforeLines="0" w:afterLines="0"/>
    </w:pPr>
    <w:rPr>
      <w:rFonts w:ascii="宋体" w:eastAsia="宋体"/>
      <w:szCs w:val="21"/>
    </w:rPr>
  </w:style>
  <w:style w:type="paragraph" w:customStyle="1" w:styleId="af9">
    <w:name w:val="附录数字编号列项（二级）"/>
    <w:qFormat/>
    <w:pPr>
      <w:numPr>
        <w:ilvl w:val="1"/>
        <w:numId w:val="9"/>
      </w:numPr>
    </w:pPr>
    <w:rPr>
      <w:rFonts w:ascii="宋体"/>
      <w:sz w:val="21"/>
    </w:rPr>
  </w:style>
  <w:style w:type="paragraph" w:customStyle="1" w:styleId="af6">
    <w:name w:val="附录四级条标题"/>
    <w:basedOn w:val="af5"/>
    <w:next w:val="affb"/>
    <w:qFormat/>
    <w:pPr>
      <w:numPr>
        <w:ilvl w:val="5"/>
      </w:numPr>
      <w:outlineLvl w:val="5"/>
    </w:pPr>
  </w:style>
  <w:style w:type="paragraph" w:customStyle="1" w:styleId="afffff5">
    <w:name w:val="附录四级无"/>
    <w:basedOn w:val="af6"/>
    <w:qFormat/>
    <w:pPr>
      <w:tabs>
        <w:tab w:val="clear" w:pos="360"/>
      </w:tabs>
      <w:spacing w:beforeLines="0" w:afterLines="0"/>
    </w:pPr>
    <w:rPr>
      <w:rFonts w:ascii="宋体" w:eastAsia="宋体"/>
      <w:szCs w:val="21"/>
    </w:rPr>
  </w:style>
  <w:style w:type="paragraph" w:customStyle="1" w:styleId="a6">
    <w:name w:val="附录图标号"/>
    <w:basedOn w:val="afa"/>
    <w:qFormat/>
    <w:pPr>
      <w:keepNext/>
      <w:pageBreakBefore/>
      <w:widowControl/>
      <w:numPr>
        <w:numId w:val="10"/>
      </w:numPr>
      <w:spacing w:line="14" w:lineRule="exact"/>
      <w:ind w:left="0" w:firstLine="363"/>
      <w:jc w:val="center"/>
      <w:outlineLvl w:val="0"/>
    </w:pPr>
    <w:rPr>
      <w:color w:val="FFFFFF"/>
    </w:rPr>
  </w:style>
  <w:style w:type="paragraph" w:customStyle="1" w:styleId="a7">
    <w:name w:val="附录图标题"/>
    <w:basedOn w:val="afa"/>
    <w:next w:val="affb"/>
    <w:qFormat/>
    <w:pPr>
      <w:numPr>
        <w:ilvl w:val="1"/>
        <w:numId w:val="10"/>
      </w:numPr>
      <w:tabs>
        <w:tab w:val="left" w:pos="363"/>
      </w:tabs>
      <w:spacing w:beforeLines="50" w:afterLines="50"/>
      <w:ind w:left="0" w:firstLine="0"/>
      <w:jc w:val="center"/>
    </w:pPr>
    <w:rPr>
      <w:rFonts w:ascii="黑体" w:eastAsia="黑体"/>
      <w:szCs w:val="21"/>
    </w:rPr>
  </w:style>
  <w:style w:type="paragraph" w:customStyle="1" w:styleId="af7">
    <w:name w:val="附录五级条标题"/>
    <w:basedOn w:val="af6"/>
    <w:next w:val="affb"/>
    <w:qFormat/>
    <w:pPr>
      <w:numPr>
        <w:ilvl w:val="6"/>
      </w:numPr>
      <w:outlineLvl w:val="6"/>
    </w:pPr>
  </w:style>
  <w:style w:type="paragraph" w:customStyle="1" w:styleId="afffff6">
    <w:name w:val="附录五级无"/>
    <w:basedOn w:val="af7"/>
    <w:qFormat/>
    <w:pPr>
      <w:tabs>
        <w:tab w:val="clear" w:pos="360"/>
      </w:tabs>
      <w:spacing w:beforeLines="0" w:afterLines="0"/>
    </w:pPr>
    <w:rPr>
      <w:rFonts w:ascii="宋体" w:eastAsia="宋体"/>
      <w:szCs w:val="21"/>
    </w:rPr>
  </w:style>
  <w:style w:type="paragraph" w:customStyle="1" w:styleId="af2">
    <w:name w:val="附录章标题"/>
    <w:next w:val="affb"/>
    <w:qFormat/>
    <w:pPr>
      <w:numPr>
        <w:ilvl w:val="1"/>
        <w:numId w:val="7"/>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3">
    <w:name w:val="附录一级条标题"/>
    <w:basedOn w:val="af2"/>
    <w:next w:val="affb"/>
    <w:qFormat/>
    <w:pPr>
      <w:numPr>
        <w:ilvl w:val="2"/>
      </w:numPr>
      <w:autoSpaceDN w:val="0"/>
      <w:spacing w:beforeLines="50" w:afterLines="50"/>
      <w:outlineLvl w:val="2"/>
    </w:pPr>
  </w:style>
  <w:style w:type="paragraph" w:customStyle="1" w:styleId="afffff7">
    <w:name w:val="附录一级无"/>
    <w:basedOn w:val="af3"/>
    <w:qFormat/>
    <w:pPr>
      <w:tabs>
        <w:tab w:val="clear" w:pos="360"/>
      </w:tabs>
      <w:spacing w:beforeLines="0" w:afterLines="0"/>
    </w:pPr>
    <w:rPr>
      <w:rFonts w:ascii="宋体" w:eastAsia="宋体"/>
      <w:szCs w:val="21"/>
    </w:rPr>
  </w:style>
  <w:style w:type="paragraph" w:customStyle="1" w:styleId="af8">
    <w:name w:val="附录字母编号列项（一级）"/>
    <w:qFormat/>
    <w:pPr>
      <w:numPr>
        <w:numId w:val="9"/>
      </w:numPr>
    </w:pPr>
    <w:rPr>
      <w:rFonts w:ascii="宋体"/>
      <w:sz w:val="21"/>
    </w:rPr>
  </w:style>
  <w:style w:type="paragraph" w:customStyle="1" w:styleId="afffff8">
    <w:name w:val="列项说明"/>
    <w:basedOn w:val="af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9">
    <w:name w:val="列项说明数字编号"/>
    <w:qFormat/>
    <w:pPr>
      <w:ind w:leftChars="400" w:left="600" w:hangingChars="200" w:hanging="200"/>
    </w:pPr>
    <w:rPr>
      <w:rFonts w:ascii="宋体"/>
      <w:sz w:val="21"/>
    </w:rPr>
  </w:style>
  <w:style w:type="paragraph" w:customStyle="1" w:styleId="afffffa">
    <w:name w:val="目次、索引正文"/>
    <w:qFormat/>
    <w:pPr>
      <w:spacing w:line="320" w:lineRule="exact"/>
      <w:jc w:val="both"/>
    </w:pPr>
    <w:rPr>
      <w:rFonts w:ascii="宋体"/>
      <w:sz w:val="21"/>
    </w:rPr>
  </w:style>
  <w:style w:type="paragraph" w:customStyle="1" w:styleId="afffffb">
    <w:name w:val="其他标准标志"/>
    <w:basedOn w:val="affff"/>
    <w:qFormat/>
    <w:pPr>
      <w:framePr w:w="6101" w:wrap="around" w:vAnchor="page" w:hAnchor="page" w:x="4673" w:y="942"/>
    </w:pPr>
    <w:rPr>
      <w:w w:val="130"/>
    </w:rPr>
  </w:style>
  <w:style w:type="paragraph" w:customStyle="1" w:styleId="afffffc">
    <w:name w:val="其他标准称谓"/>
    <w:next w:val="af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d">
    <w:name w:val="其他发布部门"/>
    <w:basedOn w:val="affff7"/>
    <w:qFormat/>
    <w:pPr>
      <w:framePr w:wrap="around" w:y="15310"/>
      <w:spacing w:line="0" w:lineRule="atLeast"/>
    </w:pPr>
    <w:rPr>
      <w:rFonts w:ascii="黑体" w:eastAsia="黑体"/>
      <w:b w:val="0"/>
    </w:rPr>
  </w:style>
  <w:style w:type="paragraph" w:customStyle="1" w:styleId="afffffe">
    <w:name w:val="前言、引言标题"/>
    <w:next w:val="affb"/>
    <w:qFormat/>
    <w:pPr>
      <w:keepNext/>
      <w:pageBreakBefore/>
      <w:shd w:val="clear" w:color="FFFFFF" w:fill="FFFFFF"/>
      <w:spacing w:before="640" w:after="560"/>
      <w:jc w:val="center"/>
      <w:outlineLvl w:val="0"/>
    </w:pPr>
    <w:rPr>
      <w:rFonts w:ascii="黑体" w:eastAsia="黑体"/>
      <w:sz w:val="32"/>
    </w:rPr>
  </w:style>
  <w:style w:type="paragraph" w:customStyle="1" w:styleId="affffff">
    <w:name w:val="三级无"/>
    <w:basedOn w:val="a1"/>
    <w:qFormat/>
    <w:pPr>
      <w:spacing w:beforeLines="0" w:afterLines="0"/>
    </w:pPr>
    <w:rPr>
      <w:rFonts w:ascii="宋体" w:eastAsia="宋体"/>
    </w:rPr>
  </w:style>
  <w:style w:type="paragraph" w:customStyle="1" w:styleId="affffff0">
    <w:name w:val="实施日期"/>
    <w:basedOn w:val="affff8"/>
    <w:qFormat/>
    <w:pPr>
      <w:framePr w:wrap="around" w:vAnchor="page" w:hAnchor="text"/>
      <w:jc w:val="right"/>
    </w:pPr>
  </w:style>
  <w:style w:type="paragraph" w:customStyle="1" w:styleId="affffff1">
    <w:name w:val="示例后文字"/>
    <w:basedOn w:val="affb"/>
    <w:next w:val="affb"/>
    <w:qFormat/>
    <w:pPr>
      <w:ind w:firstLine="360"/>
    </w:pPr>
    <w:rPr>
      <w:sz w:val="18"/>
    </w:rPr>
  </w:style>
  <w:style w:type="paragraph" w:customStyle="1" w:styleId="affffff2">
    <w:name w:val="首示例"/>
    <w:next w:val="affb"/>
    <w:link w:val="Char5"/>
    <w:qFormat/>
    <w:pPr>
      <w:tabs>
        <w:tab w:val="left" w:pos="360"/>
      </w:tabs>
    </w:pPr>
    <w:rPr>
      <w:rFonts w:ascii="宋体" w:hAnsi="宋体"/>
      <w:kern w:val="2"/>
      <w:sz w:val="18"/>
      <w:szCs w:val="18"/>
    </w:rPr>
  </w:style>
  <w:style w:type="character" w:customStyle="1" w:styleId="Char5">
    <w:name w:val="首示例 Char"/>
    <w:link w:val="affffff2"/>
    <w:qFormat/>
    <w:rPr>
      <w:rFonts w:ascii="宋体" w:hAnsi="宋体"/>
      <w:kern w:val="2"/>
      <w:sz w:val="18"/>
      <w:szCs w:val="18"/>
    </w:rPr>
  </w:style>
  <w:style w:type="paragraph" w:customStyle="1" w:styleId="affffff3">
    <w:name w:val="四级无"/>
    <w:basedOn w:val="a2"/>
    <w:qFormat/>
    <w:pPr>
      <w:spacing w:beforeLines="0" w:afterLines="0"/>
    </w:pPr>
    <w:rPr>
      <w:rFonts w:ascii="宋体" w:eastAsia="宋体"/>
    </w:rPr>
  </w:style>
  <w:style w:type="paragraph" w:customStyle="1" w:styleId="affffff4">
    <w:name w:val="条文脚注"/>
    <w:basedOn w:val="ab"/>
    <w:qFormat/>
    <w:pPr>
      <w:numPr>
        <w:numId w:val="0"/>
      </w:numPr>
      <w:jc w:val="both"/>
    </w:pPr>
  </w:style>
  <w:style w:type="paragraph" w:customStyle="1" w:styleId="affffff5">
    <w:name w:val="图标脚注说明"/>
    <w:basedOn w:val="affb"/>
    <w:qFormat/>
    <w:pPr>
      <w:ind w:left="840" w:firstLineChars="0" w:hanging="420"/>
    </w:pPr>
    <w:rPr>
      <w:sz w:val="18"/>
      <w:szCs w:val="18"/>
    </w:rPr>
  </w:style>
  <w:style w:type="paragraph" w:customStyle="1" w:styleId="affffff6">
    <w:name w:val="图表脚注说明"/>
    <w:basedOn w:val="afa"/>
    <w:qFormat/>
    <w:pPr>
      <w:ind w:left="544" w:hanging="181"/>
    </w:pPr>
    <w:rPr>
      <w:rFonts w:ascii="宋体"/>
      <w:sz w:val="18"/>
      <w:szCs w:val="18"/>
    </w:rPr>
  </w:style>
  <w:style w:type="paragraph" w:customStyle="1" w:styleId="affffff7">
    <w:name w:val="图的脚注"/>
    <w:next w:val="affb"/>
    <w:qFormat/>
    <w:pPr>
      <w:widowControl w:val="0"/>
      <w:ind w:leftChars="200" w:left="840" w:hangingChars="200" w:hanging="420"/>
      <w:jc w:val="both"/>
    </w:pPr>
    <w:rPr>
      <w:rFonts w:ascii="宋体"/>
      <w:sz w:val="18"/>
    </w:rPr>
  </w:style>
  <w:style w:type="paragraph" w:customStyle="1" w:styleId="affffff8">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9">
    <w:name w:val="五级无"/>
    <w:basedOn w:val="a3"/>
    <w:qFormat/>
    <w:pPr>
      <w:spacing w:beforeLines="0" w:afterLines="0"/>
    </w:pPr>
    <w:rPr>
      <w:rFonts w:ascii="宋体" w:eastAsia="宋体"/>
    </w:rPr>
  </w:style>
  <w:style w:type="paragraph" w:customStyle="1" w:styleId="affffffa">
    <w:name w:val="一级无"/>
    <w:basedOn w:val="a0"/>
    <w:qFormat/>
    <w:pPr>
      <w:spacing w:beforeLines="0" w:afterLines="0"/>
    </w:pPr>
    <w:rPr>
      <w:rFonts w:ascii="宋体" w:eastAsia="宋体"/>
    </w:rPr>
  </w:style>
  <w:style w:type="character" w:customStyle="1" w:styleId="12">
    <w:name w:val="访问过的超链接1"/>
    <w:qFormat/>
    <w:rPr>
      <w:color w:val="800080"/>
      <w:u w:val="single"/>
    </w:rPr>
  </w:style>
  <w:style w:type="paragraph" w:customStyle="1" w:styleId="affffffb">
    <w:name w:val="正文表标题"/>
    <w:next w:val="affb"/>
    <w:qFormat/>
    <w:pPr>
      <w:tabs>
        <w:tab w:val="left" w:pos="360"/>
      </w:tabs>
      <w:spacing w:beforeLines="50" w:afterLines="50"/>
      <w:jc w:val="center"/>
    </w:pPr>
    <w:rPr>
      <w:rFonts w:ascii="黑体" w:eastAsia="黑体"/>
      <w:sz w:val="21"/>
    </w:rPr>
  </w:style>
  <w:style w:type="paragraph" w:customStyle="1" w:styleId="affffffc">
    <w:name w:val="正文公式编号制表符"/>
    <w:basedOn w:val="affb"/>
    <w:next w:val="affb"/>
    <w:qFormat/>
    <w:pPr>
      <w:ind w:firstLineChars="0" w:firstLine="0"/>
    </w:pPr>
  </w:style>
  <w:style w:type="paragraph" w:customStyle="1" w:styleId="affffffd">
    <w:name w:val="正文图标题"/>
    <w:next w:val="affb"/>
    <w:uiPriority w:val="99"/>
    <w:qFormat/>
    <w:pPr>
      <w:tabs>
        <w:tab w:val="left" w:pos="360"/>
      </w:tabs>
      <w:spacing w:beforeLines="50" w:afterLines="50"/>
      <w:jc w:val="center"/>
    </w:pPr>
    <w:rPr>
      <w:rFonts w:ascii="黑体" w:eastAsia="黑体"/>
      <w:sz w:val="21"/>
    </w:rPr>
  </w:style>
  <w:style w:type="paragraph" w:customStyle="1" w:styleId="affffffe">
    <w:name w:val="终结线"/>
    <w:basedOn w:val="afa"/>
    <w:qFormat/>
    <w:pPr>
      <w:framePr w:hSpace="181" w:vSpace="181" w:wrap="around" w:vAnchor="text" w:hAnchor="margin" w:xAlign="center" w:y="285"/>
    </w:pPr>
  </w:style>
  <w:style w:type="paragraph" w:customStyle="1" w:styleId="afffffff">
    <w:name w:val="其他发布日期"/>
    <w:basedOn w:val="affff8"/>
    <w:uiPriority w:val="99"/>
    <w:qFormat/>
    <w:pPr>
      <w:framePr w:wrap="around" w:vAnchor="page" w:hAnchor="text" w:x="1419"/>
    </w:pPr>
  </w:style>
  <w:style w:type="paragraph" w:customStyle="1" w:styleId="afffffff0">
    <w:name w:val="其他实施日期"/>
    <w:basedOn w:val="affffff0"/>
    <w:qFormat/>
    <w:pPr>
      <w:framePr w:wrap="around"/>
    </w:pPr>
  </w:style>
  <w:style w:type="paragraph" w:customStyle="1" w:styleId="22">
    <w:name w:val="封面标准名称2"/>
    <w:basedOn w:val="affffa"/>
    <w:qFormat/>
    <w:pPr>
      <w:framePr w:wrap="around" w:y="4469"/>
      <w:spacing w:beforeLines="630"/>
    </w:pPr>
  </w:style>
  <w:style w:type="paragraph" w:customStyle="1" w:styleId="23">
    <w:name w:val="封面标准英文名称2"/>
    <w:basedOn w:val="affffb"/>
    <w:qFormat/>
    <w:pPr>
      <w:framePr w:wrap="around" w:y="4469"/>
    </w:pPr>
  </w:style>
  <w:style w:type="paragraph" w:customStyle="1" w:styleId="24">
    <w:name w:val="封面一致性程度标识2"/>
    <w:basedOn w:val="affffc"/>
    <w:qFormat/>
    <w:pPr>
      <w:framePr w:wrap="around" w:y="4469"/>
    </w:pPr>
  </w:style>
  <w:style w:type="paragraph" w:customStyle="1" w:styleId="25">
    <w:name w:val="封面标准文稿类别2"/>
    <w:basedOn w:val="affffd"/>
    <w:qFormat/>
    <w:pPr>
      <w:framePr w:wrap="around" w:y="4469"/>
    </w:pPr>
  </w:style>
  <w:style w:type="paragraph" w:customStyle="1" w:styleId="26">
    <w:name w:val="封面标准文稿编辑信息2"/>
    <w:basedOn w:val="affffe"/>
    <w:qFormat/>
    <w:pPr>
      <w:framePr w:wrap="around" w:y="4469"/>
    </w:pPr>
  </w:style>
  <w:style w:type="character" w:customStyle="1" w:styleId="aff9">
    <w:name w:val="页眉 字符"/>
    <w:basedOn w:val="afb"/>
    <w:link w:val="aff8"/>
    <w:uiPriority w:val="99"/>
    <w:qFormat/>
    <w:locked/>
    <w:rPr>
      <w:kern w:val="2"/>
      <w:sz w:val="18"/>
      <w:szCs w:val="18"/>
    </w:rPr>
  </w:style>
  <w:style w:type="character" w:customStyle="1" w:styleId="aff7">
    <w:name w:val="页脚 字符"/>
    <w:basedOn w:val="afb"/>
    <w:link w:val="aff6"/>
    <w:uiPriority w:val="99"/>
    <w:qFormat/>
    <w:locked/>
    <w:rPr>
      <w:kern w:val="2"/>
      <w:sz w:val="18"/>
      <w:szCs w:val="18"/>
    </w:rPr>
  </w:style>
  <w:style w:type="character" w:customStyle="1" w:styleId="Char0">
    <w:name w:val="一级条标题 Char"/>
    <w:link w:val="a0"/>
    <w:qFormat/>
    <w:locked/>
    <w:rPr>
      <w:rFonts w:ascii="黑体" w:eastAsia="黑体"/>
      <w:sz w:val="21"/>
      <w:szCs w:val="21"/>
    </w:rPr>
  </w:style>
  <w:style w:type="character" w:customStyle="1" w:styleId="Char1">
    <w:name w:val="章标题 Char"/>
    <w:link w:val="a"/>
    <w:qFormat/>
    <w:locked/>
    <w:rPr>
      <w:rFonts w:ascii="黑体" w:eastAsia="黑体"/>
      <w:sz w:val="21"/>
      <w:lang w:bidi="ar-SA"/>
    </w:rPr>
  </w:style>
  <w:style w:type="character" w:customStyle="1" w:styleId="Char3">
    <w:name w:val="二级无 Char"/>
    <w:link w:val="afffd"/>
    <w:qFormat/>
    <w:locked/>
    <w:rPr>
      <w:rFonts w:ascii="宋体"/>
      <w:sz w:val="21"/>
      <w:szCs w:val="21"/>
    </w:rPr>
  </w:style>
  <w:style w:type="paragraph" w:customStyle="1" w:styleId="13">
    <w:name w:val="列出段落1"/>
    <w:basedOn w:val="afa"/>
    <w:uiPriority w:val="34"/>
    <w:qFormat/>
    <w:pPr>
      <w:ind w:firstLineChars="200" w:firstLine="420"/>
    </w:pPr>
    <w:rPr>
      <w:rFonts w:ascii="Calibri" w:hAnsi="Calibri"/>
      <w:szCs w:val="22"/>
    </w:rPr>
  </w:style>
  <w:style w:type="character" w:customStyle="1" w:styleId="aff5">
    <w:name w:val="批注框文本 字符"/>
    <w:basedOn w:val="afb"/>
    <w:link w:val="aff4"/>
    <w:qFormat/>
    <w:rPr>
      <w:kern w:val="2"/>
      <w:sz w:val="18"/>
      <w:szCs w:val="18"/>
    </w:rPr>
  </w:style>
  <w:style w:type="paragraph" w:customStyle="1" w:styleId="Bodytext1">
    <w:name w:val="Body text|1"/>
    <w:basedOn w:val="afa"/>
    <w:qFormat/>
    <w:pPr>
      <w:spacing w:line="276" w:lineRule="auto"/>
      <w:ind w:firstLine="220"/>
    </w:pPr>
    <w:rPr>
      <w:rFonts w:ascii="宋体" w:hAnsi="宋体" w:cs="宋体"/>
      <w:sz w:val="19"/>
      <w:szCs w:val="19"/>
      <w:lang w:val="zh-TW" w:eastAsia="zh-TW" w:bidi="zh-TW"/>
    </w:rPr>
  </w:style>
  <w:style w:type="paragraph" w:customStyle="1" w:styleId="Other1">
    <w:name w:val="Other|1"/>
    <w:basedOn w:val="afa"/>
    <w:qFormat/>
    <w:pPr>
      <w:spacing w:line="276" w:lineRule="auto"/>
      <w:ind w:firstLine="220"/>
    </w:pPr>
    <w:rPr>
      <w:rFonts w:ascii="宋体" w:hAnsi="宋体" w:cs="宋体"/>
      <w:sz w:val="19"/>
      <w:szCs w:val="19"/>
    </w:rPr>
  </w:style>
  <w:style w:type="paragraph" w:customStyle="1" w:styleId="Tablecaption1">
    <w:name w:val="Table caption|1"/>
    <w:basedOn w:val="afa"/>
    <w:qFormat/>
    <w:rPr>
      <w:rFonts w:ascii="宋体" w:hAnsi="宋体" w:cs="宋体"/>
      <w:sz w:val="19"/>
      <w:szCs w:val="19"/>
      <w:lang w:val="zh-TW" w:eastAsia="zh-TW" w:bidi="zh-TW"/>
    </w:rPr>
  </w:style>
  <w:style w:type="paragraph" w:customStyle="1" w:styleId="Heading41">
    <w:name w:val="Heading #4|1"/>
    <w:basedOn w:val="afa"/>
    <w:qFormat/>
    <w:pPr>
      <w:spacing w:after="190" w:line="307" w:lineRule="exact"/>
      <w:outlineLvl w:val="3"/>
    </w:pPr>
    <w:rPr>
      <w:rFonts w:ascii="宋体" w:hAnsi="宋体" w:cs="宋体"/>
      <w:b/>
      <w:bCs/>
      <w:sz w:val="19"/>
      <w:szCs w:val="19"/>
      <w:lang w:val="zh-TW" w:eastAsia="zh-TW" w:bidi="zh-TW"/>
    </w:rPr>
  </w:style>
  <w:style w:type="paragraph" w:customStyle="1" w:styleId="Heading51">
    <w:name w:val="Heading #5|1"/>
    <w:basedOn w:val="afa"/>
    <w:qFormat/>
    <w:pPr>
      <w:spacing w:after="130"/>
      <w:outlineLvl w:val="4"/>
    </w:pPr>
    <w:rPr>
      <w:rFonts w:ascii="宋体" w:hAnsi="宋体" w:cs="宋体"/>
      <w:sz w:val="19"/>
      <w:szCs w:val="19"/>
      <w:lang w:val="zh-TW" w:eastAsia="zh-TW" w:bidi="zh-TW"/>
    </w:rPr>
  </w:style>
  <w:style w:type="paragraph" w:customStyle="1" w:styleId="Bodytext4">
    <w:name w:val="Body text|4"/>
    <w:basedOn w:val="afa"/>
    <w:qFormat/>
    <w:pPr>
      <w:spacing w:line="281" w:lineRule="exact"/>
      <w:ind w:firstLine="460"/>
    </w:pPr>
    <w:rPr>
      <w:sz w:val="16"/>
      <w:szCs w:val="16"/>
      <w:lang w:val="zh-TW" w:eastAsia="zh-TW" w:bidi="zh-TW"/>
    </w:rPr>
  </w:style>
  <w:style w:type="paragraph" w:customStyle="1" w:styleId="Bodytext3">
    <w:name w:val="Body text|3"/>
    <w:basedOn w:val="afa"/>
    <w:qFormat/>
    <w:pPr>
      <w:spacing w:after="80" w:line="284" w:lineRule="exact"/>
      <w:ind w:firstLine="460"/>
    </w:pPr>
    <w:rPr>
      <w:rFonts w:ascii="宋体" w:hAnsi="宋体" w:cs="宋体"/>
      <w:sz w:val="17"/>
      <w:szCs w:val="17"/>
      <w:lang w:val="zh-TW" w:eastAsia="zh-TW" w:bidi="zh-TW"/>
    </w:rPr>
  </w:style>
  <w:style w:type="paragraph" w:customStyle="1" w:styleId="Headerorfooter2">
    <w:name w:val="Header or footer|2"/>
    <w:basedOn w:val="afa"/>
    <w:qFormat/>
    <w:rPr>
      <w:sz w:val="20"/>
      <w:szCs w:val="20"/>
    </w:rPr>
  </w:style>
  <w:style w:type="character" w:customStyle="1" w:styleId="aff1">
    <w:name w:val="批注文字 字符"/>
    <w:basedOn w:val="afb"/>
    <w:link w:val="aff0"/>
    <w:qFormat/>
    <w:rPr>
      <w:rFonts w:eastAsia="宋体"/>
      <w:kern w:val="2"/>
      <w:sz w:val="21"/>
      <w:szCs w:val="24"/>
    </w:rPr>
  </w:style>
  <w:style w:type="character" w:customStyle="1" w:styleId="affd">
    <w:name w:val="批注主题 字符"/>
    <w:basedOn w:val="aff1"/>
    <w:link w:val="affc"/>
    <w:semiHidden/>
    <w:qFormat/>
    <w:rPr>
      <w:rFonts w:eastAsia="宋体"/>
      <w:b/>
      <w:bCs/>
      <w:kern w:val="2"/>
      <w:sz w:val="21"/>
      <w:szCs w:val="24"/>
    </w:rPr>
  </w:style>
  <w:style w:type="paragraph" w:customStyle="1" w:styleId="a4">
    <w:name w:val="章"/>
    <w:basedOn w:val="afa"/>
    <w:next w:val="affb"/>
    <w:qFormat/>
    <w:pPr>
      <w:numPr>
        <w:numId w:val="11"/>
      </w:numPr>
      <w:adjustRightInd w:val="0"/>
      <w:spacing w:before="160" w:after="160"/>
      <w:outlineLvl w:val="0"/>
    </w:pPr>
    <w:rPr>
      <w:rFonts w:ascii="黑体" w:eastAsia="黑体"/>
      <w:kern w:val="21"/>
      <w:szCs w:val="20"/>
    </w:rPr>
  </w:style>
  <w:style w:type="paragraph" w:customStyle="1" w:styleId="1">
    <w:name w:val="条1"/>
    <w:basedOn w:val="afa"/>
    <w:next w:val="affb"/>
    <w:qFormat/>
    <w:pPr>
      <w:numPr>
        <w:ilvl w:val="1"/>
        <w:numId w:val="11"/>
      </w:numPr>
      <w:outlineLvl w:val="1"/>
    </w:pPr>
    <w:rPr>
      <w:rFonts w:ascii="黑体" w:eastAsia="黑体"/>
      <w:kern w:val="21"/>
      <w:szCs w:val="20"/>
    </w:rPr>
  </w:style>
  <w:style w:type="paragraph" w:customStyle="1" w:styleId="2">
    <w:name w:val="条2"/>
    <w:basedOn w:val="afa"/>
    <w:next w:val="affb"/>
    <w:link w:val="2Char"/>
    <w:qFormat/>
    <w:pPr>
      <w:numPr>
        <w:ilvl w:val="2"/>
        <w:numId w:val="11"/>
      </w:numPr>
      <w:outlineLvl w:val="1"/>
    </w:pPr>
    <w:rPr>
      <w:rFonts w:ascii="黑体" w:eastAsia="黑体"/>
      <w:kern w:val="21"/>
      <w:szCs w:val="20"/>
    </w:rPr>
  </w:style>
  <w:style w:type="paragraph" w:customStyle="1" w:styleId="3">
    <w:name w:val="条3"/>
    <w:basedOn w:val="afa"/>
    <w:next w:val="affb"/>
    <w:qFormat/>
    <w:pPr>
      <w:numPr>
        <w:ilvl w:val="3"/>
        <w:numId w:val="11"/>
      </w:numPr>
      <w:outlineLvl w:val="1"/>
    </w:pPr>
    <w:rPr>
      <w:rFonts w:ascii="黑体" w:eastAsia="黑体"/>
      <w:kern w:val="21"/>
      <w:szCs w:val="20"/>
    </w:rPr>
  </w:style>
  <w:style w:type="paragraph" w:customStyle="1" w:styleId="4">
    <w:name w:val="条4"/>
    <w:basedOn w:val="afa"/>
    <w:next w:val="affb"/>
    <w:qFormat/>
    <w:pPr>
      <w:numPr>
        <w:ilvl w:val="4"/>
        <w:numId w:val="11"/>
      </w:numPr>
      <w:outlineLvl w:val="1"/>
    </w:pPr>
    <w:rPr>
      <w:rFonts w:ascii="黑体" w:eastAsia="黑体"/>
      <w:kern w:val="21"/>
      <w:szCs w:val="20"/>
    </w:rPr>
  </w:style>
  <w:style w:type="paragraph" w:customStyle="1" w:styleId="5">
    <w:name w:val="条5"/>
    <w:basedOn w:val="afa"/>
    <w:next w:val="affb"/>
    <w:qFormat/>
    <w:pPr>
      <w:numPr>
        <w:ilvl w:val="5"/>
        <w:numId w:val="11"/>
      </w:numPr>
      <w:outlineLvl w:val="1"/>
    </w:pPr>
    <w:rPr>
      <w:rFonts w:ascii="黑体" w:eastAsia="黑体"/>
      <w:kern w:val="21"/>
      <w:szCs w:val="20"/>
    </w:rPr>
  </w:style>
  <w:style w:type="character" w:customStyle="1" w:styleId="2Char">
    <w:name w:val="条2 Char"/>
    <w:link w:val="2"/>
    <w:qFormat/>
    <w:rPr>
      <w:rFonts w:ascii="黑体" w:eastAsia="黑体"/>
      <w:kern w:val="21"/>
      <w:sz w:val="21"/>
    </w:rPr>
  </w:style>
  <w:style w:type="paragraph" w:customStyle="1" w:styleId="afffffff1">
    <w:name w:val="附录章"/>
    <w:basedOn w:val="afa"/>
    <w:next w:val="affb"/>
    <w:qFormat/>
    <w:pPr>
      <w:adjustRightInd w:val="0"/>
      <w:spacing w:before="160" w:after="160"/>
      <w:outlineLvl w:val="0"/>
    </w:pPr>
    <w:rPr>
      <w:rFonts w:ascii="黑体" w:eastAsia="黑体"/>
      <w:kern w:val="21"/>
      <w:szCs w:val="20"/>
    </w:rPr>
  </w:style>
  <w:style w:type="paragraph" w:customStyle="1" w:styleId="14">
    <w:name w:val="附录条1"/>
    <w:basedOn w:val="afa"/>
    <w:next w:val="affb"/>
    <w:qFormat/>
    <w:pPr>
      <w:outlineLvl w:val="1"/>
    </w:pPr>
    <w:rPr>
      <w:rFonts w:ascii="黑体" w:eastAsia="黑体"/>
      <w:kern w:val="21"/>
      <w:szCs w:val="20"/>
    </w:rPr>
  </w:style>
  <w:style w:type="paragraph" w:customStyle="1" w:styleId="27">
    <w:name w:val="附录条2"/>
    <w:basedOn w:val="afa"/>
    <w:next w:val="affb"/>
    <w:qFormat/>
    <w:pPr>
      <w:outlineLvl w:val="1"/>
    </w:pPr>
    <w:rPr>
      <w:rFonts w:ascii="黑体" w:eastAsia="黑体"/>
      <w:kern w:val="21"/>
      <w:szCs w:val="20"/>
    </w:rPr>
  </w:style>
  <w:style w:type="paragraph" w:customStyle="1" w:styleId="31">
    <w:name w:val="附录条3"/>
    <w:basedOn w:val="afa"/>
    <w:next w:val="affb"/>
    <w:qFormat/>
    <w:pPr>
      <w:outlineLvl w:val="1"/>
    </w:pPr>
    <w:rPr>
      <w:rFonts w:ascii="黑体" w:eastAsia="黑体"/>
      <w:kern w:val="21"/>
      <w:szCs w:val="20"/>
    </w:rPr>
  </w:style>
  <w:style w:type="paragraph" w:customStyle="1" w:styleId="41">
    <w:name w:val="附录条4"/>
    <w:basedOn w:val="afa"/>
    <w:next w:val="affb"/>
    <w:qFormat/>
    <w:pPr>
      <w:outlineLvl w:val="1"/>
    </w:pPr>
    <w:rPr>
      <w:rFonts w:ascii="黑体" w:eastAsia="黑体"/>
      <w:kern w:val="21"/>
      <w:szCs w:val="20"/>
    </w:rPr>
  </w:style>
  <w:style w:type="paragraph" w:customStyle="1" w:styleId="51">
    <w:name w:val="附录条5"/>
    <w:basedOn w:val="afa"/>
    <w:next w:val="affb"/>
    <w:qFormat/>
    <w:pPr>
      <w:outlineLvl w:val="1"/>
    </w:pPr>
    <w:rPr>
      <w:rFonts w:ascii="黑体" w:eastAsia="黑体"/>
      <w:kern w:val="21"/>
      <w:szCs w:val="20"/>
    </w:rPr>
  </w:style>
  <w:style w:type="paragraph" w:customStyle="1" w:styleId="Bodytext2">
    <w:name w:val="Body text|2"/>
    <w:basedOn w:val="afa"/>
    <w:qFormat/>
    <w:pPr>
      <w:shd w:val="clear" w:color="auto" w:fill="FFFFFF"/>
      <w:spacing w:after="2880" w:line="232" w:lineRule="exact"/>
    </w:pPr>
    <w:rPr>
      <w:rFonts w:ascii="PMingLiU" w:eastAsia="PMingLiU" w:hAnsi="PMingLiU"/>
      <w:spacing w:val="10"/>
      <w:kern w:val="0"/>
      <w:sz w:val="19"/>
      <w:szCs w:val="19"/>
    </w:rPr>
  </w:style>
  <w:style w:type="character" w:customStyle="1" w:styleId="Bodytext285pt">
    <w:name w:val="Body text|2 + 8.5 pt"/>
    <w:unhideWhenUsed/>
    <w:qFormat/>
    <w:rPr>
      <w:rFonts w:ascii="PMingLiU" w:eastAsia="PMingLiU" w:hAnsi="PMingLiU" w:cs="PMingLiU"/>
      <w:color w:val="000000"/>
      <w:spacing w:val="0"/>
      <w:w w:val="100"/>
      <w:position w:val="0"/>
      <w:sz w:val="17"/>
      <w:szCs w:val="17"/>
      <w:u w:val="none"/>
      <w:lang w:val="zh-CN" w:eastAsia="zh-CN" w:bidi="zh-CN"/>
    </w:rPr>
  </w:style>
  <w:style w:type="paragraph" w:customStyle="1" w:styleId="Picturecaption1">
    <w:name w:val="Picture caption|1"/>
    <w:basedOn w:val="afa"/>
    <w:qFormat/>
    <w:rPr>
      <w:sz w:val="40"/>
      <w:szCs w:val="40"/>
    </w:rPr>
  </w:style>
  <w:style w:type="paragraph" w:customStyle="1" w:styleId="Headerorfooter1">
    <w:name w:val="Header or footer|1"/>
    <w:basedOn w:val="afa"/>
    <w:qFormat/>
    <w:rPr>
      <w:rFonts w:ascii="宋体" w:hAnsi="宋体" w:cs="宋体"/>
      <w:sz w:val="46"/>
      <w:szCs w:val="46"/>
    </w:rPr>
  </w:style>
  <w:style w:type="paragraph" w:customStyle="1" w:styleId="afffffff2">
    <w:name w:val="标准文件_段落"/>
    <w:basedOn w:val="afa"/>
    <w:qFormat/>
    <w:locked/>
    <w:pPr>
      <w:spacing w:line="316" w:lineRule="exact"/>
      <w:ind w:firstLineChars="200" w:firstLine="428"/>
      <w:jc w:val="left"/>
    </w:pPr>
    <w:rPr>
      <w:rFonts w:ascii="宋体"/>
      <w:spacing w:val="2"/>
      <w:kern w:val="0"/>
      <w:szCs w:val="21"/>
    </w:rPr>
  </w:style>
  <w:style w:type="character" w:customStyle="1" w:styleId="Char2">
    <w:name w:val="二级条标题 Char"/>
    <w:link w:val="afff6"/>
    <w:qFormat/>
    <w:locked/>
    <w:rPr>
      <w:rFonts w:ascii="黑体" w:eastAsia="黑体"/>
      <w:sz w:val="21"/>
      <w:szCs w:val="21"/>
    </w:rPr>
  </w:style>
  <w:style w:type="paragraph" w:customStyle="1" w:styleId="15">
    <w:name w:val="修订1"/>
    <w:hidden/>
    <w:uiPriority w:val="99"/>
    <w:semiHidden/>
    <w:qFormat/>
    <w:rPr>
      <w:kern w:val="2"/>
      <w:sz w:val="21"/>
      <w:szCs w:val="24"/>
    </w:rPr>
  </w:style>
  <w:style w:type="character" w:customStyle="1" w:styleId="en-code">
    <w:name w:val="en-code"/>
    <w:basedOn w:val="afb"/>
    <w:qFormat/>
  </w:style>
  <w:style w:type="character" w:customStyle="1" w:styleId="font21">
    <w:name w:val="font21"/>
    <w:basedOn w:val="afb"/>
    <w:qFormat/>
    <w:rPr>
      <w:rFonts w:ascii="宋体" w:eastAsia="宋体" w:hAnsi="宋体" w:cs="宋体" w:hint="eastAsia"/>
      <w:color w:val="000000"/>
      <w:sz w:val="24"/>
      <w:szCs w:val="24"/>
      <w:u w:val="none"/>
    </w:rPr>
  </w:style>
  <w:style w:type="character" w:customStyle="1" w:styleId="font11">
    <w:name w:val="font11"/>
    <w:basedOn w:val="afb"/>
    <w:qFormat/>
    <w:rPr>
      <w:rFonts w:ascii="宋体" w:eastAsia="宋体" w:hAnsi="宋体" w:cs="宋体" w:hint="eastAsia"/>
      <w:color w:val="000000"/>
      <w:sz w:val="24"/>
      <w:szCs w:val="24"/>
      <w:u w:val="none"/>
    </w:rPr>
  </w:style>
  <w:style w:type="paragraph" w:customStyle="1" w:styleId="28">
    <w:name w:val="修订2"/>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s://std.samr.gov.cn/gb/search/gbDetailed?id=71F772D7E88FD3A7E05397BE0A0AB82A" TargetMode="Externa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38E44B-C39B-4372-A9E1-D77F6CB0C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797</Words>
  <Characters>4544</Characters>
  <Application>Microsoft Office Word</Application>
  <DocSecurity>0</DocSecurity>
  <Lines>37</Lines>
  <Paragraphs>10</Paragraphs>
  <ScaleCrop>false</ScaleCrop>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cp:lastPrinted>2023-07-13T06:19:00Z</cp:lastPrinted>
  <dcterms:created xsi:type="dcterms:W3CDTF">2023-08-31T05:13:00Z</dcterms:created>
  <dcterms:modified xsi:type="dcterms:W3CDTF">2024-09-26T02:39:00Z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361830AF8FDB4EF8A13FE55897B1B72B_13</vt:lpwstr>
  </property>
</Properties>
</file>