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44" w:name="_GoBack"/>
            <w:bookmarkEnd w:id="44"/>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67.140.10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t>NDAS</w:t>
                  </w:r>
                  <w:r>
                    <w:fldChar w:fldCharType="end"/>
                  </w:r>
                  <w:bookmarkEnd w:id="0"/>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X 55</w:t>
            </w:r>
          </w:p>
        </w:tc>
      </w:tr>
    </w:tbl>
    <w:p>
      <w:pPr>
        <w:pStyle w:val="52"/>
        <w:framePr w:w="9639" w:h="624" w:hRule="exact" w:hSpace="181" w:vSpace="181" w:wrap="around" w:hAnchor="page" w:x="1305" w:y="2269"/>
        <w:rPr>
          <w:rFonts w:ascii="黑体" w:hAnsi="黑体" w:eastAsia="黑体"/>
          <w:b w:val="0"/>
          <w:bCs w:val="0"/>
          <w:w w:val="100"/>
          <w:sz w:val="48"/>
          <w:szCs w:val="48"/>
        </w:rPr>
      </w:pPr>
      <w:bookmarkStart w:id="1" w:name="_Hlk26473981"/>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宁德市标准化协会</w:t>
      </w:r>
      <w:r>
        <w:rPr>
          <w:rFonts w:ascii="黑体" w:eastAsia="黑体"/>
          <w:b w:val="0"/>
          <w:w w:val="100"/>
          <w:sz w:val="48"/>
        </w:rPr>
        <w:fldChar w:fldCharType="end"/>
      </w:r>
      <w:bookmarkEnd w:id="2"/>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pPr>
        <w:pStyle w:val="197"/>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8"/>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紫火红茶</w:t>
      </w:r>
      <w:r>
        <w:fldChar w:fldCharType="end"/>
      </w:r>
      <w:bookmarkEnd w:id="7"/>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t xml:space="preserve"> </w:t>
      </w:r>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5"/>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宁德市标准化协会</w:t>
      </w:r>
      <w:r>
        <w:rPr>
          <w:rFonts w:hAnsi="黑体"/>
          <w:w w:val="100"/>
          <w:sz w:val="28"/>
        </w:rPr>
        <w:fldChar w:fldCharType="end"/>
      </w:r>
      <w:bookmarkEnd w:id="17"/>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before="900" w:after="360"/>
      </w:pPr>
      <w:bookmarkStart w:id="18" w:name="BookMark2"/>
      <w:r>
        <w:rPr>
          <w:spacing w:val="320"/>
        </w:rPr>
        <w:t>前</w:t>
      </w:r>
      <w:r>
        <w:t>言</w:t>
      </w:r>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本文件由</w:t>
      </w:r>
      <w:r>
        <w:rPr>
          <w:rFonts w:hint="eastAsia" w:hAnsi="宋体"/>
        </w:rPr>
        <w:t>福建新坦洋集团股份有限公司</w:t>
      </w:r>
      <w:r>
        <w:rPr>
          <w:rFonts w:hint="eastAsia"/>
        </w:rPr>
        <w:t>提出。</w:t>
      </w:r>
    </w:p>
    <w:p>
      <w:pPr>
        <w:pStyle w:val="58"/>
        <w:ind w:firstLine="420"/>
      </w:pPr>
      <w:r>
        <w:rPr>
          <w:rFonts w:hint="eastAsia"/>
        </w:rPr>
        <w:t>本文件由宁德市标准化协会归口。</w:t>
      </w:r>
    </w:p>
    <w:p>
      <w:pPr>
        <w:pStyle w:val="58"/>
        <w:ind w:firstLine="420"/>
      </w:pPr>
      <w:r>
        <w:rPr>
          <w:rFonts w:hint="eastAsia"/>
        </w:rPr>
        <w:t>本文件起草单位：</w:t>
      </w:r>
    </w:p>
    <w:p>
      <w:pPr>
        <w:pStyle w:val="58"/>
        <w:ind w:firstLine="420"/>
      </w:pPr>
      <w:r>
        <w:rPr>
          <w:rFonts w:hint="eastAsia"/>
        </w:rPr>
        <w:t>本文件主要起草人：</w:t>
      </w:r>
    </w:p>
    <w:p>
      <w:pPr>
        <w:pStyle w:val="58"/>
        <w:ind w:firstLine="420"/>
      </w:pPr>
    </w:p>
    <w:p>
      <w:pPr>
        <w:pStyle w:val="58"/>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18"/>
    <w:p>
      <w:pPr>
        <w:pStyle w:val="91"/>
        <w:spacing w:after="360"/>
      </w:pPr>
      <w:bookmarkStart w:id="19" w:name="BookMark3"/>
      <w:r>
        <w:rPr>
          <w:spacing w:val="320"/>
        </w:rPr>
        <w:t>引</w:t>
      </w:r>
      <w:r>
        <w:t>言</w:t>
      </w:r>
    </w:p>
    <w:p>
      <w:pPr>
        <w:pStyle w:val="58"/>
        <w:ind w:firstLine="420"/>
        <w:rPr>
          <w:rFonts w:hint="eastAsia"/>
        </w:rPr>
      </w:pPr>
      <w:r>
        <w:rPr>
          <w:rFonts w:hint="eastAsia"/>
        </w:rPr>
        <w:t>本文件的发布机构提请注意，声明符合本文件时，可能涉及A</w:t>
      </w:r>
      <w:r>
        <w:t>.2.8</w:t>
      </w:r>
      <w:r>
        <w:rPr>
          <w:rFonts w:hint="eastAsia"/>
        </w:rPr>
        <w:t>与热风循环式茶叶烘焙机相关的专利的使用。</w:t>
      </w:r>
    </w:p>
    <w:p>
      <w:pPr>
        <w:pStyle w:val="58"/>
        <w:ind w:firstLine="420"/>
        <w:rPr>
          <w:rFonts w:hint="eastAsia"/>
        </w:rPr>
      </w:pPr>
      <w:r>
        <w:rPr>
          <w:rFonts w:hint="eastAsia"/>
        </w:rPr>
        <w:t>本文件的发布机构对于该专利的真实性、有效性和范围无任何立场。</w:t>
      </w:r>
    </w:p>
    <w:p>
      <w:pPr>
        <w:pStyle w:val="58"/>
        <w:ind w:firstLine="420"/>
        <w:rPr>
          <w:rFonts w:hint="eastAsia"/>
        </w:rPr>
      </w:pPr>
      <w:r>
        <w:rPr>
          <w:rFonts w:hint="eastAsia"/>
        </w:rPr>
        <w:t>该专利持有人已向本文件的发布机构承诺，他愿意同任何申请人在合理且无歧视的条款和条件下，就专利授权许可进行谈判。该专利持有人的声明已在本文件的发布机构备案。相关信息可以通过以下联系方式获得：</w:t>
      </w:r>
    </w:p>
    <w:p>
      <w:pPr>
        <w:pStyle w:val="58"/>
        <w:ind w:firstLine="420"/>
        <w:rPr>
          <w:szCs w:val="21"/>
        </w:rPr>
      </w:pPr>
      <w:r>
        <w:rPr>
          <w:rFonts w:hint="eastAsia" w:hAnsi="宋体"/>
        </w:rPr>
        <w:t>专利持有人姓名：福建新坦洋集团股份有限公司。</w:t>
      </w:r>
    </w:p>
    <w:p>
      <w:pPr>
        <w:pStyle w:val="233"/>
        <w:ind w:firstLine="420" w:firstLineChars="200"/>
        <w:rPr>
          <w:rFonts w:hint="eastAsia"/>
        </w:rPr>
      </w:pPr>
      <w:r>
        <w:rPr>
          <w:rFonts w:hint="eastAsia" w:ascii="宋体" w:hAnsi="宋体"/>
        </w:rPr>
        <w:t>地址：福建省福安市城阳镇占洋村</w:t>
      </w:r>
      <w:r>
        <w:rPr>
          <w:rFonts w:hint="eastAsia"/>
        </w:rPr>
        <w:t>101</w:t>
      </w:r>
      <w:r>
        <w:rPr>
          <w:rFonts w:hint="eastAsia" w:ascii="宋体" w:hAnsi="宋体"/>
        </w:rPr>
        <w:t>号天湖山庄</w:t>
      </w:r>
      <w:r>
        <w:rPr>
          <w:rFonts w:hint="eastAsia"/>
        </w:rPr>
        <w:t>2</w:t>
      </w:r>
      <w:r>
        <w:rPr>
          <w:rFonts w:hint="eastAsia" w:ascii="宋体" w:hAnsi="宋体"/>
        </w:rPr>
        <w:t>单元。</w:t>
      </w:r>
    </w:p>
    <w:p>
      <w:pPr>
        <w:pStyle w:val="58"/>
        <w:ind w:firstLine="420"/>
      </w:pPr>
      <w:r>
        <w:rPr>
          <w:rFonts w:hint="eastAsia"/>
        </w:rPr>
        <w:t>请注意除上述专利外，本文件的某些内容仍可能涉及专利。本文件的发布机构不承担识别专利的责任。</w:t>
      </w:r>
    </w:p>
    <w:p>
      <w:pPr>
        <w:pStyle w:val="58"/>
        <w:ind w:firstLine="420"/>
      </w:pPr>
    </w:p>
    <w:p>
      <w:pPr>
        <w:pStyle w:val="58"/>
        <w:ind w:firstLine="420"/>
        <w:sectPr>
          <w:pgSz w:w="11906" w:h="16838"/>
          <w:pgMar w:top="1928" w:right="1134" w:bottom="1134" w:left="1134" w:header="1418" w:footer="1134" w:gutter="284"/>
          <w:pgNumType w:fmt="upperRoman" w:start="0"/>
          <w:cols w:space="425" w:num="1"/>
          <w:formProt w:val="0"/>
          <w:docGrid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0EC21192D65242EFA02F52C8B8E4DE26"/>
        </w:placeholder>
      </w:sdtPr>
      <w:sdtContent>
        <w:p>
          <w:pPr>
            <w:pStyle w:val="179"/>
            <w:spacing w:before="240" w:beforeLines="100" w:after="528" w:afterLines="220"/>
          </w:pPr>
          <w:bookmarkStart w:id="21" w:name="NEW_STAND_NAME"/>
          <w:r>
            <w:rPr>
              <w:rFonts w:hint="eastAsia"/>
            </w:rPr>
            <w:t>紫火红茶</w:t>
          </w:r>
        </w:p>
      </w:sdtContent>
    </w:sdt>
    <w:bookmarkEnd w:id="21"/>
    <w:p>
      <w:pPr>
        <w:pStyle w:val="106"/>
        <w:spacing w:before="240" w:after="240"/>
      </w:pPr>
      <w:bookmarkStart w:id="22" w:name="_Toc26986530"/>
      <w:bookmarkStart w:id="23" w:name="_Toc26718930"/>
      <w:bookmarkStart w:id="24" w:name="_Toc17233333"/>
      <w:bookmarkStart w:id="25" w:name="_Toc26648465"/>
      <w:bookmarkStart w:id="26" w:name="_Toc17233325"/>
      <w:bookmarkStart w:id="27" w:name="_Toc24884218"/>
      <w:bookmarkStart w:id="28" w:name="_Toc24884211"/>
      <w:bookmarkStart w:id="29" w:name="_Toc26986771"/>
      <w:bookmarkStart w:id="30" w:name="_Toc97192964"/>
      <w:r>
        <w:rPr>
          <w:rFonts w:hint="eastAsia"/>
        </w:rPr>
        <w:t>范围</w:t>
      </w:r>
      <w:bookmarkEnd w:id="22"/>
      <w:bookmarkEnd w:id="23"/>
      <w:bookmarkEnd w:id="24"/>
      <w:bookmarkEnd w:id="25"/>
      <w:bookmarkEnd w:id="26"/>
      <w:bookmarkEnd w:id="27"/>
      <w:bookmarkEnd w:id="28"/>
      <w:bookmarkEnd w:id="29"/>
      <w:bookmarkEnd w:id="30"/>
    </w:p>
    <w:p>
      <w:pPr>
        <w:pStyle w:val="58"/>
        <w:ind w:firstLine="420"/>
      </w:pPr>
      <w:bookmarkStart w:id="31" w:name="_Toc26648466"/>
      <w:bookmarkStart w:id="32" w:name="_Toc24884219"/>
      <w:bookmarkStart w:id="33" w:name="_Toc17233326"/>
      <w:bookmarkStart w:id="34" w:name="_Toc17233334"/>
      <w:bookmarkStart w:id="35" w:name="_Toc24884212"/>
      <w:r>
        <w:rPr>
          <w:rFonts w:hint="eastAsia"/>
        </w:rPr>
        <w:t>本文件规定了紫火红茶的加工、要求、试验方法、检验规则、标志、标签、包装、运输和贮存。</w:t>
      </w:r>
    </w:p>
    <w:p>
      <w:pPr>
        <w:pStyle w:val="58"/>
        <w:ind w:firstLine="420"/>
      </w:pPr>
      <w:r>
        <w:rPr>
          <w:rFonts w:hint="eastAsia"/>
        </w:rPr>
        <w:t>本文件适用于紫火红茶。</w:t>
      </w:r>
    </w:p>
    <w:p>
      <w:pPr>
        <w:pStyle w:val="106"/>
        <w:spacing w:before="240" w:after="240"/>
      </w:pPr>
      <w:bookmarkStart w:id="36" w:name="_Toc97192965"/>
      <w:bookmarkStart w:id="37" w:name="_Toc26718931"/>
      <w:bookmarkStart w:id="38" w:name="_Toc26986772"/>
      <w:bookmarkStart w:id="39" w:name="_Toc269865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4C10C0F498E0432CB609242C9FC164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szCs w:val="21"/>
        </w:rPr>
      </w:pPr>
      <w:r>
        <w:rPr>
          <w:rFonts w:hint="eastAsia" w:hAnsi="宋体"/>
        </w:rPr>
        <w:t>GB/T 191  包装储运图示标志</w:t>
      </w:r>
    </w:p>
    <w:p>
      <w:pPr>
        <w:pStyle w:val="58"/>
        <w:ind w:firstLine="420"/>
      </w:pPr>
      <w:r>
        <w:rPr>
          <w:rFonts w:hint="eastAsia" w:hAnsi="宋体"/>
        </w:rPr>
        <w:t>GB 2762  食品安全国家标准 食品中污染物限量</w:t>
      </w:r>
    </w:p>
    <w:p>
      <w:pPr>
        <w:pStyle w:val="58"/>
        <w:ind w:firstLine="420"/>
      </w:pPr>
      <w:r>
        <w:rPr>
          <w:rFonts w:hint="eastAsia" w:hAnsi="宋体"/>
        </w:rPr>
        <w:t>GB 2763  食品安全国家标准 食品中农药最大残留限量</w:t>
      </w:r>
    </w:p>
    <w:p>
      <w:pPr>
        <w:pStyle w:val="58"/>
        <w:ind w:firstLine="420"/>
      </w:pPr>
      <w:r>
        <w:rPr>
          <w:rFonts w:hint="eastAsia" w:hAnsi="宋体"/>
        </w:rPr>
        <w:t>GB 7718  食品安全国家标准 预包装食品标签通则</w:t>
      </w:r>
    </w:p>
    <w:p>
      <w:pPr>
        <w:pStyle w:val="58"/>
        <w:ind w:firstLine="420"/>
      </w:pPr>
      <w:r>
        <w:rPr>
          <w:rFonts w:hint="eastAsia" w:hAnsi="宋体"/>
        </w:rPr>
        <w:t>GB/T 8302  茶 取样</w:t>
      </w:r>
    </w:p>
    <w:p>
      <w:pPr>
        <w:pStyle w:val="58"/>
        <w:ind w:firstLine="420"/>
      </w:pPr>
      <w:r>
        <w:rPr>
          <w:rFonts w:hint="eastAsia" w:hAnsi="宋体"/>
        </w:rPr>
        <w:t>GB/T 8303  茶 磨碎试样的制备及其干物质含量测定</w:t>
      </w:r>
    </w:p>
    <w:p>
      <w:pPr>
        <w:pStyle w:val="58"/>
        <w:ind w:firstLine="420"/>
      </w:pPr>
      <w:r>
        <w:rPr>
          <w:rFonts w:hint="eastAsia" w:hAnsi="宋体"/>
        </w:rPr>
        <w:t>GB/T 8305  茶 水浸出物测定</w:t>
      </w:r>
    </w:p>
    <w:p>
      <w:pPr>
        <w:pStyle w:val="58"/>
        <w:ind w:firstLine="420"/>
      </w:pPr>
      <w:r>
        <w:rPr>
          <w:rFonts w:hint="eastAsia" w:hAnsi="宋体"/>
        </w:rPr>
        <w:t>GB/T 8306</w:t>
      </w:r>
      <w:r>
        <w:rPr>
          <w:rFonts w:hint="eastAsia"/>
        </w:rPr>
        <w:t xml:space="preserve">  </w:t>
      </w:r>
      <w:r>
        <w:rPr>
          <w:rFonts w:hint="eastAsia" w:hAnsi="宋体"/>
        </w:rPr>
        <w:t>茶</w:t>
      </w:r>
      <w:r>
        <w:rPr>
          <w:rFonts w:hint="eastAsia"/>
        </w:rPr>
        <w:t xml:space="preserve"> </w:t>
      </w:r>
      <w:r>
        <w:rPr>
          <w:rFonts w:hint="eastAsia" w:hAnsi="宋体"/>
        </w:rPr>
        <w:t>总灰分测定</w:t>
      </w:r>
    </w:p>
    <w:p>
      <w:pPr>
        <w:pStyle w:val="58"/>
        <w:ind w:firstLine="420"/>
      </w:pPr>
      <w:r>
        <w:rPr>
          <w:rFonts w:hint="eastAsia"/>
        </w:rPr>
        <w:t xml:space="preserve">GB/T 8311  </w:t>
      </w:r>
      <w:r>
        <w:rPr>
          <w:rFonts w:hint="eastAsia" w:hAnsi="宋体"/>
        </w:rPr>
        <w:t>茶粉末和碎茶含量测定</w:t>
      </w:r>
    </w:p>
    <w:p>
      <w:pPr>
        <w:pStyle w:val="58"/>
        <w:ind w:firstLine="420"/>
      </w:pPr>
      <w:r>
        <w:rPr>
          <w:rFonts w:hint="eastAsia" w:hAnsi="宋体"/>
        </w:rPr>
        <w:t xml:space="preserve">GB/T 14487 </w:t>
      </w:r>
      <w:r>
        <w:rPr>
          <w:rFonts w:hint="eastAsia"/>
        </w:rPr>
        <w:t xml:space="preserve"> </w:t>
      </w:r>
      <w:r>
        <w:rPr>
          <w:rFonts w:hint="eastAsia" w:hAnsi="宋体"/>
        </w:rPr>
        <w:t>茶叶感官审评术语</w:t>
      </w:r>
    </w:p>
    <w:p>
      <w:pPr>
        <w:pStyle w:val="58"/>
        <w:ind w:firstLine="420"/>
      </w:pPr>
      <w:r>
        <w:rPr>
          <w:rFonts w:hint="eastAsia" w:hAnsi="宋体"/>
        </w:rPr>
        <w:t>GB 23350  限制商品过度包装要求 食品和化妆品</w:t>
      </w:r>
    </w:p>
    <w:p>
      <w:pPr>
        <w:pStyle w:val="58"/>
        <w:ind w:firstLine="420"/>
      </w:pPr>
      <w:r>
        <w:rPr>
          <w:rFonts w:hint="eastAsia" w:hAnsi="宋体"/>
        </w:rPr>
        <w:t>GB/T 23776  茶叶感官审评方法</w:t>
      </w:r>
    </w:p>
    <w:p>
      <w:pPr>
        <w:pStyle w:val="58"/>
        <w:ind w:firstLine="420"/>
      </w:pPr>
      <w:r>
        <w:rPr>
          <w:rFonts w:hint="eastAsia" w:hAnsi="宋体"/>
        </w:rPr>
        <w:t>GB/T 30375  茶叶贮存</w:t>
      </w:r>
    </w:p>
    <w:p>
      <w:pPr>
        <w:pStyle w:val="58"/>
        <w:ind w:firstLine="420"/>
      </w:pPr>
      <w:r>
        <w:rPr>
          <w:rFonts w:hint="eastAsia" w:hAnsi="宋体"/>
        </w:rPr>
        <w:t>GB 31608  食品安全国家标准 茶叶</w:t>
      </w:r>
    </w:p>
    <w:p>
      <w:pPr>
        <w:pStyle w:val="58"/>
        <w:ind w:firstLine="420"/>
      </w:pPr>
      <w:r>
        <w:rPr>
          <w:rFonts w:hint="eastAsia" w:hAnsi="宋体"/>
        </w:rPr>
        <w:t>GB/T 40633</w:t>
      </w:r>
      <w:r>
        <w:rPr>
          <w:rFonts w:hint="eastAsia"/>
        </w:rPr>
        <w:t xml:space="preserve"> </w:t>
      </w:r>
      <w:r>
        <w:rPr>
          <w:rFonts w:hint="eastAsia" w:hAnsi="宋体"/>
        </w:rPr>
        <w:t>茶叶加工术语</w:t>
      </w:r>
    </w:p>
    <w:p>
      <w:pPr>
        <w:pStyle w:val="58"/>
        <w:ind w:firstLine="420"/>
      </w:pPr>
      <w:r>
        <w:rPr>
          <w:rFonts w:hint="eastAsia" w:hAnsi="宋体"/>
        </w:rPr>
        <w:t>GH/T 1070  茶叶包装通则</w:t>
      </w:r>
    </w:p>
    <w:p>
      <w:pPr>
        <w:pStyle w:val="58"/>
        <w:ind w:firstLine="420"/>
      </w:pPr>
      <w:r>
        <w:rPr>
          <w:rFonts w:hint="eastAsia" w:hAnsi="宋体"/>
        </w:rPr>
        <w:t>JJF 1070  定量包装商品净含量计量检验规则</w:t>
      </w:r>
    </w:p>
    <w:p>
      <w:pPr>
        <w:pStyle w:val="106"/>
        <w:spacing w:before="240" w:after="240"/>
      </w:pPr>
      <w:bookmarkStart w:id="40" w:name="_Toc97192966"/>
      <w:r>
        <w:rPr>
          <w:rFonts w:hint="eastAsia"/>
          <w:szCs w:val="21"/>
        </w:rPr>
        <w:t>术语和定义</w:t>
      </w:r>
      <w:bookmarkEnd w:id="40"/>
    </w:p>
    <w:sdt>
      <w:sdtPr>
        <w:id w:val="-1909835108"/>
        <w:placeholder>
          <w:docPart w:val="E80D9096A2EE47D494BD1F797E8A41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41" w:name="_Toc26986532"/>
          <w:bookmarkEnd w:id="41"/>
          <w:r>
            <w:t>本文件没有需要界定的术语和定义。</w:t>
          </w:r>
        </w:p>
      </w:sdtContent>
    </w:sdt>
    <w:p>
      <w:pPr>
        <w:pStyle w:val="106"/>
        <w:spacing w:before="240" w:after="240"/>
      </w:pPr>
      <w:r>
        <w:rPr>
          <w:rFonts w:hint="eastAsia"/>
        </w:rPr>
        <w:t>加工</w:t>
      </w:r>
    </w:p>
    <w:p>
      <w:pPr>
        <w:pStyle w:val="107"/>
        <w:spacing w:before="120" w:after="120"/>
      </w:pPr>
      <w:r>
        <w:rPr>
          <w:rFonts w:hint="eastAsia"/>
        </w:rPr>
        <w:t>工艺流程</w:t>
      </w:r>
    </w:p>
    <w:p>
      <w:pPr>
        <w:pStyle w:val="58"/>
        <w:ind w:firstLine="420"/>
      </w:pPr>
      <w:r>
        <w:rPr>
          <w:rFonts w:hint="eastAsia"/>
        </w:rPr>
        <w:t>鲜叶→萎凋→揉捻→发酵→干燥→渥堆→汽蒸→烘干→精制→成品。</w:t>
      </w:r>
    </w:p>
    <w:p>
      <w:pPr>
        <w:pStyle w:val="107"/>
        <w:spacing w:before="120" w:after="120"/>
      </w:pPr>
      <w:r>
        <w:rPr>
          <w:rFonts w:hint="eastAsia"/>
        </w:rPr>
        <w:t>加工要求</w:t>
      </w:r>
    </w:p>
    <w:p>
      <w:pPr>
        <w:pStyle w:val="58"/>
        <w:ind w:firstLine="420"/>
      </w:pPr>
      <w:r>
        <w:rPr>
          <w:rFonts w:hint="eastAsia"/>
        </w:rPr>
        <w:t>见附录A。</w:t>
      </w:r>
    </w:p>
    <w:p>
      <w:pPr>
        <w:pStyle w:val="106"/>
        <w:spacing w:before="240" w:after="240"/>
      </w:pPr>
      <w:r>
        <w:rPr>
          <w:rFonts w:hint="eastAsia"/>
        </w:rPr>
        <w:t>要求</w:t>
      </w:r>
    </w:p>
    <w:p>
      <w:pPr>
        <w:pStyle w:val="107"/>
        <w:spacing w:before="120" w:after="120"/>
      </w:pPr>
      <w:r>
        <w:rPr>
          <w:rFonts w:hint="eastAsia"/>
        </w:rPr>
        <w:t>基本要求</w:t>
      </w:r>
    </w:p>
    <w:p>
      <w:pPr>
        <w:pStyle w:val="58"/>
        <w:ind w:firstLine="420"/>
      </w:pPr>
      <w:r>
        <w:rPr>
          <w:rFonts w:hint="eastAsia"/>
        </w:rPr>
        <w:t>不含有非茶类杂物和任何添加剂，茶叶洁净、品质正常，无劣变，无异味。</w:t>
      </w:r>
    </w:p>
    <w:p>
      <w:pPr>
        <w:pStyle w:val="107"/>
        <w:spacing w:before="120" w:after="120"/>
      </w:pPr>
      <w:r>
        <w:rPr>
          <w:rFonts w:hint="eastAsia"/>
        </w:rPr>
        <w:t>感官品质</w:t>
      </w:r>
    </w:p>
    <w:p>
      <w:pPr>
        <w:pStyle w:val="58"/>
        <w:ind w:firstLine="420"/>
      </w:pPr>
      <w:r>
        <w:rPr>
          <w:rFonts w:hint="eastAsia"/>
        </w:rPr>
        <w:t>应符合表1的规定。</w:t>
      </w:r>
    </w:p>
    <w:p>
      <w:pPr>
        <w:pStyle w:val="114"/>
        <w:spacing w:before="120" w:after="120"/>
      </w:pPr>
      <w:r>
        <w:rPr>
          <w:rFonts w:hint="eastAsia"/>
        </w:rPr>
        <w:t>感官品质特征</w:t>
      </w:r>
    </w:p>
    <w:tbl>
      <w:tblPr>
        <w:tblStyle w:val="28"/>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977"/>
        <w:gridCol w:w="977"/>
        <w:gridCol w:w="977"/>
        <w:gridCol w:w="979"/>
        <w:gridCol w:w="977"/>
        <w:gridCol w:w="977"/>
        <w:gridCol w:w="97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77"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级别</w:t>
            </w:r>
          </w:p>
        </w:tc>
        <w:tc>
          <w:tcPr>
            <w:tcW w:w="3910"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外形</w:t>
            </w:r>
          </w:p>
        </w:tc>
        <w:tc>
          <w:tcPr>
            <w:tcW w:w="3911"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内质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条索</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整碎</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色泽</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净度</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香气</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滋味</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汤色</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叶底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特级</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紧细</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匀整</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乌褐、油润</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净</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陈香纯正</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陈、醇厚</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深红、明亮</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褐、明亮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一级</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紧结</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匀整</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乌褐、</w:t>
            </w:r>
          </w:p>
          <w:p>
            <w:pPr>
              <w:jc w:val="center"/>
              <w:rPr>
                <w:sz w:val="18"/>
                <w:szCs w:val="18"/>
              </w:rPr>
            </w:pPr>
            <w:r>
              <w:rPr>
                <w:rFonts w:hint="eastAsia" w:ascii="宋体" w:hAnsi="宋体"/>
                <w:sz w:val="18"/>
                <w:szCs w:val="18"/>
              </w:rPr>
              <w:t>较油润</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净</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陈香纯正</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陈、尚醇厚</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深红、明亮</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褐、明亮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二级</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尚紧结</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较匀整</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乌褐、</w:t>
            </w:r>
          </w:p>
          <w:p>
            <w:pPr>
              <w:jc w:val="center"/>
              <w:rPr>
                <w:sz w:val="18"/>
                <w:szCs w:val="18"/>
              </w:rPr>
            </w:pPr>
            <w:r>
              <w:rPr>
                <w:rFonts w:hint="eastAsia" w:ascii="宋体" w:hAnsi="宋体"/>
                <w:sz w:val="18"/>
                <w:szCs w:val="18"/>
              </w:rPr>
              <w:t>尚油润</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净、稍含嫩茎</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陈香纯正</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陈、尚浓醇</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尚深红、明亮</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褐、尚明亮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三级</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粗实、紧结</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较匀整</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乌褐、尚油润</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净、有筋梗茎梗</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陈香纯正</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陈、醇正</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红、明亮</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褐、稍硬、尚亮</w:t>
            </w:r>
          </w:p>
        </w:tc>
      </w:tr>
    </w:tbl>
    <w:p>
      <w:pPr>
        <w:pStyle w:val="107"/>
        <w:spacing w:before="120" w:after="120"/>
      </w:pPr>
      <w:r>
        <w:rPr>
          <w:rFonts w:hint="eastAsia"/>
        </w:rPr>
        <w:t>理化指标</w:t>
      </w:r>
    </w:p>
    <w:p>
      <w:pPr>
        <w:pStyle w:val="58"/>
        <w:ind w:firstLine="420"/>
      </w:pPr>
      <w:r>
        <w:rPr>
          <w:rFonts w:hint="eastAsia"/>
        </w:rPr>
        <w:t>应符合表</w:t>
      </w:r>
      <w:r>
        <w:t>2</w:t>
      </w:r>
      <w:r>
        <w:rPr>
          <w:rFonts w:hint="eastAsia"/>
        </w:rPr>
        <w:t>的规定。</w:t>
      </w:r>
    </w:p>
    <w:p>
      <w:pPr>
        <w:pStyle w:val="114"/>
        <w:spacing w:before="120" w:after="120"/>
      </w:pPr>
      <w:r>
        <w:rPr>
          <w:rFonts w:hint="eastAsia"/>
        </w:rPr>
        <w:t>理化指标</w:t>
      </w:r>
    </w:p>
    <w:tbl>
      <w:tblPr>
        <w:tblStyle w:val="27"/>
        <w:tblW w:w="92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43"/>
        <w:gridCol w:w="1651"/>
        <w:gridCol w:w="1545"/>
        <w:gridCol w:w="106"/>
        <w:gridCol w:w="1651"/>
        <w:gridCol w:w="16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643" w:type="dxa"/>
            <w:vMerge w:val="restart"/>
            <w:tcBorders>
              <w:top w:val="single" w:color="auto" w:sz="8" w:space="0"/>
              <w:left w:val="single" w:color="auto" w:sz="8" w:space="0"/>
              <w:bottom w:val="single" w:color="auto" w:sz="8" w:space="0"/>
              <w:right w:val="single" w:color="auto" w:sz="8" w:space="0"/>
            </w:tcBorders>
            <w:vAlign w:val="center"/>
          </w:tcPr>
          <w:p>
            <w:pPr>
              <w:pStyle w:val="232"/>
              <w:ind w:firstLine="360"/>
              <w:jc w:val="center"/>
              <w:rPr>
                <w:rFonts w:hAnsi="宋体"/>
                <w:sz w:val="18"/>
                <w:szCs w:val="18"/>
              </w:rPr>
            </w:pPr>
            <w:bookmarkStart w:id="42" w:name="_Toc286932288"/>
            <w:r>
              <w:rPr>
                <w:rFonts w:hint="eastAsia" w:hAnsi="宋体"/>
                <w:sz w:val="18"/>
                <w:szCs w:val="18"/>
              </w:rPr>
              <w:t>项    目</w:t>
            </w:r>
            <w:bookmarkEnd w:id="42"/>
          </w:p>
        </w:tc>
        <w:tc>
          <w:tcPr>
            <w:tcW w:w="6604" w:type="dxa"/>
            <w:gridSpan w:val="5"/>
            <w:tcBorders>
              <w:top w:val="single" w:color="auto" w:sz="8" w:space="0"/>
              <w:left w:val="single" w:color="auto" w:sz="8" w:space="0"/>
              <w:bottom w:val="single" w:color="auto" w:sz="8" w:space="0"/>
              <w:right w:val="single" w:color="auto" w:sz="8" w:space="0"/>
            </w:tcBorders>
            <w:vAlign w:val="center"/>
          </w:tcPr>
          <w:p>
            <w:pPr>
              <w:pStyle w:val="232"/>
              <w:ind w:firstLine="0" w:firstLineChars="0"/>
              <w:jc w:val="center"/>
              <w:rPr>
                <w:sz w:val="18"/>
                <w:szCs w:val="18"/>
              </w:rPr>
            </w:pPr>
            <w:r>
              <w:rPr>
                <w:rFonts w:hint="eastAsia" w:hAnsi="宋体"/>
                <w:sz w:val="18"/>
                <w:szCs w:val="18"/>
              </w:rPr>
              <w:t>指</w:t>
            </w:r>
            <w:r>
              <w:rPr>
                <w:rFonts w:hint="eastAsia"/>
                <w:sz w:val="18"/>
                <w:szCs w:val="18"/>
              </w:rPr>
              <w:t xml:space="preserve">  </w:t>
            </w:r>
            <w:r>
              <w:rPr>
                <w:rFonts w:hint="eastAsia" w:hAnsi="宋体"/>
                <w:sz w:val="18"/>
                <w:szCs w:val="18"/>
              </w:rPr>
              <w:t>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6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18"/>
                <w:szCs w:val="18"/>
              </w:rPr>
            </w:pPr>
          </w:p>
        </w:tc>
        <w:tc>
          <w:tcPr>
            <w:tcW w:w="165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sz w:val="18"/>
                <w:szCs w:val="18"/>
              </w:rPr>
            </w:pPr>
            <w:r>
              <w:rPr>
                <w:rFonts w:hint="eastAsia" w:ascii="宋体" w:hAnsi="宋体"/>
                <w:sz w:val="18"/>
                <w:szCs w:val="18"/>
              </w:rPr>
              <w:t>特级</w:t>
            </w:r>
          </w:p>
        </w:tc>
        <w:tc>
          <w:tcPr>
            <w:tcW w:w="154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sz w:val="18"/>
                <w:szCs w:val="18"/>
              </w:rPr>
            </w:pPr>
            <w:r>
              <w:rPr>
                <w:rFonts w:hint="eastAsia" w:ascii="宋体" w:hAnsi="宋体"/>
                <w:sz w:val="18"/>
                <w:szCs w:val="18"/>
              </w:rPr>
              <w:t>一级</w:t>
            </w:r>
          </w:p>
        </w:tc>
        <w:tc>
          <w:tcPr>
            <w:tcW w:w="1757" w:type="dxa"/>
            <w:gridSpan w:val="2"/>
            <w:tcBorders>
              <w:top w:val="single" w:color="auto" w:sz="8" w:space="0"/>
              <w:left w:val="single" w:color="auto" w:sz="8" w:space="0"/>
              <w:bottom w:val="single" w:color="auto" w:sz="8" w:space="0"/>
              <w:right w:val="single" w:color="auto" w:sz="8" w:space="0"/>
            </w:tcBorders>
            <w:vAlign w:val="center"/>
          </w:tcPr>
          <w:p>
            <w:pPr>
              <w:pStyle w:val="232"/>
              <w:ind w:firstLine="0" w:firstLineChars="0"/>
              <w:jc w:val="center"/>
              <w:rPr>
                <w:sz w:val="18"/>
                <w:szCs w:val="18"/>
              </w:rPr>
            </w:pPr>
            <w:r>
              <w:rPr>
                <w:rFonts w:hint="eastAsia" w:hAnsi="宋体"/>
                <w:sz w:val="18"/>
                <w:szCs w:val="18"/>
              </w:rPr>
              <w:t>二级</w:t>
            </w:r>
          </w:p>
        </w:tc>
        <w:tc>
          <w:tcPr>
            <w:tcW w:w="1651" w:type="dxa"/>
            <w:tcBorders>
              <w:top w:val="single" w:color="auto" w:sz="8" w:space="0"/>
              <w:left w:val="single" w:color="auto" w:sz="8" w:space="0"/>
              <w:bottom w:val="single" w:color="auto" w:sz="8" w:space="0"/>
              <w:right w:val="single" w:color="auto" w:sz="8" w:space="0"/>
            </w:tcBorders>
            <w:vAlign w:val="center"/>
          </w:tcPr>
          <w:p>
            <w:pPr>
              <w:pStyle w:val="232"/>
              <w:ind w:firstLine="0" w:firstLineChars="0"/>
              <w:jc w:val="center"/>
              <w:rPr>
                <w:sz w:val="18"/>
                <w:szCs w:val="18"/>
              </w:rPr>
            </w:pPr>
            <w:r>
              <w:rPr>
                <w:rFonts w:hint="eastAsia" w:hAnsi="宋体"/>
                <w:sz w:val="18"/>
                <w:szCs w:val="18"/>
              </w:rPr>
              <w:t>三级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643" w:type="dxa"/>
            <w:tcBorders>
              <w:top w:val="single" w:color="auto" w:sz="8" w:space="0"/>
              <w:left w:val="single" w:color="auto" w:sz="8" w:space="0"/>
              <w:bottom w:val="single" w:color="auto" w:sz="8" w:space="0"/>
              <w:right w:val="single" w:color="auto" w:sz="8" w:space="0"/>
            </w:tcBorders>
            <w:vAlign w:val="center"/>
          </w:tcPr>
          <w:p>
            <w:pPr>
              <w:pStyle w:val="232"/>
              <w:ind w:leftChars="-6" w:hanging="12" w:hangingChars="7"/>
              <w:jc w:val="left"/>
              <w:rPr>
                <w:rFonts w:hAnsi="宋体"/>
                <w:sz w:val="18"/>
                <w:szCs w:val="18"/>
              </w:rPr>
            </w:pPr>
            <w:r>
              <w:rPr>
                <w:rFonts w:hint="eastAsia" w:hAnsi="宋体"/>
                <w:sz w:val="18"/>
                <w:szCs w:val="18"/>
              </w:rPr>
              <w:t>水分（质量分数）/%　   ≤</w:t>
            </w:r>
          </w:p>
        </w:tc>
        <w:tc>
          <w:tcPr>
            <w:tcW w:w="6604" w:type="dxa"/>
            <w:gridSpan w:val="5"/>
            <w:tcBorders>
              <w:top w:val="single" w:color="auto" w:sz="8" w:space="0"/>
              <w:left w:val="single" w:color="auto" w:sz="8" w:space="0"/>
              <w:bottom w:val="single" w:color="auto" w:sz="8" w:space="0"/>
              <w:right w:val="single" w:color="auto" w:sz="8" w:space="0"/>
            </w:tcBorders>
            <w:vAlign w:val="center"/>
          </w:tcPr>
          <w:p>
            <w:pPr>
              <w:pStyle w:val="232"/>
              <w:ind w:firstLine="0" w:firstLineChars="0"/>
              <w:jc w:val="center"/>
              <w:rPr>
                <w:rFonts w:hAnsi="宋体"/>
                <w:sz w:val="18"/>
                <w:szCs w:val="18"/>
              </w:rPr>
            </w:pPr>
            <w:r>
              <w:rPr>
                <w:rFonts w:hint="eastAsia" w:hAnsi="宋体"/>
                <w:sz w:val="18"/>
                <w:szCs w:val="18"/>
              </w:rPr>
              <w:t>12.0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643" w:type="dxa"/>
            <w:tcBorders>
              <w:top w:val="single" w:color="auto" w:sz="8" w:space="0"/>
              <w:left w:val="single" w:color="auto" w:sz="8" w:space="0"/>
              <w:bottom w:val="single" w:color="auto" w:sz="8" w:space="0"/>
              <w:right w:val="single" w:color="auto" w:sz="8" w:space="0"/>
            </w:tcBorders>
            <w:vAlign w:val="center"/>
          </w:tcPr>
          <w:p>
            <w:pPr>
              <w:pStyle w:val="232"/>
              <w:ind w:leftChars="-6" w:hanging="12" w:hangingChars="7"/>
              <w:jc w:val="left"/>
              <w:rPr>
                <w:rFonts w:hAnsi="宋体"/>
                <w:sz w:val="18"/>
                <w:szCs w:val="18"/>
              </w:rPr>
            </w:pPr>
            <w:r>
              <w:rPr>
                <w:rFonts w:hint="eastAsia" w:hAnsi="宋体"/>
                <w:sz w:val="18"/>
                <w:szCs w:val="18"/>
              </w:rPr>
              <w:t>总灰分（质量分数）/%   ≤</w:t>
            </w:r>
          </w:p>
        </w:tc>
        <w:tc>
          <w:tcPr>
            <w:tcW w:w="6604" w:type="dxa"/>
            <w:gridSpan w:val="5"/>
            <w:tcBorders>
              <w:top w:val="single" w:color="auto" w:sz="8" w:space="0"/>
              <w:left w:val="single" w:color="auto" w:sz="8" w:space="0"/>
              <w:bottom w:val="single" w:color="auto" w:sz="8" w:space="0"/>
              <w:right w:val="single" w:color="auto" w:sz="8" w:space="0"/>
            </w:tcBorders>
            <w:vAlign w:val="center"/>
          </w:tcPr>
          <w:p>
            <w:pPr>
              <w:pStyle w:val="232"/>
              <w:ind w:firstLine="0" w:firstLineChars="0"/>
              <w:jc w:val="center"/>
              <w:rPr>
                <w:rFonts w:hAnsi="宋体"/>
                <w:sz w:val="18"/>
                <w:szCs w:val="18"/>
              </w:rPr>
            </w:pPr>
            <w:r>
              <w:rPr>
                <w:rFonts w:hint="eastAsia" w:hAnsi="宋体"/>
                <w:sz w:val="18"/>
                <w:szCs w:val="18"/>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643" w:type="dxa"/>
            <w:tcBorders>
              <w:top w:val="single" w:color="auto" w:sz="8" w:space="0"/>
              <w:left w:val="single" w:color="auto" w:sz="8" w:space="0"/>
              <w:bottom w:val="single" w:color="auto" w:sz="8" w:space="0"/>
              <w:right w:val="single" w:color="auto" w:sz="8" w:space="0"/>
            </w:tcBorders>
            <w:vAlign w:val="center"/>
          </w:tcPr>
          <w:p>
            <w:pPr>
              <w:pStyle w:val="232"/>
              <w:ind w:leftChars="-6" w:hanging="12" w:hangingChars="7"/>
              <w:jc w:val="left"/>
              <w:rPr>
                <w:rFonts w:hAnsi="宋体"/>
                <w:sz w:val="18"/>
                <w:szCs w:val="18"/>
              </w:rPr>
            </w:pPr>
            <w:r>
              <w:rPr>
                <w:rFonts w:hint="eastAsia" w:hAnsi="宋体"/>
                <w:sz w:val="18"/>
                <w:szCs w:val="18"/>
              </w:rPr>
              <w:t>粉末（质量分数）/%　   ≤</w:t>
            </w:r>
          </w:p>
        </w:tc>
        <w:tc>
          <w:tcPr>
            <w:tcW w:w="6604" w:type="dxa"/>
            <w:gridSpan w:val="5"/>
            <w:tcBorders>
              <w:top w:val="single" w:color="auto" w:sz="8" w:space="0"/>
              <w:left w:val="single" w:color="auto" w:sz="8" w:space="0"/>
              <w:bottom w:val="single" w:color="auto" w:sz="8" w:space="0"/>
              <w:right w:val="single" w:color="auto" w:sz="8" w:space="0"/>
            </w:tcBorders>
            <w:vAlign w:val="center"/>
          </w:tcPr>
          <w:p>
            <w:pPr>
              <w:pStyle w:val="232"/>
              <w:ind w:firstLine="0" w:firstLineChars="0"/>
              <w:jc w:val="center"/>
              <w:rPr>
                <w:rFonts w:hAnsi="宋体"/>
                <w:sz w:val="18"/>
                <w:szCs w:val="18"/>
              </w:rPr>
            </w:pPr>
            <w:r>
              <w:rPr>
                <w:rFonts w:hint="eastAsia" w:hAnsi="宋体"/>
                <w:sz w:val="18"/>
                <w:szCs w:val="1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643" w:type="dxa"/>
            <w:tcBorders>
              <w:top w:val="single" w:color="auto" w:sz="8" w:space="0"/>
              <w:left w:val="single" w:color="auto" w:sz="8" w:space="0"/>
              <w:bottom w:val="single" w:color="auto" w:sz="8" w:space="0"/>
              <w:right w:val="single" w:color="auto" w:sz="8" w:space="0"/>
            </w:tcBorders>
            <w:vAlign w:val="center"/>
          </w:tcPr>
          <w:p>
            <w:pPr>
              <w:rPr>
                <w:rFonts w:ascii="宋体" w:hAnsi="宋体" w:cs="宋体-18030"/>
                <w:sz w:val="18"/>
                <w:szCs w:val="18"/>
              </w:rPr>
            </w:pPr>
            <w:r>
              <w:rPr>
                <w:rFonts w:hint="eastAsia" w:ascii="宋体" w:hAnsi="宋体"/>
                <w:sz w:val="18"/>
                <w:szCs w:val="18"/>
              </w:rPr>
              <w:t>水浸出物（质量分数）</w:t>
            </w:r>
            <w:r>
              <w:rPr>
                <w:rFonts w:hint="eastAsia" w:cs="Calibri"/>
                <w:sz w:val="18"/>
                <w:szCs w:val="18"/>
              </w:rPr>
              <w:t>/%</w:t>
            </w:r>
            <w:r>
              <w:rPr>
                <w:rFonts w:hAnsi="宋体"/>
                <w:sz w:val="18"/>
                <w:szCs w:val="18"/>
              </w:rPr>
              <w:t xml:space="preserve">  </w:t>
            </w:r>
            <w:r>
              <w:rPr>
                <w:rFonts w:hint="eastAsia" w:ascii="宋体" w:hAnsi="宋体"/>
                <w:sz w:val="18"/>
                <w:szCs w:val="18"/>
              </w:rPr>
              <w:t>≥</w:t>
            </w:r>
          </w:p>
        </w:tc>
        <w:tc>
          <w:tcPr>
            <w:tcW w:w="330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18030"/>
                <w:sz w:val="18"/>
                <w:szCs w:val="18"/>
              </w:rPr>
            </w:pPr>
            <w:r>
              <w:rPr>
                <w:rFonts w:hint="eastAsia" w:ascii="宋体" w:hAnsi="宋体" w:cs="宋体-18030"/>
                <w:sz w:val="18"/>
                <w:szCs w:val="18"/>
              </w:rPr>
              <w:t>33.0</w:t>
            </w:r>
          </w:p>
        </w:tc>
        <w:tc>
          <w:tcPr>
            <w:tcW w:w="330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18030"/>
                <w:sz w:val="18"/>
                <w:szCs w:val="18"/>
              </w:rPr>
            </w:pPr>
            <w:r>
              <w:rPr>
                <w:rFonts w:hint="eastAsia" w:ascii="宋体" w:hAnsi="宋体" w:cs="宋体-18030"/>
                <w:sz w:val="18"/>
                <w:szCs w:val="18"/>
              </w:rPr>
              <w:t>30.0</w:t>
            </w:r>
          </w:p>
        </w:tc>
      </w:tr>
    </w:tbl>
    <w:p>
      <w:pPr>
        <w:pStyle w:val="107"/>
        <w:spacing w:before="120" w:after="120"/>
        <w:rPr>
          <w:szCs w:val="21"/>
        </w:rPr>
      </w:pPr>
      <w:r>
        <w:rPr>
          <w:rFonts w:hint="eastAsia"/>
        </w:rPr>
        <w:t>安全指标</w:t>
      </w:r>
    </w:p>
    <w:p>
      <w:pPr>
        <w:pStyle w:val="167"/>
      </w:pPr>
      <w:r>
        <w:rPr>
          <w:rFonts w:hint="eastAsia"/>
        </w:rPr>
        <w:t>污染物限量应符合GB 2762的规定。</w:t>
      </w:r>
    </w:p>
    <w:p>
      <w:pPr>
        <w:pStyle w:val="167"/>
      </w:pPr>
      <w:r>
        <w:rPr>
          <w:rFonts w:hint="eastAsia"/>
        </w:rPr>
        <w:t>农药残留限量应符合GB 2763的规定。</w:t>
      </w:r>
    </w:p>
    <w:p>
      <w:pPr>
        <w:pStyle w:val="107"/>
        <w:spacing w:before="120" w:after="120"/>
      </w:pPr>
      <w:r>
        <w:rPr>
          <w:rFonts w:hint="eastAsia"/>
        </w:rPr>
        <w:t>净含量</w:t>
      </w:r>
    </w:p>
    <w:p>
      <w:pPr>
        <w:pStyle w:val="58"/>
        <w:ind w:firstLine="420"/>
      </w:pPr>
      <w:r>
        <w:rPr>
          <w:rFonts w:hint="eastAsia" w:hAnsi="宋体"/>
        </w:rPr>
        <w:t>应符合《定量包装商品计量监督管理办法》的规定。</w:t>
      </w:r>
    </w:p>
    <w:p>
      <w:pPr>
        <w:pStyle w:val="106"/>
        <w:spacing w:before="240" w:after="240"/>
      </w:pPr>
      <w:r>
        <w:rPr>
          <w:rFonts w:hint="eastAsia"/>
        </w:rPr>
        <w:t>试验方法</w:t>
      </w:r>
    </w:p>
    <w:p>
      <w:pPr>
        <w:pStyle w:val="107"/>
        <w:spacing w:before="120" w:after="120"/>
      </w:pPr>
      <w:r>
        <w:rPr>
          <w:rFonts w:hint="eastAsia"/>
        </w:rPr>
        <w:t>感官品质</w:t>
      </w:r>
    </w:p>
    <w:p>
      <w:pPr>
        <w:pStyle w:val="58"/>
        <w:ind w:firstLine="420"/>
      </w:pPr>
      <w:r>
        <w:rPr>
          <w:rFonts w:hint="eastAsia" w:hAnsi="宋体"/>
        </w:rPr>
        <w:t>按GB/T 23776的规定执行。</w:t>
      </w:r>
    </w:p>
    <w:p>
      <w:pPr>
        <w:pStyle w:val="107"/>
        <w:spacing w:before="120" w:after="120"/>
      </w:pPr>
      <w:r>
        <w:rPr>
          <w:rFonts w:hint="eastAsia"/>
        </w:rPr>
        <w:t>理化指标</w:t>
      </w:r>
    </w:p>
    <w:p>
      <w:pPr>
        <w:pStyle w:val="167"/>
      </w:pPr>
      <w:r>
        <w:rPr>
          <w:rFonts w:hint="eastAsia"/>
        </w:rPr>
        <w:t>试样的制备按GB/T 8303的规定执行。</w:t>
      </w:r>
    </w:p>
    <w:p>
      <w:pPr>
        <w:pStyle w:val="167"/>
      </w:pPr>
      <w:r>
        <w:rPr>
          <w:rFonts w:hint="eastAsia"/>
        </w:rPr>
        <w:t>水分检验按GB/T 8304的规定执行。</w:t>
      </w:r>
    </w:p>
    <w:p>
      <w:pPr>
        <w:pStyle w:val="167"/>
      </w:pPr>
      <w:r>
        <w:rPr>
          <w:rFonts w:hint="eastAsia"/>
        </w:rPr>
        <w:t>总灰分检验按GB/T 8306的规定执行。</w:t>
      </w:r>
    </w:p>
    <w:p>
      <w:pPr>
        <w:pStyle w:val="167"/>
      </w:pPr>
      <w:r>
        <w:rPr>
          <w:rFonts w:hint="eastAsia"/>
        </w:rPr>
        <w:t>粉末检验按GB/T 8311的规定执行。</w:t>
      </w:r>
    </w:p>
    <w:p>
      <w:pPr>
        <w:pStyle w:val="167"/>
      </w:pPr>
      <w:r>
        <w:rPr>
          <w:rFonts w:hint="eastAsia"/>
        </w:rPr>
        <w:t>水浸出物检验按GB/T 8305的规定执行。</w:t>
      </w:r>
    </w:p>
    <w:p>
      <w:pPr>
        <w:pStyle w:val="107"/>
        <w:spacing w:before="120" w:after="120"/>
      </w:pPr>
      <w:r>
        <w:rPr>
          <w:rFonts w:hint="eastAsia"/>
        </w:rPr>
        <w:t>安全指标</w:t>
      </w:r>
    </w:p>
    <w:p>
      <w:pPr>
        <w:pStyle w:val="167"/>
      </w:pPr>
      <w:r>
        <w:rPr>
          <w:rFonts w:hint="eastAsia"/>
        </w:rPr>
        <w:t>污染物限量检验按GB 2762的规定执行。</w:t>
      </w:r>
    </w:p>
    <w:p>
      <w:pPr>
        <w:pStyle w:val="167"/>
      </w:pPr>
      <w:r>
        <w:rPr>
          <w:rFonts w:hint="eastAsia"/>
        </w:rPr>
        <w:t>农药残留限量检验按GB 2763的规定执行。</w:t>
      </w:r>
    </w:p>
    <w:p>
      <w:pPr>
        <w:pStyle w:val="107"/>
        <w:spacing w:before="120" w:after="120"/>
      </w:pPr>
      <w:r>
        <w:rPr>
          <w:rFonts w:hint="eastAsia"/>
        </w:rPr>
        <w:t>净含量</w:t>
      </w:r>
    </w:p>
    <w:p>
      <w:pPr>
        <w:pStyle w:val="58"/>
        <w:ind w:firstLine="420"/>
      </w:pPr>
      <w:r>
        <w:rPr>
          <w:rFonts w:hint="eastAsia" w:hAnsi="宋体"/>
        </w:rPr>
        <w:t>按JJF 1070的规定执行。</w:t>
      </w:r>
    </w:p>
    <w:p>
      <w:pPr>
        <w:pStyle w:val="106"/>
        <w:spacing w:before="240" w:after="240"/>
      </w:pPr>
      <w:r>
        <w:rPr>
          <w:rFonts w:hint="eastAsia"/>
        </w:rPr>
        <w:t>检验规则</w:t>
      </w:r>
    </w:p>
    <w:p>
      <w:pPr>
        <w:pStyle w:val="107"/>
        <w:spacing w:before="120" w:after="120"/>
      </w:pPr>
      <w:r>
        <w:rPr>
          <w:rFonts w:hint="eastAsia"/>
        </w:rPr>
        <w:t>取样</w:t>
      </w:r>
    </w:p>
    <w:p>
      <w:pPr>
        <w:pStyle w:val="167"/>
      </w:pPr>
      <w:r>
        <w:rPr>
          <w:rFonts w:hint="eastAsia"/>
        </w:rPr>
        <w:t>取样以“批”为单位，同一批投料生产、同一条生产线、同一班次加工过程中形成的独立数量的产品为一个批次，同批产品的品质和规格一致。</w:t>
      </w:r>
    </w:p>
    <w:p>
      <w:pPr>
        <w:pStyle w:val="167"/>
      </w:pPr>
      <w:r>
        <w:rPr>
          <w:rFonts w:hint="eastAsia"/>
        </w:rPr>
        <w:t>取样按GB/T 8302的规定执行。</w:t>
      </w:r>
    </w:p>
    <w:p>
      <w:pPr>
        <w:pStyle w:val="107"/>
        <w:spacing w:before="120" w:after="120"/>
      </w:pPr>
      <w:r>
        <w:rPr>
          <w:rFonts w:hint="eastAsia"/>
        </w:rPr>
        <w:t>检验</w:t>
      </w:r>
    </w:p>
    <w:p>
      <w:pPr>
        <w:pStyle w:val="67"/>
        <w:spacing w:before="120" w:after="120"/>
      </w:pPr>
      <w:r>
        <w:rPr>
          <w:rFonts w:hint="eastAsia"/>
        </w:rPr>
        <w:t>出厂检验</w:t>
      </w:r>
    </w:p>
    <w:p>
      <w:pPr>
        <w:pStyle w:val="58"/>
        <w:ind w:firstLine="420"/>
      </w:pPr>
      <w:r>
        <w:rPr>
          <w:rFonts w:hint="eastAsia" w:hAnsi="宋体"/>
        </w:rPr>
        <w:t>每批产品均应做出厂检验，经检验合格签发合格证后，方可出厂。出厂检验项目为感官品质、水分、净含量。</w:t>
      </w:r>
    </w:p>
    <w:p>
      <w:pPr>
        <w:pStyle w:val="67"/>
        <w:spacing w:before="120" w:after="120"/>
      </w:pPr>
      <w:r>
        <w:rPr>
          <w:rFonts w:hint="eastAsia"/>
        </w:rPr>
        <w:t>型式检验</w:t>
      </w:r>
    </w:p>
    <w:p>
      <w:pPr>
        <w:pStyle w:val="58"/>
        <w:ind w:firstLine="420"/>
      </w:pPr>
      <w:r>
        <w:rPr>
          <w:rFonts w:hint="eastAsia"/>
        </w:rPr>
        <w:t>型式检验项目为本文件5.1～5.5要求的全部项目，检验周期每年一次。有下列情况之一时，应进行型式检验：</w:t>
      </w:r>
    </w:p>
    <w:p>
      <w:pPr>
        <w:pStyle w:val="176"/>
      </w:pPr>
      <w:r>
        <w:rPr>
          <w:rFonts w:hint="eastAsia"/>
        </w:rPr>
        <w:t>出厂检验结果与上一次型式检验结果有较大出入时；</w:t>
      </w:r>
    </w:p>
    <w:p>
      <w:pPr>
        <w:pStyle w:val="176"/>
      </w:pPr>
      <w:r>
        <w:rPr>
          <w:rFonts w:hint="eastAsia"/>
        </w:rPr>
        <w:t>加工原料、生产工艺、生产地址或生产设备有明显改变，可能影响产品质量时；</w:t>
      </w:r>
    </w:p>
    <w:p>
      <w:pPr>
        <w:pStyle w:val="176"/>
      </w:pPr>
      <w:r>
        <w:rPr>
          <w:rFonts w:hint="eastAsia"/>
        </w:rPr>
        <w:t>停产一年以上再次生产时；</w:t>
      </w:r>
    </w:p>
    <w:p>
      <w:pPr>
        <w:pStyle w:val="176"/>
      </w:pPr>
      <w:r>
        <w:rPr>
          <w:rFonts w:hint="eastAsia"/>
        </w:rPr>
        <w:t>国家法定质量监督机构提出要求时。</w:t>
      </w:r>
    </w:p>
    <w:p>
      <w:pPr>
        <w:pStyle w:val="107"/>
        <w:spacing w:before="120" w:after="120"/>
      </w:pPr>
      <w:r>
        <w:rPr>
          <w:rFonts w:hint="eastAsia"/>
        </w:rPr>
        <w:t>判定规则</w:t>
      </w:r>
    </w:p>
    <w:p>
      <w:pPr>
        <w:pStyle w:val="58"/>
        <w:ind w:firstLine="420"/>
      </w:pPr>
      <w:r>
        <w:rPr>
          <w:rFonts w:hint="eastAsia"/>
        </w:rPr>
        <w:t>按本文件5.1～5.5要求的项目，任一项不符合规定的产品均判为不合格产品。</w:t>
      </w:r>
    </w:p>
    <w:p>
      <w:pPr>
        <w:pStyle w:val="107"/>
        <w:spacing w:before="120" w:after="120"/>
      </w:pPr>
      <w:r>
        <w:rPr>
          <w:rFonts w:hint="eastAsia"/>
        </w:rPr>
        <w:t>复检</w:t>
      </w:r>
    </w:p>
    <w:p>
      <w:pPr>
        <w:pStyle w:val="58"/>
        <w:ind w:firstLine="420"/>
      </w:pPr>
      <w:r>
        <w:rPr>
          <w:rFonts w:hint="eastAsia" w:hAnsi="宋体"/>
        </w:rPr>
        <w:t>对检验结果有争议时，应对留存样或在同批产品中重新按GB/T 8302规定加倍取样，对不合格项进行复检，以复检结果为准。</w:t>
      </w:r>
    </w:p>
    <w:p>
      <w:pPr>
        <w:pStyle w:val="106"/>
        <w:spacing w:before="240" w:after="240"/>
      </w:pPr>
      <w:r>
        <w:rPr>
          <w:rFonts w:hint="eastAsia"/>
        </w:rPr>
        <w:t>标签、标志、包装、运输、贮存</w:t>
      </w:r>
    </w:p>
    <w:p>
      <w:pPr>
        <w:pStyle w:val="107"/>
        <w:spacing w:before="120" w:after="120"/>
      </w:pPr>
      <w:r>
        <w:rPr>
          <w:rFonts w:hint="eastAsia"/>
        </w:rPr>
        <w:t>标签和标志</w:t>
      </w:r>
    </w:p>
    <w:p>
      <w:pPr>
        <w:pStyle w:val="58"/>
        <w:ind w:firstLine="420"/>
      </w:pPr>
      <w:r>
        <w:rPr>
          <w:rFonts w:hint="eastAsia"/>
        </w:rPr>
        <w:t>预包装标签标示应符合GB 7718的规定，产品标识管理应符合《食品标识管理规定（修订版）》的规定，包装储运图示标志应符合GB/T 191的规定。</w:t>
      </w:r>
    </w:p>
    <w:p>
      <w:pPr>
        <w:pStyle w:val="107"/>
        <w:spacing w:before="120" w:after="120"/>
      </w:pPr>
      <w:r>
        <w:rPr>
          <w:rFonts w:hint="eastAsia"/>
        </w:rPr>
        <w:t>包装</w:t>
      </w:r>
    </w:p>
    <w:p>
      <w:pPr>
        <w:pStyle w:val="58"/>
        <w:ind w:firstLine="420"/>
      </w:pPr>
      <w:r>
        <w:rPr>
          <w:rFonts w:hint="eastAsia" w:hAnsi="宋体"/>
        </w:rPr>
        <w:t>应符合GB 23350、GH/T 1070的规定。包装封口应严密、牢固、无破损。</w:t>
      </w:r>
    </w:p>
    <w:p>
      <w:pPr>
        <w:pStyle w:val="107"/>
        <w:spacing w:before="120" w:after="120"/>
      </w:pPr>
      <w:r>
        <w:rPr>
          <w:rFonts w:hint="eastAsia"/>
        </w:rPr>
        <w:t>运输</w:t>
      </w:r>
    </w:p>
    <w:p>
      <w:pPr>
        <w:pStyle w:val="58"/>
        <w:ind w:firstLine="420"/>
      </w:pPr>
      <w:r>
        <w:rPr>
          <w:rFonts w:hint="eastAsia" w:hAnsi="宋体"/>
        </w:rPr>
        <w:t>运输工具应清洁、卫生、干燥、无异味、无污染，并做好防雨、防潮、防晒措施，不得与有害、有毒、有异味、易污染的物品混运。搬运时应轻拿、轻装、轻卸。</w:t>
      </w:r>
    </w:p>
    <w:p>
      <w:pPr>
        <w:pStyle w:val="107"/>
        <w:spacing w:before="120" w:after="120"/>
      </w:pPr>
      <w:r>
        <w:rPr>
          <w:rFonts w:hint="eastAsia"/>
        </w:rPr>
        <w:t>贮存</w:t>
      </w:r>
    </w:p>
    <w:p>
      <w:pPr>
        <w:pStyle w:val="58"/>
        <w:ind w:firstLine="420"/>
        <w:rPr>
          <w:rFonts w:hAnsi="宋体"/>
        </w:rPr>
      </w:pPr>
      <w:r>
        <w:rPr>
          <w:rFonts w:hint="eastAsia" w:hAnsi="宋体"/>
        </w:rPr>
        <w:t>应符合GB/T 30375规定。</w:t>
      </w:r>
    </w:p>
    <w:p>
      <w:pPr>
        <w:pStyle w:val="58"/>
        <w:ind w:firstLine="420"/>
      </w:pPr>
    </w:p>
    <w:p>
      <w:pPr>
        <w:pStyle w:val="58"/>
        <w:ind w:firstLine="420"/>
        <w:sectPr>
          <w:pgSz w:w="11906" w:h="16838"/>
          <w:pgMar w:top="1928" w:right="1134" w:bottom="1134" w:left="1134" w:header="1418" w:footer="1134" w:gutter="284"/>
          <w:pgNumType w:start="1"/>
          <w:cols w:space="425" w:num="1"/>
          <w:formProt w:val="0"/>
          <w:docGrid w:linePitch="312" w:charSpace="0"/>
        </w:sectPr>
      </w:pPr>
    </w:p>
    <w:bookmarkEnd w:id="20"/>
    <w:p>
      <w:pPr>
        <w:pStyle w:val="200"/>
        <w:rPr>
          <w:vanish w:val="0"/>
        </w:rPr>
      </w:pPr>
      <w:bookmarkStart w:id="43" w:name="BookMark5"/>
    </w:p>
    <w:p>
      <w:pPr>
        <w:pStyle w:val="201"/>
        <w:rPr>
          <w:vanish w:val="0"/>
        </w:rPr>
      </w:pPr>
    </w:p>
    <w:p>
      <w:pPr>
        <w:pStyle w:val="78"/>
        <w:spacing w:after="120"/>
      </w:pPr>
      <w:r>
        <w:br w:type="textWrapping"/>
      </w:r>
      <w:r>
        <w:rPr>
          <w:rFonts w:hint="eastAsia"/>
        </w:rPr>
        <w:t>（资料性）</w:t>
      </w:r>
      <w:r>
        <w:br w:type="textWrapping"/>
      </w:r>
      <w:r>
        <w:rPr>
          <w:rFonts w:hint="eastAsia"/>
        </w:rPr>
        <w:t>加工要求</w:t>
      </w:r>
    </w:p>
    <w:p>
      <w:pPr>
        <w:pStyle w:val="80"/>
        <w:spacing w:before="120" w:after="120"/>
      </w:pPr>
      <w:r>
        <w:rPr>
          <w:rFonts w:hint="eastAsia"/>
        </w:rPr>
        <w:t>加工条件</w:t>
      </w:r>
    </w:p>
    <w:p>
      <w:pPr>
        <w:pStyle w:val="214"/>
      </w:pPr>
      <w:r>
        <w:rPr>
          <w:rFonts w:hint="eastAsia"/>
        </w:rPr>
        <w:t>茶叶加工场地、加工用水、厂区布局和加工车间等应符合GH/T1077的要求。</w:t>
      </w:r>
    </w:p>
    <w:p>
      <w:pPr>
        <w:pStyle w:val="214"/>
      </w:pPr>
      <w:r>
        <w:rPr>
          <w:rFonts w:hint="eastAsia"/>
        </w:rPr>
        <w:t>加工过程中的设备、用具和人员的要求应符合GH/T 1077 的规定。</w:t>
      </w:r>
    </w:p>
    <w:p>
      <w:pPr>
        <w:pStyle w:val="214"/>
      </w:pPr>
      <w:r>
        <w:rPr>
          <w:rFonts w:hint="eastAsia"/>
        </w:rPr>
        <w:t>烘干设备宜采用热风循环式茶叶烘焙机。</w:t>
      </w:r>
    </w:p>
    <w:p>
      <w:pPr>
        <w:pStyle w:val="80"/>
        <w:spacing w:before="120" w:after="120"/>
      </w:pPr>
      <w:r>
        <w:rPr>
          <w:rFonts w:hint="eastAsia"/>
        </w:rPr>
        <w:t>工艺要求</w:t>
      </w:r>
    </w:p>
    <w:p>
      <w:pPr>
        <w:pStyle w:val="81"/>
        <w:spacing w:before="120" w:after="120"/>
      </w:pPr>
      <w:r>
        <w:rPr>
          <w:rFonts w:hint="eastAsia"/>
        </w:rPr>
        <w:t>鲜叶</w:t>
      </w:r>
    </w:p>
    <w:p>
      <w:pPr>
        <w:pStyle w:val="215"/>
      </w:pPr>
      <w:r>
        <w:rPr>
          <w:rFonts w:hint="eastAsia"/>
        </w:rPr>
        <w:t>鲜叶质量要求芽、叶、嫩茎新鲜、匀净,无污染和无其他非茶类夹杂物,采摘标准以单芽、一芽一叶、一芽二、三叶或同等嫩度对夹叶为宜。</w:t>
      </w:r>
    </w:p>
    <w:p>
      <w:pPr>
        <w:pStyle w:val="215"/>
      </w:pPr>
      <w:r>
        <w:rPr>
          <w:rFonts w:hint="eastAsia"/>
        </w:rPr>
        <w:t>鲜叶中出现的红变叶应拣出单独加工:腐败变质、受污染的鲜叶,应剔除。</w:t>
      </w:r>
    </w:p>
    <w:p>
      <w:pPr>
        <w:pStyle w:val="81"/>
        <w:spacing w:before="120" w:after="120"/>
      </w:pPr>
      <w:r>
        <w:rPr>
          <w:rFonts w:hint="eastAsia"/>
        </w:rPr>
        <w:t>萎凋</w:t>
      </w:r>
    </w:p>
    <w:p>
      <w:pPr>
        <w:pStyle w:val="83"/>
        <w:spacing w:before="120" w:after="120"/>
      </w:pPr>
      <w:r>
        <w:rPr>
          <w:rFonts w:hint="eastAsia"/>
        </w:rPr>
        <w:t>摊叶厚度</w:t>
      </w:r>
    </w:p>
    <w:p>
      <w:pPr>
        <w:pStyle w:val="58"/>
        <w:ind w:firstLine="420"/>
      </w:pPr>
      <w:r>
        <w:rPr>
          <w:rFonts w:hint="eastAsia"/>
        </w:rPr>
        <w:t>自然萎凋摊叶厚度应小于3</w:t>
      </w:r>
      <w:r>
        <w:rPr>
          <w:rFonts w:ascii="Times New Roman"/>
        </w:rPr>
        <w:t xml:space="preserve"> </w:t>
      </w:r>
      <w:r>
        <w:rPr>
          <w:rFonts w:hint="eastAsia"/>
        </w:rPr>
        <w:t>cm,室内加温萎凋摊叶厚度宜为10</w:t>
      </w:r>
      <w:r>
        <w:rPr>
          <w:rFonts w:ascii="Times New Roman"/>
        </w:rPr>
        <w:t xml:space="preserve"> </w:t>
      </w:r>
      <w:r>
        <w:rPr>
          <w:rFonts w:hint="eastAsia"/>
        </w:rPr>
        <w:t>cm～20</w:t>
      </w:r>
      <w:r>
        <w:rPr>
          <w:rFonts w:ascii="Times New Roman"/>
        </w:rPr>
        <w:t xml:space="preserve"> </w:t>
      </w:r>
      <w:r>
        <w:rPr>
          <w:rFonts w:hint="eastAsia"/>
        </w:rPr>
        <w:t>cm,摊叶时要求抖散摊平呈蓬松状态,保持厚薄一致。</w:t>
      </w:r>
    </w:p>
    <w:p>
      <w:pPr>
        <w:pStyle w:val="83"/>
        <w:spacing w:before="120" w:after="120"/>
      </w:pPr>
      <w:r>
        <w:rPr>
          <w:rFonts w:hint="eastAsia"/>
        </w:rPr>
        <w:t>萎凋温度</w:t>
      </w:r>
    </w:p>
    <w:p>
      <w:pPr>
        <w:pStyle w:val="58"/>
        <w:ind w:firstLine="420"/>
      </w:pPr>
      <w:r>
        <w:rPr>
          <w:rFonts w:hint="eastAsia"/>
        </w:rPr>
        <w:t>自然萎凋适宜温度20℃～28℃；日光萎凋叶温不宜超过30℃；加温萎凋温度:进风口温度25℃～35℃,温度先高后低,下叶前10</w:t>
      </w:r>
      <w:r>
        <w:rPr>
          <w:rFonts w:ascii="Times New Roman"/>
        </w:rPr>
        <w:t xml:space="preserve"> </w:t>
      </w:r>
      <w:r>
        <w:rPr>
          <w:rFonts w:hint="eastAsia"/>
        </w:rPr>
        <w:t>min～15</w:t>
      </w:r>
      <w:r>
        <w:rPr>
          <w:rFonts w:ascii="Times New Roman"/>
        </w:rPr>
        <w:t xml:space="preserve"> </w:t>
      </w:r>
      <w:r>
        <w:rPr>
          <w:rFonts w:hint="eastAsia"/>
        </w:rPr>
        <w:t>min停止加温、只鼓冷风。若是雨水叶,应先用冷风吹干表面水,再进行加温萎凋。生产小种红茶时可利用松柴燃烧产生的热量,提高室内的萎凋温度。</w:t>
      </w:r>
    </w:p>
    <w:p>
      <w:pPr>
        <w:pStyle w:val="83"/>
        <w:spacing w:before="120" w:after="120"/>
      </w:pPr>
      <w:r>
        <w:rPr>
          <w:rFonts w:hint="eastAsia"/>
        </w:rPr>
        <w:t>萎凋时间</w:t>
      </w:r>
    </w:p>
    <w:p>
      <w:pPr>
        <w:pStyle w:val="58"/>
        <w:ind w:firstLine="420"/>
      </w:pPr>
      <w:r>
        <w:rPr>
          <w:rFonts w:hint="eastAsia"/>
        </w:rPr>
        <w:t>自然萎凋时间宜为12</w:t>
      </w:r>
      <w:r>
        <w:rPr>
          <w:rFonts w:ascii="Times New Roman"/>
        </w:rPr>
        <w:t xml:space="preserve"> </w:t>
      </w:r>
      <w:r>
        <w:rPr>
          <w:rFonts w:hint="eastAsia"/>
        </w:rPr>
        <w:t>h～24</w:t>
      </w:r>
      <w:r>
        <w:rPr>
          <w:rFonts w:ascii="Times New Roman"/>
        </w:rPr>
        <w:t xml:space="preserve"> </w:t>
      </w:r>
      <w:r>
        <w:rPr>
          <w:rFonts w:hint="eastAsia"/>
        </w:rPr>
        <w:t>h,加温萎凋时间宜为8</w:t>
      </w:r>
      <w:r>
        <w:rPr>
          <w:rFonts w:ascii="Times New Roman"/>
        </w:rPr>
        <w:t xml:space="preserve"> </w:t>
      </w:r>
      <w:r>
        <w:rPr>
          <w:rFonts w:hint="eastAsia"/>
        </w:rPr>
        <w:t>h～16</w:t>
      </w:r>
      <w:r>
        <w:rPr>
          <w:rFonts w:hint="default" w:ascii="Times New Roman"/>
        </w:rPr>
        <w:t xml:space="preserve"> </w:t>
      </w:r>
      <w:r>
        <w:rPr>
          <w:rFonts w:hint="eastAsia"/>
        </w:rPr>
        <w:t>h。</w:t>
      </w:r>
    </w:p>
    <w:p>
      <w:pPr>
        <w:pStyle w:val="83"/>
        <w:spacing w:before="120" w:after="120"/>
      </w:pPr>
      <w:r>
        <w:rPr>
          <w:rFonts w:hint="eastAsia"/>
        </w:rPr>
        <w:t>萎凋程度</w:t>
      </w:r>
    </w:p>
    <w:p>
      <w:pPr>
        <w:pStyle w:val="58"/>
        <w:ind w:firstLine="420"/>
      </w:pPr>
      <w:r>
        <w:rPr>
          <w:rFonts w:hint="eastAsia"/>
        </w:rPr>
        <w:t>萎凋叶含水率以60%～64%为宜,其感官特征为:叶面失去光泽,叶色转为暗绿,青草气减退；叶质柔软,折梗不断,紧握成团,松手可缓慢散开。</w:t>
      </w:r>
    </w:p>
    <w:p>
      <w:pPr>
        <w:pStyle w:val="81"/>
        <w:spacing w:before="120" w:after="120"/>
      </w:pPr>
      <w:r>
        <w:rPr>
          <w:rFonts w:hint="eastAsia"/>
        </w:rPr>
        <w:t>揉捻</w:t>
      </w:r>
    </w:p>
    <w:p>
      <w:pPr>
        <w:pStyle w:val="58"/>
        <w:ind w:firstLine="420"/>
      </w:pPr>
      <w:r>
        <w:rPr>
          <w:rFonts w:hint="eastAsia"/>
        </w:rPr>
        <w:t>采用机器揉捻，揉捻投叶量根据机型大小、叶质老嫩情况而定，以揉桶九成满为适度。揉捻</w:t>
      </w:r>
      <w:r>
        <w:rPr>
          <w:color w:val="auto"/>
        </w:rPr>
        <w:t>40</w:t>
      </w:r>
      <w:r>
        <w:rPr>
          <w:rFonts w:hint="eastAsia"/>
        </w:rPr>
        <w:t>min～</w:t>
      </w:r>
      <w:r>
        <w:rPr>
          <w:color w:val="auto"/>
        </w:rPr>
        <w:t>90</w:t>
      </w:r>
      <w:r>
        <w:t>min</w:t>
      </w:r>
      <w:r>
        <w:rPr>
          <w:rFonts w:hint="eastAsia"/>
        </w:rPr>
        <w:t>。揉捻叶应卷曲,紧结成条。嫩度不一的揉捻叶经解块筛分后，筛面茶需进行复揉。</w:t>
      </w:r>
    </w:p>
    <w:p>
      <w:pPr>
        <w:pStyle w:val="81"/>
        <w:spacing w:before="120" w:after="120"/>
      </w:pPr>
      <w:r>
        <w:rPr>
          <w:rFonts w:hint="eastAsia"/>
        </w:rPr>
        <w:t>发酵</w:t>
      </w:r>
    </w:p>
    <w:p>
      <w:pPr>
        <w:pStyle w:val="58"/>
        <w:ind w:firstLine="420"/>
        <w:rPr>
          <w:rFonts w:ascii="Calibri" w:hAnsi="Calibri"/>
          <w:kern w:val="2"/>
          <w:szCs w:val="21"/>
        </w:rPr>
      </w:pPr>
      <w:r>
        <w:rPr>
          <w:rFonts w:ascii="宋体" w:hAnsi="Times New Roman" w:eastAsia="宋体" w:cs="Times New Roman"/>
          <w:sz w:val="21"/>
          <w:szCs w:val="21"/>
          <w:shd w:val="clear" w:color="auto" w:fill="auto"/>
          <w:lang w:bidi="ar-SA"/>
        </w:rPr>
        <w:t>发酵温度宜24</w:t>
      </w:r>
      <w:r>
        <w:rPr>
          <w:rFonts w:hint="eastAsia"/>
        </w:rPr>
        <w:t>℃</w:t>
      </w:r>
      <w:r>
        <w:rPr>
          <w:rFonts w:ascii="宋体" w:hAnsi="Times New Roman" w:eastAsia="宋体" w:cs="Times New Roman"/>
          <w:sz w:val="21"/>
          <w:szCs w:val="21"/>
          <w:shd w:val="clear" w:color="auto" w:fill="auto"/>
          <w:lang w:bidi="ar-SA"/>
        </w:rPr>
        <w:t>～28</w:t>
      </w:r>
      <w:r>
        <w:rPr>
          <w:rFonts w:hint="eastAsia"/>
        </w:rPr>
        <w:t>℃</w:t>
      </w:r>
      <w:r>
        <w:rPr>
          <w:rFonts w:ascii="宋体" w:hAnsi="Times New Roman" w:eastAsia="宋体" w:cs="Times New Roman"/>
          <w:sz w:val="21"/>
          <w:szCs w:val="21"/>
          <w:shd w:val="clear" w:color="auto" w:fill="auto"/>
          <w:lang w:bidi="ar-SA"/>
        </w:rPr>
        <w:t>，相对湿度90%～95%，发酵叶摊放厚度6</w:t>
      </w:r>
      <w:r>
        <w:rPr>
          <w:rFonts w:ascii="Times New Roman"/>
        </w:rPr>
        <w:t xml:space="preserve"> </w:t>
      </w:r>
      <w:r>
        <w:rPr>
          <w:rFonts w:ascii="宋体" w:hAnsi="Times New Roman" w:eastAsia="宋体" w:cs="Times New Roman"/>
          <w:sz w:val="21"/>
          <w:szCs w:val="21"/>
          <w:shd w:val="clear" w:color="auto" w:fill="auto"/>
          <w:lang w:bidi="ar-SA"/>
        </w:rPr>
        <w:t>cm～15</w:t>
      </w:r>
      <w:r>
        <w:rPr>
          <w:rFonts w:ascii="Times New Roman" w:hAnsi="Times New Roman" w:eastAsia="宋体" w:cs="Times New Roman"/>
          <w:sz w:val="21"/>
          <w:szCs w:val="21"/>
          <w:shd w:val="clear" w:color="auto" w:fill="auto"/>
          <w:lang w:bidi="ar-SA"/>
        </w:rPr>
        <w:t xml:space="preserve"> </w:t>
      </w:r>
      <w:r>
        <w:rPr>
          <w:rFonts w:ascii="宋体" w:hAnsi="Times New Roman" w:eastAsia="宋体" w:cs="Times New Roman"/>
          <w:sz w:val="21"/>
          <w:szCs w:val="21"/>
          <w:shd w:val="clear" w:color="auto" w:fill="auto"/>
          <w:lang w:bidi="ar-SA"/>
        </w:rPr>
        <w:t>cm，发酵时长3</w:t>
      </w:r>
      <w:r>
        <w:rPr>
          <w:rFonts w:ascii="Times New Roman" w:hAnsi="Times New Roman" w:eastAsia="宋体" w:cs="Times New Roman"/>
          <w:sz w:val="21"/>
          <w:szCs w:val="21"/>
          <w:shd w:val="clear" w:color="auto" w:fill="auto"/>
          <w:lang w:bidi="ar-SA"/>
        </w:rPr>
        <w:t xml:space="preserve"> </w:t>
      </w:r>
      <w:r>
        <w:rPr>
          <w:rFonts w:ascii="宋体" w:hAnsi="Times New Roman" w:eastAsia="宋体" w:cs="Times New Roman"/>
          <w:sz w:val="21"/>
          <w:szCs w:val="21"/>
          <w:shd w:val="clear" w:color="auto" w:fill="auto"/>
          <w:lang w:bidi="ar-SA"/>
        </w:rPr>
        <w:t>h～6</w:t>
      </w:r>
      <w:r>
        <w:rPr>
          <w:rFonts w:ascii="Times New Roman" w:hAnsi="Times New Roman" w:eastAsia="宋体" w:cs="Times New Roman"/>
          <w:sz w:val="21"/>
          <w:szCs w:val="21"/>
          <w:shd w:val="clear" w:color="auto" w:fill="auto"/>
          <w:lang w:bidi="ar-SA"/>
        </w:rPr>
        <w:t xml:space="preserve"> </w:t>
      </w:r>
      <w:r>
        <w:rPr>
          <w:rFonts w:ascii="宋体" w:hAnsi="Times New Roman" w:eastAsia="宋体" w:cs="Times New Roman"/>
          <w:sz w:val="21"/>
          <w:szCs w:val="21"/>
          <w:shd w:val="clear" w:color="auto" w:fill="auto"/>
          <w:lang w:bidi="ar-SA"/>
        </w:rPr>
        <w:t xml:space="preserve">h，保持空气清新、流通，当90%以上叶色转为古铜色，青气消失，散发清香。 </w:t>
      </w:r>
    </w:p>
    <w:p>
      <w:pPr>
        <w:pStyle w:val="81"/>
        <w:spacing w:before="120" w:after="120"/>
      </w:pPr>
      <w:r>
        <w:rPr>
          <w:rFonts w:hint="eastAsia"/>
        </w:rPr>
        <w:t>干燥</w:t>
      </w:r>
    </w:p>
    <w:p>
      <w:pPr>
        <w:pStyle w:val="58"/>
        <w:ind w:firstLine="420"/>
      </w:pPr>
      <w:r>
        <w:rPr>
          <w:rFonts w:hint="eastAsia"/>
        </w:rPr>
        <w:t>二叶以上的嫩叶，先经低温</w:t>
      </w:r>
      <w:r>
        <w:rPr>
          <w:rFonts w:hint="eastAsia"/>
          <w:color w:val="auto"/>
        </w:rPr>
        <w:t>（温度</w:t>
      </w:r>
      <w:r>
        <w:rPr>
          <w:color w:val="auto"/>
        </w:rPr>
        <w:t>70</w:t>
      </w:r>
      <w:r>
        <w:rPr>
          <w:rFonts w:hint="eastAsia"/>
          <w:color w:val="auto"/>
        </w:rPr>
        <w:t>℃～</w:t>
      </w:r>
      <w:r>
        <w:rPr>
          <w:color w:val="auto"/>
        </w:rPr>
        <w:t>80</w:t>
      </w:r>
      <w:r>
        <w:rPr>
          <w:rFonts w:hint="eastAsia"/>
          <w:color w:val="auto"/>
        </w:rPr>
        <w:t>℃）</w:t>
      </w:r>
      <w:r>
        <w:rPr>
          <w:rFonts w:hint="eastAsia"/>
        </w:rPr>
        <w:t>烘至含水率约为5</w:t>
      </w:r>
      <w:r>
        <w:t>0%</w:t>
      </w:r>
      <w:r>
        <w:rPr>
          <w:rFonts w:hint="eastAsia"/>
        </w:rPr>
        <w:t>再进行沤堆。</w:t>
      </w:r>
    </w:p>
    <w:p>
      <w:pPr>
        <w:pStyle w:val="81"/>
        <w:spacing w:before="120" w:after="120"/>
      </w:pPr>
      <w:r>
        <w:rPr>
          <w:rFonts w:hint="eastAsia"/>
        </w:rPr>
        <w:t>握堆</w:t>
      </w:r>
    </w:p>
    <w:p>
      <w:pPr>
        <w:pStyle w:val="58"/>
        <w:ind w:firstLine="420"/>
      </w:pPr>
      <w:r>
        <w:rPr>
          <w:rFonts w:hint="eastAsia"/>
        </w:rPr>
        <w:t>渥堆厚度视气温高低、湿度大小、叶质老嫩而定。原则是嫩叶薄堆，老叶厚堆；高温高湿薄堆，低温低湿厚堆。一般堆高33</w:t>
      </w:r>
      <w:r>
        <w:rPr>
          <w:rFonts w:hint="default" w:ascii="Times New Roman"/>
        </w:rPr>
        <w:t xml:space="preserve"> </w:t>
      </w:r>
      <w:r>
        <w:rPr>
          <w:rFonts w:hint="eastAsia"/>
        </w:rPr>
        <w:t>cm～50</w:t>
      </w:r>
      <w:r>
        <w:rPr>
          <w:rFonts w:ascii="Times New Roman"/>
        </w:rPr>
        <w:t xml:space="preserve"> </w:t>
      </w:r>
      <w:r>
        <w:rPr>
          <w:rFonts w:hint="eastAsia"/>
        </w:rPr>
        <w:t>cm。堆温控制在50℃左右，如超过60℃，应立即扒堆散热，以免烧堆变质。在渥堆过程中，一般要扒堆（1～2）次，把边上茶坯翻入中心，使之渥堆均匀。渥堆时间视具体情况而定，一般为10</w:t>
      </w:r>
      <w:r>
        <w:rPr>
          <w:rFonts w:hint="default" w:ascii="Times New Roman"/>
        </w:rPr>
        <w:t xml:space="preserve"> </w:t>
      </w:r>
      <w:r>
        <w:rPr>
          <w:rFonts w:hint="eastAsia"/>
        </w:rPr>
        <w:t>h～15</w:t>
      </w:r>
      <w:r>
        <w:rPr>
          <w:rFonts w:ascii="Times New Roman"/>
        </w:rPr>
        <w:t xml:space="preserve"> </w:t>
      </w:r>
      <w:r>
        <w:rPr>
          <w:rFonts w:hint="eastAsia"/>
        </w:rPr>
        <w:t>h。渥至叶色变为深黄带褐色，茶坯出现粘汁，发出特有的醇香。</w:t>
      </w:r>
    </w:p>
    <w:p>
      <w:pPr>
        <w:pStyle w:val="81"/>
        <w:spacing w:before="120" w:after="120"/>
      </w:pPr>
      <w:r>
        <w:rPr>
          <w:rFonts w:hint="eastAsia"/>
        </w:rPr>
        <w:t>汽蒸</w:t>
      </w:r>
    </w:p>
    <w:p>
      <w:pPr>
        <w:pStyle w:val="58"/>
        <w:ind w:firstLine="420"/>
      </w:pPr>
      <w:r>
        <w:rPr>
          <w:rFonts w:hint="eastAsia"/>
        </w:rPr>
        <w:t>茶叶色泽变为红褐或黑褐并发出醇香时，即刻复蒸压篓。将茶陈放在竹篓，每篓分三次蒸压，茶叶以蒸软为适度，稍摊晾，即可入篓压实，边紧中松，每篓分三层装压后加盖缝口，便可进仓晾置自然阴干陈化。</w:t>
      </w:r>
    </w:p>
    <w:p>
      <w:pPr>
        <w:pStyle w:val="81"/>
        <w:spacing w:before="120" w:after="120"/>
      </w:pPr>
      <w:r>
        <w:rPr>
          <w:rFonts w:hint="eastAsia"/>
        </w:rPr>
        <w:t>烘干</w:t>
      </w:r>
    </w:p>
    <w:p>
      <w:pPr>
        <w:pStyle w:val="83"/>
        <w:spacing w:before="120" w:after="120"/>
      </w:pPr>
      <w:r>
        <w:rPr>
          <w:rFonts w:hint="eastAsia"/>
        </w:rPr>
        <w:t>初烘</w:t>
      </w:r>
    </w:p>
    <w:p>
      <w:pPr>
        <w:pStyle w:val="58"/>
        <w:ind w:firstLine="420"/>
      </w:pPr>
      <w:r>
        <w:rPr>
          <w:rFonts w:hint="eastAsia"/>
        </w:rPr>
        <w:t>初烘温度为105℃～110℃,摊叶厚2</w:t>
      </w:r>
      <w:r>
        <w:rPr>
          <w:rFonts w:ascii="Times New Roman"/>
        </w:rPr>
        <w:t xml:space="preserve"> </w:t>
      </w:r>
      <w:r>
        <w:rPr>
          <w:rFonts w:hint="eastAsia"/>
        </w:rPr>
        <w:t>cm～3</w:t>
      </w:r>
      <w:r>
        <w:rPr>
          <w:rFonts w:ascii="Times New Roman"/>
        </w:rPr>
        <w:t xml:space="preserve"> </w:t>
      </w:r>
      <w:r>
        <w:rPr>
          <w:rFonts w:hint="eastAsia"/>
        </w:rPr>
        <w:t>cm,时间为15</w:t>
      </w:r>
      <w:r>
        <w:rPr>
          <w:rFonts w:ascii="Times New Roman"/>
        </w:rPr>
        <w:t xml:space="preserve"> </w:t>
      </w:r>
      <w:r>
        <w:rPr>
          <w:rFonts w:hint="eastAsia"/>
        </w:rPr>
        <w:t>min～20</w:t>
      </w:r>
      <w:r>
        <w:rPr>
          <w:rFonts w:ascii="Times New Roman"/>
        </w:rPr>
        <w:t xml:space="preserve"> </w:t>
      </w:r>
      <w:r>
        <w:rPr>
          <w:rFonts w:hint="eastAsia"/>
        </w:rPr>
        <w:t>min。初烘完成后,取出摊凉30</w:t>
      </w:r>
      <w:r>
        <w:t xml:space="preserve"> </w:t>
      </w:r>
      <w:r>
        <w:rPr>
          <w:rFonts w:hint="eastAsia"/>
        </w:rPr>
        <w:t>min～60</w:t>
      </w:r>
      <w:r>
        <w:t xml:space="preserve"> </w:t>
      </w:r>
      <w:r>
        <w:rPr>
          <w:rFonts w:hint="eastAsia"/>
        </w:rPr>
        <w:t>min。</w:t>
      </w:r>
    </w:p>
    <w:p>
      <w:pPr>
        <w:pStyle w:val="83"/>
        <w:spacing w:before="120" w:after="120"/>
      </w:pPr>
      <w:r>
        <w:rPr>
          <w:rFonts w:hint="eastAsia"/>
        </w:rPr>
        <w:t>复烘</w:t>
      </w:r>
    </w:p>
    <w:p>
      <w:pPr>
        <w:pStyle w:val="58"/>
        <w:ind w:firstLine="420"/>
      </w:pPr>
      <w:r>
        <w:rPr>
          <w:rFonts w:hint="eastAsia"/>
        </w:rPr>
        <w:t>复烘时茶叶摊量可加倍,温度85℃～110℃,时间宜40</w:t>
      </w:r>
      <w:r>
        <w:rPr>
          <w:rFonts w:ascii="Times New Roman"/>
        </w:rPr>
        <w:t xml:space="preserve"> </w:t>
      </w:r>
      <w:r>
        <w:rPr>
          <w:rFonts w:hint="eastAsia"/>
        </w:rPr>
        <w:t>min～60</w:t>
      </w:r>
      <w:r>
        <w:rPr>
          <w:rFonts w:ascii="Times New Roman"/>
        </w:rPr>
        <w:t xml:space="preserve"> </w:t>
      </w:r>
      <w:r>
        <w:rPr>
          <w:rFonts w:hint="eastAsia"/>
        </w:rPr>
        <w:t>min可焙至足干,含水率控制在7%以内。</w:t>
      </w:r>
    </w:p>
    <w:p>
      <w:pPr>
        <w:pStyle w:val="83"/>
        <w:spacing w:before="120" w:after="120"/>
      </w:pPr>
      <w:r>
        <w:rPr>
          <w:rFonts w:hint="eastAsia"/>
        </w:rPr>
        <w:t>烘焙</w:t>
      </w:r>
    </w:p>
    <w:p>
      <w:pPr>
        <w:pStyle w:val="58"/>
        <w:ind w:firstLine="420"/>
      </w:pPr>
      <w:r>
        <w:rPr>
          <w:rFonts w:hint="eastAsia"/>
        </w:rPr>
        <w:t>温度90℃～</w:t>
      </w:r>
      <w:r>
        <w:rPr>
          <w:color w:val="auto"/>
        </w:rPr>
        <w:t>110</w:t>
      </w:r>
      <w:r>
        <w:rPr>
          <w:rFonts w:hint="eastAsia"/>
        </w:rPr>
        <w:t>℃,烘焙历时25</w:t>
      </w:r>
      <w:r>
        <w:rPr>
          <w:rFonts w:ascii="Times New Roman"/>
        </w:rPr>
        <w:t xml:space="preserve"> </w:t>
      </w:r>
      <w:r>
        <w:rPr>
          <w:rFonts w:hint="eastAsia"/>
        </w:rPr>
        <w:t>h～35</w:t>
      </w:r>
      <w:r>
        <w:rPr>
          <w:rFonts w:ascii="Times New Roman"/>
        </w:rPr>
        <w:t xml:space="preserve"> </w:t>
      </w:r>
      <w:r>
        <w:rPr>
          <w:rFonts w:hint="eastAsia"/>
        </w:rPr>
        <w:t>h,逐步升温烘焙,形成熟香型品质特征。</w:t>
      </w:r>
    </w:p>
    <w:p>
      <w:pPr>
        <w:pStyle w:val="81"/>
        <w:spacing w:before="120" w:after="120"/>
      </w:pPr>
      <w:r>
        <w:rPr>
          <w:rFonts w:hint="eastAsia"/>
        </w:rPr>
        <w:t>精制</w:t>
      </w:r>
    </w:p>
    <w:bookmarkEnd w:id="43"/>
    <w:p>
      <w:pPr>
        <w:pStyle w:val="58"/>
        <w:ind w:firstLine="420"/>
      </w:pPr>
      <w:r>
        <w:rPr>
          <w:rFonts w:hint="eastAsia"/>
        </w:rPr>
        <w:t>按G</w:t>
      </w:r>
      <w:r>
        <w:t>B/T 35810</w:t>
      </w:r>
      <w:r>
        <w:rPr>
          <w:rFonts w:hint="eastAsia"/>
        </w:rPr>
        <w:t>的规定执行。</w:t>
      </w: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宋体-18030">
    <w:altName w:val="微软雅黑"/>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trackRevisions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0YTAwMjMyODEwYmVjZGI5NWU1YTdmYTEzOWNlYzMifQ=="/>
  </w:docVars>
  <w:rsids>
    <w:rsidRoot w:val="001F200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6B4"/>
    <w:rsid w:val="00096D63"/>
    <w:rsid w:val="000A0B60"/>
    <w:rsid w:val="000A0EB8"/>
    <w:rsid w:val="000A19FC"/>
    <w:rsid w:val="000A296B"/>
    <w:rsid w:val="000A7311"/>
    <w:rsid w:val="000B060F"/>
    <w:rsid w:val="000B1592"/>
    <w:rsid w:val="000B1FF2"/>
    <w:rsid w:val="000B3CDA"/>
    <w:rsid w:val="000B6A0B"/>
    <w:rsid w:val="000C0D4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00F"/>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446"/>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0F9"/>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B9F"/>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099"/>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56CC4"/>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1E4"/>
    <w:rsid w:val="005F284E"/>
    <w:rsid w:val="006015CE"/>
    <w:rsid w:val="00604784"/>
    <w:rsid w:val="00605AC1"/>
    <w:rsid w:val="00606419"/>
    <w:rsid w:val="00607D29"/>
    <w:rsid w:val="00612952"/>
    <w:rsid w:val="00614CC1"/>
    <w:rsid w:val="00615A9D"/>
    <w:rsid w:val="00617387"/>
    <w:rsid w:val="006205D6"/>
    <w:rsid w:val="00620FC6"/>
    <w:rsid w:val="006240C7"/>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7A1F"/>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7B0"/>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01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84F"/>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B24"/>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A5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B46"/>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539"/>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548"/>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4F7"/>
    <w:rsid w:val="00E06404"/>
    <w:rsid w:val="00E11A85"/>
    <w:rsid w:val="00E1235C"/>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DF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8A4E3C"/>
    <w:rsid w:val="102D51E7"/>
    <w:rsid w:val="115C3342"/>
    <w:rsid w:val="11BD75F7"/>
    <w:rsid w:val="12066CF8"/>
    <w:rsid w:val="18107404"/>
    <w:rsid w:val="34016111"/>
    <w:rsid w:val="34164C19"/>
    <w:rsid w:val="35401EBB"/>
    <w:rsid w:val="4A474BBF"/>
    <w:rsid w:val="5E93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autoRedefine/>
    <w:semiHidden/>
    <w:unhideWhenUsed/>
    <w:qFormat/>
    <w:uiPriority w:val="99"/>
    <w:pPr>
      <w:jc w:val="left"/>
    </w:pPr>
  </w:style>
  <w:style w:type="paragraph" w:styleId="14">
    <w:name w:val="Body Text"/>
    <w:basedOn w:val="1"/>
    <w:link w:val="88"/>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autoRedefine/>
    <w:semiHidden/>
    <w:unhideWhenUsed/>
    <w:qFormat/>
    <w:uiPriority w:val="99"/>
    <w:rPr>
      <w:sz w:val="18"/>
      <w:szCs w:val="18"/>
    </w:rPr>
  </w:style>
  <w:style w:type="paragraph" w:styleId="18">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0"/>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uiPriority w:val="99"/>
    <w:rPr>
      <w:sz w:val="21"/>
      <w:szCs w:val="21"/>
    </w:rPr>
  </w:style>
  <w:style w:type="character" w:styleId="35">
    <w:name w:val="footnote reference"/>
    <w:autoRedefine/>
    <w:semiHidden/>
    <w:qFormat/>
    <w:uiPriority w:val="0"/>
    <w:rPr>
      <w:rFonts w:ascii="宋体" w:hAnsi="宋体" w:eastAsia="宋体" w:cs="Times New Roman"/>
      <w:spacing w:val="0"/>
      <w:sz w:val="18"/>
      <w:vertAlign w:val="superscript"/>
    </w:rPr>
  </w:style>
  <w:style w:type="character" w:customStyle="1" w:styleId="36">
    <w:name w:val="标题 1 字符"/>
    <w:link w:val="2"/>
    <w:autoRedefine/>
    <w:qFormat/>
    <w:uiPriority w:val="0"/>
    <w:rPr>
      <w:b/>
      <w:bCs/>
      <w:kern w:val="44"/>
      <w:sz w:val="44"/>
      <w:szCs w:val="44"/>
    </w:rPr>
  </w:style>
  <w:style w:type="character" w:customStyle="1" w:styleId="37">
    <w:name w:val="标题 2 字符"/>
    <w:link w:val="3"/>
    <w:autoRedefine/>
    <w:qFormat/>
    <w:uiPriority w:val="0"/>
    <w:rPr>
      <w:rFonts w:ascii="Arial" w:hAnsi="Arial" w:eastAsia="黑体"/>
      <w:b/>
      <w:bCs/>
      <w:kern w:val="2"/>
      <w:sz w:val="32"/>
      <w:szCs w:val="32"/>
    </w:rPr>
  </w:style>
  <w:style w:type="character" w:customStyle="1" w:styleId="38">
    <w:name w:val="标题 3 字符"/>
    <w:link w:val="4"/>
    <w:autoRedefine/>
    <w:qFormat/>
    <w:uiPriority w:val="0"/>
    <w:rPr>
      <w:b/>
      <w:bCs/>
      <w:kern w:val="2"/>
      <w:sz w:val="32"/>
      <w:szCs w:val="32"/>
    </w:rPr>
  </w:style>
  <w:style w:type="character" w:customStyle="1" w:styleId="39">
    <w:name w:val="标题 4 字符"/>
    <w:link w:val="5"/>
    <w:autoRedefine/>
    <w:qFormat/>
    <w:uiPriority w:val="0"/>
    <w:rPr>
      <w:rFonts w:ascii="Arial" w:hAnsi="Arial" w:eastAsia="黑体"/>
      <w:b/>
      <w:bCs/>
      <w:kern w:val="2"/>
      <w:sz w:val="28"/>
      <w:szCs w:val="28"/>
    </w:rPr>
  </w:style>
  <w:style w:type="character" w:customStyle="1" w:styleId="40">
    <w:name w:val="标题 5 字符"/>
    <w:link w:val="6"/>
    <w:autoRedefine/>
    <w:qFormat/>
    <w:uiPriority w:val="0"/>
    <w:rPr>
      <w:b/>
      <w:bCs/>
      <w:kern w:val="2"/>
      <w:sz w:val="28"/>
      <w:szCs w:val="28"/>
    </w:rPr>
  </w:style>
  <w:style w:type="character" w:customStyle="1" w:styleId="41">
    <w:name w:val="标题 6 字符"/>
    <w:link w:val="7"/>
    <w:autoRedefine/>
    <w:qFormat/>
    <w:uiPriority w:val="0"/>
    <w:rPr>
      <w:rFonts w:ascii="Arial" w:hAnsi="Arial" w:eastAsia="黑体"/>
      <w:b/>
      <w:bCs/>
      <w:kern w:val="2"/>
      <w:sz w:val="24"/>
      <w:szCs w:val="24"/>
    </w:rPr>
  </w:style>
  <w:style w:type="character" w:customStyle="1" w:styleId="42">
    <w:name w:val="标题 7 字符"/>
    <w:link w:val="8"/>
    <w:autoRedefine/>
    <w:qFormat/>
    <w:uiPriority w:val="0"/>
    <w:rPr>
      <w:b/>
      <w:bCs/>
      <w:kern w:val="2"/>
      <w:sz w:val="24"/>
      <w:szCs w:val="24"/>
    </w:rPr>
  </w:style>
  <w:style w:type="character" w:customStyle="1" w:styleId="43">
    <w:name w:val="标题 8 字符"/>
    <w:link w:val="9"/>
    <w:autoRedefine/>
    <w:qFormat/>
    <w:uiPriority w:val="0"/>
    <w:rPr>
      <w:rFonts w:ascii="Arial" w:hAnsi="Arial" w:eastAsia="黑体"/>
      <w:kern w:val="2"/>
      <w:sz w:val="24"/>
      <w:szCs w:val="24"/>
    </w:rPr>
  </w:style>
  <w:style w:type="character" w:customStyle="1" w:styleId="44">
    <w:name w:val="标题 9 字符"/>
    <w:link w:val="10"/>
    <w:autoRedefine/>
    <w:qFormat/>
    <w:uiPriority w:val="0"/>
    <w:rPr>
      <w:rFonts w:ascii="Arial" w:hAnsi="Arial" w:eastAsia="黑体"/>
      <w:kern w:val="2"/>
      <w:sz w:val="21"/>
      <w:szCs w:val="21"/>
    </w:rPr>
  </w:style>
  <w:style w:type="character" w:customStyle="1" w:styleId="45">
    <w:name w:val="页眉 字符"/>
    <w:link w:val="19"/>
    <w:autoRedefine/>
    <w:qFormat/>
    <w:uiPriority w:val="99"/>
    <w:rPr>
      <w:kern w:val="2"/>
      <w:sz w:val="18"/>
      <w:szCs w:val="18"/>
    </w:rPr>
  </w:style>
  <w:style w:type="character" w:customStyle="1" w:styleId="46">
    <w:name w:val="页脚 字符"/>
    <w:link w:val="18"/>
    <w:autoRedefine/>
    <w:qFormat/>
    <w:uiPriority w:val="99"/>
    <w:rPr>
      <w:rFonts w:ascii="宋体"/>
      <w:kern w:val="2"/>
      <w:sz w:val="18"/>
      <w:szCs w:val="18"/>
    </w:rPr>
  </w:style>
  <w:style w:type="character" w:customStyle="1" w:styleId="47">
    <w:name w:val="批注框文本 字符"/>
    <w:link w:val="17"/>
    <w:autoRedefine/>
    <w:semiHidden/>
    <w:qFormat/>
    <w:uiPriority w:val="99"/>
    <w:rPr>
      <w:kern w:val="2"/>
      <w:sz w:val="18"/>
      <w:szCs w:val="18"/>
    </w:rPr>
  </w:style>
  <w:style w:type="paragraph" w:styleId="48">
    <w:name w:val="Quote"/>
    <w:basedOn w:val="1"/>
    <w:next w:val="1"/>
    <w:link w:val="49"/>
    <w:autoRedefine/>
    <w:qFormat/>
    <w:uiPriority w:val="29"/>
    <w:rPr>
      <w:i/>
      <w:iCs/>
      <w:color w:val="000000"/>
    </w:rPr>
  </w:style>
  <w:style w:type="character" w:customStyle="1" w:styleId="49">
    <w:name w:val="引用 字符"/>
    <w:link w:val="48"/>
    <w:autoRedefine/>
    <w:qFormat/>
    <w:uiPriority w:val="29"/>
    <w:rPr>
      <w:i/>
      <w:iCs/>
      <w:color w:val="000000"/>
      <w:kern w:val="2"/>
      <w:sz w:val="21"/>
      <w:szCs w:val="21"/>
    </w:rPr>
  </w:style>
  <w:style w:type="character" w:customStyle="1" w:styleId="50">
    <w:name w:val="标题 字符"/>
    <w:link w:val="26"/>
    <w:autoRedefine/>
    <w:qFormat/>
    <w:uiPriority w:val="0"/>
    <w:rPr>
      <w:rFonts w:ascii="Arial" w:hAnsi="Arial" w:cs="Arial"/>
      <w:b/>
      <w:bCs/>
      <w:kern w:val="2"/>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autoRedefine/>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autoRedefine/>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customStyle="1" w:styleId="232">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3">
    <w:name w:val="Normal"/>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C21192D65242EFA02F52C8B8E4DE26"/>
        <w:style w:val=""/>
        <w:category>
          <w:name w:val="常规"/>
          <w:gallery w:val="placeholder"/>
        </w:category>
        <w:types>
          <w:type w:val="bbPlcHdr"/>
        </w:types>
        <w:behaviors>
          <w:behavior w:val="content"/>
        </w:behaviors>
        <w:description w:val=""/>
        <w:guid w:val="{102DC71B-9FB8-4990-852A-41D2146C7CB9}"/>
      </w:docPartPr>
      <w:docPartBody>
        <w:p>
          <w:pPr>
            <w:pStyle w:val="5"/>
          </w:pPr>
          <w:r>
            <w:rPr>
              <w:rStyle w:val="4"/>
              <w:rFonts w:hint="eastAsia"/>
            </w:rPr>
            <w:t>单击或点击此处输入文字。</w:t>
          </w:r>
        </w:p>
      </w:docPartBody>
    </w:docPart>
    <w:docPart>
      <w:docPartPr>
        <w:name w:val="4C10C0F498E0432CB609242C9FC16427"/>
        <w:style w:val=""/>
        <w:category>
          <w:name w:val="常规"/>
          <w:gallery w:val="placeholder"/>
        </w:category>
        <w:types>
          <w:type w:val="bbPlcHdr"/>
        </w:types>
        <w:behaviors>
          <w:behavior w:val="content"/>
        </w:behaviors>
        <w:description w:val=""/>
        <w:guid w:val="{046137FE-15B5-479F-81F6-BCE456E7D93C}"/>
      </w:docPartPr>
      <w:docPartBody>
        <w:p>
          <w:pPr>
            <w:pStyle w:val="6"/>
          </w:pPr>
          <w:r>
            <w:rPr>
              <w:rStyle w:val="4"/>
              <w:rFonts w:hint="eastAsia"/>
            </w:rPr>
            <w:t>选择一项。</w:t>
          </w:r>
        </w:p>
      </w:docPartBody>
    </w:docPart>
    <w:docPart>
      <w:docPartPr>
        <w:name w:val="E80D9096A2EE47D494BD1F797E8A41EF"/>
        <w:style w:val=""/>
        <w:category>
          <w:name w:val="常规"/>
          <w:gallery w:val="placeholder"/>
        </w:category>
        <w:types>
          <w:type w:val="bbPlcHdr"/>
        </w:types>
        <w:behaviors>
          <w:behavior w:val="content"/>
        </w:behaviors>
        <w:description w:val=""/>
        <w:guid w:val="{778C780E-DFC5-4E7C-A13A-DF6527A427A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CF"/>
    <w:rsid w:val="0023753C"/>
    <w:rsid w:val="007F48C4"/>
    <w:rsid w:val="007F562D"/>
    <w:rsid w:val="00AB40D0"/>
    <w:rsid w:val="00C026CF"/>
    <w:rsid w:val="00D5137F"/>
    <w:rsid w:val="00ED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EC21192D65242EFA02F52C8B8E4DE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C10C0F498E0432CB609242C9FC1642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80D9096A2EE47D494BD1F797E8A41E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B2E21-F552-4BA0-9D31-1D866A352596}">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615</Words>
  <Characters>3508</Characters>
  <Lines>29</Lines>
  <Paragraphs>8</Paragraphs>
  <TotalTime>12</TotalTime>
  <ScaleCrop>false</ScaleCrop>
  <LinksUpToDate>false</LinksUpToDate>
  <CharactersWithSpaces>4115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2024-09-19T07:20:00Z</dcterms:created>
  <dc:creator>FDS</dc:creator>
  <dc:description>&lt;config cover="true" show_menu="true" version="1.0.0" doctype="SDKXY"&gt;_x000d_
&lt;/config&gt;</dc:description>
  <cp:lastModifiedBy>S   o</cp:lastModifiedBy>
  <cp:lastPrinted>2021-02-02T08:22:00Z</cp:lastPrinted>
  <dcterms:modified xsi:type="dcterms:W3CDTF">2024-09-26T08:17:42Z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2CEE47C6F90B4FF393FFFC7A3D58931D_12</vt:lpwstr>
  </property>
</Properties>
</file>