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67.140.10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NDAS</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X 55</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宁德市标准化协会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坦洋老枞</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    </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宁德市标准化协会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before="900" w:after="360"/>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本文件由福建新坦洋集团股份有限公司提出。</w:t>
      </w:r>
    </w:p>
    <w:p>
      <w:pPr>
        <w:pStyle w:val="56"/>
        <w:ind w:firstLine="420"/>
      </w:pPr>
      <w:r>
        <w:rPr>
          <w:rFonts w:hint="eastAsia"/>
        </w:rPr>
        <w:t>本文件由宁德市标准化协会归口。</w:t>
      </w:r>
    </w:p>
    <w:p>
      <w:pPr>
        <w:pStyle w:val="56"/>
        <w:ind w:firstLine="420"/>
      </w:pPr>
      <w:r>
        <w:rPr>
          <w:rFonts w:hint="eastAsia"/>
        </w:rPr>
        <w:t>本文件起草单位：</w:t>
      </w:r>
    </w:p>
    <w:p>
      <w:pPr>
        <w:pStyle w:val="56"/>
        <w:ind w:firstLine="420"/>
      </w:pPr>
      <w:r>
        <w:rPr>
          <w:rFonts w:hint="eastAsia"/>
        </w:rPr>
        <w:t>本文件主要起草人：</w:t>
      </w:r>
    </w:p>
    <w:p>
      <w:pPr>
        <w:pStyle w:val="56"/>
        <w:ind w:firstLine="420"/>
      </w:pP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pStyle w:val="89"/>
        <w:spacing w:after="360"/>
      </w:pPr>
      <w:bookmarkStart w:id="22" w:name="BookMark3"/>
      <w:r>
        <w:rPr>
          <w:spacing w:val="320"/>
        </w:rPr>
        <w:t>引</w:t>
      </w:r>
      <w:r>
        <w:t>言</w:t>
      </w:r>
    </w:p>
    <w:p>
      <w:pPr>
        <w:pStyle w:val="56"/>
        <w:ind w:firstLine="420"/>
        <w:rPr>
          <w:rFonts w:hint="eastAsia"/>
        </w:rPr>
      </w:pPr>
      <w:r>
        <w:rPr>
          <w:rFonts w:hint="eastAsia"/>
        </w:rPr>
        <w:t>本文件的发布机构提请注意，声明符合本文件时，可能涉及A</w:t>
      </w:r>
      <w:r>
        <w:t>.2.3</w:t>
      </w:r>
      <w:r>
        <w:rPr>
          <w:rFonts w:hint="eastAsia"/>
        </w:rPr>
        <w:t>与茶叶摇青机相关的专利的使用。</w:t>
      </w:r>
    </w:p>
    <w:p>
      <w:pPr>
        <w:pStyle w:val="56"/>
        <w:ind w:firstLine="420"/>
        <w:rPr>
          <w:rFonts w:hint="eastAsia"/>
        </w:rPr>
      </w:pPr>
      <w:r>
        <w:rPr>
          <w:rFonts w:hint="eastAsia"/>
        </w:rPr>
        <w:t>本文件的发布机构对于该专利的真实性、有效性和范围无任何立场。</w:t>
      </w:r>
    </w:p>
    <w:p>
      <w:pPr>
        <w:pStyle w:val="56"/>
        <w:ind w:firstLine="420"/>
        <w:rPr>
          <w:rFonts w:hint="eastAsia"/>
        </w:rPr>
      </w:pPr>
      <w:r>
        <w:rPr>
          <w:rFonts w:hint="eastAsia"/>
        </w:rPr>
        <w:t>该专利持有人已向本文件的发布机构承诺，他愿意同任何申请人在合理且无歧视的条款和条件下，就专利授权许可进行谈判。该专利持有人的声明已在本文件的发布机构备案。相关信息可以通过以下联系方式获得：</w:t>
      </w:r>
    </w:p>
    <w:p>
      <w:pPr>
        <w:pStyle w:val="56"/>
        <w:ind w:firstLine="420"/>
        <w:rPr>
          <w:rFonts w:hint="eastAsia"/>
        </w:rPr>
      </w:pPr>
      <w:r>
        <w:rPr>
          <w:rFonts w:hint="eastAsia"/>
        </w:rPr>
        <w:t>专利持有人姓名：福建新坦洋集团股份有限公司。</w:t>
      </w:r>
    </w:p>
    <w:p>
      <w:pPr>
        <w:pStyle w:val="56"/>
        <w:ind w:firstLine="420"/>
        <w:rPr>
          <w:rFonts w:hint="eastAsia"/>
        </w:rPr>
      </w:pPr>
      <w:r>
        <w:rPr>
          <w:rFonts w:hint="eastAsia"/>
        </w:rPr>
        <w:t xml:space="preserve">地址：福建省福安市城阳镇占洋村101号天湖山庄2单元。 </w:t>
      </w:r>
    </w:p>
    <w:p>
      <w:pPr>
        <w:pStyle w:val="56"/>
        <w:ind w:firstLine="420"/>
      </w:pPr>
      <w:r>
        <w:rPr>
          <w:rFonts w:hint="eastAsia"/>
        </w:rPr>
        <w:t>请注意除上述专利外，本文件的某些内容仍可能涉及专利。本文件的发布机构不承担识别专利的责任。</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0EC21192D65242EFA02F52C8B8E4DE26"/>
        </w:placeholder>
      </w:sdtPr>
      <w:sdtContent>
        <w:p>
          <w:pPr>
            <w:pStyle w:val="177"/>
            <w:spacing w:before="2" w:beforeLines="1" w:after="528" w:afterLines="220"/>
          </w:pPr>
          <w:bookmarkStart w:id="24" w:name="NEW_STAND_NAME"/>
          <w:r>
            <w:rPr>
              <w:rFonts w:hint="eastAsia"/>
            </w:rPr>
            <w:t>坦洋老枞</w:t>
          </w:r>
        </w:p>
      </w:sdtContent>
    </w:sdt>
    <w:bookmarkEnd w:id="24"/>
    <w:p>
      <w:pPr>
        <w:pStyle w:val="104"/>
        <w:spacing w:before="240" w:after="240"/>
      </w:pPr>
      <w:bookmarkStart w:id="25" w:name="_Toc17233333"/>
      <w:bookmarkStart w:id="26" w:name="_Toc26986530"/>
      <w:bookmarkStart w:id="27" w:name="_Toc17233325"/>
      <w:bookmarkStart w:id="28" w:name="_Toc24884211"/>
      <w:bookmarkStart w:id="29" w:name="_Toc97192964"/>
      <w:bookmarkStart w:id="30" w:name="_Toc24884218"/>
      <w:bookmarkStart w:id="31" w:name="_Toc26648465"/>
      <w:bookmarkStart w:id="32" w:name="_Toc26718930"/>
      <w:bookmarkStart w:id="33" w:name="_Toc26986771"/>
      <w:r>
        <w:rPr>
          <w:rFonts w:hint="eastAsia"/>
        </w:rPr>
        <w:t>范围</w:t>
      </w:r>
      <w:bookmarkEnd w:id="25"/>
      <w:bookmarkEnd w:id="26"/>
      <w:bookmarkEnd w:id="27"/>
      <w:bookmarkEnd w:id="28"/>
      <w:bookmarkEnd w:id="29"/>
      <w:bookmarkEnd w:id="30"/>
      <w:bookmarkEnd w:id="31"/>
      <w:bookmarkEnd w:id="32"/>
      <w:bookmarkEnd w:id="33"/>
    </w:p>
    <w:p>
      <w:pPr>
        <w:pStyle w:val="56"/>
        <w:ind w:firstLine="420"/>
      </w:pPr>
      <w:bookmarkStart w:id="34" w:name="_Toc17233326"/>
      <w:bookmarkStart w:id="35" w:name="_Toc26648466"/>
      <w:bookmarkStart w:id="36" w:name="_Toc24884219"/>
      <w:bookmarkStart w:id="37" w:name="_Toc17233334"/>
      <w:bookmarkStart w:id="38" w:name="_Toc24884212"/>
      <w:r>
        <w:rPr>
          <w:rFonts w:hint="eastAsia"/>
        </w:rPr>
        <w:t>本文件规定了坦洋老枞的加工、要求、试验方法、检验规则、标志、标签、包装、运输和贮存。</w:t>
      </w:r>
    </w:p>
    <w:p>
      <w:pPr>
        <w:pStyle w:val="56"/>
        <w:ind w:firstLine="420"/>
      </w:pPr>
      <w:r>
        <w:rPr>
          <w:rFonts w:hint="eastAsia"/>
        </w:rPr>
        <w:t>本文件适用于坦洋老枞。</w:t>
      </w:r>
    </w:p>
    <w:p>
      <w:pPr>
        <w:pStyle w:val="104"/>
        <w:spacing w:before="240" w:after="240"/>
      </w:pPr>
      <w:bookmarkStart w:id="39" w:name="_Toc97192965"/>
      <w:bookmarkStart w:id="40" w:name="_Toc26718931"/>
      <w:bookmarkStart w:id="41" w:name="_Toc26986772"/>
      <w:bookmarkStart w:id="42" w:name="_Toc26986531"/>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4C10C0F498E0432CB609242C9FC164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szCs w:val="21"/>
        </w:rPr>
      </w:pPr>
      <w:r>
        <w:rPr>
          <w:rFonts w:hint="eastAsia" w:hAnsi="宋体"/>
        </w:rPr>
        <w:t>GB/T 191  包装储运图示标志</w:t>
      </w:r>
    </w:p>
    <w:p>
      <w:pPr>
        <w:pStyle w:val="56"/>
        <w:ind w:firstLine="420"/>
      </w:pPr>
      <w:r>
        <w:rPr>
          <w:rFonts w:hint="eastAsia" w:hAnsi="宋体"/>
        </w:rPr>
        <w:t>GB 2762  食品安全国家标准 食品中污染物限量</w:t>
      </w:r>
    </w:p>
    <w:p>
      <w:pPr>
        <w:pStyle w:val="56"/>
        <w:ind w:firstLine="420"/>
      </w:pPr>
      <w:r>
        <w:rPr>
          <w:rFonts w:hint="eastAsia" w:hAnsi="宋体"/>
        </w:rPr>
        <w:t>GB 2763  食品安全国家标准 食品中农药最大残留限量</w:t>
      </w:r>
    </w:p>
    <w:p>
      <w:pPr>
        <w:pStyle w:val="56"/>
        <w:ind w:firstLine="420"/>
      </w:pPr>
      <w:r>
        <w:rPr>
          <w:rFonts w:hint="eastAsia" w:hAnsi="宋体"/>
        </w:rPr>
        <w:t>GB 7718  食品安全国家标准 预包装食品标签通则</w:t>
      </w:r>
    </w:p>
    <w:p>
      <w:pPr>
        <w:pStyle w:val="56"/>
        <w:ind w:firstLine="420"/>
      </w:pPr>
      <w:r>
        <w:rPr>
          <w:rFonts w:hint="eastAsia" w:hAnsi="宋体"/>
        </w:rPr>
        <w:t>GB/T 8302  茶 取样</w:t>
      </w:r>
    </w:p>
    <w:p>
      <w:pPr>
        <w:pStyle w:val="56"/>
        <w:ind w:firstLine="420"/>
      </w:pPr>
      <w:r>
        <w:rPr>
          <w:rFonts w:hint="eastAsia" w:hAnsi="宋体"/>
        </w:rPr>
        <w:t>GB/T 8303  茶 磨碎试样的制备及其干物质含量测定</w:t>
      </w:r>
    </w:p>
    <w:p>
      <w:pPr>
        <w:pStyle w:val="56"/>
        <w:ind w:firstLine="420"/>
      </w:pPr>
      <w:r>
        <w:rPr>
          <w:rFonts w:hint="eastAsia" w:hAnsi="宋体"/>
        </w:rPr>
        <w:t>GB/T 8305  茶 水浸出物测定</w:t>
      </w:r>
    </w:p>
    <w:p>
      <w:pPr>
        <w:pStyle w:val="56"/>
        <w:ind w:firstLine="420"/>
      </w:pPr>
      <w:r>
        <w:rPr>
          <w:rFonts w:hint="eastAsia" w:hAnsi="宋体"/>
        </w:rPr>
        <w:t>GB/T 8306</w:t>
      </w:r>
      <w:r>
        <w:rPr>
          <w:rFonts w:hint="eastAsia"/>
        </w:rPr>
        <w:t xml:space="preserve">  </w:t>
      </w:r>
      <w:r>
        <w:rPr>
          <w:rFonts w:hint="eastAsia" w:hAnsi="宋体"/>
        </w:rPr>
        <w:t>茶</w:t>
      </w:r>
      <w:r>
        <w:rPr>
          <w:rFonts w:hint="eastAsia"/>
        </w:rPr>
        <w:t xml:space="preserve"> </w:t>
      </w:r>
      <w:r>
        <w:rPr>
          <w:rFonts w:hint="eastAsia" w:hAnsi="宋体"/>
        </w:rPr>
        <w:t>总灰分测定</w:t>
      </w:r>
    </w:p>
    <w:p>
      <w:pPr>
        <w:pStyle w:val="56"/>
        <w:ind w:firstLine="420"/>
      </w:pPr>
      <w:r>
        <w:rPr>
          <w:rFonts w:hint="eastAsia"/>
        </w:rPr>
        <w:t xml:space="preserve">GB/T 8311  </w:t>
      </w:r>
      <w:r>
        <w:rPr>
          <w:rFonts w:hint="eastAsia" w:hAnsi="宋体"/>
        </w:rPr>
        <w:t>茶粉末和碎茶含量测定</w:t>
      </w:r>
    </w:p>
    <w:p>
      <w:pPr>
        <w:pStyle w:val="56"/>
        <w:ind w:firstLine="420"/>
      </w:pPr>
      <w:r>
        <w:rPr>
          <w:rFonts w:hint="eastAsia" w:hAnsi="宋体"/>
        </w:rPr>
        <w:t xml:space="preserve">GB/T 14487 </w:t>
      </w:r>
      <w:r>
        <w:rPr>
          <w:rFonts w:hint="eastAsia"/>
        </w:rPr>
        <w:t xml:space="preserve"> </w:t>
      </w:r>
      <w:r>
        <w:rPr>
          <w:rFonts w:hint="eastAsia" w:hAnsi="宋体"/>
        </w:rPr>
        <w:t>茶叶感官审评术语</w:t>
      </w:r>
    </w:p>
    <w:p>
      <w:pPr>
        <w:pStyle w:val="56"/>
        <w:ind w:firstLine="420"/>
      </w:pPr>
      <w:r>
        <w:rPr>
          <w:rFonts w:hint="eastAsia" w:hAnsi="宋体"/>
        </w:rPr>
        <w:t>GB 23350  限制商品过度包装要求 食品和化妆品</w:t>
      </w:r>
    </w:p>
    <w:p>
      <w:pPr>
        <w:pStyle w:val="56"/>
        <w:ind w:firstLine="420"/>
      </w:pPr>
      <w:r>
        <w:rPr>
          <w:rFonts w:hint="eastAsia" w:hAnsi="宋体"/>
        </w:rPr>
        <w:t>GB/T 23776  茶叶感官审评方法</w:t>
      </w:r>
    </w:p>
    <w:p>
      <w:pPr>
        <w:pStyle w:val="56"/>
        <w:ind w:firstLine="420"/>
      </w:pPr>
      <w:r>
        <w:rPr>
          <w:rFonts w:hint="eastAsia" w:hAnsi="宋体"/>
        </w:rPr>
        <w:t>GB/T 30375  茶叶贮存</w:t>
      </w:r>
    </w:p>
    <w:p>
      <w:pPr>
        <w:pStyle w:val="56"/>
        <w:ind w:firstLine="420"/>
      </w:pPr>
      <w:r>
        <w:rPr>
          <w:rFonts w:hint="eastAsia" w:hAnsi="宋体"/>
        </w:rPr>
        <w:t>GB 31608  食品安全国家标准 茶叶</w:t>
      </w:r>
    </w:p>
    <w:p>
      <w:pPr>
        <w:pStyle w:val="56"/>
        <w:ind w:firstLine="420"/>
      </w:pPr>
      <w:r>
        <w:rPr>
          <w:rFonts w:hint="eastAsia" w:hAnsi="宋体"/>
        </w:rPr>
        <w:t>GB/T 40633</w:t>
      </w:r>
      <w:r>
        <w:rPr>
          <w:rFonts w:hint="eastAsia"/>
        </w:rPr>
        <w:t xml:space="preserve"> </w:t>
      </w:r>
      <w:r>
        <w:rPr>
          <w:rFonts w:hint="eastAsia" w:hAnsi="宋体"/>
        </w:rPr>
        <w:t>茶叶加工术语</w:t>
      </w:r>
    </w:p>
    <w:p>
      <w:pPr>
        <w:pStyle w:val="56"/>
        <w:ind w:firstLine="420"/>
      </w:pPr>
      <w:r>
        <w:rPr>
          <w:rFonts w:hint="eastAsia" w:hAnsi="宋体"/>
        </w:rPr>
        <w:t>GH/T 1070  茶叶包装通则</w:t>
      </w:r>
    </w:p>
    <w:p>
      <w:pPr>
        <w:pStyle w:val="56"/>
        <w:ind w:firstLine="420"/>
      </w:pPr>
      <w:r>
        <w:rPr>
          <w:rFonts w:hint="eastAsia" w:hAnsi="宋体"/>
        </w:rPr>
        <w:t>JJF 1070  定量包装商品净含量计量检验规则</w:t>
      </w:r>
    </w:p>
    <w:p>
      <w:pPr>
        <w:pStyle w:val="104"/>
        <w:spacing w:before="240" w:after="240"/>
      </w:pPr>
      <w:bookmarkStart w:id="43" w:name="_Toc97192966"/>
      <w:r>
        <w:rPr>
          <w:rFonts w:hint="eastAsia"/>
          <w:szCs w:val="21"/>
        </w:rPr>
        <w:t>术语和定义</w:t>
      </w:r>
      <w:bookmarkEnd w:id="43"/>
    </w:p>
    <w:sdt>
      <w:sdtPr>
        <w:id w:val="-1909835108"/>
        <w:placeholder>
          <w:docPart w:val="E80D9096A2EE47D494BD1F797E8A41E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4" w:name="_Toc26986532"/>
          <w:bookmarkEnd w:id="44"/>
          <w:r>
            <w:t>本文件没有需要界定的术语和定义。</w:t>
          </w:r>
        </w:p>
      </w:sdtContent>
    </w:sdt>
    <w:p>
      <w:pPr>
        <w:pStyle w:val="104"/>
        <w:spacing w:before="240" w:after="240"/>
      </w:pPr>
      <w:r>
        <w:rPr>
          <w:rFonts w:hint="eastAsia"/>
        </w:rPr>
        <w:t>加工</w:t>
      </w:r>
    </w:p>
    <w:p>
      <w:pPr>
        <w:pStyle w:val="105"/>
        <w:spacing w:before="120" w:after="120"/>
      </w:pPr>
      <w:r>
        <w:rPr>
          <w:rFonts w:hint="eastAsia"/>
        </w:rPr>
        <w:t>工艺流程</w:t>
      </w:r>
    </w:p>
    <w:p>
      <w:pPr>
        <w:pStyle w:val="56"/>
        <w:ind w:firstLine="420"/>
      </w:pPr>
      <w:r>
        <w:rPr>
          <w:rFonts w:hint="eastAsia"/>
        </w:rPr>
        <w:t>鲜叶→萎凋→摇青→揉捻→发酵→烘干→精制→成品。</w:t>
      </w:r>
    </w:p>
    <w:p>
      <w:pPr>
        <w:pStyle w:val="105"/>
        <w:spacing w:before="120" w:after="120"/>
      </w:pPr>
      <w:r>
        <w:rPr>
          <w:rFonts w:hint="eastAsia"/>
        </w:rPr>
        <w:t>加工要求</w:t>
      </w:r>
    </w:p>
    <w:p>
      <w:pPr>
        <w:pStyle w:val="56"/>
        <w:ind w:firstLine="420"/>
      </w:pPr>
      <w:r>
        <w:rPr>
          <w:rFonts w:hint="eastAsia"/>
        </w:rPr>
        <w:t>见附录A。</w:t>
      </w:r>
    </w:p>
    <w:p>
      <w:pPr>
        <w:pStyle w:val="104"/>
        <w:spacing w:before="240" w:after="240"/>
      </w:pPr>
      <w:r>
        <w:rPr>
          <w:rFonts w:hint="eastAsia"/>
        </w:rPr>
        <w:t>要求</w:t>
      </w:r>
    </w:p>
    <w:p>
      <w:pPr>
        <w:pStyle w:val="105"/>
        <w:spacing w:before="120" w:after="120"/>
      </w:pPr>
      <w:r>
        <w:rPr>
          <w:rFonts w:hint="eastAsia"/>
        </w:rPr>
        <w:t>基本要求</w:t>
      </w:r>
    </w:p>
    <w:p>
      <w:pPr>
        <w:pStyle w:val="56"/>
        <w:ind w:firstLine="420"/>
      </w:pPr>
      <w:r>
        <w:rPr>
          <w:rFonts w:hint="eastAsia"/>
        </w:rPr>
        <w:t>不含有非茶类杂物和任何添加剂，茶叶洁净、品质正常，无劣变，无异味。</w:t>
      </w:r>
    </w:p>
    <w:p>
      <w:pPr>
        <w:pStyle w:val="105"/>
        <w:spacing w:before="120" w:after="120"/>
      </w:pPr>
      <w:r>
        <w:rPr>
          <w:rFonts w:hint="eastAsia"/>
        </w:rPr>
        <w:t>感官品质</w:t>
      </w:r>
    </w:p>
    <w:p>
      <w:pPr>
        <w:pStyle w:val="56"/>
        <w:ind w:firstLine="420"/>
      </w:pPr>
      <w:r>
        <w:rPr>
          <w:rFonts w:hint="eastAsia"/>
        </w:rPr>
        <w:t>应符合表1的规定。</w:t>
      </w:r>
    </w:p>
    <w:p>
      <w:pPr>
        <w:pStyle w:val="112"/>
        <w:spacing w:before="120" w:after="120"/>
      </w:pPr>
      <w:r>
        <w:rPr>
          <w:rFonts w:hint="eastAsia"/>
        </w:rPr>
        <w:t>感官品质特征</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3544"/>
        <w:gridCol w:w="1275"/>
        <w:gridCol w:w="1134"/>
        <w:gridCol w:w="1134"/>
        <w:gridCol w:w="14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vMerge w:val="restart"/>
            <w:tcBorders>
              <w:top w:val="single" w:color="auto" w:sz="8" w:space="0"/>
            </w:tcBorders>
            <w:shd w:val="clear" w:color="auto" w:fill="auto"/>
            <w:vAlign w:val="center"/>
          </w:tcPr>
          <w:p>
            <w:pPr>
              <w:pStyle w:val="178"/>
            </w:pPr>
            <w:r>
              <w:rPr>
                <w:rFonts w:hint="eastAsia"/>
              </w:rPr>
              <w:t>级别</w:t>
            </w:r>
          </w:p>
        </w:tc>
        <w:tc>
          <w:tcPr>
            <w:tcW w:w="8493" w:type="dxa"/>
            <w:gridSpan w:val="5"/>
            <w:tcBorders>
              <w:top w:val="single" w:color="auto" w:sz="8" w:space="0"/>
              <w:bottom w:val="single" w:color="auto" w:sz="8" w:space="0"/>
            </w:tcBorders>
            <w:shd w:val="clear" w:color="auto" w:fill="auto"/>
            <w:vAlign w:val="center"/>
          </w:tcPr>
          <w:p>
            <w:pPr>
              <w:pStyle w:val="178"/>
            </w:pPr>
            <w:r>
              <w:rPr>
                <w:rFonts w:hint="eastAsia"/>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pPr>
              <w:pStyle w:val="178"/>
            </w:pPr>
          </w:p>
        </w:tc>
        <w:tc>
          <w:tcPr>
            <w:tcW w:w="3544" w:type="dxa"/>
            <w:vMerge w:val="restart"/>
            <w:tcBorders>
              <w:top w:val="single" w:color="auto" w:sz="8" w:space="0"/>
            </w:tcBorders>
            <w:shd w:val="clear" w:color="auto" w:fill="auto"/>
            <w:vAlign w:val="center"/>
          </w:tcPr>
          <w:p>
            <w:pPr>
              <w:pStyle w:val="178"/>
            </w:pPr>
            <w:r>
              <w:rPr>
                <w:rFonts w:hint="eastAsia"/>
              </w:rPr>
              <w:t>外形</w:t>
            </w:r>
          </w:p>
        </w:tc>
        <w:tc>
          <w:tcPr>
            <w:tcW w:w="4949" w:type="dxa"/>
            <w:gridSpan w:val="4"/>
            <w:tcBorders>
              <w:top w:val="single" w:color="auto" w:sz="8" w:space="0"/>
            </w:tcBorders>
            <w:shd w:val="clear" w:color="auto" w:fill="auto"/>
            <w:vAlign w:val="center"/>
          </w:tcPr>
          <w:p>
            <w:pPr>
              <w:pStyle w:val="178"/>
            </w:pPr>
            <w:r>
              <w:rPr>
                <w:rFonts w:hint="eastAsia"/>
              </w:rPr>
              <w:t>内质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pPr>
              <w:pStyle w:val="178"/>
            </w:pPr>
          </w:p>
        </w:tc>
        <w:tc>
          <w:tcPr>
            <w:tcW w:w="3544" w:type="dxa"/>
            <w:vMerge w:val="continue"/>
            <w:shd w:val="clear" w:color="auto" w:fill="auto"/>
            <w:vAlign w:val="center"/>
          </w:tcPr>
          <w:p>
            <w:pPr>
              <w:pStyle w:val="178"/>
            </w:pPr>
          </w:p>
        </w:tc>
        <w:tc>
          <w:tcPr>
            <w:tcW w:w="1275" w:type="dxa"/>
            <w:shd w:val="clear" w:color="auto" w:fill="auto"/>
            <w:vAlign w:val="center"/>
          </w:tcPr>
          <w:p>
            <w:pPr>
              <w:spacing w:line="320" w:lineRule="exact"/>
              <w:jc w:val="center"/>
              <w:rPr>
                <w:sz w:val="18"/>
                <w:szCs w:val="18"/>
              </w:rPr>
            </w:pPr>
            <w:r>
              <w:rPr>
                <w:rFonts w:hint="eastAsia" w:ascii="宋体" w:hAnsi="宋体"/>
                <w:sz w:val="18"/>
                <w:szCs w:val="18"/>
              </w:rPr>
              <w:t>汤色</w:t>
            </w:r>
          </w:p>
        </w:tc>
        <w:tc>
          <w:tcPr>
            <w:tcW w:w="1134" w:type="dxa"/>
            <w:shd w:val="clear" w:color="auto" w:fill="auto"/>
            <w:vAlign w:val="center"/>
          </w:tcPr>
          <w:p>
            <w:pPr>
              <w:spacing w:line="320" w:lineRule="exact"/>
              <w:jc w:val="center"/>
              <w:rPr>
                <w:sz w:val="18"/>
                <w:szCs w:val="18"/>
              </w:rPr>
            </w:pPr>
            <w:r>
              <w:rPr>
                <w:rFonts w:hint="eastAsia" w:ascii="宋体" w:hAnsi="宋体"/>
                <w:sz w:val="18"/>
                <w:szCs w:val="18"/>
              </w:rPr>
              <w:t>香气</w:t>
            </w:r>
          </w:p>
        </w:tc>
        <w:tc>
          <w:tcPr>
            <w:tcW w:w="1134" w:type="dxa"/>
            <w:shd w:val="clear" w:color="auto" w:fill="auto"/>
            <w:vAlign w:val="center"/>
          </w:tcPr>
          <w:p>
            <w:pPr>
              <w:spacing w:line="320" w:lineRule="exact"/>
              <w:jc w:val="center"/>
              <w:rPr>
                <w:sz w:val="18"/>
                <w:szCs w:val="18"/>
              </w:rPr>
            </w:pPr>
            <w:r>
              <w:rPr>
                <w:rFonts w:hint="eastAsia" w:ascii="宋体" w:hAnsi="宋体"/>
                <w:sz w:val="18"/>
                <w:szCs w:val="18"/>
              </w:rPr>
              <w:t>滋味</w:t>
            </w:r>
          </w:p>
        </w:tc>
        <w:tc>
          <w:tcPr>
            <w:tcW w:w="1406" w:type="dxa"/>
            <w:shd w:val="clear" w:color="auto" w:fill="auto"/>
            <w:vAlign w:val="center"/>
          </w:tcPr>
          <w:p>
            <w:pPr>
              <w:spacing w:line="320" w:lineRule="exact"/>
              <w:jc w:val="center"/>
              <w:rPr>
                <w:sz w:val="18"/>
                <w:szCs w:val="18"/>
              </w:rPr>
            </w:pPr>
            <w:r>
              <w:rPr>
                <w:rFonts w:hint="eastAsia" w:ascii="宋体" w:hAnsi="宋体"/>
                <w:sz w:val="18"/>
                <w:szCs w:val="18"/>
              </w:rPr>
              <w:t>叶底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spacing w:line="240" w:lineRule="exact"/>
              <w:jc w:val="center"/>
              <w:rPr>
                <w:sz w:val="18"/>
                <w:szCs w:val="18"/>
              </w:rPr>
            </w:pPr>
            <w:r>
              <w:rPr>
                <w:rFonts w:hint="eastAsia" w:ascii="宋体" w:hAnsi="宋体"/>
                <w:sz w:val="18"/>
                <w:szCs w:val="18"/>
              </w:rPr>
              <w:t>特级</w:t>
            </w:r>
          </w:p>
        </w:tc>
        <w:tc>
          <w:tcPr>
            <w:tcW w:w="3544" w:type="dxa"/>
            <w:shd w:val="clear" w:color="auto" w:fill="auto"/>
            <w:vAlign w:val="center"/>
          </w:tcPr>
          <w:p>
            <w:pPr>
              <w:spacing w:line="220" w:lineRule="exact"/>
              <w:jc w:val="center"/>
              <w:rPr>
                <w:sz w:val="18"/>
                <w:szCs w:val="18"/>
              </w:rPr>
            </w:pPr>
            <w:r>
              <w:rPr>
                <w:rFonts w:hint="eastAsia" w:ascii="宋体" w:hAnsi="宋体"/>
                <w:sz w:val="18"/>
                <w:szCs w:val="18"/>
              </w:rPr>
              <w:t>紧结肥壮、油润、匀整、洁净</w:t>
            </w:r>
          </w:p>
        </w:tc>
        <w:tc>
          <w:tcPr>
            <w:tcW w:w="1275" w:type="dxa"/>
            <w:shd w:val="clear" w:color="auto" w:fill="auto"/>
            <w:vAlign w:val="center"/>
          </w:tcPr>
          <w:p>
            <w:pPr>
              <w:spacing w:line="220" w:lineRule="exact"/>
              <w:jc w:val="center"/>
              <w:rPr>
                <w:sz w:val="18"/>
                <w:szCs w:val="18"/>
              </w:rPr>
            </w:pPr>
            <w:r>
              <w:rPr>
                <w:rFonts w:hint="eastAsia" w:ascii="宋体" w:hAnsi="宋体"/>
                <w:sz w:val="18"/>
                <w:szCs w:val="18"/>
              </w:rPr>
              <w:t>橙红明艳清流澈</w:t>
            </w:r>
          </w:p>
        </w:tc>
        <w:tc>
          <w:tcPr>
            <w:tcW w:w="1134" w:type="dxa"/>
            <w:shd w:val="clear" w:color="auto" w:fill="auto"/>
            <w:vAlign w:val="center"/>
          </w:tcPr>
          <w:p>
            <w:pPr>
              <w:spacing w:line="220" w:lineRule="exact"/>
              <w:jc w:val="center"/>
              <w:rPr>
                <w:sz w:val="18"/>
                <w:szCs w:val="18"/>
              </w:rPr>
            </w:pPr>
            <w:r>
              <w:rPr>
                <w:rFonts w:hint="eastAsia" w:ascii="宋体" w:hAnsi="宋体"/>
                <w:sz w:val="18"/>
                <w:szCs w:val="18"/>
              </w:rPr>
              <w:t>浓郁持久、花香显</w:t>
            </w:r>
          </w:p>
        </w:tc>
        <w:tc>
          <w:tcPr>
            <w:tcW w:w="1134" w:type="dxa"/>
            <w:shd w:val="clear" w:color="auto" w:fill="auto"/>
            <w:vAlign w:val="center"/>
          </w:tcPr>
          <w:p>
            <w:pPr>
              <w:spacing w:line="220" w:lineRule="exact"/>
              <w:jc w:val="center"/>
              <w:rPr>
                <w:sz w:val="18"/>
                <w:szCs w:val="18"/>
              </w:rPr>
            </w:pPr>
            <w:r>
              <w:rPr>
                <w:rFonts w:hint="eastAsia" w:ascii="宋体" w:hAnsi="宋体"/>
                <w:sz w:val="18"/>
                <w:szCs w:val="18"/>
              </w:rPr>
              <w:t>浓厚甜爽、花蜜香显</w:t>
            </w:r>
          </w:p>
        </w:tc>
        <w:tc>
          <w:tcPr>
            <w:tcW w:w="1406" w:type="dxa"/>
            <w:shd w:val="clear" w:color="auto" w:fill="auto"/>
            <w:vAlign w:val="center"/>
          </w:tcPr>
          <w:p>
            <w:pPr>
              <w:spacing w:line="220" w:lineRule="exact"/>
              <w:jc w:val="center"/>
              <w:rPr>
                <w:sz w:val="18"/>
                <w:szCs w:val="18"/>
              </w:rPr>
            </w:pPr>
            <w:r>
              <w:rPr>
                <w:rFonts w:hint="eastAsia" w:ascii="宋体" w:hAnsi="宋体"/>
                <w:sz w:val="18"/>
                <w:szCs w:val="18"/>
              </w:rPr>
              <w:t>肥嫩红匀软亮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spacing w:line="240" w:lineRule="exact"/>
              <w:jc w:val="center"/>
              <w:rPr>
                <w:sz w:val="18"/>
                <w:szCs w:val="18"/>
              </w:rPr>
            </w:pPr>
            <w:r>
              <w:rPr>
                <w:rFonts w:hint="eastAsia" w:ascii="宋体" w:hAnsi="宋体"/>
                <w:sz w:val="18"/>
                <w:szCs w:val="18"/>
              </w:rPr>
              <w:t>一级</w:t>
            </w:r>
          </w:p>
        </w:tc>
        <w:tc>
          <w:tcPr>
            <w:tcW w:w="3544" w:type="dxa"/>
            <w:shd w:val="clear" w:color="auto" w:fill="auto"/>
            <w:vAlign w:val="center"/>
          </w:tcPr>
          <w:p>
            <w:pPr>
              <w:spacing w:line="220" w:lineRule="exact"/>
              <w:jc w:val="center"/>
              <w:rPr>
                <w:sz w:val="18"/>
                <w:szCs w:val="18"/>
              </w:rPr>
            </w:pPr>
            <w:r>
              <w:rPr>
                <w:rFonts w:hint="eastAsia" w:ascii="宋体" w:hAnsi="宋体"/>
                <w:sz w:val="18"/>
                <w:szCs w:val="18"/>
              </w:rPr>
              <w:t>紧结壮实、乌润、匀整、洁净</w:t>
            </w:r>
          </w:p>
        </w:tc>
        <w:tc>
          <w:tcPr>
            <w:tcW w:w="1275" w:type="dxa"/>
            <w:shd w:val="clear" w:color="auto" w:fill="auto"/>
            <w:vAlign w:val="center"/>
          </w:tcPr>
          <w:p>
            <w:pPr>
              <w:spacing w:line="220" w:lineRule="exact"/>
              <w:jc w:val="center"/>
              <w:rPr>
                <w:sz w:val="18"/>
                <w:szCs w:val="18"/>
              </w:rPr>
            </w:pPr>
            <w:r>
              <w:rPr>
                <w:rFonts w:hint="eastAsia" w:ascii="宋体" w:hAnsi="宋体"/>
                <w:sz w:val="18"/>
                <w:szCs w:val="18"/>
              </w:rPr>
              <w:t>橙红明亮清澈</w:t>
            </w:r>
          </w:p>
        </w:tc>
        <w:tc>
          <w:tcPr>
            <w:tcW w:w="1134" w:type="dxa"/>
            <w:shd w:val="clear" w:color="auto" w:fill="auto"/>
            <w:vAlign w:val="center"/>
          </w:tcPr>
          <w:p>
            <w:pPr>
              <w:spacing w:line="220" w:lineRule="exact"/>
              <w:jc w:val="center"/>
              <w:rPr>
                <w:sz w:val="18"/>
                <w:szCs w:val="18"/>
              </w:rPr>
            </w:pPr>
            <w:r>
              <w:rPr>
                <w:rFonts w:hint="eastAsia" w:ascii="宋体" w:hAnsi="宋体"/>
                <w:sz w:val="18"/>
                <w:szCs w:val="18"/>
              </w:rPr>
              <w:t>花香显</w:t>
            </w:r>
          </w:p>
        </w:tc>
        <w:tc>
          <w:tcPr>
            <w:tcW w:w="1134" w:type="dxa"/>
            <w:shd w:val="clear" w:color="auto" w:fill="auto"/>
            <w:vAlign w:val="center"/>
          </w:tcPr>
          <w:p>
            <w:pPr>
              <w:spacing w:line="220" w:lineRule="exact"/>
              <w:jc w:val="center"/>
              <w:rPr>
                <w:sz w:val="18"/>
                <w:szCs w:val="18"/>
              </w:rPr>
            </w:pPr>
            <w:r>
              <w:rPr>
                <w:rFonts w:hint="eastAsia" w:ascii="宋体" w:hAnsi="宋体"/>
                <w:sz w:val="18"/>
                <w:szCs w:val="18"/>
              </w:rPr>
              <w:t>浓醇甜爽、有花蜜香</w:t>
            </w:r>
          </w:p>
        </w:tc>
        <w:tc>
          <w:tcPr>
            <w:tcW w:w="1406" w:type="dxa"/>
            <w:shd w:val="clear" w:color="auto" w:fill="auto"/>
            <w:vAlign w:val="center"/>
          </w:tcPr>
          <w:p>
            <w:pPr>
              <w:spacing w:line="220" w:lineRule="exact"/>
              <w:jc w:val="center"/>
              <w:rPr>
                <w:sz w:val="18"/>
                <w:szCs w:val="18"/>
              </w:rPr>
            </w:pPr>
            <w:r>
              <w:rPr>
                <w:rFonts w:hint="eastAsia" w:ascii="宋体" w:hAnsi="宋体"/>
                <w:sz w:val="18"/>
                <w:szCs w:val="18"/>
              </w:rPr>
              <w:t>肥厚红匀软亮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spacing w:line="240" w:lineRule="exact"/>
              <w:jc w:val="center"/>
              <w:rPr>
                <w:sz w:val="18"/>
                <w:szCs w:val="18"/>
              </w:rPr>
            </w:pPr>
            <w:r>
              <w:rPr>
                <w:rFonts w:hint="eastAsia" w:ascii="宋体" w:hAnsi="宋体"/>
                <w:sz w:val="18"/>
                <w:szCs w:val="18"/>
              </w:rPr>
              <w:t>二级</w:t>
            </w:r>
          </w:p>
        </w:tc>
        <w:tc>
          <w:tcPr>
            <w:tcW w:w="3544" w:type="dxa"/>
            <w:shd w:val="clear" w:color="auto" w:fill="auto"/>
            <w:vAlign w:val="center"/>
          </w:tcPr>
          <w:p>
            <w:pPr>
              <w:spacing w:line="220" w:lineRule="exact"/>
              <w:jc w:val="center"/>
              <w:rPr>
                <w:sz w:val="18"/>
                <w:szCs w:val="18"/>
              </w:rPr>
            </w:pPr>
            <w:r>
              <w:rPr>
                <w:rFonts w:hint="eastAsia" w:ascii="宋体" w:hAnsi="宋体"/>
                <w:sz w:val="18"/>
                <w:szCs w:val="18"/>
              </w:rPr>
              <w:t>紧结尚壮实、乌尚润、较匀整、较洁净</w:t>
            </w:r>
          </w:p>
        </w:tc>
        <w:tc>
          <w:tcPr>
            <w:tcW w:w="1275" w:type="dxa"/>
            <w:shd w:val="clear" w:color="auto" w:fill="auto"/>
            <w:vAlign w:val="center"/>
          </w:tcPr>
          <w:p>
            <w:pPr>
              <w:spacing w:line="220" w:lineRule="exact"/>
              <w:jc w:val="center"/>
              <w:rPr>
                <w:sz w:val="18"/>
                <w:szCs w:val="18"/>
              </w:rPr>
            </w:pPr>
            <w:r>
              <w:rPr>
                <w:rFonts w:hint="eastAsia" w:ascii="宋体" w:hAnsi="宋体"/>
                <w:sz w:val="18"/>
                <w:szCs w:val="18"/>
              </w:rPr>
              <w:t>橙红明亮</w:t>
            </w:r>
          </w:p>
        </w:tc>
        <w:tc>
          <w:tcPr>
            <w:tcW w:w="1134" w:type="dxa"/>
            <w:shd w:val="clear" w:color="auto" w:fill="auto"/>
            <w:vAlign w:val="center"/>
          </w:tcPr>
          <w:p>
            <w:pPr>
              <w:spacing w:line="220" w:lineRule="exact"/>
              <w:jc w:val="center"/>
              <w:rPr>
                <w:sz w:val="18"/>
                <w:szCs w:val="18"/>
              </w:rPr>
            </w:pPr>
            <w:r>
              <w:rPr>
                <w:rFonts w:hint="eastAsia" w:ascii="宋体" w:hAnsi="宋体"/>
                <w:sz w:val="18"/>
                <w:szCs w:val="18"/>
              </w:rPr>
              <w:t>有花香</w:t>
            </w:r>
          </w:p>
        </w:tc>
        <w:tc>
          <w:tcPr>
            <w:tcW w:w="1134" w:type="dxa"/>
            <w:shd w:val="clear" w:color="auto" w:fill="auto"/>
            <w:vAlign w:val="center"/>
          </w:tcPr>
          <w:p>
            <w:pPr>
              <w:spacing w:line="220" w:lineRule="exact"/>
              <w:jc w:val="center"/>
              <w:rPr>
                <w:sz w:val="18"/>
                <w:szCs w:val="18"/>
              </w:rPr>
            </w:pPr>
            <w:r>
              <w:rPr>
                <w:rFonts w:hint="eastAsia" w:ascii="宋体" w:hAnsi="宋体"/>
                <w:sz w:val="18"/>
                <w:szCs w:val="18"/>
              </w:rPr>
              <w:t>醇和带花香</w:t>
            </w:r>
          </w:p>
        </w:tc>
        <w:tc>
          <w:tcPr>
            <w:tcW w:w="1406" w:type="dxa"/>
            <w:shd w:val="clear" w:color="auto" w:fill="auto"/>
            <w:vAlign w:val="center"/>
          </w:tcPr>
          <w:p>
            <w:pPr>
              <w:spacing w:line="220" w:lineRule="exact"/>
              <w:jc w:val="center"/>
              <w:rPr>
                <w:sz w:val="18"/>
                <w:szCs w:val="18"/>
              </w:rPr>
            </w:pPr>
            <w:r>
              <w:rPr>
                <w:rFonts w:hint="eastAsia" w:ascii="宋体" w:hAnsi="宋体"/>
                <w:sz w:val="18"/>
                <w:szCs w:val="18"/>
              </w:rPr>
              <w:t>红匀尚亮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841" w:type="dxa"/>
            <w:shd w:val="clear" w:color="auto" w:fill="auto"/>
            <w:vAlign w:val="center"/>
          </w:tcPr>
          <w:p>
            <w:pPr>
              <w:spacing w:line="240" w:lineRule="exact"/>
              <w:jc w:val="center"/>
              <w:rPr>
                <w:sz w:val="18"/>
                <w:szCs w:val="18"/>
              </w:rPr>
            </w:pPr>
            <w:r>
              <w:rPr>
                <w:rFonts w:hint="eastAsia" w:ascii="宋体" w:hAnsi="宋体"/>
                <w:sz w:val="18"/>
                <w:szCs w:val="18"/>
              </w:rPr>
              <w:t>三级</w:t>
            </w:r>
          </w:p>
        </w:tc>
        <w:tc>
          <w:tcPr>
            <w:tcW w:w="3544" w:type="dxa"/>
            <w:shd w:val="clear" w:color="auto" w:fill="auto"/>
            <w:vAlign w:val="center"/>
          </w:tcPr>
          <w:p>
            <w:pPr>
              <w:spacing w:line="220" w:lineRule="exact"/>
              <w:jc w:val="center"/>
              <w:rPr>
                <w:sz w:val="18"/>
                <w:szCs w:val="18"/>
              </w:rPr>
            </w:pPr>
            <w:r>
              <w:rPr>
                <w:rFonts w:hint="eastAsia" w:ascii="宋体" w:hAnsi="宋体"/>
                <w:sz w:val="18"/>
                <w:szCs w:val="18"/>
              </w:rPr>
              <w:t>尚壮实、乌带褐、较匀整、尚洁净</w:t>
            </w:r>
          </w:p>
        </w:tc>
        <w:tc>
          <w:tcPr>
            <w:tcW w:w="1275" w:type="dxa"/>
            <w:shd w:val="clear" w:color="auto" w:fill="auto"/>
            <w:vAlign w:val="center"/>
          </w:tcPr>
          <w:p>
            <w:pPr>
              <w:spacing w:line="220" w:lineRule="exact"/>
              <w:jc w:val="center"/>
              <w:rPr>
                <w:sz w:val="18"/>
                <w:szCs w:val="18"/>
              </w:rPr>
            </w:pPr>
            <w:r>
              <w:rPr>
                <w:rFonts w:hint="eastAsia" w:ascii="宋体" w:hAnsi="宋体"/>
                <w:sz w:val="18"/>
                <w:szCs w:val="18"/>
              </w:rPr>
              <w:t>橙红亮</w:t>
            </w:r>
          </w:p>
        </w:tc>
        <w:tc>
          <w:tcPr>
            <w:tcW w:w="1134" w:type="dxa"/>
            <w:shd w:val="clear" w:color="auto" w:fill="auto"/>
            <w:vAlign w:val="center"/>
          </w:tcPr>
          <w:p>
            <w:pPr>
              <w:spacing w:line="220" w:lineRule="exact"/>
              <w:jc w:val="center"/>
              <w:rPr>
                <w:sz w:val="18"/>
                <w:szCs w:val="18"/>
              </w:rPr>
            </w:pPr>
            <w:r>
              <w:rPr>
                <w:rFonts w:hint="eastAsia" w:ascii="宋体" w:hAnsi="宋体"/>
                <w:sz w:val="18"/>
                <w:szCs w:val="18"/>
              </w:rPr>
              <w:t>带花香</w:t>
            </w:r>
          </w:p>
        </w:tc>
        <w:tc>
          <w:tcPr>
            <w:tcW w:w="1134" w:type="dxa"/>
            <w:shd w:val="clear" w:color="auto" w:fill="auto"/>
            <w:vAlign w:val="center"/>
          </w:tcPr>
          <w:p>
            <w:pPr>
              <w:spacing w:line="220" w:lineRule="exact"/>
              <w:jc w:val="center"/>
              <w:rPr>
                <w:sz w:val="18"/>
                <w:szCs w:val="18"/>
              </w:rPr>
            </w:pPr>
            <w:r>
              <w:rPr>
                <w:rFonts w:hint="eastAsia" w:ascii="宋体" w:hAnsi="宋体"/>
                <w:sz w:val="18"/>
                <w:szCs w:val="18"/>
              </w:rPr>
              <w:t>纯和带花香</w:t>
            </w:r>
          </w:p>
        </w:tc>
        <w:tc>
          <w:tcPr>
            <w:tcW w:w="1406" w:type="dxa"/>
            <w:shd w:val="clear" w:color="auto" w:fill="auto"/>
            <w:vAlign w:val="center"/>
          </w:tcPr>
          <w:p>
            <w:pPr>
              <w:spacing w:line="220" w:lineRule="exact"/>
              <w:jc w:val="center"/>
              <w:rPr>
                <w:sz w:val="18"/>
                <w:szCs w:val="18"/>
              </w:rPr>
            </w:pPr>
            <w:r>
              <w:rPr>
                <w:rFonts w:hint="eastAsia" w:ascii="宋体" w:hAnsi="宋体"/>
                <w:sz w:val="18"/>
                <w:szCs w:val="18"/>
              </w:rPr>
              <w:t>尚红匀</w:t>
            </w:r>
          </w:p>
        </w:tc>
      </w:tr>
    </w:tbl>
    <w:p>
      <w:pPr>
        <w:pStyle w:val="105"/>
        <w:spacing w:before="120" w:after="120"/>
      </w:pPr>
      <w:r>
        <w:rPr>
          <w:rFonts w:hint="eastAsia"/>
        </w:rPr>
        <w:t>理化指标</w:t>
      </w:r>
    </w:p>
    <w:p>
      <w:pPr>
        <w:pStyle w:val="56"/>
        <w:ind w:firstLine="420"/>
      </w:pPr>
      <w:r>
        <w:rPr>
          <w:rFonts w:hint="eastAsia"/>
        </w:rPr>
        <w:t>应符合表</w:t>
      </w:r>
      <w:r>
        <w:t>2</w:t>
      </w:r>
      <w:r>
        <w:rPr>
          <w:rFonts w:hint="eastAsia"/>
        </w:rPr>
        <w:t>的规定。</w:t>
      </w:r>
    </w:p>
    <w:p>
      <w:pPr>
        <w:pStyle w:val="112"/>
        <w:spacing w:before="120" w:after="120"/>
      </w:pPr>
      <w:r>
        <w:rPr>
          <w:rFonts w:hint="eastAsia"/>
        </w:rPr>
        <w:t>理化指标</w:t>
      </w:r>
    </w:p>
    <w:tbl>
      <w:tblPr>
        <w:tblStyle w:val="26"/>
        <w:tblW w:w="924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43"/>
        <w:gridCol w:w="1651"/>
        <w:gridCol w:w="1545"/>
        <w:gridCol w:w="1757"/>
        <w:gridCol w:w="16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2643" w:type="dxa"/>
            <w:vMerge w:val="restart"/>
            <w:tcBorders>
              <w:top w:val="single" w:color="auto" w:sz="8" w:space="0"/>
              <w:left w:val="single" w:color="auto" w:sz="8" w:space="0"/>
              <w:bottom w:val="single" w:color="auto" w:sz="8" w:space="0"/>
              <w:right w:val="single" w:color="auto" w:sz="8" w:space="0"/>
            </w:tcBorders>
            <w:vAlign w:val="center"/>
          </w:tcPr>
          <w:p>
            <w:pPr>
              <w:pStyle w:val="230"/>
              <w:ind w:firstLine="360"/>
              <w:jc w:val="center"/>
              <w:rPr>
                <w:rFonts w:hAnsi="宋体"/>
                <w:sz w:val="18"/>
                <w:szCs w:val="18"/>
              </w:rPr>
            </w:pPr>
            <w:bookmarkStart w:id="45" w:name="_Toc286932288"/>
            <w:r>
              <w:rPr>
                <w:rFonts w:hint="eastAsia" w:hAnsi="宋体"/>
                <w:sz w:val="18"/>
                <w:szCs w:val="18"/>
              </w:rPr>
              <w:t>项    目</w:t>
            </w:r>
            <w:bookmarkEnd w:id="45"/>
          </w:p>
        </w:tc>
        <w:tc>
          <w:tcPr>
            <w:tcW w:w="6604" w:type="dxa"/>
            <w:gridSpan w:val="4"/>
            <w:tcBorders>
              <w:top w:val="single" w:color="auto" w:sz="8" w:space="0"/>
              <w:left w:val="single" w:color="auto" w:sz="8" w:space="0"/>
              <w:bottom w:val="single" w:color="auto" w:sz="8" w:space="0"/>
              <w:right w:val="single" w:color="auto" w:sz="8" w:space="0"/>
            </w:tcBorders>
            <w:vAlign w:val="center"/>
          </w:tcPr>
          <w:p>
            <w:pPr>
              <w:pStyle w:val="230"/>
              <w:ind w:firstLine="0" w:firstLineChars="0"/>
              <w:jc w:val="center"/>
              <w:rPr>
                <w:sz w:val="18"/>
                <w:szCs w:val="18"/>
              </w:rPr>
            </w:pPr>
            <w:r>
              <w:rPr>
                <w:rFonts w:hint="eastAsia" w:hAnsi="宋体"/>
                <w:sz w:val="18"/>
                <w:szCs w:val="18"/>
              </w:rPr>
              <w:t>指</w:t>
            </w:r>
            <w:r>
              <w:rPr>
                <w:rFonts w:hint="eastAsia"/>
                <w:sz w:val="18"/>
                <w:szCs w:val="18"/>
              </w:rPr>
              <w:t xml:space="preserve">  </w:t>
            </w:r>
            <w:r>
              <w:rPr>
                <w:rFonts w:hint="eastAsia" w:hAnsi="宋体"/>
                <w:sz w:val="18"/>
                <w:szCs w:val="18"/>
              </w:rPr>
              <w:t>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26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kern w:val="0"/>
                <w:sz w:val="18"/>
                <w:szCs w:val="18"/>
              </w:rPr>
            </w:pPr>
          </w:p>
        </w:tc>
        <w:tc>
          <w:tcPr>
            <w:tcW w:w="1651"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sz w:val="18"/>
                <w:szCs w:val="18"/>
              </w:rPr>
            </w:pPr>
            <w:r>
              <w:rPr>
                <w:rFonts w:hint="eastAsia" w:ascii="宋体" w:hAnsi="宋体"/>
                <w:sz w:val="18"/>
                <w:szCs w:val="18"/>
              </w:rPr>
              <w:t>特级</w:t>
            </w:r>
          </w:p>
        </w:tc>
        <w:tc>
          <w:tcPr>
            <w:tcW w:w="1545"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sz w:val="18"/>
                <w:szCs w:val="18"/>
              </w:rPr>
            </w:pPr>
            <w:r>
              <w:rPr>
                <w:rFonts w:hint="eastAsia" w:ascii="宋体" w:hAnsi="宋体"/>
                <w:sz w:val="18"/>
                <w:szCs w:val="18"/>
              </w:rPr>
              <w:t>一级</w:t>
            </w:r>
          </w:p>
        </w:tc>
        <w:tc>
          <w:tcPr>
            <w:tcW w:w="1757" w:type="dxa"/>
            <w:tcBorders>
              <w:top w:val="single" w:color="auto" w:sz="8" w:space="0"/>
              <w:left w:val="single" w:color="auto" w:sz="8" w:space="0"/>
              <w:bottom w:val="single" w:color="auto" w:sz="8" w:space="0"/>
              <w:right w:val="single" w:color="auto" w:sz="8" w:space="0"/>
            </w:tcBorders>
            <w:vAlign w:val="center"/>
          </w:tcPr>
          <w:p>
            <w:pPr>
              <w:pStyle w:val="230"/>
              <w:ind w:firstLine="0" w:firstLineChars="0"/>
              <w:jc w:val="center"/>
              <w:rPr>
                <w:sz w:val="18"/>
                <w:szCs w:val="18"/>
              </w:rPr>
            </w:pPr>
            <w:r>
              <w:rPr>
                <w:rFonts w:hint="eastAsia" w:hAnsi="宋体"/>
                <w:sz w:val="18"/>
                <w:szCs w:val="18"/>
              </w:rPr>
              <w:t>二级</w:t>
            </w:r>
          </w:p>
        </w:tc>
        <w:tc>
          <w:tcPr>
            <w:tcW w:w="1651" w:type="dxa"/>
            <w:tcBorders>
              <w:top w:val="single" w:color="auto" w:sz="8" w:space="0"/>
              <w:left w:val="single" w:color="auto" w:sz="8" w:space="0"/>
              <w:bottom w:val="single" w:color="auto" w:sz="8" w:space="0"/>
              <w:right w:val="single" w:color="auto" w:sz="8" w:space="0"/>
            </w:tcBorders>
            <w:vAlign w:val="center"/>
          </w:tcPr>
          <w:p>
            <w:pPr>
              <w:pStyle w:val="230"/>
              <w:ind w:firstLine="0" w:firstLineChars="0"/>
              <w:jc w:val="center"/>
              <w:rPr>
                <w:sz w:val="18"/>
                <w:szCs w:val="18"/>
              </w:rPr>
            </w:pPr>
            <w:r>
              <w:rPr>
                <w:rFonts w:hint="eastAsia" w:hAnsi="宋体"/>
                <w:sz w:val="18"/>
                <w:szCs w:val="18"/>
              </w:rPr>
              <w:t>三级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2643" w:type="dxa"/>
            <w:tcBorders>
              <w:top w:val="single" w:color="auto" w:sz="8" w:space="0"/>
              <w:left w:val="single" w:color="auto" w:sz="8" w:space="0"/>
              <w:bottom w:val="single" w:color="auto" w:sz="8" w:space="0"/>
              <w:right w:val="single" w:color="auto" w:sz="8" w:space="0"/>
            </w:tcBorders>
            <w:vAlign w:val="center"/>
          </w:tcPr>
          <w:p>
            <w:pPr>
              <w:pStyle w:val="230"/>
              <w:ind w:leftChars="-6" w:hanging="12" w:hangingChars="7"/>
              <w:jc w:val="left"/>
              <w:rPr>
                <w:rFonts w:hAnsi="宋体"/>
                <w:sz w:val="18"/>
                <w:szCs w:val="18"/>
              </w:rPr>
            </w:pPr>
            <w:r>
              <w:rPr>
                <w:rFonts w:hint="eastAsia" w:hAnsi="宋体"/>
                <w:sz w:val="18"/>
                <w:szCs w:val="18"/>
              </w:rPr>
              <w:t>水分（质量分数）/%　   ≤</w:t>
            </w:r>
          </w:p>
        </w:tc>
        <w:tc>
          <w:tcPr>
            <w:tcW w:w="6604" w:type="dxa"/>
            <w:gridSpan w:val="4"/>
            <w:tcBorders>
              <w:top w:val="single" w:color="auto" w:sz="8" w:space="0"/>
              <w:left w:val="single" w:color="auto" w:sz="8" w:space="0"/>
              <w:bottom w:val="single" w:color="auto" w:sz="8" w:space="0"/>
              <w:right w:val="single" w:color="auto" w:sz="8" w:space="0"/>
            </w:tcBorders>
            <w:vAlign w:val="center"/>
          </w:tcPr>
          <w:p>
            <w:pPr>
              <w:pStyle w:val="230"/>
              <w:ind w:firstLine="0" w:firstLineChars="0"/>
              <w:jc w:val="center"/>
              <w:rPr>
                <w:rFonts w:hAnsi="宋体"/>
                <w:sz w:val="18"/>
                <w:szCs w:val="18"/>
              </w:rPr>
            </w:pPr>
            <w:r>
              <w:rPr>
                <w:rFonts w:hint="eastAsia" w:hAnsi="宋体"/>
                <w:sz w:val="18"/>
                <w:szCs w:val="18"/>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2643" w:type="dxa"/>
            <w:tcBorders>
              <w:top w:val="single" w:color="auto" w:sz="8" w:space="0"/>
              <w:left w:val="single" w:color="auto" w:sz="8" w:space="0"/>
              <w:bottom w:val="single" w:color="auto" w:sz="8" w:space="0"/>
              <w:right w:val="single" w:color="auto" w:sz="8" w:space="0"/>
            </w:tcBorders>
            <w:vAlign w:val="center"/>
          </w:tcPr>
          <w:p>
            <w:pPr>
              <w:pStyle w:val="230"/>
              <w:ind w:leftChars="-6" w:hanging="12" w:hangingChars="7"/>
              <w:jc w:val="left"/>
              <w:rPr>
                <w:rFonts w:hAnsi="宋体"/>
                <w:sz w:val="18"/>
                <w:szCs w:val="18"/>
              </w:rPr>
            </w:pPr>
            <w:r>
              <w:rPr>
                <w:rFonts w:hint="eastAsia" w:hAnsi="宋体"/>
                <w:sz w:val="18"/>
                <w:szCs w:val="18"/>
              </w:rPr>
              <w:t>总灰分（质量分数）/%   ≤</w:t>
            </w:r>
          </w:p>
        </w:tc>
        <w:tc>
          <w:tcPr>
            <w:tcW w:w="6604" w:type="dxa"/>
            <w:gridSpan w:val="4"/>
            <w:tcBorders>
              <w:top w:val="single" w:color="auto" w:sz="8" w:space="0"/>
              <w:left w:val="single" w:color="auto" w:sz="8" w:space="0"/>
              <w:bottom w:val="single" w:color="auto" w:sz="8" w:space="0"/>
              <w:right w:val="single" w:color="auto" w:sz="8" w:space="0"/>
            </w:tcBorders>
            <w:vAlign w:val="center"/>
          </w:tcPr>
          <w:p>
            <w:pPr>
              <w:pStyle w:val="230"/>
              <w:ind w:firstLine="0" w:firstLineChars="0"/>
              <w:jc w:val="center"/>
              <w:rPr>
                <w:rFonts w:hAnsi="宋体"/>
                <w:sz w:val="18"/>
                <w:szCs w:val="18"/>
              </w:rPr>
            </w:pPr>
            <w:r>
              <w:rPr>
                <w:rFonts w:hint="eastAsia" w:hAnsi="宋体"/>
                <w:sz w:val="18"/>
                <w:szCs w:val="18"/>
              </w:rPr>
              <w:t>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2643" w:type="dxa"/>
            <w:tcBorders>
              <w:top w:val="single" w:color="auto" w:sz="8" w:space="0"/>
              <w:left w:val="single" w:color="auto" w:sz="8" w:space="0"/>
              <w:bottom w:val="single" w:color="auto" w:sz="8" w:space="0"/>
              <w:right w:val="single" w:color="auto" w:sz="8" w:space="0"/>
            </w:tcBorders>
            <w:vAlign w:val="center"/>
          </w:tcPr>
          <w:p>
            <w:pPr>
              <w:pStyle w:val="230"/>
              <w:ind w:leftChars="-6" w:hanging="12" w:hangingChars="7"/>
              <w:jc w:val="left"/>
              <w:rPr>
                <w:rFonts w:hAnsi="宋体"/>
                <w:sz w:val="18"/>
                <w:szCs w:val="18"/>
              </w:rPr>
            </w:pPr>
            <w:r>
              <w:rPr>
                <w:rFonts w:hint="eastAsia" w:hAnsi="宋体"/>
                <w:sz w:val="18"/>
                <w:szCs w:val="18"/>
              </w:rPr>
              <w:t>粉末（质量分数）/%　   ≤</w:t>
            </w:r>
          </w:p>
        </w:tc>
        <w:tc>
          <w:tcPr>
            <w:tcW w:w="3196" w:type="dxa"/>
            <w:gridSpan w:val="2"/>
            <w:tcBorders>
              <w:top w:val="single" w:color="auto" w:sz="8" w:space="0"/>
              <w:left w:val="single" w:color="auto" w:sz="8" w:space="0"/>
              <w:bottom w:val="single" w:color="auto" w:sz="8" w:space="0"/>
              <w:right w:val="single" w:color="auto" w:sz="8" w:space="0"/>
            </w:tcBorders>
            <w:vAlign w:val="center"/>
          </w:tcPr>
          <w:p>
            <w:pPr>
              <w:pStyle w:val="230"/>
              <w:ind w:firstLine="0" w:firstLineChars="0"/>
              <w:jc w:val="center"/>
              <w:rPr>
                <w:rFonts w:hAnsi="宋体"/>
                <w:sz w:val="18"/>
                <w:szCs w:val="18"/>
              </w:rPr>
            </w:pPr>
            <w:r>
              <w:rPr>
                <w:rFonts w:hint="eastAsia" w:hAnsi="宋体"/>
                <w:sz w:val="18"/>
                <w:szCs w:val="18"/>
              </w:rPr>
              <w:t>1.0</w:t>
            </w:r>
          </w:p>
        </w:tc>
        <w:tc>
          <w:tcPr>
            <w:tcW w:w="3408" w:type="dxa"/>
            <w:gridSpan w:val="2"/>
            <w:tcBorders>
              <w:top w:val="single" w:color="auto" w:sz="8" w:space="0"/>
              <w:left w:val="single" w:color="auto" w:sz="8" w:space="0"/>
              <w:bottom w:val="single" w:color="auto" w:sz="8" w:space="0"/>
              <w:right w:val="single" w:color="auto" w:sz="8" w:space="0"/>
            </w:tcBorders>
            <w:vAlign w:val="center"/>
          </w:tcPr>
          <w:p>
            <w:pPr>
              <w:pStyle w:val="230"/>
              <w:ind w:firstLine="0" w:firstLineChars="0"/>
              <w:jc w:val="center"/>
              <w:rPr>
                <w:rFonts w:hAnsi="宋体"/>
                <w:sz w:val="18"/>
                <w:szCs w:val="18"/>
              </w:rPr>
            </w:pPr>
            <w:r>
              <w:rPr>
                <w:rFonts w:hint="eastAsia" w:hAnsi="宋体"/>
                <w:sz w:val="18"/>
                <w:szCs w:val="18"/>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2643" w:type="dxa"/>
            <w:tcBorders>
              <w:top w:val="single" w:color="auto" w:sz="8" w:space="0"/>
              <w:left w:val="single" w:color="auto" w:sz="8" w:space="0"/>
              <w:bottom w:val="single" w:color="auto" w:sz="8" w:space="0"/>
              <w:right w:val="single" w:color="auto" w:sz="8" w:space="0"/>
            </w:tcBorders>
            <w:vAlign w:val="center"/>
          </w:tcPr>
          <w:p>
            <w:pPr>
              <w:pStyle w:val="230"/>
              <w:ind w:leftChars="-6" w:hanging="12" w:hangingChars="7"/>
              <w:jc w:val="left"/>
              <w:rPr>
                <w:rFonts w:hAnsi="宋体"/>
                <w:sz w:val="18"/>
                <w:szCs w:val="18"/>
              </w:rPr>
            </w:pPr>
            <w:r>
              <w:rPr>
                <w:rFonts w:hint="eastAsia" w:hAnsi="宋体"/>
                <w:sz w:val="18"/>
                <w:szCs w:val="18"/>
              </w:rPr>
              <w:t>碎茶（质量分数）/%　   ≤</w:t>
            </w:r>
          </w:p>
        </w:tc>
        <w:tc>
          <w:tcPr>
            <w:tcW w:w="3196" w:type="dxa"/>
            <w:gridSpan w:val="2"/>
            <w:tcBorders>
              <w:top w:val="single" w:color="auto" w:sz="8" w:space="0"/>
              <w:left w:val="single" w:color="auto" w:sz="8" w:space="0"/>
              <w:bottom w:val="single" w:color="auto" w:sz="8" w:space="0"/>
              <w:right w:val="single" w:color="auto" w:sz="8" w:space="0"/>
            </w:tcBorders>
            <w:vAlign w:val="center"/>
          </w:tcPr>
          <w:p>
            <w:pPr>
              <w:pStyle w:val="230"/>
              <w:ind w:firstLine="0" w:firstLineChars="0"/>
              <w:jc w:val="center"/>
              <w:rPr>
                <w:rFonts w:hAnsi="宋体"/>
                <w:sz w:val="18"/>
                <w:szCs w:val="18"/>
              </w:rPr>
            </w:pPr>
            <w:r>
              <w:rPr>
                <w:rFonts w:hint="eastAsia" w:hAnsi="宋体"/>
                <w:sz w:val="18"/>
                <w:szCs w:val="18"/>
              </w:rPr>
              <w:t>3.0</w:t>
            </w:r>
          </w:p>
        </w:tc>
        <w:tc>
          <w:tcPr>
            <w:tcW w:w="3408" w:type="dxa"/>
            <w:gridSpan w:val="2"/>
            <w:tcBorders>
              <w:top w:val="single" w:color="auto" w:sz="8" w:space="0"/>
              <w:left w:val="single" w:color="auto" w:sz="8" w:space="0"/>
              <w:bottom w:val="single" w:color="auto" w:sz="8" w:space="0"/>
              <w:right w:val="single" w:color="auto" w:sz="8" w:space="0"/>
            </w:tcBorders>
            <w:vAlign w:val="center"/>
          </w:tcPr>
          <w:p>
            <w:pPr>
              <w:pStyle w:val="230"/>
              <w:ind w:firstLine="0" w:firstLineChars="0"/>
              <w:jc w:val="center"/>
              <w:rPr>
                <w:rFonts w:hAnsi="宋体"/>
                <w:sz w:val="18"/>
                <w:szCs w:val="18"/>
              </w:rPr>
            </w:pPr>
            <w:r>
              <w:rPr>
                <w:rFonts w:hint="eastAsia" w:hAnsi="宋体"/>
                <w:sz w:val="18"/>
                <w:szCs w:val="18"/>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2643" w:type="dxa"/>
            <w:tcBorders>
              <w:top w:val="single" w:color="auto" w:sz="8" w:space="0"/>
              <w:left w:val="single" w:color="auto" w:sz="8" w:space="0"/>
              <w:bottom w:val="single" w:color="auto" w:sz="8" w:space="0"/>
              <w:right w:val="single" w:color="auto" w:sz="8" w:space="0"/>
            </w:tcBorders>
            <w:vAlign w:val="center"/>
          </w:tcPr>
          <w:p>
            <w:pPr>
              <w:rPr>
                <w:rFonts w:ascii="宋体" w:hAnsi="宋体" w:cs="宋体-18030"/>
                <w:sz w:val="18"/>
                <w:szCs w:val="18"/>
              </w:rPr>
            </w:pPr>
            <w:r>
              <w:rPr>
                <w:rFonts w:hint="eastAsia" w:ascii="宋体" w:hAnsi="宋体"/>
                <w:sz w:val="18"/>
                <w:szCs w:val="18"/>
              </w:rPr>
              <w:t>水浸出物（质量分数）</w:t>
            </w:r>
            <w:r>
              <w:rPr>
                <w:rFonts w:hint="eastAsia"/>
                <w:sz w:val="18"/>
                <w:szCs w:val="18"/>
              </w:rPr>
              <w:t>/%</w:t>
            </w:r>
            <w:r>
              <w:rPr>
                <w:rFonts w:hAnsi="宋体"/>
                <w:sz w:val="18"/>
                <w:szCs w:val="18"/>
              </w:rPr>
              <w:t xml:space="preserve">  </w:t>
            </w:r>
            <w:r>
              <w:rPr>
                <w:rFonts w:hint="eastAsia" w:ascii="宋体" w:hAnsi="宋体"/>
                <w:sz w:val="18"/>
                <w:szCs w:val="18"/>
              </w:rPr>
              <w:t>≥</w:t>
            </w:r>
          </w:p>
        </w:tc>
        <w:tc>
          <w:tcPr>
            <w:tcW w:w="319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18030"/>
                <w:sz w:val="18"/>
                <w:szCs w:val="18"/>
              </w:rPr>
            </w:pPr>
            <w:r>
              <w:rPr>
                <w:rFonts w:hint="eastAsia" w:ascii="宋体" w:hAnsi="宋体" w:cs="宋体-18030"/>
                <w:sz w:val="18"/>
                <w:szCs w:val="18"/>
              </w:rPr>
              <w:t>32.0</w:t>
            </w:r>
          </w:p>
        </w:tc>
        <w:tc>
          <w:tcPr>
            <w:tcW w:w="340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18030"/>
                <w:sz w:val="18"/>
                <w:szCs w:val="18"/>
              </w:rPr>
            </w:pPr>
            <w:r>
              <w:rPr>
                <w:rFonts w:hint="eastAsia" w:ascii="宋体" w:hAnsi="宋体" w:cs="宋体-18030"/>
                <w:sz w:val="18"/>
                <w:szCs w:val="18"/>
              </w:rPr>
              <w:t>30.0</w:t>
            </w:r>
          </w:p>
        </w:tc>
      </w:tr>
    </w:tbl>
    <w:p>
      <w:pPr>
        <w:pStyle w:val="56"/>
        <w:ind w:firstLine="420"/>
      </w:pPr>
    </w:p>
    <w:p>
      <w:pPr>
        <w:pStyle w:val="105"/>
        <w:spacing w:before="120" w:after="120"/>
        <w:rPr>
          <w:szCs w:val="21"/>
        </w:rPr>
      </w:pPr>
      <w:r>
        <w:rPr>
          <w:rFonts w:hint="eastAsia"/>
        </w:rPr>
        <w:t>安全指标</w:t>
      </w:r>
    </w:p>
    <w:p>
      <w:pPr>
        <w:pStyle w:val="165"/>
      </w:pPr>
      <w:r>
        <w:rPr>
          <w:rFonts w:hint="eastAsia"/>
        </w:rPr>
        <w:t>污染物限量应符合GB 2762的规定。</w:t>
      </w:r>
    </w:p>
    <w:p>
      <w:pPr>
        <w:pStyle w:val="165"/>
      </w:pPr>
      <w:r>
        <w:rPr>
          <w:rFonts w:hint="eastAsia"/>
        </w:rPr>
        <w:t>农药残留限量应符合GB 2763的规定。</w:t>
      </w:r>
    </w:p>
    <w:p>
      <w:pPr>
        <w:pStyle w:val="105"/>
        <w:spacing w:before="120" w:after="120"/>
      </w:pPr>
      <w:r>
        <w:rPr>
          <w:rFonts w:hint="eastAsia"/>
        </w:rPr>
        <w:t>净含量</w:t>
      </w:r>
    </w:p>
    <w:p>
      <w:pPr>
        <w:pStyle w:val="56"/>
        <w:ind w:firstLine="420"/>
      </w:pPr>
      <w:r>
        <w:rPr>
          <w:rFonts w:hint="eastAsia" w:hAnsi="宋体"/>
        </w:rPr>
        <w:t>应符合《定量包装商品计量监督管理办法》的规定。</w:t>
      </w:r>
    </w:p>
    <w:p>
      <w:pPr>
        <w:pStyle w:val="104"/>
        <w:spacing w:before="240" w:after="240"/>
      </w:pPr>
      <w:r>
        <w:rPr>
          <w:rFonts w:hint="eastAsia"/>
        </w:rPr>
        <w:t>试验方法</w:t>
      </w:r>
    </w:p>
    <w:p>
      <w:pPr>
        <w:pStyle w:val="105"/>
        <w:spacing w:before="120" w:after="120"/>
      </w:pPr>
      <w:r>
        <w:rPr>
          <w:rFonts w:hint="eastAsia"/>
        </w:rPr>
        <w:t>感官品质</w:t>
      </w:r>
    </w:p>
    <w:p>
      <w:pPr>
        <w:pStyle w:val="56"/>
        <w:ind w:firstLine="420"/>
      </w:pPr>
      <w:r>
        <w:rPr>
          <w:rFonts w:hint="eastAsia" w:hAnsi="宋体"/>
        </w:rPr>
        <w:t>按GB/T 23776的规定执行。</w:t>
      </w:r>
    </w:p>
    <w:p>
      <w:pPr>
        <w:pStyle w:val="105"/>
        <w:spacing w:before="120" w:after="120"/>
      </w:pPr>
      <w:r>
        <w:rPr>
          <w:rFonts w:hint="eastAsia"/>
        </w:rPr>
        <w:t>理化指标</w:t>
      </w:r>
    </w:p>
    <w:p>
      <w:pPr>
        <w:pStyle w:val="165"/>
      </w:pPr>
      <w:r>
        <w:rPr>
          <w:rFonts w:hint="eastAsia"/>
        </w:rPr>
        <w:t>试样的制备按GB/T 8303的规定执行。</w:t>
      </w:r>
    </w:p>
    <w:p>
      <w:pPr>
        <w:pStyle w:val="165"/>
      </w:pPr>
      <w:r>
        <w:rPr>
          <w:rFonts w:hint="eastAsia"/>
        </w:rPr>
        <w:t>水分检验按GB/T 8304的规定执行。</w:t>
      </w:r>
    </w:p>
    <w:p>
      <w:pPr>
        <w:pStyle w:val="165"/>
      </w:pPr>
      <w:r>
        <w:rPr>
          <w:rFonts w:hint="eastAsia"/>
        </w:rPr>
        <w:t>总灰分检验按GB/T 8306的规定执行。</w:t>
      </w:r>
    </w:p>
    <w:p>
      <w:pPr>
        <w:pStyle w:val="165"/>
      </w:pPr>
      <w:r>
        <w:rPr>
          <w:rFonts w:hint="eastAsia"/>
        </w:rPr>
        <w:t>粉末、碎茶检验按GB/T 8311的规定执行。</w:t>
      </w:r>
    </w:p>
    <w:p>
      <w:pPr>
        <w:pStyle w:val="165"/>
      </w:pPr>
      <w:r>
        <w:rPr>
          <w:rFonts w:hint="eastAsia"/>
        </w:rPr>
        <w:t>水浸出物检验按GB/T 8305的规定执行。</w:t>
      </w:r>
    </w:p>
    <w:p>
      <w:pPr>
        <w:pStyle w:val="105"/>
        <w:spacing w:before="120" w:after="120"/>
      </w:pPr>
      <w:r>
        <w:rPr>
          <w:rFonts w:hint="eastAsia"/>
        </w:rPr>
        <w:t>安全指标</w:t>
      </w:r>
    </w:p>
    <w:p>
      <w:pPr>
        <w:pStyle w:val="165"/>
      </w:pPr>
      <w:r>
        <w:rPr>
          <w:rFonts w:hint="eastAsia"/>
        </w:rPr>
        <w:t>污染物限量检验按GB 2762的规定执行。</w:t>
      </w:r>
    </w:p>
    <w:p>
      <w:pPr>
        <w:pStyle w:val="165"/>
      </w:pPr>
      <w:r>
        <w:rPr>
          <w:rFonts w:hint="eastAsia"/>
        </w:rPr>
        <w:t>农药残留限量检验按GB 2763的规定执行。</w:t>
      </w:r>
    </w:p>
    <w:p>
      <w:pPr>
        <w:pStyle w:val="105"/>
        <w:spacing w:before="120" w:after="120"/>
      </w:pPr>
      <w:r>
        <w:rPr>
          <w:rFonts w:hint="eastAsia"/>
        </w:rPr>
        <w:t>净含量</w:t>
      </w:r>
    </w:p>
    <w:p>
      <w:pPr>
        <w:pStyle w:val="56"/>
        <w:ind w:firstLine="420"/>
      </w:pPr>
      <w:r>
        <w:rPr>
          <w:rFonts w:hint="eastAsia" w:hAnsi="宋体"/>
        </w:rPr>
        <w:t>按JJF 1070的规定执行。</w:t>
      </w:r>
    </w:p>
    <w:p>
      <w:pPr>
        <w:pStyle w:val="104"/>
        <w:spacing w:before="240" w:after="240"/>
      </w:pPr>
      <w:r>
        <w:rPr>
          <w:rFonts w:hint="eastAsia"/>
        </w:rPr>
        <w:t>检验规则</w:t>
      </w:r>
    </w:p>
    <w:p>
      <w:pPr>
        <w:pStyle w:val="105"/>
        <w:spacing w:before="120" w:after="120"/>
      </w:pPr>
      <w:r>
        <w:rPr>
          <w:rFonts w:hint="eastAsia"/>
        </w:rPr>
        <w:t>取样</w:t>
      </w:r>
    </w:p>
    <w:p>
      <w:pPr>
        <w:pStyle w:val="165"/>
      </w:pPr>
      <w:r>
        <w:rPr>
          <w:rFonts w:hint="eastAsia"/>
        </w:rPr>
        <w:t>取样以“批”为单位，同一批投料生产、同一条生产线、同一班次加工过程中形成的独立数量的产品为一个批次，同批产品的品质和规格一致。</w:t>
      </w:r>
    </w:p>
    <w:p>
      <w:pPr>
        <w:pStyle w:val="165"/>
      </w:pPr>
      <w:r>
        <w:rPr>
          <w:rFonts w:hint="eastAsia"/>
        </w:rPr>
        <w:t>取样按GB/T 8302的规定执行。</w:t>
      </w:r>
    </w:p>
    <w:p>
      <w:pPr>
        <w:pStyle w:val="105"/>
        <w:spacing w:before="120" w:after="120"/>
      </w:pPr>
      <w:r>
        <w:rPr>
          <w:rFonts w:hint="eastAsia"/>
        </w:rPr>
        <w:t>检验</w:t>
      </w:r>
    </w:p>
    <w:p>
      <w:pPr>
        <w:pStyle w:val="65"/>
        <w:spacing w:before="120" w:after="120"/>
      </w:pPr>
      <w:r>
        <w:rPr>
          <w:rFonts w:hint="eastAsia"/>
        </w:rPr>
        <w:t>出厂检验</w:t>
      </w:r>
    </w:p>
    <w:p>
      <w:pPr>
        <w:pStyle w:val="56"/>
        <w:ind w:firstLine="420"/>
      </w:pPr>
      <w:r>
        <w:rPr>
          <w:rFonts w:hint="eastAsia" w:hAnsi="宋体"/>
        </w:rPr>
        <w:t>每批产品均应做出厂检验，经检验合格签发合格证后，方可出厂。出厂检验项目为感官品质、水分、净含量。</w:t>
      </w:r>
    </w:p>
    <w:p>
      <w:pPr>
        <w:pStyle w:val="65"/>
        <w:spacing w:before="120" w:after="120"/>
      </w:pPr>
      <w:r>
        <w:rPr>
          <w:rFonts w:hint="eastAsia"/>
        </w:rPr>
        <w:t>型式检验</w:t>
      </w:r>
    </w:p>
    <w:p>
      <w:pPr>
        <w:pStyle w:val="56"/>
        <w:ind w:firstLine="420"/>
      </w:pPr>
      <w:r>
        <w:rPr>
          <w:rFonts w:hint="eastAsia"/>
        </w:rPr>
        <w:t>型式检验项目为本文件5.1～5.5要求的全部项目，检验周期每年一次。有下列情况之一时，应进行型式检验：</w:t>
      </w:r>
    </w:p>
    <w:p>
      <w:pPr>
        <w:pStyle w:val="174"/>
      </w:pPr>
      <w:r>
        <w:rPr>
          <w:rFonts w:hint="eastAsia"/>
        </w:rPr>
        <w:t>出厂检验结果与上一次型式检验结果有较大出入时；</w:t>
      </w:r>
    </w:p>
    <w:p>
      <w:pPr>
        <w:pStyle w:val="174"/>
      </w:pPr>
      <w:r>
        <w:rPr>
          <w:rFonts w:hint="eastAsia"/>
        </w:rPr>
        <w:t>加工原料、生产工艺、生产地址或生产设备有明显改变，可能影响产品质量时；</w:t>
      </w:r>
    </w:p>
    <w:p>
      <w:pPr>
        <w:pStyle w:val="174"/>
      </w:pPr>
      <w:r>
        <w:rPr>
          <w:rFonts w:hint="eastAsia"/>
        </w:rPr>
        <w:t>停产一年以上再次生产时；</w:t>
      </w:r>
    </w:p>
    <w:p>
      <w:pPr>
        <w:pStyle w:val="174"/>
      </w:pPr>
      <w:r>
        <w:rPr>
          <w:rFonts w:hint="eastAsia"/>
        </w:rPr>
        <w:t>国家法定质量监督机构提出要求时。</w:t>
      </w:r>
    </w:p>
    <w:p>
      <w:pPr>
        <w:pStyle w:val="105"/>
        <w:spacing w:before="120" w:after="120"/>
      </w:pPr>
      <w:r>
        <w:rPr>
          <w:rFonts w:hint="eastAsia"/>
        </w:rPr>
        <w:t>判定规则</w:t>
      </w:r>
    </w:p>
    <w:p>
      <w:pPr>
        <w:pStyle w:val="56"/>
        <w:ind w:firstLine="420"/>
      </w:pPr>
      <w:r>
        <w:rPr>
          <w:rFonts w:hint="eastAsia"/>
        </w:rPr>
        <w:t>按本文件5.1～5.5要求的项目，任一项不符合规定的产品均判为不合格产品。</w:t>
      </w:r>
    </w:p>
    <w:p>
      <w:pPr>
        <w:pStyle w:val="105"/>
        <w:spacing w:before="120" w:after="120"/>
      </w:pPr>
      <w:r>
        <w:rPr>
          <w:rFonts w:hint="eastAsia"/>
        </w:rPr>
        <w:t>复检</w:t>
      </w:r>
    </w:p>
    <w:p>
      <w:pPr>
        <w:pStyle w:val="56"/>
        <w:ind w:firstLine="420"/>
      </w:pPr>
      <w:r>
        <w:rPr>
          <w:rFonts w:hint="eastAsia" w:hAnsi="宋体"/>
        </w:rPr>
        <w:t>对检验结果有争议时，应对留存样或在同批产品中重新按GB/T 8302规定加倍取样，对不合格项进行复检，以复检结果为准。</w:t>
      </w:r>
    </w:p>
    <w:p>
      <w:pPr>
        <w:pStyle w:val="104"/>
        <w:spacing w:before="240" w:after="240"/>
      </w:pPr>
      <w:r>
        <w:rPr>
          <w:rFonts w:hint="eastAsia"/>
        </w:rPr>
        <w:t>标签、标志、包装、运输、贮存</w:t>
      </w:r>
    </w:p>
    <w:p>
      <w:pPr>
        <w:pStyle w:val="105"/>
        <w:spacing w:before="120" w:after="120"/>
      </w:pPr>
      <w:r>
        <w:rPr>
          <w:rFonts w:hint="eastAsia"/>
        </w:rPr>
        <w:t>标签和标志</w:t>
      </w:r>
    </w:p>
    <w:p>
      <w:pPr>
        <w:pStyle w:val="56"/>
        <w:ind w:firstLine="420"/>
      </w:pPr>
      <w:r>
        <w:rPr>
          <w:rFonts w:hint="eastAsia"/>
        </w:rPr>
        <w:t>预包装标签标示应符合GB 7718的规定，产品标识管理应符合《食品标识管理规定（修订版）》的规定，包装储运图示标志应符合GB/T 191的规定。</w:t>
      </w:r>
    </w:p>
    <w:p>
      <w:pPr>
        <w:pStyle w:val="105"/>
        <w:spacing w:before="120" w:after="120"/>
      </w:pPr>
      <w:r>
        <w:rPr>
          <w:rFonts w:hint="eastAsia"/>
        </w:rPr>
        <w:t>包装</w:t>
      </w:r>
    </w:p>
    <w:p>
      <w:pPr>
        <w:pStyle w:val="56"/>
        <w:ind w:firstLine="420"/>
      </w:pPr>
      <w:r>
        <w:rPr>
          <w:rFonts w:hint="eastAsia" w:hAnsi="宋体"/>
        </w:rPr>
        <w:t>应符合GB 23350、GH/T 1070的规定。包装封口应严密、牢固、无破损。</w:t>
      </w:r>
    </w:p>
    <w:p>
      <w:pPr>
        <w:pStyle w:val="105"/>
        <w:spacing w:before="120" w:after="120"/>
      </w:pPr>
      <w:r>
        <w:rPr>
          <w:rFonts w:hint="eastAsia"/>
        </w:rPr>
        <w:t>运输</w:t>
      </w:r>
    </w:p>
    <w:p>
      <w:pPr>
        <w:pStyle w:val="56"/>
        <w:ind w:firstLine="420"/>
      </w:pPr>
      <w:r>
        <w:rPr>
          <w:rFonts w:hint="eastAsia" w:hAnsi="宋体"/>
        </w:rPr>
        <w:t>运输工具应清洁、卫生、干燥、无异味、无污染，并做好防雨、防潮、防晒措施，不得与有害、有毒、有异味、易污染的物品混运。搬运时应轻拿、轻装、轻卸。</w:t>
      </w:r>
    </w:p>
    <w:p>
      <w:pPr>
        <w:pStyle w:val="105"/>
        <w:spacing w:before="120" w:after="120"/>
      </w:pPr>
      <w:r>
        <w:rPr>
          <w:rFonts w:hint="eastAsia"/>
        </w:rPr>
        <w:t>贮存</w:t>
      </w:r>
    </w:p>
    <w:p>
      <w:pPr>
        <w:pStyle w:val="56"/>
        <w:ind w:firstLine="420"/>
        <w:rPr>
          <w:rFonts w:hAnsi="宋体"/>
        </w:rPr>
      </w:pPr>
      <w:r>
        <w:rPr>
          <w:rFonts w:hint="eastAsia" w:hAnsi="宋体"/>
        </w:rPr>
        <w:t>应符合GB/T 30375规定。</w:t>
      </w:r>
    </w:p>
    <w:bookmarkEnd w:id="23"/>
    <w:p>
      <w:pPr>
        <w:pStyle w:val="198"/>
        <w:rPr>
          <w:vanish w:val="0"/>
        </w:rPr>
      </w:pPr>
      <w:bookmarkStart w:id="46" w:name="BookMark5"/>
    </w:p>
    <w:p>
      <w:pPr>
        <w:pStyle w:val="199"/>
        <w:rPr>
          <w:vanish w:val="0"/>
        </w:rPr>
      </w:pPr>
    </w:p>
    <w:p>
      <w:pPr>
        <w:pStyle w:val="76"/>
        <w:spacing w:after="120"/>
      </w:pPr>
      <w:r>
        <w:br w:type="textWrapping"/>
      </w:r>
      <w:r>
        <w:rPr>
          <w:rFonts w:hint="eastAsia"/>
        </w:rPr>
        <w:t>（资料性）</w:t>
      </w:r>
      <w:r>
        <w:br w:type="textWrapping"/>
      </w:r>
      <w:r>
        <w:rPr>
          <w:rFonts w:hint="eastAsia"/>
        </w:rPr>
        <w:t>加工要求</w:t>
      </w:r>
    </w:p>
    <w:p>
      <w:pPr>
        <w:pStyle w:val="78"/>
        <w:spacing w:before="120" w:after="120"/>
      </w:pPr>
      <w:r>
        <w:rPr>
          <w:rFonts w:hint="eastAsia"/>
        </w:rPr>
        <w:t>加加工条件</w:t>
      </w:r>
    </w:p>
    <w:p>
      <w:pPr>
        <w:pStyle w:val="212"/>
      </w:pPr>
      <w:r>
        <w:rPr>
          <w:rFonts w:hint="eastAsia"/>
        </w:rPr>
        <w:t>茶叶加工场地、加工用水、厂区布局和加工车间等应符合GH/T</w:t>
      </w:r>
      <w:r>
        <w:t xml:space="preserve"> </w:t>
      </w:r>
      <w:r>
        <w:rPr>
          <w:rFonts w:hint="eastAsia"/>
        </w:rPr>
        <w:t>1077的要求。</w:t>
      </w:r>
    </w:p>
    <w:p>
      <w:pPr>
        <w:pStyle w:val="212"/>
      </w:pPr>
      <w:r>
        <w:rPr>
          <w:rFonts w:hint="eastAsia"/>
        </w:rPr>
        <w:t>加工过程中的设备、用具和人员的要求应符合GH/T 1077 的规定。</w:t>
      </w:r>
    </w:p>
    <w:p>
      <w:pPr>
        <w:pStyle w:val="78"/>
        <w:spacing w:before="120" w:after="120"/>
      </w:pPr>
      <w:r>
        <w:rPr>
          <w:rFonts w:hint="eastAsia"/>
        </w:rPr>
        <w:t>工艺要求</w:t>
      </w:r>
    </w:p>
    <w:p>
      <w:pPr>
        <w:pStyle w:val="79"/>
        <w:spacing w:before="120" w:after="120"/>
      </w:pPr>
      <w:r>
        <w:rPr>
          <w:rFonts w:hint="eastAsia"/>
        </w:rPr>
        <w:t>鲜叶</w:t>
      </w:r>
    </w:p>
    <w:p>
      <w:pPr>
        <w:pStyle w:val="213"/>
      </w:pPr>
      <w:r>
        <w:rPr>
          <w:rFonts w:hint="eastAsia"/>
        </w:rPr>
        <w:t>鲜叶质量要求芽、叶、嫩茎新鲜、匀净,无污染和无其他非茶类夹杂物,采摘标准以小开面二、三叶为宜。</w:t>
      </w:r>
    </w:p>
    <w:p>
      <w:pPr>
        <w:pStyle w:val="213"/>
      </w:pPr>
      <w:r>
        <w:rPr>
          <w:rFonts w:hint="eastAsia"/>
        </w:rPr>
        <w:t>鲜叶中出现的红变叶应拣出单独加工</w:t>
      </w:r>
      <w:r>
        <w:rPr>
          <w:rFonts w:hint="eastAsia"/>
          <w:lang w:eastAsia="zh-CN"/>
        </w:rPr>
        <w:t>：</w:t>
      </w:r>
      <w:r>
        <w:rPr>
          <w:rFonts w:hint="eastAsia"/>
        </w:rPr>
        <w:t>腐败变质、受污染的鲜叶,应剔除。</w:t>
      </w:r>
    </w:p>
    <w:p>
      <w:pPr>
        <w:pStyle w:val="79"/>
        <w:spacing w:before="120" w:after="120"/>
      </w:pPr>
      <w:r>
        <w:rPr>
          <w:rFonts w:hint="eastAsia"/>
        </w:rPr>
        <w:t>萎凋</w:t>
      </w:r>
    </w:p>
    <w:p>
      <w:pPr>
        <w:pStyle w:val="81"/>
        <w:spacing w:before="120" w:after="120"/>
      </w:pPr>
      <w:r>
        <w:rPr>
          <w:rFonts w:hint="eastAsia"/>
        </w:rPr>
        <w:t>日光萎凋</w:t>
      </w:r>
    </w:p>
    <w:p>
      <w:pPr>
        <w:pStyle w:val="56"/>
        <w:ind w:firstLine="420"/>
      </w:pPr>
      <w:r>
        <w:rPr>
          <w:rFonts w:hint="eastAsia"/>
          <w:lang w:bidi="ar"/>
        </w:rPr>
        <w:t>日光萎凋叶温不宜超过30℃，时间控制在30</w:t>
      </w:r>
      <w:r>
        <w:rPr>
          <w:rFonts w:ascii="Times New Roman"/>
          <w:lang w:bidi="ar"/>
        </w:rPr>
        <w:t xml:space="preserve"> </w:t>
      </w:r>
      <w:r>
        <w:rPr>
          <w:rFonts w:hint="eastAsia"/>
          <w:lang w:bidi="ar"/>
        </w:rPr>
        <w:t>min～60</w:t>
      </w:r>
      <w:r>
        <w:rPr>
          <w:rFonts w:ascii="Times New Roman"/>
          <w:lang w:bidi="ar"/>
        </w:rPr>
        <w:t xml:space="preserve"> </w:t>
      </w:r>
      <w:r>
        <w:rPr>
          <w:rFonts w:hint="eastAsia"/>
          <w:lang w:bidi="ar"/>
        </w:rPr>
        <w:t>min，摊叶厚度宜为2</w:t>
      </w:r>
      <w:r>
        <w:rPr>
          <w:rFonts w:ascii="Times New Roman"/>
          <w:lang w:bidi="ar"/>
        </w:rPr>
        <w:t xml:space="preserve"> </w:t>
      </w:r>
      <w:r>
        <w:rPr>
          <w:rFonts w:hint="eastAsia"/>
          <w:lang w:bidi="ar"/>
        </w:rPr>
        <w:t>cm～3</w:t>
      </w:r>
      <w:r>
        <w:rPr>
          <w:rFonts w:ascii="Times New Roman"/>
          <w:lang w:bidi="ar"/>
        </w:rPr>
        <w:t xml:space="preserve"> </w:t>
      </w:r>
      <w:r>
        <w:rPr>
          <w:rFonts w:hint="eastAsia"/>
          <w:lang w:bidi="ar"/>
        </w:rPr>
        <w:t>cm，中间翻拌一次，茶青减重达5%左右，然后转移至室内摊凉，继续萎凋。</w:t>
      </w:r>
    </w:p>
    <w:p>
      <w:pPr>
        <w:pStyle w:val="81"/>
        <w:spacing w:before="120" w:after="120"/>
      </w:pPr>
      <w:r>
        <w:rPr>
          <w:rFonts w:hint="eastAsia"/>
        </w:rPr>
        <w:t>室内萎凋</w:t>
      </w:r>
    </w:p>
    <w:p>
      <w:pPr>
        <w:pStyle w:val="56"/>
        <w:ind w:firstLine="420"/>
      </w:pPr>
      <w:r>
        <w:rPr>
          <w:rFonts w:hint="eastAsia"/>
          <w:lang w:bidi="ar"/>
        </w:rPr>
        <w:t>萎凋摊叶厚度宜小于3cm，萎凋环境适宜温度20℃～28℃，萎凋时间宜为6</w:t>
      </w:r>
      <w:r>
        <w:rPr>
          <w:lang w:bidi="ar"/>
        </w:rPr>
        <w:t xml:space="preserve"> </w:t>
      </w:r>
      <w:r>
        <w:rPr>
          <w:rFonts w:hint="eastAsia"/>
          <w:lang w:bidi="ar"/>
        </w:rPr>
        <w:t>h～12</w:t>
      </w:r>
      <w:r>
        <w:rPr>
          <w:lang w:bidi="ar"/>
        </w:rPr>
        <w:t xml:space="preserve"> </w:t>
      </w:r>
      <w:r>
        <w:rPr>
          <w:rFonts w:hint="eastAsia"/>
          <w:lang w:bidi="ar"/>
        </w:rPr>
        <w:t>h。</w:t>
      </w:r>
    </w:p>
    <w:p>
      <w:pPr>
        <w:pStyle w:val="81"/>
        <w:spacing w:before="120" w:after="120"/>
      </w:pPr>
      <w:r>
        <w:rPr>
          <w:rFonts w:hint="eastAsia"/>
        </w:rPr>
        <w:t>加温萎凋</w:t>
      </w:r>
    </w:p>
    <w:p>
      <w:pPr>
        <w:pStyle w:val="56"/>
        <w:ind w:firstLine="420"/>
      </w:pPr>
      <w:r>
        <w:rPr>
          <w:rFonts w:hint="eastAsia"/>
          <w:lang w:bidi="ar"/>
        </w:rPr>
        <w:t>加温萎凋摊叶厚度宜为10</w:t>
      </w:r>
      <w:r>
        <w:rPr>
          <w:lang w:bidi="ar"/>
        </w:rPr>
        <w:t xml:space="preserve"> </w:t>
      </w:r>
      <w:r>
        <w:rPr>
          <w:rFonts w:hint="eastAsia"/>
          <w:lang w:bidi="ar"/>
        </w:rPr>
        <w:t>cm～20</w:t>
      </w:r>
      <w:r>
        <w:rPr>
          <w:lang w:bidi="ar"/>
        </w:rPr>
        <w:t xml:space="preserve"> </w:t>
      </w:r>
      <w:r>
        <w:rPr>
          <w:rFonts w:hint="eastAsia"/>
          <w:lang w:bidi="ar"/>
        </w:rPr>
        <w:t>cm，摊叶时要求抖散摊平呈蓬松状态，保持厚薄一致。加温萎凋进风口温度控制在25℃～30℃，室内温度控制在30℃之内，温度先高后低，下叶前10</w:t>
      </w:r>
      <w:r>
        <w:rPr>
          <w:lang w:bidi="ar"/>
        </w:rPr>
        <w:t xml:space="preserve"> </w:t>
      </w:r>
      <w:r>
        <w:rPr>
          <w:rFonts w:hint="eastAsia"/>
          <w:lang w:bidi="ar"/>
        </w:rPr>
        <w:t>min～15 min停止加温，鼓冷风。雨水叶应先用冷风吹干表面水，再进行加温萎凋，加温萎凋时间宜为12</w:t>
      </w:r>
      <w:r>
        <w:rPr>
          <w:lang w:bidi="ar"/>
        </w:rPr>
        <w:t xml:space="preserve"> </w:t>
      </w:r>
      <w:r>
        <w:rPr>
          <w:rFonts w:hint="eastAsia"/>
          <w:lang w:bidi="ar"/>
        </w:rPr>
        <w:t>h～16</w:t>
      </w:r>
      <w:r>
        <w:rPr>
          <w:lang w:bidi="ar"/>
        </w:rPr>
        <w:t xml:space="preserve"> </w:t>
      </w:r>
      <w:r>
        <w:rPr>
          <w:rFonts w:hint="eastAsia"/>
          <w:lang w:bidi="ar"/>
        </w:rPr>
        <w:t>h。</w:t>
      </w:r>
    </w:p>
    <w:p>
      <w:pPr>
        <w:pStyle w:val="81"/>
        <w:spacing w:before="120" w:after="120"/>
      </w:pPr>
      <w:r>
        <w:rPr>
          <w:rFonts w:hint="eastAsia"/>
        </w:rPr>
        <w:t>萎凋程度</w:t>
      </w:r>
    </w:p>
    <w:p>
      <w:pPr>
        <w:pStyle w:val="56"/>
        <w:ind w:firstLine="420"/>
      </w:pPr>
      <w:r>
        <w:rPr>
          <w:rFonts w:hint="eastAsia"/>
          <w:lang w:bidi="ar"/>
        </w:rPr>
        <w:t xml:space="preserve">萎凋叶减重率以38%～42%为宜，其感官特征为：叶面失去光泽，叶色转为暗绿，叶缘带红边，青草气减退，花香显露；叶质柔软，梗折不断，紧握成团，松手可缓慢散开。 </w:t>
      </w:r>
    </w:p>
    <w:p>
      <w:pPr>
        <w:pStyle w:val="79"/>
        <w:spacing w:before="120" w:after="120"/>
      </w:pPr>
      <w:r>
        <w:rPr>
          <w:rFonts w:hint="eastAsia"/>
        </w:rPr>
        <w:t>摇青</w:t>
      </w:r>
    </w:p>
    <w:p>
      <w:pPr>
        <w:pStyle w:val="56"/>
        <w:ind w:firstLine="420"/>
        <w:rPr>
          <w:lang w:bidi="ar"/>
        </w:rPr>
      </w:pPr>
      <w:r>
        <w:rPr>
          <w:rFonts w:hint="eastAsia"/>
          <w:lang w:bidi="ar"/>
        </w:rPr>
        <w:t>采用茶叶摇青机摇青，装叶量宜为摇青机容量的1/3～1/2。萎凋期间，青叶减重率达10%～15%时进行第一次轻摇，转数为10</w:t>
      </w:r>
      <w:r>
        <w:rPr>
          <w:rFonts w:ascii="Times New Roman"/>
          <w:lang w:bidi="ar"/>
        </w:rPr>
        <w:t xml:space="preserve"> </w:t>
      </w:r>
      <w:r>
        <w:rPr>
          <w:rFonts w:hint="eastAsia"/>
          <w:lang w:bidi="ar"/>
        </w:rPr>
        <w:t>r/min～20</w:t>
      </w:r>
      <w:r>
        <w:rPr>
          <w:rFonts w:ascii="Times New Roman"/>
          <w:lang w:bidi="ar"/>
        </w:rPr>
        <w:t xml:space="preserve"> </w:t>
      </w:r>
      <w:r>
        <w:rPr>
          <w:rFonts w:hint="eastAsia"/>
          <w:lang w:bidi="ar"/>
        </w:rPr>
        <w:t>r/min，时间为1.5</w:t>
      </w:r>
      <w:r>
        <w:rPr>
          <w:rFonts w:ascii="Times New Roman"/>
          <w:lang w:bidi="ar"/>
        </w:rPr>
        <w:t xml:space="preserve"> </w:t>
      </w:r>
      <w:r>
        <w:rPr>
          <w:rFonts w:hint="eastAsia"/>
          <w:lang w:bidi="ar"/>
        </w:rPr>
        <w:t>min～3</w:t>
      </w:r>
      <w:r>
        <w:rPr>
          <w:rFonts w:ascii="Times New Roman"/>
          <w:lang w:bidi="ar"/>
        </w:rPr>
        <w:t xml:space="preserve"> </w:t>
      </w:r>
      <w:r>
        <w:rPr>
          <w:rFonts w:hint="eastAsia"/>
          <w:lang w:bidi="ar"/>
        </w:rPr>
        <w:t>min，摇至略带青气下机；继续萎凋2</w:t>
      </w:r>
      <w:r>
        <w:rPr>
          <w:rFonts w:ascii="Times New Roman"/>
          <w:lang w:bidi="ar"/>
        </w:rPr>
        <w:t xml:space="preserve"> </w:t>
      </w:r>
      <w:r>
        <w:rPr>
          <w:rFonts w:hint="eastAsia"/>
          <w:lang w:bidi="ar"/>
        </w:rPr>
        <w:t>h～3</w:t>
      </w:r>
      <w:r>
        <w:rPr>
          <w:rFonts w:ascii="Times New Roman"/>
          <w:lang w:bidi="ar"/>
        </w:rPr>
        <w:t xml:space="preserve"> </w:t>
      </w:r>
      <w:r>
        <w:rPr>
          <w:rFonts w:hint="eastAsia"/>
          <w:lang w:bidi="ar"/>
        </w:rPr>
        <w:t>h，待青气消退进行第二次摇青，转数为10</w:t>
      </w:r>
      <w:r>
        <w:rPr>
          <w:rFonts w:ascii="Times New Roman"/>
          <w:lang w:bidi="ar"/>
        </w:rPr>
        <w:t xml:space="preserve"> </w:t>
      </w:r>
      <w:r>
        <w:rPr>
          <w:rFonts w:hint="eastAsia"/>
          <w:lang w:bidi="ar"/>
        </w:rPr>
        <w:t>r/ min～20</w:t>
      </w:r>
      <w:r>
        <w:rPr>
          <w:rFonts w:ascii="Times New Roman"/>
          <w:lang w:bidi="ar"/>
        </w:rPr>
        <w:t xml:space="preserve"> </w:t>
      </w:r>
      <w:r>
        <w:rPr>
          <w:rFonts w:hint="eastAsia"/>
          <w:lang w:bidi="ar"/>
        </w:rPr>
        <w:t>r/min，时间为5</w:t>
      </w:r>
      <w:r>
        <w:rPr>
          <w:rFonts w:ascii="Times New Roman"/>
          <w:lang w:bidi="ar"/>
        </w:rPr>
        <w:t xml:space="preserve"> </w:t>
      </w:r>
      <w:r>
        <w:rPr>
          <w:rFonts w:hint="eastAsia"/>
          <w:lang w:bidi="ar"/>
        </w:rPr>
        <w:t>min～10</w:t>
      </w:r>
      <w:r>
        <w:rPr>
          <w:rFonts w:ascii="Times New Roman"/>
          <w:lang w:bidi="ar"/>
        </w:rPr>
        <w:t xml:space="preserve"> </w:t>
      </w:r>
      <w:r>
        <w:rPr>
          <w:rFonts w:hint="eastAsia"/>
          <w:lang w:bidi="ar"/>
        </w:rPr>
        <w:t>min；若第二次摇青2</w:t>
      </w:r>
      <w:r>
        <w:rPr>
          <w:rFonts w:ascii="Times New Roman"/>
          <w:lang w:bidi="ar"/>
        </w:rPr>
        <w:t xml:space="preserve"> </w:t>
      </w:r>
      <w:r>
        <w:rPr>
          <w:rFonts w:hint="eastAsia"/>
          <w:lang w:bidi="ar"/>
        </w:rPr>
        <w:t>h～3</w:t>
      </w:r>
      <w:r>
        <w:rPr>
          <w:rFonts w:ascii="Times New Roman"/>
          <w:lang w:bidi="ar"/>
        </w:rPr>
        <w:t xml:space="preserve"> </w:t>
      </w:r>
      <w:r>
        <w:rPr>
          <w:rFonts w:hint="eastAsia"/>
          <w:lang w:bidi="ar"/>
        </w:rPr>
        <w:t xml:space="preserve">h后，萎凋叶红边不显，可进行第三次摇青。 </w:t>
      </w:r>
    </w:p>
    <w:p>
      <w:pPr>
        <w:pStyle w:val="79"/>
        <w:spacing w:before="120" w:after="120"/>
      </w:pPr>
      <w:r>
        <w:rPr>
          <w:rFonts w:hint="eastAsia"/>
        </w:rPr>
        <w:t>揉捻</w:t>
      </w:r>
    </w:p>
    <w:p>
      <w:pPr>
        <w:pStyle w:val="56"/>
        <w:ind w:firstLine="420"/>
      </w:pPr>
      <w:r>
        <w:rPr>
          <w:rFonts w:hint="eastAsia"/>
          <w:lang w:bidi="ar"/>
        </w:rPr>
        <w:t>装叶量以自然装满揉桶为宜，时间40</w:t>
      </w:r>
      <w:r>
        <w:rPr>
          <w:rFonts w:ascii="Times New Roman"/>
          <w:lang w:bidi="ar"/>
        </w:rPr>
        <w:t xml:space="preserve"> </w:t>
      </w:r>
      <w:r>
        <w:rPr>
          <w:rFonts w:hint="eastAsia"/>
          <w:lang w:bidi="ar"/>
        </w:rPr>
        <w:t>min～60</w:t>
      </w:r>
      <w:r>
        <w:rPr>
          <w:rFonts w:ascii="Times New Roman"/>
          <w:lang w:bidi="ar"/>
        </w:rPr>
        <w:t xml:space="preserve"> </w:t>
      </w:r>
      <w:r>
        <w:rPr>
          <w:rFonts w:hint="eastAsia"/>
          <w:lang w:bidi="ar"/>
        </w:rPr>
        <w:t>min。揉捻遵循逐渐加压原则，即空压揉捻10</w:t>
      </w:r>
      <w:r>
        <w:rPr>
          <w:rFonts w:ascii="Times New Roman"/>
          <w:lang w:bidi="ar"/>
        </w:rPr>
        <w:t xml:space="preserve"> </w:t>
      </w:r>
      <w:r>
        <w:rPr>
          <w:rFonts w:hint="eastAsia"/>
          <w:lang w:bidi="ar"/>
        </w:rPr>
        <w:t>min～15</w:t>
      </w:r>
      <w:r>
        <w:rPr>
          <w:rFonts w:ascii="Times New Roman"/>
          <w:lang w:bidi="ar"/>
        </w:rPr>
        <w:t xml:space="preserve"> </w:t>
      </w:r>
      <w:r>
        <w:rPr>
          <w:rFonts w:hint="eastAsia"/>
          <w:lang w:bidi="ar"/>
        </w:rPr>
        <w:t>min，从中压15</w:t>
      </w:r>
      <w:r>
        <w:rPr>
          <w:rFonts w:ascii="Times New Roman"/>
          <w:lang w:bidi="ar"/>
        </w:rPr>
        <w:t xml:space="preserve"> </w:t>
      </w:r>
      <w:r>
        <w:rPr>
          <w:rFonts w:hint="eastAsia"/>
          <w:lang w:bidi="ar"/>
        </w:rPr>
        <w:t>min～25</w:t>
      </w:r>
      <w:r>
        <w:rPr>
          <w:rFonts w:ascii="Times New Roman"/>
          <w:lang w:bidi="ar"/>
        </w:rPr>
        <w:t xml:space="preserve"> </w:t>
      </w:r>
      <w:r>
        <w:rPr>
          <w:rFonts w:hint="eastAsia"/>
          <w:lang w:bidi="ar"/>
        </w:rPr>
        <w:t>min，重压10</w:t>
      </w:r>
      <w:r>
        <w:rPr>
          <w:rFonts w:ascii="Times New Roman"/>
          <w:lang w:bidi="ar"/>
        </w:rPr>
        <w:t xml:space="preserve"> </w:t>
      </w:r>
      <w:r>
        <w:rPr>
          <w:rFonts w:hint="eastAsia"/>
          <w:lang w:bidi="ar"/>
        </w:rPr>
        <w:t>min～15</w:t>
      </w:r>
      <w:r>
        <w:rPr>
          <w:rFonts w:ascii="Times New Roman"/>
          <w:lang w:bidi="ar"/>
        </w:rPr>
        <w:t xml:space="preserve"> </w:t>
      </w:r>
      <w:r>
        <w:rPr>
          <w:rFonts w:hint="eastAsia"/>
          <w:lang w:bidi="ar"/>
        </w:rPr>
        <w:t>min，空压2</w:t>
      </w:r>
      <w:r>
        <w:rPr>
          <w:rFonts w:ascii="Times New Roman"/>
          <w:lang w:bidi="ar"/>
        </w:rPr>
        <w:t xml:space="preserve"> </w:t>
      </w:r>
      <w:r>
        <w:rPr>
          <w:rFonts w:hint="eastAsia"/>
          <w:lang w:bidi="ar"/>
        </w:rPr>
        <w:t>min～3</w:t>
      </w:r>
      <w:r>
        <w:rPr>
          <w:rFonts w:ascii="Times New Roman"/>
          <w:lang w:bidi="ar"/>
        </w:rPr>
        <w:t xml:space="preserve"> </w:t>
      </w:r>
      <w:r>
        <w:rPr>
          <w:rFonts w:hint="eastAsia"/>
          <w:lang w:bidi="ar"/>
        </w:rPr>
        <w:t>min。成条率90％为宜，茶条紧卷，茶汁外溢，粘附于茶条表面。揉捻后产生的团块宜采用解块机解块</w:t>
      </w:r>
      <w:bookmarkStart w:id="47" w:name="_GoBack"/>
      <w:bookmarkEnd w:id="47"/>
      <w:r>
        <w:rPr>
          <w:rFonts w:hint="eastAsia"/>
          <w:lang w:bidi="ar"/>
        </w:rPr>
        <w:t>。</w:t>
      </w:r>
    </w:p>
    <w:p>
      <w:pPr>
        <w:pStyle w:val="79"/>
        <w:spacing w:before="120" w:after="120"/>
      </w:pPr>
      <w:r>
        <w:rPr>
          <w:rFonts w:hint="eastAsia"/>
        </w:rPr>
        <w:t>发酵</w:t>
      </w:r>
    </w:p>
    <w:p>
      <w:pPr>
        <w:pStyle w:val="56"/>
        <w:ind w:firstLine="420"/>
      </w:pPr>
      <w:r>
        <w:rPr>
          <w:rFonts w:hint="eastAsia"/>
          <w:lang w:bidi="ar"/>
        </w:rPr>
        <w:t>将揉捻叶摊放于盛叶盘内，摊叶厚度12</w:t>
      </w:r>
      <w:r>
        <w:rPr>
          <w:rFonts w:ascii="Times New Roman"/>
          <w:lang w:bidi="ar"/>
        </w:rPr>
        <w:t xml:space="preserve"> </w:t>
      </w:r>
      <w:r>
        <w:rPr>
          <w:rFonts w:hint="eastAsia"/>
          <w:lang w:bidi="ar"/>
        </w:rPr>
        <w:t>cm～15</w:t>
      </w:r>
      <w:r>
        <w:rPr>
          <w:rFonts w:ascii="Times New Roman"/>
          <w:lang w:bidi="ar"/>
        </w:rPr>
        <w:t xml:space="preserve"> </w:t>
      </w:r>
      <w:r>
        <w:rPr>
          <w:rFonts w:hint="eastAsia"/>
          <w:lang w:bidi="ar"/>
        </w:rPr>
        <w:t>cm，厚薄均匀。温度控制26℃～28℃，相对湿度控制在90%～95%，时间3</w:t>
      </w:r>
      <w:r>
        <w:rPr>
          <w:rFonts w:ascii="Times New Roman"/>
          <w:lang w:bidi="ar"/>
        </w:rPr>
        <w:t xml:space="preserve"> </w:t>
      </w:r>
      <w:r>
        <w:rPr>
          <w:rFonts w:hint="eastAsia"/>
          <w:lang w:bidi="ar"/>
        </w:rPr>
        <w:t>h～5</w:t>
      </w:r>
      <w:r>
        <w:rPr>
          <w:rFonts w:ascii="Times New Roman"/>
          <w:lang w:bidi="ar"/>
        </w:rPr>
        <w:t xml:space="preserve"> </w:t>
      </w:r>
      <w:r>
        <w:rPr>
          <w:rFonts w:hint="eastAsia"/>
          <w:lang w:bidi="ar"/>
        </w:rPr>
        <w:t>h。</w:t>
      </w:r>
    </w:p>
    <w:p>
      <w:pPr>
        <w:pStyle w:val="79"/>
        <w:spacing w:before="120" w:after="120"/>
      </w:pPr>
      <w:r>
        <w:rPr>
          <w:rFonts w:hint="eastAsia"/>
        </w:rPr>
        <w:t>烘干</w:t>
      </w:r>
    </w:p>
    <w:p>
      <w:pPr>
        <w:pStyle w:val="56"/>
        <w:ind w:firstLine="420"/>
      </w:pPr>
      <w:r>
        <w:rPr>
          <w:rFonts w:hint="eastAsia"/>
          <w:lang w:bidi="ar"/>
        </w:rPr>
        <w:t>采用烘焙机进行，温度控制在110℃～120℃，摊叶厚度2</w:t>
      </w:r>
      <w:r>
        <w:rPr>
          <w:rFonts w:ascii="Times New Roman"/>
          <w:lang w:bidi="ar"/>
        </w:rPr>
        <w:t xml:space="preserve"> </w:t>
      </w:r>
      <w:r>
        <w:rPr>
          <w:rFonts w:hint="eastAsia"/>
          <w:lang w:bidi="ar"/>
        </w:rPr>
        <w:t>cm～3</w:t>
      </w:r>
      <w:r>
        <w:rPr>
          <w:rFonts w:ascii="Times New Roman"/>
          <w:lang w:bidi="ar"/>
        </w:rPr>
        <w:t xml:space="preserve"> </w:t>
      </w:r>
      <w:r>
        <w:rPr>
          <w:rFonts w:hint="eastAsia"/>
          <w:lang w:bidi="ar"/>
        </w:rPr>
        <w:t>cm，时间10</w:t>
      </w:r>
      <w:r>
        <w:rPr>
          <w:rFonts w:ascii="Times New Roman"/>
          <w:lang w:bidi="ar"/>
        </w:rPr>
        <w:t xml:space="preserve"> </w:t>
      </w:r>
      <w:r>
        <w:rPr>
          <w:rFonts w:hint="eastAsia"/>
          <w:lang w:bidi="ar"/>
        </w:rPr>
        <w:t>min～15</w:t>
      </w:r>
      <w:r>
        <w:rPr>
          <w:rFonts w:ascii="Times New Roman"/>
          <w:lang w:bidi="ar"/>
        </w:rPr>
        <w:t xml:space="preserve"> </w:t>
      </w:r>
      <w:r>
        <w:rPr>
          <w:rFonts w:hint="eastAsia"/>
          <w:lang w:bidi="ar"/>
        </w:rPr>
        <w:t>min，烘至含水率20％～25％，手握茶叶有刺手感为宜。将茶叶均匀摊开，叶温降至室温。进风口温度80℃～100℃，摊叶厚度3</w:t>
      </w:r>
      <w:r>
        <w:rPr>
          <w:rFonts w:ascii="Times New Roman"/>
          <w:lang w:bidi="ar"/>
        </w:rPr>
        <w:t xml:space="preserve"> </w:t>
      </w:r>
      <w:r>
        <w:rPr>
          <w:rFonts w:hint="eastAsia"/>
          <w:lang w:bidi="ar"/>
        </w:rPr>
        <w:t>cm～4</w:t>
      </w:r>
      <w:r>
        <w:rPr>
          <w:rFonts w:ascii="Times New Roman"/>
          <w:lang w:bidi="ar"/>
        </w:rPr>
        <w:t xml:space="preserve"> </w:t>
      </w:r>
      <w:r>
        <w:rPr>
          <w:rFonts w:hint="eastAsia"/>
          <w:lang w:bidi="ar"/>
        </w:rPr>
        <w:t xml:space="preserve">cm，烘至毛茶含水量6%左右，用手指搓揉茶可 </w:t>
      </w:r>
    </w:p>
    <w:p>
      <w:pPr>
        <w:widowControl/>
        <w:jc w:val="left"/>
      </w:pPr>
      <w:r>
        <w:rPr>
          <w:rFonts w:hint="eastAsia" w:ascii="宋体" w:hAnsi="宋体" w:cs="宋体"/>
          <w:color w:val="000000"/>
          <w:kern w:val="0"/>
          <w:lang w:bidi="ar"/>
        </w:rPr>
        <w:t xml:space="preserve">成粉末。 </w:t>
      </w:r>
    </w:p>
    <w:p>
      <w:pPr>
        <w:pStyle w:val="79"/>
        <w:spacing w:before="120" w:after="120"/>
      </w:pPr>
      <w:r>
        <w:rPr>
          <w:rFonts w:hint="eastAsia"/>
        </w:rPr>
        <w:t>精制</w:t>
      </w:r>
    </w:p>
    <w:p>
      <w:pPr>
        <w:pStyle w:val="81"/>
        <w:spacing w:before="120" w:after="120"/>
      </w:pPr>
      <w:r>
        <w:rPr>
          <w:lang w:bidi="ar"/>
        </w:rPr>
        <w:t xml:space="preserve">筛分 </w:t>
      </w:r>
    </w:p>
    <w:p>
      <w:pPr>
        <w:pStyle w:val="56"/>
        <w:ind w:firstLine="420"/>
      </w:pPr>
      <w:r>
        <w:rPr>
          <w:rFonts w:hint="eastAsia"/>
          <w:lang w:bidi="ar"/>
        </w:rPr>
        <w:t xml:space="preserve">筛制过程分抖筛、撩筛、风选等工序，整饰外形，分出不同筛号茶。 </w:t>
      </w:r>
    </w:p>
    <w:p>
      <w:pPr>
        <w:pStyle w:val="81"/>
        <w:spacing w:before="120" w:after="120"/>
      </w:pPr>
      <w:r>
        <w:rPr>
          <w:rFonts w:hint="eastAsia"/>
          <w:lang w:bidi="ar"/>
        </w:rPr>
        <w:t xml:space="preserve">拣剔 </w:t>
      </w:r>
    </w:p>
    <w:p>
      <w:pPr>
        <w:pStyle w:val="56"/>
        <w:ind w:firstLine="420"/>
      </w:pPr>
      <w:r>
        <w:rPr>
          <w:rFonts w:hint="eastAsia"/>
          <w:lang w:bidi="ar"/>
        </w:rPr>
        <w:t>采用机拣、电拣、色选、手拣等，剔除茶梗、老叶、黄片及非茶类夹杂物</w:t>
      </w:r>
      <w:r>
        <w:rPr>
          <w:rFonts w:hint="eastAsia" w:ascii="黑体" w:eastAsia="黑体" w:cs="黑体"/>
          <w:lang w:bidi="ar"/>
        </w:rPr>
        <w:t xml:space="preserve">。 </w:t>
      </w:r>
    </w:p>
    <w:p>
      <w:pPr>
        <w:pStyle w:val="81"/>
        <w:spacing w:before="120" w:after="120"/>
      </w:pPr>
      <w:r>
        <w:rPr>
          <w:rFonts w:hint="eastAsia"/>
          <w:lang w:bidi="ar"/>
        </w:rPr>
        <w:t xml:space="preserve">拼和匀堆 </w:t>
      </w:r>
    </w:p>
    <w:p>
      <w:pPr>
        <w:pStyle w:val="56"/>
        <w:ind w:firstLine="420"/>
      </w:pPr>
      <w:r>
        <w:rPr>
          <w:rFonts w:hint="eastAsia"/>
          <w:lang w:bidi="ar"/>
        </w:rPr>
        <w:t xml:space="preserve">选择各筛号茶，根据产品要求，按一定比例拼配匀堆。 </w:t>
      </w:r>
    </w:p>
    <w:p>
      <w:pPr>
        <w:pStyle w:val="81"/>
        <w:spacing w:before="120" w:after="120"/>
      </w:pPr>
      <w:r>
        <w:rPr>
          <w:rFonts w:hint="eastAsia"/>
          <w:lang w:bidi="ar"/>
        </w:rPr>
        <w:t xml:space="preserve">补火 </w:t>
      </w:r>
    </w:p>
    <w:p>
      <w:pPr>
        <w:pStyle w:val="56"/>
        <w:ind w:firstLine="420"/>
      </w:pPr>
      <w:r>
        <w:rPr>
          <w:rFonts w:hint="eastAsia"/>
          <w:lang w:bidi="ar"/>
        </w:rPr>
        <w:t>温度80℃～90℃，厚度2</w:t>
      </w:r>
      <w:r>
        <w:rPr>
          <w:rFonts w:ascii="Times New Roman"/>
          <w:lang w:bidi="ar"/>
        </w:rPr>
        <w:t xml:space="preserve"> </w:t>
      </w:r>
      <w:r>
        <w:rPr>
          <w:rFonts w:hint="eastAsia"/>
          <w:lang w:bidi="ar"/>
        </w:rPr>
        <w:t>cm～3</w:t>
      </w:r>
      <w:r>
        <w:rPr>
          <w:rFonts w:ascii="Times New Roman"/>
          <w:lang w:bidi="ar"/>
        </w:rPr>
        <w:t xml:space="preserve"> </w:t>
      </w:r>
      <w:r>
        <w:rPr>
          <w:rFonts w:hint="eastAsia"/>
          <w:lang w:bidi="ar"/>
        </w:rPr>
        <w:t>cm，时间1</w:t>
      </w:r>
      <w:r>
        <w:rPr>
          <w:rFonts w:ascii="Times New Roman"/>
          <w:lang w:bidi="ar"/>
        </w:rPr>
        <w:t xml:space="preserve"> </w:t>
      </w:r>
      <w:r>
        <w:rPr>
          <w:rFonts w:hint="eastAsia"/>
          <w:lang w:bidi="ar"/>
        </w:rPr>
        <w:t>h～3</w:t>
      </w:r>
      <w:r>
        <w:rPr>
          <w:rFonts w:ascii="Times New Roman"/>
          <w:lang w:bidi="ar"/>
        </w:rPr>
        <w:t xml:space="preserve"> </w:t>
      </w:r>
      <w:r>
        <w:rPr>
          <w:rFonts w:hint="eastAsia"/>
          <w:lang w:bidi="ar"/>
        </w:rPr>
        <w:t>h，烘至含水率≤6%。</w:t>
      </w:r>
    </w:p>
    <w:bookmarkEnd w:id="46"/>
    <w:p>
      <w:pPr>
        <w:pStyle w:val="56"/>
        <w:ind w:firstLine="42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宋体-18030">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M05yEDwNJDci+LdD9oS0iD3/Vn4H6+L8PxPd4aWDhkes3VHn5F+dW2GFSQMm0r7xbkCsvlmJI8bXLcxnlilczQ==" w:salt="Kk9YZwVogRn0JwMtmn2Q1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0YTAwMjMyODEwYmVjZGI5NWU1YTdmYTEzOWNlYzMifQ=="/>
  </w:docVars>
  <w:rsids>
    <w:rsidRoot w:val="001F200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6B4"/>
    <w:rsid w:val="00096D63"/>
    <w:rsid w:val="000A0B60"/>
    <w:rsid w:val="000A0EB8"/>
    <w:rsid w:val="000A19FC"/>
    <w:rsid w:val="000A296B"/>
    <w:rsid w:val="000A7311"/>
    <w:rsid w:val="000B060F"/>
    <w:rsid w:val="000B1592"/>
    <w:rsid w:val="000B1FF2"/>
    <w:rsid w:val="000B3CDA"/>
    <w:rsid w:val="000B6A0B"/>
    <w:rsid w:val="000C0D42"/>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00F"/>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446"/>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8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A9C"/>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11E4"/>
    <w:rsid w:val="005F284E"/>
    <w:rsid w:val="006015CE"/>
    <w:rsid w:val="00604784"/>
    <w:rsid w:val="00605AC1"/>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534"/>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7B0"/>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F2D"/>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67B24"/>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B46"/>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539"/>
    <w:rsid w:val="00D1489E"/>
    <w:rsid w:val="00D20737"/>
    <w:rsid w:val="00D21E81"/>
    <w:rsid w:val="00D223DE"/>
    <w:rsid w:val="00D24374"/>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558D"/>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2DF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2665E0E"/>
    <w:rsid w:val="195D23B7"/>
    <w:rsid w:val="19CF6119"/>
    <w:rsid w:val="1D884E24"/>
    <w:rsid w:val="2A6F3B5A"/>
    <w:rsid w:val="2DD45655"/>
    <w:rsid w:val="2F4470CB"/>
    <w:rsid w:val="316867E0"/>
    <w:rsid w:val="32520CC9"/>
    <w:rsid w:val="3C805325"/>
    <w:rsid w:val="42B45D29"/>
    <w:rsid w:val="5A935CD7"/>
    <w:rsid w:val="64F97173"/>
    <w:rsid w:val="66C158BB"/>
    <w:rsid w:val="6D5C22DF"/>
    <w:rsid w:val="7D0B3A9E"/>
    <w:rsid w:val="7D58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basedOn w:val="1"/>
    <w:qFormat/>
    <w:uiPriority w:val="0"/>
    <w:pPr>
      <w:widowControl/>
      <w:autoSpaceDE w:val="0"/>
      <w:autoSpaceDN w:val="0"/>
      <w:adjustRightInd/>
      <w:spacing w:line="240" w:lineRule="auto"/>
      <w:ind w:firstLine="420" w:firstLineChars="200"/>
    </w:pPr>
    <w:rPr>
      <w:rFonts w:ascii="宋体"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EC21192D65242EFA02F52C8B8E4DE26"/>
        <w:style w:val=""/>
        <w:category>
          <w:name w:val="常规"/>
          <w:gallery w:val="placeholder"/>
        </w:category>
        <w:types>
          <w:type w:val="bbPlcHdr"/>
        </w:types>
        <w:behaviors>
          <w:behavior w:val="content"/>
        </w:behaviors>
        <w:description w:val=""/>
        <w:guid w:val="{102DC71B-9FB8-4990-852A-41D2146C7CB9}"/>
      </w:docPartPr>
      <w:docPartBody>
        <w:p>
          <w:pPr>
            <w:pStyle w:val="5"/>
          </w:pPr>
          <w:r>
            <w:rPr>
              <w:rStyle w:val="4"/>
              <w:rFonts w:hint="eastAsia"/>
            </w:rPr>
            <w:t>单击或点击此处输入文字。</w:t>
          </w:r>
        </w:p>
      </w:docPartBody>
    </w:docPart>
    <w:docPart>
      <w:docPartPr>
        <w:name w:val="4C10C0F498E0432CB609242C9FC16427"/>
        <w:style w:val=""/>
        <w:category>
          <w:name w:val="常规"/>
          <w:gallery w:val="placeholder"/>
        </w:category>
        <w:types>
          <w:type w:val="bbPlcHdr"/>
        </w:types>
        <w:behaviors>
          <w:behavior w:val="content"/>
        </w:behaviors>
        <w:description w:val=""/>
        <w:guid w:val="{046137FE-15B5-479F-81F6-BCE456E7D93C}"/>
      </w:docPartPr>
      <w:docPartBody>
        <w:p>
          <w:pPr>
            <w:pStyle w:val="6"/>
          </w:pPr>
          <w:r>
            <w:rPr>
              <w:rStyle w:val="4"/>
              <w:rFonts w:hint="eastAsia"/>
            </w:rPr>
            <w:t>选择一项。</w:t>
          </w:r>
        </w:p>
      </w:docPartBody>
    </w:docPart>
    <w:docPart>
      <w:docPartPr>
        <w:name w:val="E80D9096A2EE47D494BD1F797E8A41EF"/>
        <w:style w:val=""/>
        <w:category>
          <w:name w:val="常规"/>
          <w:gallery w:val="placeholder"/>
        </w:category>
        <w:types>
          <w:type w:val="bbPlcHdr"/>
        </w:types>
        <w:behaviors>
          <w:behavior w:val="content"/>
        </w:behaviors>
        <w:description w:val=""/>
        <w:guid w:val="{778C780E-DFC5-4E7C-A13A-DF6527A427A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6CF"/>
    <w:rsid w:val="000B5DDA"/>
    <w:rsid w:val="007F48C4"/>
    <w:rsid w:val="00C026CF"/>
    <w:rsid w:val="00D5137F"/>
    <w:rsid w:val="00DC7EB7"/>
    <w:rsid w:val="00DE5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EC21192D65242EFA02F52C8B8E4DE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C10C0F498E0432CB609242C9FC164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80D9096A2EE47D494BD1F797E8A41E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27BECC-7AC1-4476-AD14-97821F187D74}">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612</Words>
  <Characters>3495</Characters>
  <Lines>29</Lines>
  <Paragraphs>8</Paragraphs>
  <TotalTime>25</TotalTime>
  <ScaleCrop>false</ScaleCrop>
  <LinksUpToDate>false</LinksUpToDate>
  <CharactersWithSpaces>4099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2024-09-19T07:20:00Z</dcterms:created>
  <dc:creator>FDS</dc:creator>
  <dc:description>&lt;config cover="true" show_menu="true" version="1.0.0" doctype="SDKXY"&gt;_x000d_
&lt;/config&gt;</dc:description>
  <cp:lastModifiedBy>S   o</cp:lastModifiedBy>
  <cp:lastPrinted>2021-02-02T08:22:00Z</cp:lastPrinted>
  <dcterms:modified xsi:type="dcterms:W3CDTF">2024-09-26T08:08:58Z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2052-12.1.0.16417</vt:lpwstr>
  </property>
  <property fmtid="{D5CDD505-2E9C-101B-9397-08002B2CF9AE}" pid="15" name="ICV">
    <vt:lpwstr>53311DB2AC8D4DC3A22C17B0F1FA6EBC_12</vt:lpwstr>
  </property>
</Properties>
</file>