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9685" w14:textId="77777777" w:rsidR="002577AE" w:rsidRPr="0039606D" w:rsidRDefault="002577AE" w:rsidP="002577AE">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511F3466" w14:textId="5A79A032" w:rsidR="002577AE" w:rsidRPr="002E61E6" w:rsidRDefault="002577AE" w:rsidP="002577AE">
      <w:pPr>
        <w:ind w:left="108"/>
        <w:jc w:val="center"/>
        <w:rPr>
          <w:rFonts w:ascii="黑体" w:eastAsia="黑体" w:hAnsi="黑体" w:hint="eastAsia"/>
          <w:sz w:val="30"/>
          <w:szCs w:val="30"/>
          <w:lang w:eastAsia="zh-CN"/>
        </w:rPr>
      </w:pPr>
      <w:r>
        <w:rPr>
          <w:rFonts w:ascii="黑体" w:eastAsia="黑体" w:hAnsi="黑体" w:hint="eastAsia"/>
          <w:sz w:val="32"/>
          <w:szCs w:val="32"/>
          <w:lang w:eastAsia="zh-CN"/>
        </w:rPr>
        <w:t xml:space="preserve"> </w:t>
      </w:r>
      <w:r w:rsidRPr="002E61E6">
        <w:rPr>
          <w:rFonts w:ascii="黑体" w:eastAsia="黑体" w:hAnsi="黑体" w:hint="eastAsia"/>
          <w:sz w:val="30"/>
          <w:szCs w:val="30"/>
          <w:lang w:eastAsia="zh-CN"/>
        </w:rPr>
        <w:t>《</w:t>
      </w:r>
      <w:r w:rsidR="00AD5958" w:rsidRPr="002E61E6">
        <w:rPr>
          <w:rFonts w:ascii="黑体" w:eastAsia="黑体" w:hAnsi="黑体"/>
          <w:sz w:val="30"/>
          <w:szCs w:val="30"/>
          <w:lang w:eastAsia="zh-CN"/>
        </w:rPr>
        <w:t>乳腺癌类器官药物敏感性检测指导患者精准治疗技术规范</w:t>
      </w:r>
      <w:r w:rsidRPr="002E61E6">
        <w:rPr>
          <w:rFonts w:ascii="黑体" w:eastAsia="黑体" w:hAnsi="黑体" w:hint="eastAsia"/>
          <w:sz w:val="30"/>
          <w:szCs w:val="30"/>
          <w:lang w:eastAsia="zh-CN"/>
        </w:rPr>
        <w:t>》</w:t>
      </w:r>
    </w:p>
    <w:p w14:paraId="3529FCDB" w14:textId="6DBEFCB7" w:rsidR="002577AE" w:rsidRPr="00756AB0" w:rsidRDefault="002577AE" w:rsidP="002577AE">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w:t>
      </w:r>
      <w:r w:rsidR="00661F60">
        <w:rPr>
          <w:rFonts w:ascii="黑体" w:eastAsia="黑体" w:hAnsi="黑体" w:hint="eastAsia"/>
          <w:sz w:val="32"/>
          <w:szCs w:val="32"/>
          <w:lang w:eastAsia="zh-CN"/>
        </w:rPr>
        <w:t>征求意见</w:t>
      </w:r>
      <w:r w:rsidRPr="00756AB0">
        <w:rPr>
          <w:rFonts w:ascii="黑体" w:eastAsia="黑体" w:hAnsi="黑体" w:hint="eastAsia"/>
          <w:sz w:val="32"/>
          <w:szCs w:val="32"/>
          <w:lang w:eastAsia="zh-CN"/>
        </w:rPr>
        <w:t>稿）</w:t>
      </w:r>
    </w:p>
    <w:p w14:paraId="26D62232" w14:textId="77777777" w:rsidR="002577AE" w:rsidRPr="00756AB0" w:rsidRDefault="002577AE" w:rsidP="002577AE">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7FEA9A52" w14:textId="77777777" w:rsidR="002577AE" w:rsidRPr="00756AB0" w:rsidRDefault="002577AE" w:rsidP="002577AE">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662F4AE6" w14:textId="694F938A" w:rsidR="002577AE" w:rsidRPr="00756AB0" w:rsidRDefault="002577AE" w:rsidP="002577AE">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Pr>
          <w:rFonts w:ascii="黑体" w:eastAsia="黑体" w:hAnsi="黑体" w:hint="eastAsia"/>
          <w:sz w:val="28"/>
          <w:szCs w:val="28"/>
          <w:lang w:eastAsia="zh-CN"/>
        </w:rPr>
        <w:t>4</w:t>
      </w:r>
      <w:r w:rsidRPr="00756AB0">
        <w:rPr>
          <w:rFonts w:ascii="黑体" w:eastAsia="黑体" w:hAnsi="黑体" w:hint="eastAsia"/>
          <w:sz w:val="28"/>
          <w:szCs w:val="28"/>
          <w:lang w:eastAsia="zh-CN"/>
        </w:rPr>
        <w:t>年</w:t>
      </w:r>
      <w:r w:rsidR="00661F60" w:rsidRPr="00661F60">
        <w:rPr>
          <w:rFonts w:ascii="黑体" w:eastAsia="黑体" w:hAnsi="黑体" w:hint="eastAsia"/>
          <w:color w:val="0D0D0D" w:themeColor="text1" w:themeTint="F2"/>
          <w:sz w:val="28"/>
          <w:szCs w:val="28"/>
          <w:lang w:eastAsia="zh-CN"/>
        </w:rPr>
        <w:t>9</w:t>
      </w:r>
      <w:r w:rsidRPr="00756AB0">
        <w:rPr>
          <w:rFonts w:ascii="黑体" w:eastAsia="黑体" w:hAnsi="黑体" w:hint="eastAsia"/>
          <w:sz w:val="28"/>
          <w:szCs w:val="28"/>
          <w:lang w:eastAsia="zh-CN"/>
        </w:rPr>
        <w:t>月</w:t>
      </w:r>
    </w:p>
    <w:p w14:paraId="261C8A92" w14:textId="77777777" w:rsidR="002577AE" w:rsidRDefault="002577AE" w:rsidP="00171C5E">
      <w:pPr>
        <w:tabs>
          <w:tab w:val="left" w:pos="1815"/>
        </w:tabs>
        <w:jc w:val="center"/>
        <w:rPr>
          <w:rFonts w:ascii="黑体" w:eastAsia="黑体" w:hAnsi="黑体" w:hint="eastAsia"/>
          <w:sz w:val="36"/>
          <w:szCs w:val="36"/>
          <w:lang w:eastAsia="zh-CN"/>
        </w:rPr>
      </w:pPr>
    </w:p>
    <w:p w14:paraId="4FFD26F1" w14:textId="77777777" w:rsidR="008A1ED9" w:rsidRPr="00756AB0" w:rsidRDefault="008A1ED9" w:rsidP="00FB33A2">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3DCBBAFA" w14:textId="77777777" w:rsidR="008A1ED9" w:rsidRPr="00313769" w:rsidRDefault="008A1ED9" w:rsidP="0039606D">
      <w:pPr>
        <w:tabs>
          <w:tab w:val="left" w:pos="1815"/>
        </w:tabs>
        <w:spacing w:line="360" w:lineRule="auto"/>
        <w:rPr>
          <w:rFonts w:ascii="黑体" w:eastAsia="黑体" w:hAnsi="黑体" w:hint="eastAsia"/>
          <w:sz w:val="24"/>
          <w:szCs w:val="24"/>
          <w:lang w:eastAsia="zh-CN"/>
        </w:rPr>
      </w:pPr>
      <w:r w:rsidRPr="00313769">
        <w:rPr>
          <w:rFonts w:ascii="黑体" w:eastAsia="黑体" w:hAnsi="黑体" w:hint="eastAsia"/>
          <w:sz w:val="24"/>
          <w:szCs w:val="24"/>
          <w:lang w:eastAsia="zh-CN"/>
        </w:rPr>
        <w:t>（一）任务来源</w:t>
      </w:r>
    </w:p>
    <w:p w14:paraId="4BD0D0FA" w14:textId="2AEDBD99" w:rsidR="008A1ED9" w:rsidRPr="00A605DD" w:rsidRDefault="008A1ED9" w:rsidP="00A605DD">
      <w:pPr>
        <w:tabs>
          <w:tab w:val="left" w:pos="1815"/>
        </w:tabs>
        <w:spacing w:line="360" w:lineRule="auto"/>
        <w:ind w:firstLineChars="200" w:firstLine="480"/>
        <w:rPr>
          <w:rFonts w:eastAsia="宋体" w:hint="eastAsia"/>
          <w:sz w:val="24"/>
          <w:szCs w:val="24"/>
          <w:lang w:eastAsia="zh-CN"/>
        </w:rPr>
      </w:pPr>
      <w:r w:rsidRPr="00313769">
        <w:rPr>
          <w:rFonts w:eastAsia="宋体" w:hint="eastAsia"/>
          <w:sz w:val="24"/>
          <w:szCs w:val="24"/>
          <w:lang w:eastAsia="zh-CN"/>
        </w:rPr>
        <w:t>根据2</w:t>
      </w:r>
      <w:r w:rsidRPr="00313769">
        <w:rPr>
          <w:rFonts w:eastAsia="宋体"/>
          <w:sz w:val="24"/>
          <w:szCs w:val="24"/>
          <w:lang w:eastAsia="zh-CN"/>
        </w:rPr>
        <w:t>02</w:t>
      </w:r>
      <w:r>
        <w:rPr>
          <w:rFonts w:eastAsia="宋体"/>
          <w:sz w:val="24"/>
          <w:szCs w:val="24"/>
          <w:lang w:eastAsia="zh-CN"/>
        </w:rPr>
        <w:t>4</w:t>
      </w:r>
      <w:r w:rsidRPr="00313769">
        <w:rPr>
          <w:rFonts w:eastAsia="宋体" w:hint="eastAsia"/>
          <w:sz w:val="24"/>
          <w:szCs w:val="24"/>
          <w:lang w:eastAsia="zh-CN"/>
        </w:rPr>
        <w:t>年全国标准化工作要点</w:t>
      </w:r>
      <w:r w:rsidRPr="009E4ACB">
        <w:rPr>
          <w:rFonts w:eastAsia="宋体"/>
          <w:sz w:val="24"/>
          <w:szCs w:val="24"/>
          <w:lang w:eastAsia="zh-CN"/>
        </w:rPr>
        <w:t>，</w:t>
      </w:r>
      <w:r w:rsidRPr="002435DD">
        <w:rPr>
          <w:rFonts w:eastAsia="宋体"/>
          <w:sz w:val="24"/>
          <w:szCs w:val="24"/>
          <w:lang w:eastAsia="zh-CN"/>
        </w:rPr>
        <w:t>加强质量支撑和标准引领，</w:t>
      </w:r>
      <w:r w:rsidRPr="000C2080">
        <w:rPr>
          <w:rFonts w:eastAsia="宋体"/>
          <w:sz w:val="24"/>
          <w:szCs w:val="24"/>
          <w:lang w:eastAsia="zh-CN"/>
        </w:rPr>
        <w:t>深入推进国家标准化发展纲要各项重点任务实施</w:t>
      </w:r>
      <w:r>
        <w:rPr>
          <w:rFonts w:eastAsia="宋体" w:hint="eastAsia"/>
          <w:sz w:val="24"/>
          <w:szCs w:val="24"/>
          <w:lang w:eastAsia="zh-CN"/>
        </w:rPr>
        <w:t>，</w:t>
      </w:r>
      <w:r w:rsidRPr="002435DD">
        <w:rPr>
          <w:rFonts w:eastAsia="宋体"/>
          <w:sz w:val="24"/>
          <w:szCs w:val="24"/>
          <w:lang w:eastAsia="zh-CN"/>
        </w:rPr>
        <w:t>以标准有力引领现代化产业体系建设</w:t>
      </w:r>
      <w:r w:rsidRPr="00206311">
        <w:rPr>
          <w:rFonts w:eastAsia="宋体"/>
          <w:sz w:val="24"/>
          <w:szCs w:val="24"/>
          <w:lang w:eastAsia="zh-CN"/>
        </w:rPr>
        <w:t>，</w:t>
      </w:r>
      <w:r w:rsidRPr="002435DD">
        <w:rPr>
          <w:rFonts w:eastAsia="宋体"/>
          <w:sz w:val="24"/>
          <w:szCs w:val="24"/>
          <w:lang w:eastAsia="zh-CN"/>
        </w:rPr>
        <w:t>推动标准化更好服务经济社会高质量发展</w:t>
      </w:r>
      <w:r w:rsidRPr="00313769">
        <w:rPr>
          <w:rFonts w:eastAsia="宋体"/>
          <w:sz w:val="24"/>
          <w:szCs w:val="24"/>
          <w:lang w:eastAsia="zh-CN"/>
        </w:rPr>
        <w:t>。依据《中华人民</w:t>
      </w:r>
      <w:r w:rsidRPr="00313769">
        <w:rPr>
          <w:rFonts w:eastAsia="宋体" w:hint="eastAsia"/>
          <w:sz w:val="24"/>
          <w:szCs w:val="24"/>
          <w:lang w:eastAsia="zh-CN"/>
        </w:rPr>
        <w:t>共和国</w:t>
      </w:r>
      <w:r w:rsidRPr="00313769">
        <w:rPr>
          <w:rFonts w:eastAsia="宋体"/>
          <w:sz w:val="24"/>
          <w:szCs w:val="24"/>
          <w:lang w:eastAsia="zh-CN"/>
        </w:rPr>
        <w:t>标准化法》</w:t>
      </w:r>
      <w:r>
        <w:rPr>
          <w:rFonts w:eastAsia="宋体" w:hint="eastAsia"/>
          <w:sz w:val="24"/>
          <w:szCs w:val="24"/>
          <w:lang w:eastAsia="zh-CN"/>
        </w:rPr>
        <w:t>和</w:t>
      </w:r>
      <w:r w:rsidRPr="00313769">
        <w:rPr>
          <w:rFonts w:eastAsia="宋体"/>
          <w:sz w:val="24"/>
          <w:szCs w:val="24"/>
          <w:lang w:eastAsia="zh-CN"/>
        </w:rPr>
        <w:t>《团体标准管理规定》</w:t>
      </w:r>
      <w:r>
        <w:rPr>
          <w:rFonts w:eastAsia="宋体" w:hint="eastAsia"/>
          <w:sz w:val="24"/>
          <w:szCs w:val="24"/>
          <w:lang w:eastAsia="zh-CN"/>
        </w:rPr>
        <w:t>（</w:t>
      </w:r>
      <w:proofErr w:type="gramStart"/>
      <w:r>
        <w:rPr>
          <w:rFonts w:eastAsia="宋体" w:hint="eastAsia"/>
          <w:sz w:val="24"/>
          <w:szCs w:val="24"/>
          <w:lang w:eastAsia="zh-CN"/>
        </w:rPr>
        <w:t>国标委联</w:t>
      </w:r>
      <w:proofErr w:type="gramEnd"/>
      <w:r>
        <w:rPr>
          <w:rFonts w:eastAsia="宋体" w:hint="eastAsia"/>
          <w:sz w:val="24"/>
          <w:szCs w:val="24"/>
          <w:lang w:eastAsia="zh-CN"/>
        </w:rPr>
        <w:t>[</w:t>
      </w:r>
      <w:r>
        <w:rPr>
          <w:rFonts w:eastAsia="宋体"/>
          <w:sz w:val="24"/>
          <w:szCs w:val="24"/>
          <w:lang w:eastAsia="zh-CN"/>
        </w:rPr>
        <w:t>2019]1</w:t>
      </w:r>
      <w:r>
        <w:rPr>
          <w:rFonts w:eastAsia="宋体" w:hint="eastAsia"/>
          <w:sz w:val="24"/>
          <w:szCs w:val="24"/>
          <w:lang w:eastAsia="zh-CN"/>
        </w:rPr>
        <w:t>号）的</w:t>
      </w:r>
      <w:r w:rsidRPr="00313769">
        <w:rPr>
          <w:rFonts w:eastAsia="宋体"/>
          <w:sz w:val="24"/>
          <w:szCs w:val="24"/>
          <w:lang w:eastAsia="zh-CN"/>
        </w:rPr>
        <w:t>相关</w:t>
      </w:r>
      <w:r w:rsidRPr="00313769">
        <w:rPr>
          <w:rFonts w:eastAsia="宋体" w:hint="eastAsia"/>
          <w:sz w:val="24"/>
          <w:szCs w:val="24"/>
          <w:lang w:eastAsia="zh-CN"/>
        </w:rPr>
        <w:t>要求</w:t>
      </w:r>
      <w:r w:rsidRPr="00313769">
        <w:rPr>
          <w:rFonts w:eastAsia="宋体"/>
          <w:sz w:val="24"/>
          <w:szCs w:val="24"/>
          <w:lang w:eastAsia="zh-CN"/>
        </w:rPr>
        <w:t>，</w:t>
      </w:r>
      <w:r w:rsidR="00AD5958">
        <w:rPr>
          <w:rFonts w:eastAsia="宋体" w:hint="eastAsia"/>
          <w:sz w:val="24"/>
          <w:szCs w:val="24"/>
          <w:lang w:eastAsia="zh-CN"/>
        </w:rPr>
        <w:t>中国食品药品企业质量</w:t>
      </w:r>
      <w:proofErr w:type="gramStart"/>
      <w:r w:rsidR="00AD5958">
        <w:rPr>
          <w:rFonts w:eastAsia="宋体" w:hint="eastAsia"/>
          <w:sz w:val="24"/>
          <w:szCs w:val="24"/>
          <w:lang w:eastAsia="zh-CN"/>
        </w:rPr>
        <w:t>安全促进会</w:t>
      </w:r>
      <w:proofErr w:type="gramEnd"/>
      <w:r w:rsidRPr="00313769">
        <w:rPr>
          <w:rFonts w:eastAsia="宋体" w:hint="eastAsia"/>
          <w:sz w:val="24"/>
          <w:szCs w:val="24"/>
          <w:lang w:eastAsia="zh-CN"/>
        </w:rPr>
        <w:t>批准立项</w:t>
      </w:r>
      <w:r>
        <w:rPr>
          <w:rFonts w:eastAsia="宋体" w:hint="eastAsia"/>
          <w:sz w:val="24"/>
          <w:szCs w:val="24"/>
          <w:lang w:eastAsia="zh-CN"/>
        </w:rPr>
        <w:t>并联合相关单位共同制定</w:t>
      </w:r>
      <w:r w:rsidRPr="00313769">
        <w:rPr>
          <w:rFonts w:eastAsia="宋体" w:hint="eastAsia"/>
          <w:sz w:val="24"/>
          <w:szCs w:val="24"/>
          <w:lang w:eastAsia="zh-CN"/>
        </w:rPr>
        <w:t>《</w:t>
      </w:r>
      <w:r w:rsidR="00AD5958">
        <w:rPr>
          <w:rFonts w:eastAsia="宋体"/>
          <w:sz w:val="24"/>
          <w:szCs w:val="24"/>
          <w:lang w:eastAsia="zh-CN"/>
        </w:rPr>
        <w:t>乳腺癌类器官药物敏感性检测指导患者精准治疗技术规范</w:t>
      </w:r>
      <w:r w:rsidRPr="00313769">
        <w:rPr>
          <w:rFonts w:eastAsia="宋体" w:hint="eastAsia"/>
          <w:sz w:val="24"/>
          <w:szCs w:val="24"/>
          <w:lang w:eastAsia="zh-CN"/>
        </w:rPr>
        <w:t>》团体标准。</w:t>
      </w:r>
    </w:p>
    <w:p w14:paraId="24EDDD97" w14:textId="77777777" w:rsidR="008A1ED9" w:rsidRPr="00A605DD" w:rsidRDefault="008A1ED9" w:rsidP="0039606D">
      <w:pPr>
        <w:tabs>
          <w:tab w:val="left" w:pos="1815"/>
        </w:tabs>
        <w:spacing w:line="360" w:lineRule="auto"/>
        <w:rPr>
          <w:rFonts w:ascii="黑体" w:eastAsia="黑体" w:hAnsi="黑体" w:hint="eastAsia"/>
          <w:sz w:val="24"/>
          <w:szCs w:val="24"/>
          <w:lang w:eastAsia="zh-CN"/>
        </w:rPr>
      </w:pPr>
      <w:r w:rsidRPr="00A605DD">
        <w:rPr>
          <w:rFonts w:ascii="黑体" w:eastAsia="黑体" w:hAnsi="黑体" w:hint="eastAsia"/>
          <w:sz w:val="24"/>
          <w:szCs w:val="24"/>
          <w:lang w:eastAsia="zh-CN"/>
        </w:rPr>
        <w:t>（二）制定背景</w:t>
      </w:r>
    </w:p>
    <w:p w14:paraId="3F50A3FD" w14:textId="096CC61A" w:rsidR="00AD5958" w:rsidRPr="00AD5958" w:rsidRDefault="00AD5958" w:rsidP="00AD5958">
      <w:pPr>
        <w:tabs>
          <w:tab w:val="left" w:pos="1815"/>
        </w:tabs>
        <w:spacing w:line="360" w:lineRule="auto"/>
        <w:ind w:firstLineChars="200" w:firstLine="480"/>
        <w:rPr>
          <w:rFonts w:eastAsia="宋体" w:hint="eastAsia"/>
          <w:sz w:val="24"/>
          <w:szCs w:val="24"/>
          <w:lang w:eastAsia="zh-CN"/>
        </w:rPr>
      </w:pPr>
      <w:r w:rsidRPr="00AD5958">
        <w:rPr>
          <w:rFonts w:eastAsia="宋体"/>
          <w:sz w:val="24"/>
          <w:szCs w:val="24"/>
          <w:lang w:eastAsia="zh-CN"/>
        </w:rPr>
        <w:t>在精准医疗时代，随着肿瘤靶</w:t>
      </w:r>
      <w:proofErr w:type="gramStart"/>
      <w:r w:rsidRPr="00AD5958">
        <w:rPr>
          <w:rFonts w:eastAsia="宋体"/>
          <w:sz w:val="24"/>
          <w:szCs w:val="24"/>
          <w:lang w:eastAsia="zh-CN"/>
        </w:rPr>
        <w:t>向治疗</w:t>
      </w:r>
      <w:proofErr w:type="gramEnd"/>
      <w:r w:rsidRPr="00AD5958">
        <w:rPr>
          <w:rFonts w:eastAsia="宋体"/>
          <w:sz w:val="24"/>
          <w:szCs w:val="24"/>
          <w:lang w:eastAsia="zh-CN"/>
        </w:rPr>
        <w:t>及免疫治疗的快速发展，患者对个体化精准药物治疗的需求越来越高。传统的肿瘤治疗方法往往缺乏针对性，导致治疗效果有限且副作用明显。因此，开发新的技术手段以提高肿瘤治疗的精准性成为医学界的重要课题。乳腺癌作为一种常见的恶性肿瘤，其异质性一直是抗肿瘤药物研发以及实现肿瘤患者个性化精准治疗需要克服的难点。不同患者之间的乳腺癌在基因表达、分子特征、药物反应等方面存在显著差异，这使得同一种治疗方案在不同患者身上的效果大相径庭。因此，寻找一种能够准确反映患者肿瘤特征并指导个性化治疗的技术手段显得尤为重要。</w:t>
      </w:r>
    </w:p>
    <w:p w14:paraId="34963E03" w14:textId="51EF15CA" w:rsidR="00AD5958" w:rsidRPr="00AD5958" w:rsidRDefault="00AD5958" w:rsidP="00AD5958">
      <w:pPr>
        <w:tabs>
          <w:tab w:val="left" w:pos="1815"/>
        </w:tabs>
        <w:spacing w:line="360" w:lineRule="auto"/>
        <w:ind w:firstLineChars="200" w:firstLine="480"/>
        <w:rPr>
          <w:rFonts w:eastAsia="宋体" w:hint="eastAsia"/>
          <w:sz w:val="24"/>
          <w:szCs w:val="24"/>
          <w:lang w:eastAsia="zh-CN"/>
        </w:rPr>
      </w:pPr>
      <w:r w:rsidRPr="00AD5958">
        <w:rPr>
          <w:rFonts w:eastAsia="宋体"/>
          <w:sz w:val="24"/>
          <w:szCs w:val="24"/>
          <w:lang w:eastAsia="zh-CN"/>
        </w:rPr>
        <w:t>类器官技术作为一种新兴的功能性检测技术，近年来在肿瘤精准治疗中展现出巨大的应用潜力。类器官是将患者来源的新鲜肿瘤组织经体外</w:t>
      </w:r>
      <w:proofErr w:type="gramStart"/>
      <w:r w:rsidRPr="00AD5958">
        <w:rPr>
          <w:rFonts w:eastAsia="宋体"/>
          <w:sz w:val="24"/>
          <w:szCs w:val="24"/>
          <w:lang w:eastAsia="zh-CN"/>
        </w:rPr>
        <w:t>三维(</w:t>
      </w:r>
      <w:proofErr w:type="gramEnd"/>
      <w:r w:rsidRPr="00AD5958">
        <w:rPr>
          <w:rFonts w:eastAsia="宋体"/>
          <w:sz w:val="24"/>
          <w:szCs w:val="24"/>
          <w:lang w:eastAsia="zh-CN"/>
        </w:rPr>
        <w:t>3D)细胞培养系统建立的、与患者肿瘤特征高度相似的一种立体模型。由于其能够很好地保留肿瘤组织的细胞结构、分子特征以及药物敏感性等关键信息，因此被广泛应用于疾病病理学、精准医疗以及新药研发等方面。为了推动乳腺癌类器官药物敏感性检测在临床中的规范应用，国内外相关领域专家基于大量研究报道数据制定了相应的技术规范或专家共识。这些规范或共识对乳腺癌类器官的定义、受检药物的选择及应用场景、实施规范、检测流程、综合分析、临床意义等方面进行了详细阐述，为临床实践和科研探索提供了指导和参考。</w:t>
      </w:r>
    </w:p>
    <w:p w14:paraId="01D591CB" w14:textId="77777777" w:rsidR="00AD5958" w:rsidRPr="00AD5958" w:rsidRDefault="00AD5958" w:rsidP="00AD5958">
      <w:pPr>
        <w:tabs>
          <w:tab w:val="left" w:pos="1815"/>
        </w:tabs>
        <w:spacing w:line="360" w:lineRule="auto"/>
        <w:ind w:firstLineChars="200" w:firstLine="480"/>
        <w:rPr>
          <w:rFonts w:eastAsia="宋体" w:hint="eastAsia"/>
          <w:sz w:val="24"/>
          <w:szCs w:val="24"/>
          <w:lang w:eastAsia="zh-CN"/>
        </w:rPr>
      </w:pPr>
      <w:r w:rsidRPr="00AD5958">
        <w:rPr>
          <w:rFonts w:eastAsia="宋体"/>
          <w:sz w:val="24"/>
          <w:szCs w:val="24"/>
          <w:lang w:eastAsia="zh-CN"/>
        </w:rPr>
        <w:t>随着技术的不断进步和临床数据的积累，乳腺癌类器官药物敏感性检测指导患者精准治疗技术将不断得到完善和推广。未来，通过产、学、</w:t>
      </w:r>
      <w:proofErr w:type="gramStart"/>
      <w:r w:rsidRPr="00AD5958">
        <w:rPr>
          <w:rFonts w:eastAsia="宋体"/>
          <w:sz w:val="24"/>
          <w:szCs w:val="24"/>
          <w:lang w:eastAsia="zh-CN"/>
        </w:rPr>
        <w:t>研</w:t>
      </w:r>
      <w:proofErr w:type="gramEnd"/>
      <w:r w:rsidRPr="00AD5958">
        <w:rPr>
          <w:rFonts w:eastAsia="宋体"/>
          <w:sz w:val="24"/>
          <w:szCs w:val="24"/>
          <w:lang w:eastAsia="zh-CN"/>
        </w:rPr>
        <w:t>、</w:t>
      </w:r>
      <w:proofErr w:type="gramStart"/>
      <w:r w:rsidRPr="00AD5958">
        <w:rPr>
          <w:rFonts w:eastAsia="宋体"/>
          <w:sz w:val="24"/>
          <w:szCs w:val="24"/>
          <w:lang w:eastAsia="zh-CN"/>
        </w:rPr>
        <w:t>医</w:t>
      </w:r>
      <w:proofErr w:type="gramEnd"/>
      <w:r w:rsidRPr="00AD5958">
        <w:rPr>
          <w:rFonts w:eastAsia="宋体"/>
          <w:sz w:val="24"/>
          <w:szCs w:val="24"/>
          <w:lang w:eastAsia="zh-CN"/>
        </w:rPr>
        <w:t>跨界合作，将进一步推动类器官技术在肿瘤精准治疗领域的发展和应用，为更多患</w:t>
      </w:r>
      <w:r w:rsidRPr="00AD5958">
        <w:rPr>
          <w:rFonts w:eastAsia="宋体"/>
          <w:sz w:val="24"/>
          <w:szCs w:val="24"/>
          <w:lang w:eastAsia="zh-CN"/>
        </w:rPr>
        <w:lastRenderedPageBreak/>
        <w:t>者带来福音。</w:t>
      </w:r>
    </w:p>
    <w:p w14:paraId="61B3FC24" w14:textId="5262A508" w:rsidR="00212780" w:rsidRPr="0067324F" w:rsidRDefault="009779CA" w:rsidP="0046165E">
      <w:pPr>
        <w:tabs>
          <w:tab w:val="left" w:pos="1815"/>
        </w:tabs>
        <w:spacing w:line="360" w:lineRule="auto"/>
        <w:ind w:firstLineChars="200" w:firstLine="480"/>
        <w:rPr>
          <w:rFonts w:eastAsia="宋体" w:hint="eastAsia"/>
          <w:sz w:val="24"/>
          <w:szCs w:val="24"/>
          <w:lang w:eastAsia="zh-CN"/>
        </w:rPr>
      </w:pPr>
      <w:r w:rsidRPr="009779CA">
        <w:rPr>
          <w:rFonts w:eastAsia="宋体"/>
          <w:sz w:val="24"/>
          <w:szCs w:val="24"/>
          <w:lang w:eastAsia="zh-CN"/>
        </w:rPr>
        <w:t>制定《乳腺癌类器官药物敏感性检测指导患者精准治疗技术规范》</w:t>
      </w:r>
      <w:r>
        <w:rPr>
          <w:rFonts w:eastAsia="宋体" w:hint="eastAsia"/>
          <w:sz w:val="24"/>
          <w:szCs w:val="24"/>
          <w:lang w:eastAsia="zh-CN"/>
        </w:rPr>
        <w:t>的目的</w:t>
      </w:r>
      <w:r w:rsidRPr="009779CA">
        <w:rPr>
          <w:rFonts w:eastAsia="宋体"/>
          <w:sz w:val="24"/>
          <w:szCs w:val="24"/>
          <w:lang w:eastAsia="zh-CN"/>
        </w:rPr>
        <w:t>主要体现在推动精准医疗发展、提高治疗效果、促进科研与临床转化、应对乳腺癌治疗的复杂性、提高检测的可重复性和可比性、促进技术的普及和应用以及保障患者权益和安全等方面。这将有助于推动乳腺癌精准治疗的发展，提高患者的治疗效果和生活质量。</w:t>
      </w:r>
    </w:p>
    <w:p w14:paraId="7668CE96" w14:textId="77777777" w:rsidR="008A1ED9" w:rsidRPr="00ED78E0" w:rsidRDefault="008A1ED9" w:rsidP="0039606D">
      <w:pPr>
        <w:tabs>
          <w:tab w:val="left" w:pos="1815"/>
        </w:tabs>
        <w:spacing w:line="360" w:lineRule="auto"/>
        <w:rPr>
          <w:rFonts w:ascii="黑体" w:eastAsia="黑体" w:hAnsi="黑体" w:hint="eastAsia"/>
          <w:sz w:val="24"/>
          <w:szCs w:val="24"/>
          <w:lang w:eastAsia="zh-CN"/>
        </w:rPr>
      </w:pPr>
      <w:r w:rsidRPr="00ED78E0">
        <w:rPr>
          <w:rFonts w:ascii="黑体" w:eastAsia="黑体" w:hAnsi="黑体" w:hint="eastAsia"/>
          <w:sz w:val="24"/>
          <w:szCs w:val="24"/>
          <w:lang w:eastAsia="zh-CN"/>
        </w:rPr>
        <w:t>（三）起草过程</w:t>
      </w:r>
    </w:p>
    <w:p w14:paraId="2DCA398B" w14:textId="77777777" w:rsidR="008A1ED9" w:rsidRPr="00E43D5D" w:rsidRDefault="008A1ED9" w:rsidP="00E43D5D">
      <w:pPr>
        <w:tabs>
          <w:tab w:val="left" w:pos="1815"/>
        </w:tabs>
        <w:spacing w:line="360" w:lineRule="auto"/>
        <w:rPr>
          <w:rFonts w:eastAsia="宋体" w:hint="eastAsia"/>
          <w:sz w:val="24"/>
          <w:szCs w:val="24"/>
          <w:lang w:eastAsia="zh-CN"/>
        </w:rPr>
      </w:pPr>
      <w:r w:rsidRPr="00E43D5D">
        <w:rPr>
          <w:rFonts w:eastAsia="宋体"/>
          <w:sz w:val="24"/>
          <w:szCs w:val="24"/>
          <w:lang w:eastAsia="zh-CN"/>
        </w:rPr>
        <w:t>3.1 标准研制阶段</w:t>
      </w:r>
    </w:p>
    <w:p w14:paraId="420E5673" w14:textId="4B5CB6C7" w:rsidR="008A1ED9" w:rsidRPr="00661F60" w:rsidRDefault="008A1ED9" w:rsidP="00E43D5D">
      <w:pPr>
        <w:tabs>
          <w:tab w:val="left" w:pos="1815"/>
        </w:tabs>
        <w:spacing w:line="360" w:lineRule="auto"/>
        <w:ind w:firstLineChars="200" w:firstLine="480"/>
        <w:rPr>
          <w:rFonts w:eastAsia="宋体" w:hint="eastAsia"/>
          <w:color w:val="0D0D0D" w:themeColor="text1" w:themeTint="F2"/>
          <w:sz w:val="24"/>
          <w:szCs w:val="24"/>
          <w:lang w:eastAsia="zh-CN"/>
        </w:rPr>
      </w:pPr>
      <w:r w:rsidRPr="00661F60">
        <w:rPr>
          <w:rFonts w:eastAsia="宋体"/>
          <w:color w:val="0D0D0D" w:themeColor="text1" w:themeTint="F2"/>
          <w:sz w:val="24"/>
          <w:szCs w:val="24"/>
          <w:lang w:eastAsia="zh-CN"/>
        </w:rPr>
        <w:t>202</w:t>
      </w:r>
      <w:r w:rsidR="00FD684D" w:rsidRPr="00661F60">
        <w:rPr>
          <w:rFonts w:eastAsia="宋体" w:hint="eastAsia"/>
          <w:color w:val="0D0D0D" w:themeColor="text1" w:themeTint="F2"/>
          <w:sz w:val="24"/>
          <w:szCs w:val="24"/>
          <w:lang w:eastAsia="zh-CN"/>
        </w:rPr>
        <w:t>4</w:t>
      </w:r>
      <w:r w:rsidRPr="00661F60">
        <w:rPr>
          <w:rFonts w:eastAsia="宋体" w:hint="eastAsia"/>
          <w:color w:val="0D0D0D" w:themeColor="text1" w:themeTint="F2"/>
          <w:sz w:val="24"/>
          <w:szCs w:val="24"/>
          <w:lang w:eastAsia="zh-CN"/>
        </w:rPr>
        <w:t>年</w:t>
      </w:r>
      <w:r w:rsidR="00661F60" w:rsidRPr="00661F60">
        <w:rPr>
          <w:rFonts w:eastAsia="宋体" w:hint="eastAsia"/>
          <w:color w:val="0D0D0D" w:themeColor="text1" w:themeTint="F2"/>
          <w:sz w:val="24"/>
          <w:szCs w:val="24"/>
          <w:lang w:eastAsia="zh-CN"/>
        </w:rPr>
        <w:t>3</w:t>
      </w:r>
      <w:r w:rsidRPr="00661F60">
        <w:rPr>
          <w:rFonts w:eastAsia="宋体" w:hint="eastAsia"/>
          <w:color w:val="0D0D0D" w:themeColor="text1" w:themeTint="F2"/>
          <w:sz w:val="24"/>
          <w:szCs w:val="24"/>
          <w:lang w:eastAsia="zh-CN"/>
        </w:rPr>
        <w:t>～</w:t>
      </w:r>
      <w:r w:rsidR="00661F60" w:rsidRPr="00661F60">
        <w:rPr>
          <w:rFonts w:eastAsia="宋体" w:hint="eastAsia"/>
          <w:color w:val="0D0D0D" w:themeColor="text1" w:themeTint="F2"/>
          <w:sz w:val="24"/>
          <w:szCs w:val="24"/>
          <w:lang w:eastAsia="zh-CN"/>
        </w:rPr>
        <w:t>6</w:t>
      </w:r>
      <w:r w:rsidRPr="00661F60">
        <w:rPr>
          <w:rFonts w:eastAsia="宋体" w:hint="eastAsia"/>
          <w:color w:val="0D0D0D" w:themeColor="text1" w:themeTint="F2"/>
          <w:sz w:val="24"/>
          <w:szCs w:val="24"/>
          <w:lang w:eastAsia="zh-CN"/>
        </w:rPr>
        <w:t>月，起草组</w:t>
      </w:r>
      <w:r w:rsidRPr="00661F60">
        <w:rPr>
          <w:rFonts w:eastAsia="宋体"/>
          <w:color w:val="0D0D0D" w:themeColor="text1" w:themeTint="F2"/>
          <w:sz w:val="24"/>
          <w:szCs w:val="24"/>
          <w:lang w:eastAsia="zh-CN"/>
        </w:rPr>
        <w:t>通过企业调研，了解企业实际生产情况，并组织收集、整理相关标准化资料、专业文献等，经成分分析、研讨、论证后编写完成《</w:t>
      </w:r>
      <w:r w:rsidR="00AD5958" w:rsidRPr="00661F60">
        <w:rPr>
          <w:rFonts w:eastAsia="宋体"/>
          <w:color w:val="0D0D0D" w:themeColor="text1" w:themeTint="F2"/>
          <w:sz w:val="24"/>
          <w:szCs w:val="24"/>
          <w:lang w:eastAsia="zh-CN"/>
        </w:rPr>
        <w:t>乳腺癌类器官药物敏感性检测指导患者精准治疗技术规范</w:t>
      </w:r>
      <w:r w:rsidRPr="00661F60">
        <w:rPr>
          <w:rFonts w:eastAsia="宋体"/>
          <w:color w:val="0D0D0D" w:themeColor="text1" w:themeTint="F2"/>
          <w:sz w:val="24"/>
          <w:szCs w:val="24"/>
          <w:lang w:eastAsia="zh-CN"/>
        </w:rPr>
        <w:t>》立项申请书及标准框架相关内容，并向</w:t>
      </w:r>
      <w:r w:rsidR="00AD5958" w:rsidRPr="00661F60">
        <w:rPr>
          <w:rFonts w:eastAsia="宋体"/>
          <w:color w:val="0D0D0D" w:themeColor="text1" w:themeTint="F2"/>
          <w:sz w:val="24"/>
          <w:szCs w:val="24"/>
          <w:lang w:eastAsia="zh-CN"/>
        </w:rPr>
        <w:t>中国食品药品企业质量</w:t>
      </w:r>
      <w:proofErr w:type="gramStart"/>
      <w:r w:rsidR="00AD5958" w:rsidRPr="00661F60">
        <w:rPr>
          <w:rFonts w:eastAsia="宋体"/>
          <w:color w:val="0D0D0D" w:themeColor="text1" w:themeTint="F2"/>
          <w:sz w:val="24"/>
          <w:szCs w:val="24"/>
          <w:lang w:eastAsia="zh-CN"/>
        </w:rPr>
        <w:t>安全促进会</w:t>
      </w:r>
      <w:proofErr w:type="gramEnd"/>
      <w:r w:rsidRPr="00661F60">
        <w:rPr>
          <w:rFonts w:eastAsia="宋体"/>
          <w:color w:val="0D0D0D" w:themeColor="text1" w:themeTint="F2"/>
          <w:sz w:val="24"/>
          <w:szCs w:val="24"/>
          <w:lang w:eastAsia="zh-CN"/>
        </w:rPr>
        <w:t>提出标准立项申请。</w:t>
      </w:r>
    </w:p>
    <w:p w14:paraId="3B174229" w14:textId="77777777" w:rsidR="008A1ED9" w:rsidRPr="00661F60" w:rsidRDefault="008A1ED9" w:rsidP="00E43D5D">
      <w:pPr>
        <w:tabs>
          <w:tab w:val="left" w:pos="1815"/>
        </w:tabs>
        <w:spacing w:line="360" w:lineRule="auto"/>
        <w:rPr>
          <w:rFonts w:eastAsia="宋体" w:hint="eastAsia"/>
          <w:color w:val="0D0D0D" w:themeColor="text1" w:themeTint="F2"/>
          <w:sz w:val="24"/>
          <w:szCs w:val="24"/>
          <w:lang w:eastAsia="zh-CN"/>
        </w:rPr>
      </w:pPr>
      <w:r w:rsidRPr="00661F60">
        <w:rPr>
          <w:rFonts w:eastAsia="宋体"/>
          <w:color w:val="0D0D0D" w:themeColor="text1" w:themeTint="F2"/>
          <w:sz w:val="24"/>
          <w:szCs w:val="24"/>
          <w:lang w:eastAsia="zh-CN"/>
        </w:rPr>
        <w:t xml:space="preserve">3.2 </w:t>
      </w:r>
      <w:r w:rsidRPr="00661F60">
        <w:rPr>
          <w:rFonts w:eastAsia="宋体" w:hint="eastAsia"/>
          <w:color w:val="0D0D0D" w:themeColor="text1" w:themeTint="F2"/>
          <w:sz w:val="24"/>
          <w:szCs w:val="24"/>
          <w:lang w:eastAsia="zh-CN"/>
        </w:rPr>
        <w:t>标准立项阶段</w:t>
      </w:r>
    </w:p>
    <w:p w14:paraId="0651E435" w14:textId="6A2D2F52" w:rsidR="008A1ED9" w:rsidRPr="00661F60" w:rsidRDefault="008A1ED9" w:rsidP="007C4BA3">
      <w:pPr>
        <w:tabs>
          <w:tab w:val="left" w:pos="1815"/>
        </w:tabs>
        <w:spacing w:line="360" w:lineRule="auto"/>
        <w:ind w:firstLineChars="200" w:firstLine="480"/>
        <w:rPr>
          <w:rFonts w:eastAsia="宋体" w:hint="eastAsia"/>
          <w:color w:val="0D0D0D" w:themeColor="text1" w:themeTint="F2"/>
          <w:sz w:val="24"/>
          <w:szCs w:val="24"/>
          <w:lang w:eastAsia="zh-CN"/>
        </w:rPr>
      </w:pPr>
      <w:r w:rsidRPr="00661F60">
        <w:rPr>
          <w:rFonts w:eastAsia="宋体"/>
          <w:color w:val="0D0D0D" w:themeColor="text1" w:themeTint="F2"/>
          <w:sz w:val="24"/>
          <w:szCs w:val="24"/>
          <w:lang w:eastAsia="zh-CN"/>
        </w:rPr>
        <w:t>202</w:t>
      </w:r>
      <w:r w:rsidR="00FD684D" w:rsidRPr="00661F60">
        <w:rPr>
          <w:rFonts w:eastAsia="宋体" w:hint="eastAsia"/>
          <w:color w:val="0D0D0D" w:themeColor="text1" w:themeTint="F2"/>
          <w:sz w:val="24"/>
          <w:szCs w:val="24"/>
          <w:lang w:eastAsia="zh-CN"/>
        </w:rPr>
        <w:t>4</w:t>
      </w:r>
      <w:r w:rsidRPr="00661F60">
        <w:rPr>
          <w:rFonts w:eastAsia="宋体"/>
          <w:color w:val="0D0D0D" w:themeColor="text1" w:themeTint="F2"/>
          <w:sz w:val="24"/>
          <w:szCs w:val="24"/>
          <w:lang w:eastAsia="zh-CN"/>
        </w:rPr>
        <w:t>年</w:t>
      </w:r>
      <w:r w:rsidR="00661F60" w:rsidRPr="00661F60">
        <w:rPr>
          <w:rFonts w:eastAsia="宋体" w:hint="eastAsia"/>
          <w:color w:val="0D0D0D" w:themeColor="text1" w:themeTint="F2"/>
          <w:sz w:val="24"/>
          <w:szCs w:val="24"/>
          <w:lang w:eastAsia="zh-CN"/>
        </w:rPr>
        <w:t>7</w:t>
      </w:r>
      <w:r w:rsidRPr="00661F60">
        <w:rPr>
          <w:rFonts w:eastAsia="宋体"/>
          <w:color w:val="0D0D0D" w:themeColor="text1" w:themeTint="F2"/>
          <w:sz w:val="24"/>
          <w:szCs w:val="24"/>
          <w:lang w:eastAsia="zh-CN"/>
        </w:rPr>
        <w:t>月，</w:t>
      </w:r>
      <w:r w:rsidR="00AD5958" w:rsidRPr="00661F60">
        <w:rPr>
          <w:rFonts w:eastAsia="宋体"/>
          <w:color w:val="0D0D0D" w:themeColor="text1" w:themeTint="F2"/>
          <w:sz w:val="24"/>
          <w:szCs w:val="24"/>
          <w:lang w:eastAsia="zh-CN"/>
        </w:rPr>
        <w:t>中国食品药品企业质量</w:t>
      </w:r>
      <w:proofErr w:type="gramStart"/>
      <w:r w:rsidR="00AD5958" w:rsidRPr="00661F60">
        <w:rPr>
          <w:rFonts w:eastAsia="宋体"/>
          <w:color w:val="0D0D0D" w:themeColor="text1" w:themeTint="F2"/>
          <w:sz w:val="24"/>
          <w:szCs w:val="24"/>
          <w:lang w:eastAsia="zh-CN"/>
        </w:rPr>
        <w:t>安全促进会</w:t>
      </w:r>
      <w:proofErr w:type="gramEnd"/>
      <w:r w:rsidRPr="00661F60">
        <w:rPr>
          <w:rFonts w:eastAsia="宋体"/>
          <w:color w:val="0D0D0D" w:themeColor="text1" w:themeTint="F2"/>
          <w:sz w:val="24"/>
          <w:szCs w:val="24"/>
          <w:lang w:eastAsia="zh-CN"/>
        </w:rPr>
        <w:t>正式发布了《</w:t>
      </w:r>
      <w:r w:rsidR="00AD5958" w:rsidRPr="00661F60">
        <w:rPr>
          <w:rFonts w:eastAsia="宋体"/>
          <w:color w:val="0D0D0D" w:themeColor="text1" w:themeTint="F2"/>
          <w:sz w:val="24"/>
          <w:szCs w:val="24"/>
          <w:lang w:eastAsia="zh-CN"/>
        </w:rPr>
        <w:t>乳腺癌类器官药物敏感性检测指导患者精准治疗技术规范</w:t>
      </w:r>
      <w:r w:rsidRPr="00661F60">
        <w:rPr>
          <w:rFonts w:eastAsia="宋体"/>
          <w:color w:val="0D0D0D" w:themeColor="text1" w:themeTint="F2"/>
          <w:sz w:val="24"/>
          <w:szCs w:val="24"/>
          <w:lang w:eastAsia="zh-CN"/>
        </w:rPr>
        <w:t>》团体标准立项通知，并在全国团体标准信息平台进行公示。</w:t>
      </w:r>
    </w:p>
    <w:p w14:paraId="0EAC7968" w14:textId="77777777" w:rsidR="008A1ED9" w:rsidRPr="00661F60" w:rsidRDefault="008A1ED9" w:rsidP="007C4BA3">
      <w:pPr>
        <w:tabs>
          <w:tab w:val="left" w:pos="1815"/>
        </w:tabs>
        <w:spacing w:line="360" w:lineRule="auto"/>
        <w:rPr>
          <w:rFonts w:eastAsia="宋体" w:hint="eastAsia"/>
          <w:color w:val="0D0D0D" w:themeColor="text1" w:themeTint="F2"/>
          <w:sz w:val="24"/>
          <w:szCs w:val="24"/>
          <w:lang w:eastAsia="zh-CN"/>
        </w:rPr>
      </w:pPr>
      <w:r w:rsidRPr="00661F60">
        <w:rPr>
          <w:rFonts w:eastAsia="宋体" w:hint="eastAsia"/>
          <w:color w:val="0D0D0D" w:themeColor="text1" w:themeTint="F2"/>
          <w:sz w:val="24"/>
          <w:szCs w:val="24"/>
          <w:lang w:eastAsia="zh-CN"/>
        </w:rPr>
        <w:t>3</w:t>
      </w:r>
      <w:r w:rsidRPr="00661F60">
        <w:rPr>
          <w:rFonts w:eastAsia="宋体"/>
          <w:color w:val="0D0D0D" w:themeColor="text1" w:themeTint="F2"/>
          <w:sz w:val="24"/>
          <w:szCs w:val="24"/>
          <w:lang w:eastAsia="zh-CN"/>
        </w:rPr>
        <w:t>.</w:t>
      </w:r>
      <w:r w:rsidRPr="00661F60">
        <w:rPr>
          <w:rFonts w:eastAsia="宋体" w:hint="eastAsia"/>
          <w:color w:val="0D0D0D" w:themeColor="text1" w:themeTint="F2"/>
          <w:sz w:val="24"/>
          <w:szCs w:val="24"/>
          <w:lang w:eastAsia="zh-CN"/>
        </w:rPr>
        <w:t>3</w:t>
      </w:r>
      <w:r w:rsidRPr="00661F60">
        <w:rPr>
          <w:rFonts w:eastAsia="宋体"/>
          <w:color w:val="0D0D0D" w:themeColor="text1" w:themeTint="F2"/>
          <w:sz w:val="24"/>
          <w:szCs w:val="24"/>
          <w:lang w:eastAsia="zh-CN"/>
        </w:rPr>
        <w:t xml:space="preserve"> 标准起草阶段</w:t>
      </w:r>
    </w:p>
    <w:p w14:paraId="7FF5C6B0" w14:textId="5FEA291C" w:rsidR="00B14A29" w:rsidRDefault="008A1ED9" w:rsidP="00661F60">
      <w:pPr>
        <w:tabs>
          <w:tab w:val="left" w:pos="1815"/>
        </w:tabs>
        <w:spacing w:line="360" w:lineRule="auto"/>
        <w:ind w:firstLineChars="200" w:firstLine="480"/>
        <w:rPr>
          <w:rFonts w:eastAsia="宋体" w:hint="eastAsia"/>
          <w:sz w:val="24"/>
          <w:szCs w:val="24"/>
          <w:lang w:eastAsia="zh-CN"/>
        </w:rPr>
      </w:pPr>
      <w:r w:rsidRPr="00661F60">
        <w:rPr>
          <w:rFonts w:eastAsia="宋体"/>
          <w:color w:val="0D0D0D" w:themeColor="text1" w:themeTint="F2"/>
          <w:sz w:val="24"/>
          <w:szCs w:val="24"/>
          <w:lang w:eastAsia="zh-CN"/>
        </w:rPr>
        <w:t>202</w:t>
      </w:r>
      <w:r w:rsidR="00FD684D" w:rsidRPr="00661F60">
        <w:rPr>
          <w:rFonts w:eastAsia="宋体" w:hint="eastAsia"/>
          <w:color w:val="0D0D0D" w:themeColor="text1" w:themeTint="F2"/>
          <w:sz w:val="24"/>
          <w:szCs w:val="24"/>
          <w:lang w:eastAsia="zh-CN"/>
        </w:rPr>
        <w:t>4</w:t>
      </w:r>
      <w:r w:rsidRPr="00661F60">
        <w:rPr>
          <w:rFonts w:eastAsia="宋体"/>
          <w:color w:val="0D0D0D" w:themeColor="text1" w:themeTint="F2"/>
          <w:sz w:val="24"/>
          <w:szCs w:val="24"/>
          <w:lang w:eastAsia="zh-CN"/>
        </w:rPr>
        <w:t>年</w:t>
      </w:r>
      <w:r w:rsidR="00661F60" w:rsidRPr="00661F60">
        <w:rPr>
          <w:rFonts w:eastAsia="宋体" w:hint="eastAsia"/>
          <w:color w:val="0D0D0D" w:themeColor="text1" w:themeTint="F2"/>
          <w:sz w:val="24"/>
          <w:szCs w:val="24"/>
          <w:lang w:eastAsia="zh-CN"/>
        </w:rPr>
        <w:t>7</w:t>
      </w:r>
      <w:r w:rsidR="00FD684D" w:rsidRPr="00661F60">
        <w:rPr>
          <w:rFonts w:eastAsia="宋体" w:hint="eastAsia"/>
          <w:color w:val="0D0D0D" w:themeColor="text1" w:themeTint="F2"/>
          <w:sz w:val="24"/>
          <w:szCs w:val="24"/>
          <w:lang w:eastAsia="zh-CN"/>
        </w:rPr>
        <w:t>月</w:t>
      </w:r>
      <w:r w:rsidRPr="00661F60">
        <w:rPr>
          <w:rFonts w:eastAsia="宋体"/>
          <w:color w:val="0D0D0D" w:themeColor="text1" w:themeTint="F2"/>
          <w:sz w:val="24"/>
          <w:szCs w:val="24"/>
          <w:lang w:eastAsia="zh-CN"/>
        </w:rPr>
        <w:t>～</w:t>
      </w:r>
      <w:r w:rsidR="005D7ADB" w:rsidRPr="00661F60">
        <w:rPr>
          <w:rFonts w:eastAsia="宋体" w:hint="eastAsia"/>
          <w:color w:val="0D0D0D" w:themeColor="text1" w:themeTint="F2"/>
          <w:sz w:val="24"/>
          <w:szCs w:val="24"/>
          <w:lang w:eastAsia="zh-CN"/>
        </w:rPr>
        <w:t>2024年</w:t>
      </w:r>
      <w:r w:rsidR="00661F60" w:rsidRPr="00661F60">
        <w:rPr>
          <w:rFonts w:eastAsia="宋体" w:hint="eastAsia"/>
          <w:color w:val="0D0D0D" w:themeColor="text1" w:themeTint="F2"/>
          <w:sz w:val="24"/>
          <w:szCs w:val="24"/>
          <w:lang w:eastAsia="zh-CN"/>
        </w:rPr>
        <w:t>9</w:t>
      </w:r>
      <w:r w:rsidRPr="00661F60">
        <w:rPr>
          <w:rFonts w:eastAsia="宋体"/>
          <w:color w:val="0D0D0D" w:themeColor="text1" w:themeTint="F2"/>
          <w:sz w:val="24"/>
          <w:szCs w:val="24"/>
          <w:lang w:eastAsia="zh-CN"/>
        </w:rPr>
        <w:t>月，依据《中华人民共和国标准化法》、《国务院关于深化标准化工作改革方案》等文件</w:t>
      </w:r>
      <w:r w:rsidRPr="007C4BA3">
        <w:rPr>
          <w:rFonts w:eastAsia="宋体"/>
          <w:sz w:val="24"/>
          <w:szCs w:val="24"/>
          <w:lang w:eastAsia="zh-CN"/>
        </w:rPr>
        <w:t>的要求，按照团体标准的制修订程序组织有关技术人员成立标准起草工作组，通过相关信息化手段进行多次内容讨论和交流，并向相关单位和专家咨询，在广泛听取各方意见和充分论证的基础上，对标准初稿进行了完善和修改后经起草组确认，同意作为征求意见稿，公开征求意见</w:t>
      </w:r>
      <w:r w:rsidR="0009387F">
        <w:rPr>
          <w:rFonts w:eastAsia="宋体" w:hint="eastAsia"/>
          <w:sz w:val="24"/>
          <w:szCs w:val="24"/>
          <w:lang w:eastAsia="zh-CN"/>
        </w:rPr>
        <w:t>。</w:t>
      </w:r>
    </w:p>
    <w:p w14:paraId="4DA483E6" w14:textId="77777777" w:rsidR="008A1ED9" w:rsidRPr="00FB68F9" w:rsidRDefault="008A1ED9" w:rsidP="00FB33A2">
      <w:pPr>
        <w:tabs>
          <w:tab w:val="left" w:pos="1815"/>
        </w:tabs>
        <w:spacing w:beforeLines="50" w:before="156" w:afterLines="50" w:after="156"/>
        <w:rPr>
          <w:rFonts w:ascii="黑体" w:eastAsia="黑体" w:hAnsi="黑体" w:hint="eastAsia"/>
          <w:sz w:val="28"/>
          <w:szCs w:val="28"/>
          <w:lang w:eastAsia="zh-CN"/>
        </w:rPr>
      </w:pPr>
      <w:r w:rsidRPr="00FB68F9">
        <w:rPr>
          <w:rFonts w:ascii="黑体" w:eastAsia="黑体" w:hAnsi="黑体" w:hint="eastAsia"/>
          <w:sz w:val="28"/>
          <w:szCs w:val="28"/>
          <w:lang w:eastAsia="zh-CN"/>
        </w:rPr>
        <w:t>二、编制原则</w:t>
      </w:r>
    </w:p>
    <w:p w14:paraId="3B64DE0E"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在标准制定过程中，标准起草工作组按照GB/T 1.1</w:t>
      </w:r>
      <w:r>
        <w:rPr>
          <w:rFonts w:eastAsia="宋体" w:hint="eastAsia"/>
          <w:sz w:val="24"/>
          <w:szCs w:val="24"/>
          <w:lang w:eastAsia="zh-CN"/>
        </w:rPr>
        <w:t>—</w:t>
      </w:r>
      <w:r w:rsidRPr="00FB68F9">
        <w:rPr>
          <w:rFonts w:eastAsia="宋体"/>
          <w:sz w:val="24"/>
          <w:szCs w:val="24"/>
          <w:lang w:eastAsia="zh-CN"/>
        </w:rPr>
        <w:t xml:space="preserve">2020 给出的规则编写，主要遵循以下原则： </w:t>
      </w:r>
    </w:p>
    <w:p w14:paraId="27A78E36"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（1）协调性:</w:t>
      </w:r>
      <w:r w:rsidRPr="00FB68F9">
        <w:rPr>
          <w:rFonts w:eastAsia="宋体" w:hint="eastAsia"/>
          <w:sz w:val="24"/>
          <w:szCs w:val="24"/>
          <w:lang w:eastAsia="zh-CN"/>
        </w:rPr>
        <w:t xml:space="preserve"> </w:t>
      </w:r>
      <w:r w:rsidRPr="00FB68F9">
        <w:rPr>
          <w:rFonts w:eastAsia="宋体"/>
          <w:sz w:val="24"/>
          <w:szCs w:val="24"/>
          <w:lang w:eastAsia="zh-CN"/>
        </w:rPr>
        <w:t xml:space="preserve">保证标准与国内现行国家标准、行业标准协调一致。 </w:t>
      </w:r>
    </w:p>
    <w:p w14:paraId="62078043"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（2）规范性</w:t>
      </w:r>
      <w:r w:rsidRPr="00FB68F9">
        <w:rPr>
          <w:rFonts w:eastAsia="宋体" w:hint="eastAsia"/>
          <w:sz w:val="24"/>
          <w:szCs w:val="24"/>
          <w:lang w:eastAsia="zh-CN"/>
        </w:rPr>
        <w:t>：</w:t>
      </w:r>
      <w:r w:rsidRPr="00FB68F9">
        <w:rPr>
          <w:rFonts w:eastAsia="宋体"/>
          <w:sz w:val="24"/>
          <w:szCs w:val="24"/>
          <w:lang w:eastAsia="zh-CN"/>
        </w:rPr>
        <w:t>严格按照GB/T 1.1</w:t>
      </w:r>
      <w:r w:rsidRPr="00FB68F9">
        <w:rPr>
          <w:rFonts w:eastAsia="宋体" w:hint="eastAsia"/>
          <w:sz w:val="24"/>
          <w:szCs w:val="24"/>
          <w:lang w:eastAsia="zh-CN"/>
        </w:rPr>
        <w:t>—</w:t>
      </w:r>
      <w:r w:rsidRPr="00FB68F9">
        <w:rPr>
          <w:rFonts w:eastAsia="宋体"/>
          <w:sz w:val="24"/>
          <w:szCs w:val="24"/>
          <w:lang w:eastAsia="zh-CN"/>
        </w:rPr>
        <w:t>20</w:t>
      </w:r>
      <w:r w:rsidRPr="00FB68F9">
        <w:rPr>
          <w:rFonts w:eastAsia="宋体" w:hint="eastAsia"/>
          <w:sz w:val="24"/>
          <w:szCs w:val="24"/>
          <w:lang w:eastAsia="zh-CN"/>
        </w:rPr>
        <w:t>20</w:t>
      </w:r>
      <w:r w:rsidRPr="00FB68F9">
        <w:rPr>
          <w:rFonts w:eastAsia="宋体"/>
          <w:sz w:val="24"/>
          <w:szCs w:val="24"/>
          <w:lang w:eastAsia="zh-CN"/>
        </w:rPr>
        <w:t>《</w:t>
      </w:r>
      <w:r w:rsidRPr="00FB68F9">
        <w:rPr>
          <w:rFonts w:eastAsia="宋体" w:hint="eastAsia"/>
          <w:sz w:val="24"/>
          <w:szCs w:val="24"/>
          <w:lang w:eastAsia="zh-CN"/>
        </w:rPr>
        <w:t>标准化工作导则</w:t>
      </w:r>
      <w:r w:rsidRPr="00FB68F9">
        <w:rPr>
          <w:rFonts w:eastAsia="宋体"/>
          <w:sz w:val="24"/>
          <w:szCs w:val="24"/>
          <w:lang w:eastAsia="zh-CN"/>
        </w:rPr>
        <w:t xml:space="preserve"> 第1部分：标准</w:t>
      </w:r>
      <w:r w:rsidRPr="00FB68F9">
        <w:rPr>
          <w:rFonts w:eastAsia="宋体"/>
          <w:sz w:val="24"/>
          <w:szCs w:val="24"/>
          <w:lang w:eastAsia="zh-CN"/>
        </w:rPr>
        <w:lastRenderedPageBreak/>
        <w:t>化文件的结构和起草规则》给出的规则起草</w:t>
      </w:r>
      <w:r w:rsidRPr="00FB68F9">
        <w:rPr>
          <w:rFonts w:eastAsia="宋体" w:hint="eastAsia"/>
          <w:sz w:val="24"/>
          <w:szCs w:val="24"/>
          <w:lang w:eastAsia="zh-CN"/>
        </w:rPr>
        <w:t>，</w:t>
      </w:r>
      <w:r w:rsidRPr="00FB68F9">
        <w:rPr>
          <w:rFonts w:eastAsia="宋体"/>
          <w:sz w:val="24"/>
          <w:szCs w:val="24"/>
          <w:lang w:eastAsia="zh-CN"/>
        </w:rPr>
        <w:t>保证标准的编写质量</w:t>
      </w:r>
      <w:r w:rsidRPr="00FB68F9">
        <w:rPr>
          <w:rFonts w:eastAsia="宋体" w:hint="eastAsia"/>
          <w:sz w:val="24"/>
          <w:szCs w:val="24"/>
          <w:lang w:eastAsia="zh-CN"/>
        </w:rPr>
        <w:t>。</w:t>
      </w:r>
    </w:p>
    <w:p w14:paraId="54D07197"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hint="eastAsia"/>
          <w:sz w:val="24"/>
          <w:szCs w:val="24"/>
          <w:lang w:eastAsia="zh-CN"/>
        </w:rPr>
        <w:t>（3）</w:t>
      </w:r>
      <w:r w:rsidRPr="00FB68F9">
        <w:rPr>
          <w:rFonts w:eastAsia="宋体"/>
          <w:sz w:val="24"/>
          <w:szCs w:val="24"/>
          <w:lang w:eastAsia="zh-CN"/>
        </w:rPr>
        <w:t>适用性：结合生产企业管理实践和产品的主要环境影响，提出对企业产品的具体质量要求和生产经营规范。</w:t>
      </w:r>
    </w:p>
    <w:p w14:paraId="50DDDBAE" w14:textId="0CCE0CDF" w:rsidR="00352287" w:rsidRPr="00352287" w:rsidRDefault="008A1ED9" w:rsidP="00352287">
      <w:pPr>
        <w:tabs>
          <w:tab w:val="left" w:pos="1815"/>
        </w:tabs>
        <w:spacing w:beforeLines="50" w:before="156" w:afterLines="50" w:after="156"/>
        <w:rPr>
          <w:rFonts w:ascii="黑体" w:eastAsia="黑体" w:hAnsi="黑体" w:hint="eastAsia"/>
          <w:sz w:val="28"/>
          <w:szCs w:val="28"/>
          <w:lang w:eastAsia="zh-CN"/>
        </w:rPr>
      </w:pPr>
      <w:r w:rsidRPr="00630422">
        <w:rPr>
          <w:rFonts w:ascii="黑体" w:eastAsia="黑体" w:hAnsi="黑体" w:hint="eastAsia"/>
          <w:sz w:val="28"/>
          <w:szCs w:val="28"/>
          <w:lang w:eastAsia="zh-CN"/>
        </w:rPr>
        <w:t>三、主要技术内容及</w:t>
      </w:r>
      <w:r>
        <w:rPr>
          <w:rFonts w:ascii="黑体" w:eastAsia="黑体" w:hAnsi="黑体" w:hint="eastAsia"/>
          <w:sz w:val="28"/>
          <w:szCs w:val="28"/>
          <w:lang w:eastAsia="zh-CN"/>
        </w:rPr>
        <w:t>其</w:t>
      </w:r>
      <w:r w:rsidRPr="00630422">
        <w:rPr>
          <w:rFonts w:ascii="黑体" w:eastAsia="黑体" w:hAnsi="黑体" w:hint="eastAsia"/>
          <w:sz w:val="28"/>
          <w:szCs w:val="28"/>
          <w:lang w:eastAsia="zh-CN"/>
        </w:rPr>
        <w:t>确定依据</w:t>
      </w:r>
    </w:p>
    <w:p w14:paraId="1164890C" w14:textId="1DB20105" w:rsidR="009779CA" w:rsidRPr="009779CA" w:rsidRDefault="00981AB6" w:rsidP="009779CA">
      <w:pPr>
        <w:tabs>
          <w:tab w:val="left" w:pos="1815"/>
        </w:tabs>
        <w:spacing w:line="360" w:lineRule="auto"/>
        <w:ind w:firstLineChars="200" w:firstLine="480"/>
        <w:rPr>
          <w:rFonts w:eastAsia="宋体" w:hint="eastAsia"/>
          <w:sz w:val="24"/>
          <w:szCs w:val="24"/>
          <w:lang w:eastAsia="zh-CN"/>
        </w:rPr>
      </w:pPr>
      <w:r w:rsidRPr="00981AB6">
        <w:rPr>
          <w:rFonts w:eastAsia="宋体"/>
          <w:sz w:val="24"/>
          <w:szCs w:val="24"/>
          <w:lang w:eastAsia="zh-CN"/>
        </w:rPr>
        <w:t>本</w:t>
      </w:r>
      <w:r>
        <w:rPr>
          <w:rFonts w:eastAsia="宋体" w:hint="eastAsia"/>
          <w:sz w:val="24"/>
          <w:szCs w:val="24"/>
          <w:lang w:eastAsia="zh-CN"/>
        </w:rPr>
        <w:t>标准</w:t>
      </w:r>
      <w:r w:rsidRPr="00981AB6">
        <w:rPr>
          <w:rFonts w:eastAsia="宋体"/>
          <w:sz w:val="24"/>
          <w:szCs w:val="24"/>
          <w:lang w:eastAsia="zh-CN"/>
        </w:rPr>
        <w:t>规定了</w:t>
      </w:r>
      <w:r w:rsidR="009779CA" w:rsidRPr="009779CA">
        <w:rPr>
          <w:rFonts w:eastAsia="宋体"/>
          <w:sz w:val="24"/>
          <w:szCs w:val="24"/>
          <w:lang w:eastAsia="zh-CN"/>
        </w:rPr>
        <w:t>乳腺癌类器官药物敏感性检测的样本采集与处理、类器官建立与培养、药物敏感性检测、结果解读与精准治疗建议。</w:t>
      </w:r>
    </w:p>
    <w:p w14:paraId="5A2AEFDC" w14:textId="77777777" w:rsidR="00352287" w:rsidRDefault="00981AB6" w:rsidP="009779CA">
      <w:pPr>
        <w:tabs>
          <w:tab w:val="left" w:pos="1815"/>
        </w:tabs>
        <w:spacing w:line="360" w:lineRule="auto"/>
        <w:ind w:leftChars="200" w:left="440"/>
        <w:rPr>
          <w:rFonts w:eastAsia="宋体"/>
          <w:sz w:val="24"/>
          <w:szCs w:val="24"/>
          <w:lang w:eastAsia="zh-CN"/>
        </w:rPr>
      </w:pPr>
      <w:r w:rsidRPr="00981AB6">
        <w:rPr>
          <w:rFonts w:eastAsia="宋体"/>
          <w:sz w:val="24"/>
          <w:szCs w:val="24"/>
          <w:lang w:eastAsia="zh-CN"/>
        </w:rPr>
        <w:t>本</w:t>
      </w:r>
      <w:r>
        <w:rPr>
          <w:rFonts w:eastAsia="宋体" w:hint="eastAsia"/>
          <w:sz w:val="24"/>
          <w:szCs w:val="24"/>
          <w:lang w:eastAsia="zh-CN"/>
        </w:rPr>
        <w:t>标准</w:t>
      </w:r>
      <w:r w:rsidRPr="00981AB6">
        <w:rPr>
          <w:rFonts w:eastAsia="宋体"/>
          <w:sz w:val="24"/>
          <w:szCs w:val="24"/>
          <w:lang w:eastAsia="zh-CN"/>
        </w:rPr>
        <w:t>适用于</w:t>
      </w:r>
      <w:r w:rsidR="009779CA" w:rsidRPr="009779CA">
        <w:rPr>
          <w:rFonts w:eastAsia="宋体"/>
          <w:sz w:val="24"/>
          <w:szCs w:val="24"/>
          <w:lang w:eastAsia="zh-CN"/>
        </w:rPr>
        <w:t>乳腺癌类器官药物敏感性检测和指导治疗乳腺癌患者</w:t>
      </w:r>
      <w:r w:rsidRPr="00981AB6">
        <w:rPr>
          <w:rFonts w:eastAsia="宋体"/>
          <w:sz w:val="24"/>
          <w:szCs w:val="24"/>
          <w:lang w:eastAsia="zh-CN"/>
        </w:rPr>
        <w:t>。</w:t>
      </w:r>
      <w:r w:rsidRPr="00981AB6">
        <w:rPr>
          <w:rFonts w:eastAsia="宋体"/>
          <w:sz w:val="24"/>
          <w:szCs w:val="24"/>
          <w:lang w:eastAsia="zh-CN"/>
        </w:rPr>
        <w:cr/>
      </w:r>
      <w:r w:rsidR="00DA6729">
        <w:rPr>
          <w:rFonts w:eastAsia="宋体" w:hint="eastAsia"/>
          <w:sz w:val="24"/>
          <w:szCs w:val="24"/>
          <w:lang w:eastAsia="zh-CN"/>
        </w:rPr>
        <w:t>本</w:t>
      </w:r>
      <w:r w:rsidR="00C967C2">
        <w:rPr>
          <w:rFonts w:eastAsia="宋体" w:hint="eastAsia"/>
          <w:sz w:val="24"/>
          <w:szCs w:val="24"/>
          <w:lang w:eastAsia="zh-CN"/>
        </w:rPr>
        <w:t>标准</w:t>
      </w:r>
      <w:r w:rsidR="008A1ED9">
        <w:rPr>
          <w:rFonts w:eastAsia="宋体" w:hint="eastAsia"/>
          <w:sz w:val="24"/>
          <w:szCs w:val="24"/>
          <w:lang w:eastAsia="zh-CN"/>
        </w:rPr>
        <w:t>给出了</w:t>
      </w:r>
      <w:r w:rsidR="009779CA" w:rsidRPr="009779CA">
        <w:rPr>
          <w:rFonts w:eastAsia="宋体"/>
          <w:sz w:val="24"/>
          <w:szCs w:val="24"/>
          <w:lang w:eastAsia="zh-CN"/>
        </w:rPr>
        <w:t>乳腺癌类器官</w:t>
      </w:r>
      <w:r w:rsidR="008A1ED9">
        <w:rPr>
          <w:rFonts w:eastAsia="宋体" w:hint="eastAsia"/>
          <w:sz w:val="24"/>
          <w:szCs w:val="24"/>
          <w:lang w:eastAsia="zh-CN"/>
        </w:rPr>
        <w:t>的术语和定义。</w:t>
      </w:r>
      <w:r w:rsidR="00C967C2">
        <w:rPr>
          <w:rFonts w:eastAsia="宋体" w:hint="eastAsia"/>
          <w:sz w:val="24"/>
          <w:szCs w:val="24"/>
          <w:lang w:eastAsia="zh-CN"/>
        </w:rPr>
        <w:t>将</w:t>
      </w:r>
      <w:r w:rsidR="009779CA" w:rsidRPr="009779CA">
        <w:rPr>
          <w:rFonts w:eastAsia="宋体"/>
          <w:sz w:val="24"/>
          <w:szCs w:val="24"/>
          <w:lang w:eastAsia="zh-CN"/>
        </w:rPr>
        <w:t>乳腺癌类器官</w:t>
      </w:r>
      <w:r w:rsidR="00C967C2">
        <w:rPr>
          <w:rFonts w:eastAsia="宋体" w:hint="eastAsia"/>
          <w:sz w:val="24"/>
          <w:szCs w:val="24"/>
          <w:lang w:eastAsia="zh-CN"/>
        </w:rPr>
        <w:t>定义为：</w:t>
      </w:r>
      <w:r w:rsidR="009779CA" w:rsidRPr="009779CA">
        <w:rPr>
          <w:rFonts w:eastAsia="宋体"/>
          <w:sz w:val="24"/>
          <w:szCs w:val="24"/>
          <w:lang w:eastAsia="zh-CN"/>
        </w:rPr>
        <w:t>利用</w:t>
      </w:r>
    </w:p>
    <w:p w14:paraId="5FB98415" w14:textId="126C2743" w:rsidR="00C967C2" w:rsidRDefault="009779CA" w:rsidP="00352287">
      <w:pPr>
        <w:tabs>
          <w:tab w:val="left" w:pos="1815"/>
        </w:tabs>
        <w:spacing w:line="360" w:lineRule="auto"/>
        <w:rPr>
          <w:rFonts w:eastAsia="宋体" w:hint="eastAsia"/>
          <w:sz w:val="24"/>
          <w:szCs w:val="24"/>
          <w:lang w:eastAsia="zh-CN"/>
        </w:rPr>
      </w:pPr>
      <w:r w:rsidRPr="009779CA">
        <w:rPr>
          <w:rFonts w:eastAsia="宋体"/>
          <w:sz w:val="24"/>
          <w:szCs w:val="24"/>
          <w:lang w:eastAsia="zh-CN"/>
        </w:rPr>
        <w:t>乳腺癌患者的肿瘤组织或细胞，在体外三维培养条件下形成的具有类似原生组织结构的三维细胞团，能够模拟原生肿瘤组织的生理和病理特性</w:t>
      </w:r>
      <w:r w:rsidR="00981AB6" w:rsidRPr="00981AB6">
        <w:rPr>
          <w:rFonts w:eastAsia="宋体"/>
          <w:sz w:val="24"/>
          <w:szCs w:val="24"/>
          <w:lang w:eastAsia="zh-CN"/>
        </w:rPr>
        <w:t>。</w:t>
      </w:r>
    </w:p>
    <w:p w14:paraId="34FAA8D0" w14:textId="77777777" w:rsidR="009779CA" w:rsidRPr="009779CA" w:rsidRDefault="009779CA" w:rsidP="00352287">
      <w:pPr>
        <w:pStyle w:val="ab"/>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bookmarkStart w:id="0" w:name="_Toc170039694"/>
      <w:r w:rsidRPr="009779CA">
        <w:rPr>
          <w:rFonts w:asciiTheme="minorEastAsia" w:eastAsiaTheme="minorEastAsia" w:hAnsiTheme="minorEastAsia"/>
          <w:sz w:val="24"/>
          <w:szCs w:val="24"/>
        </w:rPr>
        <w:t>样本采集与处理</w:t>
      </w:r>
      <w:bookmarkEnd w:id="0"/>
    </w:p>
    <w:p w14:paraId="0F2AF3DB"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样本采集</w:t>
      </w:r>
    </w:p>
    <w:p w14:paraId="7DD9C630" w14:textId="20CB04F1" w:rsidR="009779CA" w:rsidRPr="009779CA" w:rsidRDefault="009779CA"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w:t>
      </w:r>
      <w:r w:rsidRPr="009779CA">
        <w:rPr>
          <w:rFonts w:asciiTheme="minorEastAsia" w:eastAsiaTheme="minorEastAsia" w:hAnsiTheme="minorEastAsia"/>
          <w:sz w:val="24"/>
          <w:szCs w:val="24"/>
        </w:rPr>
        <w:t>采集对象</w:t>
      </w:r>
      <w:r w:rsidRPr="009779CA">
        <w:rPr>
          <w:rFonts w:asciiTheme="minorEastAsia" w:eastAsiaTheme="minorEastAsia" w:hAnsiTheme="minorEastAsia" w:hint="eastAsia"/>
          <w:sz w:val="24"/>
          <w:szCs w:val="24"/>
        </w:rPr>
        <w:t>应为</w:t>
      </w:r>
      <w:r w:rsidRPr="009779CA">
        <w:rPr>
          <w:rFonts w:asciiTheme="minorEastAsia" w:eastAsiaTheme="minorEastAsia" w:hAnsiTheme="minorEastAsia"/>
          <w:sz w:val="24"/>
          <w:szCs w:val="24"/>
        </w:rPr>
        <w:t>确诊为乳腺癌的患者，在符合医学伦理和患者知情同意的前提下进行样本采集。</w:t>
      </w:r>
    </w:p>
    <w:p w14:paraId="26951108" w14:textId="427B9594" w:rsidR="009779CA" w:rsidRPr="009779CA" w:rsidRDefault="009779CA"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b）</w:t>
      </w:r>
      <w:r w:rsidRPr="009779CA">
        <w:rPr>
          <w:rFonts w:asciiTheme="minorEastAsia" w:eastAsiaTheme="minorEastAsia" w:hAnsiTheme="minorEastAsia"/>
          <w:sz w:val="24"/>
          <w:szCs w:val="24"/>
        </w:rPr>
        <w:t>通过手术或穿刺活检获取新鲜的乳腺癌组织样本。采集过程中应严格遵守无菌操作规范，避免样本污染。</w:t>
      </w:r>
    </w:p>
    <w:p w14:paraId="3FBB2178" w14:textId="28F37B5B" w:rsidR="009779CA" w:rsidRPr="009779CA" w:rsidRDefault="009779CA"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c）</w:t>
      </w:r>
      <w:r w:rsidRPr="009779CA">
        <w:rPr>
          <w:rFonts w:asciiTheme="minorEastAsia" w:eastAsiaTheme="minorEastAsia" w:hAnsiTheme="minorEastAsia"/>
          <w:sz w:val="24"/>
          <w:szCs w:val="24"/>
        </w:rPr>
        <w:t>根据实验需求采集足够量的样本，确保后续类器官培养和药物敏感性检测的顺利进行。</w:t>
      </w:r>
    </w:p>
    <w:p w14:paraId="08FFCFF7"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样本处理</w:t>
      </w:r>
    </w:p>
    <w:p w14:paraId="58D9E243" w14:textId="77777777" w:rsidR="009779CA" w:rsidRPr="009779CA" w:rsidRDefault="009779CA" w:rsidP="00352287">
      <w:pPr>
        <w:pStyle w:val="aff7"/>
        <w:spacing w:line="360" w:lineRule="auto"/>
        <w:ind w:firstLine="480"/>
        <w:rPr>
          <w:rFonts w:asciiTheme="minorEastAsia" w:eastAsiaTheme="minorEastAsia" w:hAnsiTheme="minorEastAsia" w:hint="eastAsia"/>
          <w:sz w:val="24"/>
          <w:szCs w:val="24"/>
        </w:rPr>
      </w:pPr>
      <w:r w:rsidRPr="009779CA">
        <w:rPr>
          <w:rFonts w:asciiTheme="minorEastAsia" w:eastAsiaTheme="minorEastAsia" w:hAnsiTheme="minorEastAsia" w:hint="eastAsia"/>
          <w:sz w:val="24"/>
          <w:szCs w:val="24"/>
        </w:rPr>
        <w:t>将采集到的乳腺癌组织样本按照以下步骤进行处理：</w:t>
      </w:r>
    </w:p>
    <w:p w14:paraId="39CA12A3" w14:textId="39B83D4F" w:rsidR="009779CA" w:rsidRPr="009779CA" w:rsidRDefault="009779CA"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sidRPr="009779CA">
        <w:rPr>
          <w:rFonts w:asciiTheme="minorEastAsia" w:eastAsiaTheme="minorEastAsia" w:hAnsiTheme="minorEastAsia"/>
          <w:sz w:val="24"/>
          <w:szCs w:val="24"/>
        </w:rPr>
        <w:t>初步处理：</w:t>
      </w:r>
      <w:r w:rsidRPr="009779CA">
        <w:rPr>
          <w:rFonts w:asciiTheme="minorEastAsia" w:eastAsiaTheme="minorEastAsia" w:hAnsiTheme="minorEastAsia" w:hint="eastAsia"/>
          <w:sz w:val="24"/>
          <w:szCs w:val="24"/>
        </w:rPr>
        <w:t>将</w:t>
      </w:r>
      <w:r w:rsidRPr="009779CA">
        <w:rPr>
          <w:rFonts w:asciiTheme="minorEastAsia" w:eastAsiaTheme="minorEastAsia" w:hAnsiTheme="minorEastAsia"/>
          <w:sz w:val="24"/>
          <w:szCs w:val="24"/>
        </w:rPr>
        <w:t>组织样本立即放入含有适量培养基或保存液的无菌容器中，以保持细胞的活性</w:t>
      </w:r>
      <w:r w:rsidRPr="009779CA">
        <w:rPr>
          <w:rFonts w:asciiTheme="minorEastAsia" w:eastAsiaTheme="minorEastAsia" w:hAnsiTheme="minorEastAsia" w:hint="eastAsia"/>
          <w:sz w:val="24"/>
          <w:szCs w:val="24"/>
        </w:rPr>
        <w:t>；</w:t>
      </w:r>
    </w:p>
    <w:p w14:paraId="1839B914" w14:textId="78E86F5C" w:rsidR="009779CA" w:rsidRPr="009779CA" w:rsidRDefault="009779CA"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Pr="009779CA">
        <w:rPr>
          <w:rFonts w:asciiTheme="minorEastAsia" w:eastAsiaTheme="minorEastAsia" w:hAnsiTheme="minorEastAsia"/>
          <w:sz w:val="24"/>
          <w:szCs w:val="24"/>
        </w:rPr>
        <w:t>清洗与消毒：用无菌生理盐水或PBS缓冲液轻轻冲洗样本，去除表面的血迹和污染物。避免使用刺激性强的化学消毒剂</w:t>
      </w:r>
      <w:r w:rsidRPr="009779CA">
        <w:rPr>
          <w:rFonts w:asciiTheme="minorEastAsia" w:eastAsiaTheme="minorEastAsia" w:hAnsiTheme="minorEastAsia" w:hint="eastAsia"/>
          <w:sz w:val="24"/>
          <w:szCs w:val="24"/>
        </w:rPr>
        <w:t>；</w:t>
      </w:r>
    </w:p>
    <w:p w14:paraId="797E0124" w14:textId="10C8C10D" w:rsidR="009779CA" w:rsidRPr="009779CA" w:rsidRDefault="009779CA"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sidRPr="009779CA">
        <w:rPr>
          <w:rFonts w:asciiTheme="minorEastAsia" w:eastAsiaTheme="minorEastAsia" w:hAnsiTheme="minorEastAsia"/>
          <w:sz w:val="24"/>
          <w:szCs w:val="24"/>
        </w:rPr>
        <w:t>切割与消化：将组织样本切割成小块，便于后续的消化和分离。使用适宜的消化酶（如胰蛋白酶、胶原酶等）在37℃下进行消化，直至组织块分散成单个细胞或细胞团</w:t>
      </w:r>
      <w:r w:rsidRPr="009779CA">
        <w:rPr>
          <w:rFonts w:asciiTheme="minorEastAsia" w:eastAsiaTheme="minorEastAsia" w:hAnsiTheme="minorEastAsia" w:hint="eastAsia"/>
          <w:sz w:val="24"/>
          <w:szCs w:val="24"/>
        </w:rPr>
        <w:t>；</w:t>
      </w:r>
    </w:p>
    <w:p w14:paraId="71FEA9DA" w14:textId="4F56D01A" w:rsidR="009779CA" w:rsidRPr="009779CA" w:rsidRDefault="009779CA"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4）</w:t>
      </w:r>
      <w:r w:rsidRPr="009779CA">
        <w:rPr>
          <w:rFonts w:asciiTheme="minorEastAsia" w:eastAsiaTheme="minorEastAsia" w:hAnsiTheme="minorEastAsia"/>
          <w:sz w:val="24"/>
          <w:szCs w:val="24"/>
        </w:rPr>
        <w:t>细胞悬液制备：消化完成后，通过离心去除消化液，加入适量的培养基重悬细胞，制备成单细胞悬液，用于后续的类器官培养。</w:t>
      </w:r>
    </w:p>
    <w:p w14:paraId="51C70010"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质量控制与记录</w:t>
      </w:r>
    </w:p>
    <w:p w14:paraId="5A5A46FE" w14:textId="038035AC" w:rsidR="009779CA" w:rsidRPr="009779CA" w:rsidRDefault="009779CA"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w:t>
      </w:r>
      <w:r w:rsidRPr="009779CA">
        <w:rPr>
          <w:rFonts w:asciiTheme="minorEastAsia" w:eastAsiaTheme="minorEastAsia" w:hAnsiTheme="minorEastAsia"/>
          <w:sz w:val="24"/>
          <w:szCs w:val="24"/>
        </w:rPr>
        <w:t>在样本处理过程中和处理后，应进行细胞活性检测（如</w:t>
      </w:r>
      <w:proofErr w:type="gramStart"/>
      <w:r w:rsidRPr="009779CA">
        <w:rPr>
          <w:rFonts w:asciiTheme="minorEastAsia" w:eastAsiaTheme="minorEastAsia" w:hAnsiTheme="minorEastAsia"/>
          <w:sz w:val="24"/>
          <w:szCs w:val="24"/>
        </w:rPr>
        <w:t>台盼蓝</w:t>
      </w:r>
      <w:proofErr w:type="gramEnd"/>
      <w:r w:rsidRPr="009779CA">
        <w:rPr>
          <w:rFonts w:asciiTheme="minorEastAsia" w:eastAsiaTheme="minorEastAsia" w:hAnsiTheme="minorEastAsia"/>
          <w:sz w:val="24"/>
          <w:szCs w:val="24"/>
        </w:rPr>
        <w:t>染色法），确保细胞的活力和数量满足实验要求。</w:t>
      </w:r>
    </w:p>
    <w:p w14:paraId="54626EAA" w14:textId="2171BCC9" w:rsidR="009779CA" w:rsidRPr="009779CA" w:rsidRDefault="009779CA" w:rsidP="009779CA">
      <w:pPr>
        <w:pStyle w:val="a8"/>
        <w:numPr>
          <w:ilvl w:val="0"/>
          <w:numId w:val="14"/>
        </w:numPr>
        <w:spacing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对处理后的细胞悬液进行微生物污染检测，确保无细菌、真菌等污染。</w:t>
      </w:r>
    </w:p>
    <w:p w14:paraId="5F3C5B47" w14:textId="4110D3CC" w:rsidR="009779CA" w:rsidRPr="009779CA" w:rsidRDefault="009779CA"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c）</w:t>
      </w:r>
      <w:r w:rsidRPr="009779CA">
        <w:rPr>
          <w:rFonts w:asciiTheme="minorEastAsia" w:eastAsiaTheme="minorEastAsia" w:hAnsiTheme="minorEastAsia"/>
          <w:sz w:val="24"/>
          <w:szCs w:val="24"/>
        </w:rPr>
        <w:t>详细记录样本的采集时间、地点、患者信息等，以及样本处理过程中的关键步骤和参数，确保实验的可追溯性和重复性。</w:t>
      </w:r>
    </w:p>
    <w:p w14:paraId="2986A5BC" w14:textId="77777777" w:rsidR="009779CA" w:rsidRPr="009779CA" w:rsidRDefault="009779CA" w:rsidP="00352287">
      <w:pPr>
        <w:pStyle w:val="ab"/>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bookmarkStart w:id="1" w:name="_Toc170039695"/>
      <w:r w:rsidRPr="009779CA">
        <w:rPr>
          <w:rFonts w:asciiTheme="minorEastAsia" w:eastAsiaTheme="minorEastAsia" w:hAnsiTheme="minorEastAsia"/>
          <w:sz w:val="24"/>
          <w:szCs w:val="24"/>
        </w:rPr>
        <w:t>类器官建立与培养</w:t>
      </w:r>
      <w:bookmarkEnd w:id="1"/>
    </w:p>
    <w:p w14:paraId="2D90E933"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细胞接种与基质准备</w:t>
      </w:r>
    </w:p>
    <w:p w14:paraId="2B4F2371" w14:textId="5A70612D"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w:t>
      </w:r>
      <w:r w:rsidR="009779CA" w:rsidRPr="009779CA">
        <w:rPr>
          <w:rFonts w:asciiTheme="minorEastAsia" w:eastAsiaTheme="minorEastAsia" w:hAnsiTheme="minorEastAsia"/>
          <w:sz w:val="24"/>
          <w:szCs w:val="24"/>
        </w:rPr>
        <w:t>基质胶准备</w:t>
      </w:r>
    </w:p>
    <w:p w14:paraId="160F7EB2" w14:textId="77777777" w:rsidR="009779CA" w:rsidRPr="009779CA" w:rsidRDefault="009779CA" w:rsidP="00CE4E1E">
      <w:pPr>
        <w:pStyle w:val="aff7"/>
        <w:spacing w:line="360" w:lineRule="auto"/>
        <w:ind w:firstLineChars="0" w:firstLine="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选择适宜的基质胶，如Matrigel或其他生物工程基质，用于模拟体内微环境，并为类器官的形成提供支持。</w:t>
      </w:r>
    </w:p>
    <w:p w14:paraId="6B7C2191" w14:textId="3FE084AD"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b）</w:t>
      </w:r>
      <w:r w:rsidR="009779CA" w:rsidRPr="009779CA">
        <w:rPr>
          <w:rFonts w:asciiTheme="minorEastAsia" w:eastAsiaTheme="minorEastAsia" w:hAnsiTheme="minorEastAsia"/>
          <w:sz w:val="24"/>
          <w:szCs w:val="24"/>
        </w:rPr>
        <w:t>细胞接种</w:t>
      </w:r>
    </w:p>
    <w:p w14:paraId="1420ACA4" w14:textId="77777777" w:rsidR="009779CA" w:rsidRPr="009779CA" w:rsidRDefault="009779CA" w:rsidP="00CE4E1E">
      <w:pPr>
        <w:pStyle w:val="aff7"/>
        <w:spacing w:line="360" w:lineRule="auto"/>
        <w:ind w:firstLineChars="0" w:firstLine="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将处理好的乳腺癌细胞或细胞团接种在基质胶上，确保细胞分布均匀，密度适中。</w:t>
      </w:r>
    </w:p>
    <w:p w14:paraId="448BD7E2"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培养条件设置</w:t>
      </w:r>
    </w:p>
    <w:p w14:paraId="43E5DDCE" w14:textId="787B80EC"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w:t>
      </w:r>
      <w:r w:rsidR="009779CA" w:rsidRPr="009779CA">
        <w:rPr>
          <w:rFonts w:asciiTheme="minorEastAsia" w:eastAsiaTheme="minorEastAsia" w:hAnsiTheme="minorEastAsia"/>
          <w:sz w:val="24"/>
          <w:szCs w:val="24"/>
        </w:rPr>
        <w:t>培养基</w:t>
      </w:r>
    </w:p>
    <w:p w14:paraId="647B0678" w14:textId="77777777" w:rsidR="009779CA" w:rsidRPr="009779CA" w:rsidRDefault="009779CA" w:rsidP="00CE4E1E">
      <w:pPr>
        <w:pStyle w:val="aff7"/>
        <w:spacing w:line="360" w:lineRule="auto"/>
        <w:ind w:firstLineChars="0" w:firstLine="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根据乳腺癌类器官的生长需求，选择含有必需营养成分、生长因子和激素的培养基。</w:t>
      </w:r>
    </w:p>
    <w:p w14:paraId="5EB4133E" w14:textId="4C3ABE87"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b）</w:t>
      </w:r>
      <w:r w:rsidR="009779CA" w:rsidRPr="009779CA">
        <w:rPr>
          <w:rFonts w:asciiTheme="minorEastAsia" w:eastAsiaTheme="minorEastAsia" w:hAnsiTheme="minorEastAsia"/>
          <w:sz w:val="24"/>
          <w:szCs w:val="24"/>
        </w:rPr>
        <w:t>环境条件</w:t>
      </w:r>
    </w:p>
    <w:p w14:paraId="3D530FB5" w14:textId="77777777" w:rsidR="009779CA" w:rsidRPr="009779CA" w:rsidRDefault="009779CA" w:rsidP="00CE4E1E">
      <w:pPr>
        <w:pStyle w:val="aff7"/>
        <w:spacing w:line="360" w:lineRule="auto"/>
        <w:ind w:firstLineChars="0" w:firstLine="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维持培养环境的温度在37°C，CO</w:t>
      </w:r>
      <w:r w:rsidRPr="009779CA">
        <w:rPr>
          <w:rFonts w:asciiTheme="minorEastAsia" w:eastAsiaTheme="minorEastAsia" w:hAnsiTheme="minorEastAsia"/>
          <w:sz w:val="24"/>
          <w:szCs w:val="24"/>
          <w:vertAlign w:val="subscript"/>
        </w:rPr>
        <w:t>2</w:t>
      </w:r>
      <w:r w:rsidRPr="009779CA">
        <w:rPr>
          <w:rFonts w:asciiTheme="minorEastAsia" w:eastAsiaTheme="minorEastAsia" w:hAnsiTheme="minorEastAsia"/>
          <w:sz w:val="24"/>
          <w:szCs w:val="24"/>
        </w:rPr>
        <w:t>浓度为5%，并保持适宜的湿度，以模拟体内生理条件。</w:t>
      </w:r>
    </w:p>
    <w:p w14:paraId="368E78F5" w14:textId="50C281E2"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c）</w:t>
      </w:r>
      <w:proofErr w:type="gramStart"/>
      <w:r w:rsidR="009779CA" w:rsidRPr="009779CA">
        <w:rPr>
          <w:rFonts w:asciiTheme="minorEastAsia" w:eastAsiaTheme="minorEastAsia" w:hAnsiTheme="minorEastAsia" w:hint="eastAsia"/>
          <w:sz w:val="24"/>
          <w:szCs w:val="24"/>
        </w:rPr>
        <w:t>换液与</w:t>
      </w:r>
      <w:proofErr w:type="gramEnd"/>
      <w:r w:rsidR="009779CA" w:rsidRPr="009779CA">
        <w:rPr>
          <w:rFonts w:asciiTheme="minorEastAsia" w:eastAsiaTheme="minorEastAsia" w:hAnsiTheme="minorEastAsia" w:hint="eastAsia"/>
          <w:sz w:val="24"/>
          <w:szCs w:val="24"/>
        </w:rPr>
        <w:t>观察</w:t>
      </w:r>
    </w:p>
    <w:p w14:paraId="12C31F8E" w14:textId="77777777" w:rsidR="009779CA" w:rsidRPr="009779CA" w:rsidRDefault="009779CA" w:rsidP="00CE4E1E">
      <w:pPr>
        <w:pStyle w:val="aff7"/>
        <w:spacing w:line="360" w:lineRule="auto"/>
        <w:ind w:firstLineChars="0" w:firstLine="0"/>
        <w:rPr>
          <w:rFonts w:asciiTheme="minorEastAsia" w:eastAsiaTheme="minorEastAsia" w:hAnsiTheme="minorEastAsia" w:hint="eastAsia"/>
          <w:sz w:val="24"/>
          <w:szCs w:val="24"/>
        </w:rPr>
      </w:pPr>
      <w:r w:rsidRPr="009779CA">
        <w:rPr>
          <w:rFonts w:asciiTheme="minorEastAsia" w:eastAsiaTheme="minorEastAsia" w:hAnsiTheme="minorEastAsia" w:hint="eastAsia"/>
          <w:sz w:val="24"/>
          <w:szCs w:val="24"/>
        </w:rPr>
        <w:t>定期更换培养基，以去除代谢产物和补充营养物质。同时，定期观察类器官的生长情况，记录形态变化、增殖速率等关键指标。</w:t>
      </w:r>
    </w:p>
    <w:p w14:paraId="629E482D"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类器官形成与监测</w:t>
      </w:r>
    </w:p>
    <w:p w14:paraId="6D43CC06" w14:textId="4FD7B96A" w:rsidR="009779CA" w:rsidRPr="009779CA" w:rsidRDefault="00CE4E1E"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w:t>
      </w:r>
      <w:r w:rsidR="009779CA" w:rsidRPr="009779CA">
        <w:rPr>
          <w:rFonts w:asciiTheme="minorEastAsia" w:eastAsiaTheme="minorEastAsia" w:hAnsiTheme="minorEastAsia"/>
          <w:sz w:val="24"/>
          <w:szCs w:val="24"/>
        </w:rPr>
        <w:t>在接种后，持续监测细胞在基质胶中的生长和分化情况，直至形成具有三维结构的类器官。</w:t>
      </w:r>
    </w:p>
    <w:p w14:paraId="5CF6EEAD" w14:textId="5DF2BA8E" w:rsidR="009779CA" w:rsidRPr="009779CA" w:rsidRDefault="00CE4E1E"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b）</w:t>
      </w:r>
      <w:r w:rsidR="009779CA" w:rsidRPr="009779CA">
        <w:rPr>
          <w:rFonts w:asciiTheme="minorEastAsia" w:eastAsiaTheme="minorEastAsia" w:hAnsiTheme="minorEastAsia"/>
          <w:sz w:val="24"/>
          <w:szCs w:val="24"/>
        </w:rPr>
        <w:t>定期使用显微镜观察类器官的形态学特征，确保其结构与原生乳腺癌组织相似。</w:t>
      </w:r>
    </w:p>
    <w:p w14:paraId="082F3D4A"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培养周期与传代</w:t>
      </w:r>
    </w:p>
    <w:p w14:paraId="174EFC94" w14:textId="20DF7676" w:rsidR="009779CA" w:rsidRPr="009779CA" w:rsidRDefault="009779CA" w:rsidP="00CE4E1E">
      <w:pPr>
        <w:pStyle w:val="a8"/>
        <w:numPr>
          <w:ilvl w:val="0"/>
          <w:numId w:val="15"/>
        </w:numPr>
        <w:spacing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根据类器官的生长速度和实验需求，设定合理的培养周期。</w:t>
      </w:r>
    </w:p>
    <w:p w14:paraId="4C3C7230" w14:textId="1E9FAE3A" w:rsidR="009779CA" w:rsidRPr="009779CA" w:rsidRDefault="00CE4E1E"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b）</w:t>
      </w:r>
      <w:r w:rsidR="009779CA" w:rsidRPr="009779CA">
        <w:rPr>
          <w:rFonts w:asciiTheme="minorEastAsia" w:eastAsiaTheme="minorEastAsia" w:hAnsiTheme="minorEastAsia"/>
          <w:sz w:val="24"/>
          <w:szCs w:val="24"/>
        </w:rPr>
        <w:t>当类器官生长到一定程度时，进行传代操作，即将类器官分散成单个细胞或小块，重新接种到新的基质胶上继续培养。</w:t>
      </w:r>
    </w:p>
    <w:p w14:paraId="45F56CA9"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培养过程中的质量控制</w:t>
      </w:r>
    </w:p>
    <w:p w14:paraId="73566556" w14:textId="0D5865D4" w:rsidR="009779CA" w:rsidRPr="009779CA" w:rsidRDefault="009779CA" w:rsidP="00CE4E1E">
      <w:pPr>
        <w:pStyle w:val="a8"/>
        <w:numPr>
          <w:ilvl w:val="0"/>
          <w:numId w:val="16"/>
        </w:numPr>
        <w:spacing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定期对培养物进行污染检测，确保无细菌、真菌或其他微生物的污染。</w:t>
      </w:r>
    </w:p>
    <w:p w14:paraId="547A7B31" w14:textId="595EA453" w:rsidR="009779CA" w:rsidRPr="009779CA" w:rsidRDefault="00CE4E1E" w:rsidP="00352287">
      <w:pPr>
        <w:pStyle w:val="a8"/>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b）</w:t>
      </w:r>
      <w:r w:rsidR="009779CA" w:rsidRPr="009779CA">
        <w:rPr>
          <w:rFonts w:asciiTheme="minorEastAsia" w:eastAsiaTheme="minorEastAsia" w:hAnsiTheme="minorEastAsia"/>
          <w:sz w:val="24"/>
          <w:szCs w:val="24"/>
        </w:rPr>
        <w:t>详细记录类器官的生长情况，包括形态学变化、生长速度等，以便后续分析。</w:t>
      </w:r>
    </w:p>
    <w:p w14:paraId="79D4F6D1" w14:textId="77777777" w:rsidR="009779CA" w:rsidRPr="009779CA" w:rsidRDefault="009779CA" w:rsidP="00352287">
      <w:pPr>
        <w:pStyle w:val="ab"/>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bookmarkStart w:id="2" w:name="_Toc170039696"/>
      <w:r w:rsidRPr="009779CA">
        <w:rPr>
          <w:rFonts w:asciiTheme="minorEastAsia" w:eastAsiaTheme="minorEastAsia" w:hAnsiTheme="minorEastAsia"/>
          <w:sz w:val="24"/>
          <w:szCs w:val="24"/>
        </w:rPr>
        <w:t>药物敏感性检测</w:t>
      </w:r>
      <w:bookmarkEnd w:id="2"/>
    </w:p>
    <w:p w14:paraId="7A0D9EF7" w14:textId="4C214FB5" w:rsidR="009779CA" w:rsidRPr="009779CA" w:rsidRDefault="00CE4E1E"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w:t>
      </w:r>
      <w:r w:rsidR="009779CA" w:rsidRPr="009779CA">
        <w:rPr>
          <w:rFonts w:asciiTheme="minorEastAsia" w:eastAsiaTheme="minorEastAsia" w:hAnsiTheme="minorEastAsia"/>
          <w:sz w:val="24"/>
          <w:szCs w:val="24"/>
        </w:rPr>
        <w:t>检测原理</w:t>
      </w:r>
    </w:p>
    <w:p w14:paraId="7798716C" w14:textId="77777777" w:rsidR="009779CA" w:rsidRPr="009779CA" w:rsidRDefault="009779CA" w:rsidP="00CE4E1E">
      <w:pPr>
        <w:pStyle w:val="aff7"/>
        <w:spacing w:line="360" w:lineRule="auto"/>
        <w:ind w:firstLineChars="0" w:firstLine="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药物敏感性检测基于类器官对药物的反应来评估其疗效。通过检测药物对乳腺癌类器官生长、增殖或凋亡的影响，预测该药物对患者的可能疗效。</w:t>
      </w:r>
    </w:p>
    <w:p w14:paraId="2E443AA4" w14:textId="3AE4AF45" w:rsidR="009779CA" w:rsidRPr="009779CA" w:rsidRDefault="009779CA" w:rsidP="00CE4E1E">
      <w:pPr>
        <w:pStyle w:val="ac"/>
        <w:numPr>
          <w:ilvl w:val="0"/>
          <w:numId w:val="16"/>
        </w:numPr>
        <w:spacing w:beforeLines="0" w:before="0" w:afterLines="0" w:after="0"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实验准备</w:t>
      </w:r>
    </w:p>
    <w:p w14:paraId="7AFFA34E" w14:textId="76859132"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sidR="009779CA" w:rsidRPr="009779CA">
        <w:rPr>
          <w:rFonts w:asciiTheme="minorEastAsia" w:eastAsiaTheme="minorEastAsia" w:hAnsiTheme="minorEastAsia"/>
          <w:sz w:val="24"/>
          <w:szCs w:val="24"/>
        </w:rPr>
        <w:t>药物选择</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根据临床需求和患者情况，选择待测药物。</w:t>
      </w:r>
    </w:p>
    <w:p w14:paraId="0492D590" w14:textId="6BFB4B84"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9779CA" w:rsidRPr="009779CA">
        <w:rPr>
          <w:rFonts w:asciiTheme="minorEastAsia" w:eastAsiaTheme="minorEastAsia" w:hAnsiTheme="minorEastAsia"/>
          <w:sz w:val="24"/>
          <w:szCs w:val="24"/>
        </w:rPr>
        <w:t>药物浓度设置</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针对每种药物，设定多个浓度梯度，以全面评估药物在不同浓度下对类器官的影响。</w:t>
      </w:r>
    </w:p>
    <w:p w14:paraId="74829845" w14:textId="6B586042"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sidR="009779CA" w:rsidRPr="009779CA">
        <w:rPr>
          <w:rFonts w:asciiTheme="minorEastAsia" w:eastAsiaTheme="minorEastAsia" w:hAnsiTheme="minorEastAsia"/>
          <w:sz w:val="24"/>
          <w:szCs w:val="24"/>
        </w:rPr>
        <w:t>对照组设置</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设立未经药物处理的对照组，以便准确评估药物效应。</w:t>
      </w:r>
    </w:p>
    <w:p w14:paraId="51188CCC" w14:textId="4322D9EB" w:rsidR="009779CA" w:rsidRPr="009779CA" w:rsidRDefault="009779CA" w:rsidP="00CE4E1E">
      <w:pPr>
        <w:pStyle w:val="ac"/>
        <w:numPr>
          <w:ilvl w:val="0"/>
          <w:numId w:val="16"/>
        </w:numPr>
        <w:spacing w:beforeLines="0" w:before="0" w:afterLines="0" w:after="0"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铺板</w:t>
      </w:r>
    </w:p>
    <w:p w14:paraId="2A501467" w14:textId="67FF8765"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sidR="009779CA" w:rsidRPr="009779CA">
        <w:rPr>
          <w:rFonts w:asciiTheme="minorEastAsia" w:eastAsiaTheme="minorEastAsia" w:hAnsiTheme="minorEastAsia"/>
          <w:sz w:val="24"/>
          <w:szCs w:val="24"/>
        </w:rPr>
        <w:t>培养板的选择</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应选择透明、无菌、对细胞无毒性的培养板，以确保类器官的正常生长和观察。</w:t>
      </w:r>
      <w:r w:rsidR="009779CA" w:rsidRPr="009779CA">
        <w:rPr>
          <w:rFonts w:asciiTheme="minorEastAsia" w:eastAsiaTheme="minorEastAsia" w:hAnsiTheme="minorEastAsia" w:hint="eastAsia"/>
          <w:sz w:val="24"/>
          <w:szCs w:val="24"/>
        </w:rPr>
        <w:t>宜</w:t>
      </w:r>
      <w:r w:rsidR="009779CA" w:rsidRPr="009779CA">
        <w:rPr>
          <w:rFonts w:asciiTheme="minorEastAsia" w:eastAsiaTheme="minorEastAsia" w:hAnsiTheme="minorEastAsia"/>
          <w:sz w:val="24"/>
          <w:szCs w:val="24"/>
        </w:rPr>
        <w:t>使用低吸附性的培养板，以减少类器官与培养板表面的粘附，保持类器官的3D结构。</w:t>
      </w:r>
    </w:p>
    <w:p w14:paraId="6602E642" w14:textId="353436EE"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9779CA" w:rsidRPr="009779CA">
        <w:rPr>
          <w:rFonts w:asciiTheme="minorEastAsia" w:eastAsiaTheme="minorEastAsia" w:hAnsiTheme="minorEastAsia"/>
          <w:sz w:val="24"/>
          <w:szCs w:val="24"/>
        </w:rPr>
        <w:t>类器官密度</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在铺板时，应控制类器官的密度，避免过度拥挤或过于稀疏，以保证类器官的正常生长和药物敏感性检测的准确性。</w:t>
      </w:r>
    </w:p>
    <w:p w14:paraId="184852B6" w14:textId="77777777" w:rsidR="009779CA" w:rsidRPr="009779CA" w:rsidRDefault="009779CA" w:rsidP="00352287">
      <w:pPr>
        <w:pStyle w:val="aff7"/>
        <w:spacing w:line="360" w:lineRule="auto"/>
        <w:ind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推荐的类器官密度应根据具体实验条件和类器官的大小而定，一般建议在培养板的每个孔中放置适当数量的类器官。</w:t>
      </w:r>
    </w:p>
    <w:p w14:paraId="0DCE6EEA" w14:textId="09F046B7"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sidR="009779CA" w:rsidRPr="009779CA">
        <w:rPr>
          <w:rFonts w:asciiTheme="minorEastAsia" w:eastAsiaTheme="minorEastAsia" w:hAnsiTheme="minorEastAsia"/>
          <w:sz w:val="24"/>
          <w:szCs w:val="24"/>
        </w:rPr>
        <w:t>基质胶浓度和体积</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基质胶应用于支持类器官的生长和维持其3D结构。基质胶的浓度和体积应根据类器官的类型和大小进行优化，以确保类器官在培</w:t>
      </w:r>
      <w:r w:rsidR="009779CA" w:rsidRPr="009779CA">
        <w:rPr>
          <w:rFonts w:asciiTheme="minorEastAsia" w:eastAsiaTheme="minorEastAsia" w:hAnsiTheme="minorEastAsia"/>
          <w:sz w:val="24"/>
          <w:szCs w:val="24"/>
        </w:rPr>
        <w:lastRenderedPageBreak/>
        <w:t>养过程中的稳定性和生长状况。</w:t>
      </w:r>
    </w:p>
    <w:p w14:paraId="4381D156" w14:textId="70D594BD" w:rsidR="009779CA" w:rsidRPr="009779CA" w:rsidRDefault="009779CA" w:rsidP="00CE4E1E">
      <w:pPr>
        <w:pStyle w:val="ac"/>
        <w:numPr>
          <w:ilvl w:val="0"/>
          <w:numId w:val="16"/>
        </w:numPr>
        <w:spacing w:beforeLines="0" w:before="0" w:afterLines="0" w:after="0"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加药</w:t>
      </w:r>
    </w:p>
    <w:p w14:paraId="0DC5ACE4" w14:textId="268A835D"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sidR="009779CA" w:rsidRPr="009779CA">
        <w:rPr>
          <w:rFonts w:asciiTheme="minorEastAsia" w:eastAsiaTheme="minorEastAsia" w:hAnsiTheme="minorEastAsia"/>
          <w:sz w:val="24"/>
          <w:szCs w:val="24"/>
        </w:rPr>
        <w:t>药敏培养基配方</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药敏培养基应包含必需的营养成分和生长因子，以支持类器官的正常生长和代谢。培养基的配方应根据类器官的具体需求和实验设计进行优化。</w:t>
      </w:r>
    </w:p>
    <w:p w14:paraId="0266097B" w14:textId="35AE1A55"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9779CA" w:rsidRPr="009779CA">
        <w:rPr>
          <w:rFonts w:asciiTheme="minorEastAsia" w:eastAsiaTheme="minorEastAsia" w:hAnsiTheme="minorEastAsia"/>
          <w:sz w:val="24"/>
          <w:szCs w:val="24"/>
        </w:rPr>
        <w:t>药物浓度梯度稀释</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药物应按照预定的浓度梯度进行稀释，以评估不同药物浓度对类器官的影响。稀释过程中应确保药物的均匀分布和准确浓度，避免浓度误差对实验结果的影响。</w:t>
      </w:r>
    </w:p>
    <w:p w14:paraId="0127ED79" w14:textId="5769D03B"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sidR="009779CA" w:rsidRPr="009779CA">
        <w:rPr>
          <w:rFonts w:asciiTheme="minorEastAsia" w:eastAsiaTheme="minorEastAsia" w:hAnsiTheme="minorEastAsia"/>
          <w:sz w:val="24"/>
          <w:szCs w:val="24"/>
        </w:rPr>
        <w:t>药物处理时间</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药物处理时间应根据药物的性质和实验目的进行确定。推荐在处理前进行预实验，以确定最佳的药物处理时间。</w:t>
      </w:r>
    </w:p>
    <w:p w14:paraId="73CDDA20" w14:textId="6F79CAED" w:rsidR="009779CA" w:rsidRPr="009779CA" w:rsidRDefault="009779CA" w:rsidP="00CE4E1E">
      <w:pPr>
        <w:pStyle w:val="ac"/>
        <w:numPr>
          <w:ilvl w:val="0"/>
          <w:numId w:val="16"/>
        </w:numPr>
        <w:spacing w:beforeLines="0" w:before="0" w:afterLines="0" w:after="0"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检测</w:t>
      </w:r>
    </w:p>
    <w:p w14:paraId="1ED3A846" w14:textId="592878A9"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sidR="009779CA" w:rsidRPr="009779CA">
        <w:rPr>
          <w:rFonts w:asciiTheme="minorEastAsia" w:eastAsiaTheme="minorEastAsia" w:hAnsiTheme="minorEastAsia"/>
          <w:sz w:val="24"/>
          <w:szCs w:val="24"/>
        </w:rPr>
        <w:t>3D类器官细胞活力ATP检测法</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通过测量类器官中的ATP水平来评估细胞活力。应按照试剂盒说明书进行操作，确保测量结果的准确性。</w:t>
      </w:r>
    </w:p>
    <w:p w14:paraId="3420C060" w14:textId="4C244F76"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9779CA" w:rsidRPr="009779CA">
        <w:rPr>
          <w:rFonts w:asciiTheme="minorEastAsia" w:eastAsiaTheme="minorEastAsia" w:hAnsiTheme="minorEastAsia"/>
          <w:sz w:val="24"/>
          <w:szCs w:val="24"/>
        </w:rPr>
        <w:t>3D无损成像检测法</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使用高分辨率显微镜对类器官进行无损成像，观察类器官的形态变化和生长情况。成像过程中应避免对类器官造成损伤或干扰。</w:t>
      </w:r>
    </w:p>
    <w:p w14:paraId="58BF7D6C" w14:textId="7B418A00"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sidR="009779CA" w:rsidRPr="009779CA">
        <w:rPr>
          <w:rFonts w:asciiTheme="minorEastAsia" w:eastAsiaTheme="minorEastAsia" w:hAnsiTheme="minorEastAsia"/>
          <w:sz w:val="24"/>
          <w:szCs w:val="24"/>
        </w:rPr>
        <w:t>AOPI荧光染色检测法</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使用AOPI荧光染料对类器官进行染色，通过荧光显微镜观察活细胞和死细胞的分布情况。染色过程中应确保染料的均匀渗透和适当浓度，以获得清晰的荧光信号。</w:t>
      </w:r>
    </w:p>
    <w:p w14:paraId="453B71D9" w14:textId="3E5D7973" w:rsidR="009779CA" w:rsidRPr="009779CA" w:rsidRDefault="009779CA" w:rsidP="00CE4E1E">
      <w:pPr>
        <w:pStyle w:val="ac"/>
        <w:numPr>
          <w:ilvl w:val="0"/>
          <w:numId w:val="16"/>
        </w:numPr>
        <w:spacing w:beforeLines="0" w:before="0" w:afterLines="0" w:after="0"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数据分析</w:t>
      </w:r>
    </w:p>
    <w:p w14:paraId="4512E71F" w14:textId="4332C9B6"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sidR="009779CA" w:rsidRPr="009779CA">
        <w:rPr>
          <w:rFonts w:asciiTheme="minorEastAsia" w:eastAsiaTheme="minorEastAsia" w:hAnsiTheme="minorEastAsia"/>
          <w:sz w:val="24"/>
          <w:szCs w:val="24"/>
        </w:rPr>
        <w:t>IC50计算</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根据药物浓度和对应的细胞活力数据，使用合适的统计方法计算IC50值（半抑制浓度）。IC50值可用于评估药物对类器官的抑制效果，并比较不同药物或不同类器官之间的敏感性差异。</w:t>
      </w:r>
    </w:p>
    <w:p w14:paraId="10BF8F1B" w14:textId="2B036561"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9779CA" w:rsidRPr="009779CA">
        <w:rPr>
          <w:rFonts w:asciiTheme="minorEastAsia" w:eastAsiaTheme="minorEastAsia" w:hAnsiTheme="minorEastAsia"/>
          <w:sz w:val="24"/>
          <w:szCs w:val="24"/>
        </w:rPr>
        <w:t>类器官图片分析</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对类器官的图片进行定量分析，包括大小、数量、边缘粗糙度、中空度等反应器官活力的指标</w:t>
      </w:r>
      <w:r w:rsidR="009779CA" w:rsidRPr="009779CA">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可用于评估类器官的生长状况和药物对类器官形态的影响。</w:t>
      </w:r>
    </w:p>
    <w:p w14:paraId="31F16724" w14:textId="3CCC59FB"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sidR="009779CA" w:rsidRPr="009779CA">
        <w:rPr>
          <w:rFonts w:asciiTheme="minorEastAsia" w:eastAsiaTheme="minorEastAsia" w:hAnsiTheme="minorEastAsia"/>
          <w:sz w:val="24"/>
          <w:szCs w:val="24"/>
        </w:rPr>
        <w:t>荧光强度分析</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对AOPI荧光染色后的类器官图片进行荧光强度分析，分别计算绿色荧光（代表活细胞）和红色荧光（代表死细胞）的强度。通过比较不同药物处理组之间的荧光强度差异，评估药物对类器官细胞活力的影响。</w:t>
      </w:r>
    </w:p>
    <w:p w14:paraId="150E9B59" w14:textId="10051753" w:rsidR="009779CA" w:rsidRPr="009779CA" w:rsidRDefault="009779CA" w:rsidP="00CE4E1E">
      <w:pPr>
        <w:pStyle w:val="ac"/>
        <w:numPr>
          <w:ilvl w:val="0"/>
          <w:numId w:val="16"/>
        </w:numPr>
        <w:spacing w:beforeLines="0" w:before="0" w:afterLines="0" w:after="0" w:line="360" w:lineRule="auto"/>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结果</w:t>
      </w:r>
      <w:r w:rsidRPr="009779CA">
        <w:rPr>
          <w:rFonts w:asciiTheme="minorEastAsia" w:eastAsiaTheme="minorEastAsia" w:hAnsiTheme="minorEastAsia" w:hint="eastAsia"/>
          <w:sz w:val="24"/>
          <w:szCs w:val="24"/>
        </w:rPr>
        <w:t>判定</w:t>
      </w:r>
      <w:r w:rsidRPr="009779CA">
        <w:rPr>
          <w:rFonts w:asciiTheme="minorEastAsia" w:eastAsiaTheme="minorEastAsia" w:hAnsiTheme="minorEastAsia"/>
          <w:sz w:val="24"/>
          <w:szCs w:val="24"/>
        </w:rPr>
        <w:t>与报告</w:t>
      </w:r>
    </w:p>
    <w:p w14:paraId="46A001A7" w14:textId="6512D3A1"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1）</w:t>
      </w:r>
      <w:r w:rsidR="009779CA" w:rsidRPr="009779CA">
        <w:rPr>
          <w:rFonts w:asciiTheme="minorEastAsia" w:eastAsiaTheme="minorEastAsia" w:hAnsiTheme="minorEastAsia"/>
          <w:sz w:val="24"/>
          <w:szCs w:val="24"/>
        </w:rPr>
        <w:t>敏感性判定</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依据统计分析结果，制定敏感性判定标准，如将药物敏感性分为高度敏感、中度敏感和</w:t>
      </w:r>
      <w:r w:rsidR="009779CA" w:rsidRPr="009779CA">
        <w:rPr>
          <w:rFonts w:asciiTheme="minorEastAsia" w:eastAsiaTheme="minorEastAsia" w:hAnsiTheme="minorEastAsia" w:hint="eastAsia"/>
          <w:sz w:val="24"/>
          <w:szCs w:val="24"/>
        </w:rPr>
        <w:t>低</w:t>
      </w:r>
      <w:r w:rsidR="009779CA" w:rsidRPr="009779CA">
        <w:rPr>
          <w:rFonts w:asciiTheme="minorEastAsia" w:eastAsiaTheme="minorEastAsia" w:hAnsiTheme="minorEastAsia"/>
          <w:sz w:val="24"/>
          <w:szCs w:val="24"/>
        </w:rPr>
        <w:t>敏感等级。</w:t>
      </w:r>
    </w:p>
    <w:p w14:paraId="036C35DE" w14:textId="04E812F7"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9779CA" w:rsidRPr="009779CA">
        <w:rPr>
          <w:rFonts w:asciiTheme="minorEastAsia" w:eastAsiaTheme="minorEastAsia" w:hAnsiTheme="minorEastAsia"/>
          <w:sz w:val="24"/>
          <w:szCs w:val="24"/>
        </w:rPr>
        <w:t>报告撰写</w:t>
      </w:r>
    </w:p>
    <w:p w14:paraId="695B4316" w14:textId="59E5892A" w:rsidR="009779CA" w:rsidRPr="009779CA" w:rsidRDefault="009779CA" w:rsidP="00352287">
      <w:pPr>
        <w:pStyle w:val="a7"/>
        <w:numPr>
          <w:ilvl w:val="0"/>
          <w:numId w:val="0"/>
        </w:numPr>
        <w:spacing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hint="eastAsia"/>
          <w:sz w:val="24"/>
          <w:szCs w:val="24"/>
        </w:rPr>
        <w:t>应撰写详细的药物敏感性检测报告，包括但不限于以下内容：</w:t>
      </w:r>
    </w:p>
    <w:p w14:paraId="6D29A118" w14:textId="55CC012C" w:rsidR="009779CA" w:rsidRPr="009779CA" w:rsidRDefault="00CE4E1E"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实验基本信息：包括实验时间、地点、操作人员、使用的类器官来源等</w:t>
      </w:r>
      <w:r w:rsidR="009779CA" w:rsidRPr="009779CA">
        <w:rPr>
          <w:rFonts w:asciiTheme="minorEastAsia" w:eastAsiaTheme="minorEastAsia" w:hAnsiTheme="minorEastAsia" w:hint="eastAsia"/>
          <w:sz w:val="24"/>
          <w:szCs w:val="24"/>
        </w:rPr>
        <w:t>；</w:t>
      </w:r>
    </w:p>
    <w:p w14:paraId="71160A74" w14:textId="0E55EAED" w:rsidR="009779CA" w:rsidRPr="009779CA" w:rsidRDefault="00CE4E1E"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实验方法与材料：详细描述实验方法、使用的药物及其浓度设置</w:t>
      </w:r>
      <w:r w:rsidR="009779CA" w:rsidRPr="009779CA">
        <w:rPr>
          <w:rFonts w:asciiTheme="minorEastAsia" w:eastAsiaTheme="minorEastAsia" w:hAnsiTheme="minorEastAsia" w:hint="eastAsia"/>
          <w:sz w:val="24"/>
          <w:szCs w:val="24"/>
        </w:rPr>
        <w:t>；</w:t>
      </w:r>
    </w:p>
    <w:p w14:paraId="759C0457" w14:textId="112235D5" w:rsidR="009779CA" w:rsidRPr="009779CA" w:rsidRDefault="00CE4E1E"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结果部分：展示药物敏感性检测的各项指标结果</w:t>
      </w:r>
      <w:r w:rsidR="009779CA" w:rsidRPr="009779CA">
        <w:rPr>
          <w:rFonts w:asciiTheme="minorEastAsia" w:eastAsiaTheme="minorEastAsia" w:hAnsiTheme="minorEastAsia" w:hint="eastAsia"/>
          <w:sz w:val="24"/>
          <w:szCs w:val="24"/>
        </w:rPr>
        <w:t>；</w:t>
      </w:r>
    </w:p>
    <w:p w14:paraId="7D5F75B6" w14:textId="6877D48A" w:rsidR="009779CA" w:rsidRPr="009779CA" w:rsidRDefault="00CE4E1E"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分析讨论：对实验结果进行深入分析，探讨药物敏感性的可能机制，以及实验结果对患者的治疗指导意义</w:t>
      </w:r>
      <w:r w:rsidR="009779CA" w:rsidRPr="009779CA">
        <w:rPr>
          <w:rFonts w:asciiTheme="minorEastAsia" w:eastAsiaTheme="minorEastAsia" w:hAnsiTheme="minorEastAsia" w:hint="eastAsia"/>
          <w:sz w:val="24"/>
          <w:szCs w:val="24"/>
        </w:rPr>
        <w:t>；</w:t>
      </w:r>
    </w:p>
    <w:p w14:paraId="5233CDEA" w14:textId="582199C2" w:rsidR="009779CA" w:rsidRPr="009779CA" w:rsidRDefault="00CE4E1E" w:rsidP="00352287">
      <w:pPr>
        <w:pStyle w:val="a2"/>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结论与建议：根据实验结果，给出明确的药物敏感性结论，并提出针对患者的个性化精准治疗建议。</w:t>
      </w:r>
    </w:p>
    <w:p w14:paraId="0F655E86" w14:textId="77777777" w:rsidR="00CE4E1E" w:rsidRDefault="00CE4E1E" w:rsidP="00352287">
      <w:pPr>
        <w:pStyle w:val="a7"/>
        <w:numPr>
          <w:ilvl w:val="0"/>
          <w:numId w:val="0"/>
        </w:num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报告应由专业人员进行审核，确保数据的准确性和报告的完整性。对于关键数据和结论，应进行多次复核，避免出现错误或遗漏。</w:t>
      </w:r>
      <w:bookmarkStart w:id="3" w:name="_Toc170039697"/>
    </w:p>
    <w:p w14:paraId="5308DC81" w14:textId="79BAD409" w:rsidR="009779CA" w:rsidRPr="009779CA" w:rsidRDefault="009779CA" w:rsidP="00352287">
      <w:pPr>
        <w:pStyle w:val="a7"/>
        <w:numPr>
          <w:ilvl w:val="0"/>
          <w:numId w:val="0"/>
        </w:numPr>
        <w:spacing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结果解读与精准治疗建议</w:t>
      </w:r>
      <w:bookmarkEnd w:id="3"/>
    </w:p>
    <w:p w14:paraId="16002BF0"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结果解读</w:t>
      </w:r>
    </w:p>
    <w:p w14:paraId="332F8B0E" w14:textId="78195D34"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w:t>
      </w:r>
      <w:r w:rsidR="009779CA" w:rsidRPr="009779CA">
        <w:rPr>
          <w:rFonts w:asciiTheme="minorEastAsia" w:eastAsiaTheme="minorEastAsia" w:hAnsiTheme="minorEastAsia"/>
          <w:sz w:val="24"/>
          <w:szCs w:val="24"/>
        </w:rPr>
        <w:t>药物敏感性判定</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根据第</w:t>
      </w:r>
      <w:r w:rsidR="009779CA" w:rsidRPr="009779CA">
        <w:rPr>
          <w:rFonts w:asciiTheme="minorEastAsia" w:eastAsiaTheme="minorEastAsia" w:hAnsiTheme="minorEastAsia" w:hint="eastAsia"/>
          <w:sz w:val="24"/>
          <w:szCs w:val="24"/>
        </w:rPr>
        <w:t>6</w:t>
      </w:r>
      <w:r w:rsidR="009779CA" w:rsidRPr="009779CA">
        <w:rPr>
          <w:rFonts w:asciiTheme="minorEastAsia" w:eastAsiaTheme="minorEastAsia" w:hAnsiTheme="minorEastAsia"/>
          <w:sz w:val="24"/>
          <w:szCs w:val="24"/>
        </w:rPr>
        <w:t>章药物敏感性检测的结果，将药物对乳腺癌类器官的抑制作用进行量化评估。通常，抑制率超过50%可认为药物对该类器官有明显的抑制作用。</w:t>
      </w:r>
    </w:p>
    <w:p w14:paraId="41F66FC1" w14:textId="77777777" w:rsidR="009779CA" w:rsidRPr="009779CA" w:rsidRDefault="009779CA" w:rsidP="00CE4E1E">
      <w:pPr>
        <w:pStyle w:val="aff7"/>
        <w:spacing w:line="360" w:lineRule="auto"/>
        <w:ind w:firstLineChars="0" w:firstLine="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结合药物的IC50值（半数抑制浓度）来综合判断药物对肿瘤细胞的杀伤能力。IC50值越低，表示药物对肿瘤细胞的杀伤能力越强。</w:t>
      </w:r>
    </w:p>
    <w:p w14:paraId="3548FA21" w14:textId="36FC367D"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b）</w:t>
      </w:r>
      <w:r w:rsidR="009779CA" w:rsidRPr="009779CA">
        <w:rPr>
          <w:rFonts w:asciiTheme="minorEastAsia" w:eastAsiaTheme="minorEastAsia" w:hAnsiTheme="minorEastAsia"/>
          <w:sz w:val="24"/>
          <w:szCs w:val="24"/>
        </w:rPr>
        <w:t>结果可靠性分析</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对比不同药物或同一药物不同浓度下的抑制作用，以评估结果的稳定性和可靠性。分析实验过程中的可能干扰因素，如类器官的质量、药物的稳定性等，以确保结果的准确性。</w:t>
      </w:r>
    </w:p>
    <w:p w14:paraId="4BB08759" w14:textId="77777777" w:rsidR="009779CA" w:rsidRPr="009779CA" w:rsidRDefault="009779CA" w:rsidP="00352287">
      <w:pPr>
        <w:pStyle w:val="ac"/>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sidRPr="009779CA">
        <w:rPr>
          <w:rFonts w:asciiTheme="minorEastAsia" w:eastAsiaTheme="minorEastAsia" w:hAnsiTheme="minorEastAsia"/>
          <w:sz w:val="24"/>
          <w:szCs w:val="24"/>
        </w:rPr>
        <w:t>精准治疗建议</w:t>
      </w:r>
    </w:p>
    <w:p w14:paraId="52ADE521" w14:textId="4C3885B5"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a）</w:t>
      </w:r>
      <w:r w:rsidR="009779CA" w:rsidRPr="009779CA">
        <w:rPr>
          <w:rFonts w:asciiTheme="minorEastAsia" w:eastAsiaTheme="minorEastAsia" w:hAnsiTheme="minorEastAsia"/>
          <w:sz w:val="24"/>
          <w:szCs w:val="24"/>
        </w:rPr>
        <w:t>个性化治疗方案制定</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根据药物敏感性检测结果，为患者筛选出敏感药物，避免使用不敏感或耐药的药物。结合患者的临床情况、病理类型、分期等因素，制定个性化的精准治疗方案。</w:t>
      </w:r>
    </w:p>
    <w:p w14:paraId="3B091214" w14:textId="35645267"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b）</w:t>
      </w:r>
      <w:r w:rsidR="009779CA" w:rsidRPr="009779CA">
        <w:rPr>
          <w:rFonts w:asciiTheme="minorEastAsia" w:eastAsiaTheme="minorEastAsia" w:hAnsiTheme="minorEastAsia"/>
          <w:sz w:val="24"/>
          <w:szCs w:val="24"/>
        </w:rPr>
        <w:t>治疗方案调整建议</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对于初次治疗效果不佳的患者，根据药物敏感性</w:t>
      </w:r>
      <w:r w:rsidR="009779CA" w:rsidRPr="009779CA">
        <w:rPr>
          <w:rFonts w:asciiTheme="minorEastAsia" w:eastAsiaTheme="minorEastAsia" w:hAnsiTheme="minorEastAsia"/>
          <w:sz w:val="24"/>
          <w:szCs w:val="24"/>
        </w:rPr>
        <w:lastRenderedPageBreak/>
        <w:t>检测结果调整治疗方案，更换或增加敏感药物。定期监测患者的治疗效果，根据反馈及时调整治疗方案，以确保治疗效果的最大化。</w:t>
      </w:r>
    </w:p>
    <w:p w14:paraId="25723102" w14:textId="668A9D99" w:rsidR="009779CA" w:rsidRPr="009779CA" w:rsidRDefault="00CE4E1E" w:rsidP="00352287">
      <w:pPr>
        <w:pStyle w:val="ad"/>
        <w:numPr>
          <w:ilvl w:val="0"/>
          <w:numId w:val="0"/>
        </w:numPr>
        <w:spacing w:beforeLines="0" w:before="0" w:afterLines="0" w:after="0"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c）</w:t>
      </w:r>
      <w:r w:rsidR="009779CA" w:rsidRPr="009779CA">
        <w:rPr>
          <w:rFonts w:asciiTheme="minorEastAsia" w:eastAsiaTheme="minorEastAsia" w:hAnsiTheme="minorEastAsia"/>
          <w:sz w:val="24"/>
          <w:szCs w:val="24"/>
        </w:rPr>
        <w:t>注意事项与风险提示</w:t>
      </w:r>
      <w:r w:rsidR="00352287">
        <w:rPr>
          <w:rFonts w:asciiTheme="minorEastAsia" w:eastAsiaTheme="minorEastAsia" w:hAnsiTheme="minorEastAsia" w:hint="eastAsia"/>
          <w:sz w:val="24"/>
          <w:szCs w:val="24"/>
        </w:rPr>
        <w:t>：</w:t>
      </w:r>
      <w:r w:rsidR="009779CA" w:rsidRPr="009779CA">
        <w:rPr>
          <w:rFonts w:asciiTheme="minorEastAsia" w:eastAsiaTheme="minorEastAsia" w:hAnsiTheme="minorEastAsia"/>
          <w:sz w:val="24"/>
          <w:szCs w:val="24"/>
        </w:rPr>
        <w:t>提醒患者注意药物的副作用和不良反应，及时与医生沟通并调整用药方案。对于某些特殊类型的乳腺癌（如HER2阳性、三阴性乳腺癌等），应特别关注相关药物的敏感性情况，并给予针对性的治疗建议。</w:t>
      </w:r>
    </w:p>
    <w:p w14:paraId="1B8C6FE5" w14:textId="26BF0076"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四</w:t>
      </w:r>
      <w:r w:rsidR="008A1ED9" w:rsidRPr="00630422">
        <w:rPr>
          <w:rFonts w:ascii="黑体" w:eastAsia="黑体" w:hAnsi="黑体" w:hint="eastAsia"/>
          <w:sz w:val="28"/>
          <w:szCs w:val="28"/>
          <w:lang w:eastAsia="zh-CN"/>
        </w:rPr>
        <w:t>、标准中如果涉及专利，应有明确的知识产权说明</w:t>
      </w:r>
    </w:p>
    <w:p w14:paraId="75AD6108" w14:textId="77777777" w:rsidR="008A1ED9" w:rsidRPr="0049596B" w:rsidRDefault="008A1ED9" w:rsidP="00CB7A17">
      <w:pPr>
        <w:pStyle w:val="aff4"/>
        <w:spacing w:before="0" w:after="0" w:line="360" w:lineRule="auto"/>
        <w:ind w:leftChars="100" w:left="220" w:firstLineChars="100" w:firstLine="240"/>
        <w:rPr>
          <w:rFonts w:hAnsi="宋体" w:cs="宋体" w:hint="eastAsia"/>
          <w:sz w:val="24"/>
          <w:szCs w:val="24"/>
          <w:lang w:bidi="en-US"/>
        </w:rPr>
      </w:pPr>
      <w:r w:rsidRPr="0049596B">
        <w:rPr>
          <w:rFonts w:hAnsi="宋体" w:cs="宋体" w:hint="eastAsia"/>
          <w:sz w:val="24"/>
          <w:szCs w:val="24"/>
          <w:lang w:bidi="en-US"/>
        </w:rPr>
        <w:t>本文件不涉及专利及知识产权问题。</w:t>
      </w:r>
    </w:p>
    <w:p w14:paraId="17705CA1" w14:textId="6A3012E7"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五</w:t>
      </w:r>
      <w:r w:rsidR="008A1ED9" w:rsidRPr="00630422">
        <w:rPr>
          <w:rFonts w:ascii="黑体" w:eastAsia="黑体" w:hAnsi="黑体" w:hint="eastAsia"/>
          <w:sz w:val="28"/>
          <w:szCs w:val="28"/>
          <w:lang w:eastAsia="zh-CN"/>
        </w:rPr>
        <w:t>、采用国际标准和国外先进标准情况，与国际、国内同类标准水平的对比情况</w:t>
      </w:r>
    </w:p>
    <w:p w14:paraId="67088751" w14:textId="43E6C6F7" w:rsidR="00E71C6C" w:rsidRDefault="008A1ED9" w:rsidP="009779CA">
      <w:pPr>
        <w:pStyle w:val="aff4"/>
        <w:spacing w:before="0" w:after="0" w:line="360" w:lineRule="auto"/>
        <w:ind w:leftChars="100" w:left="220" w:firstLineChars="100" w:firstLine="240"/>
        <w:rPr>
          <w:sz w:val="24"/>
          <w:szCs w:val="24"/>
        </w:rPr>
      </w:pPr>
      <w:r w:rsidRPr="00443CD0">
        <w:rPr>
          <w:rFonts w:hAnsi="宋体" w:cs="宋体" w:hint="eastAsia"/>
          <w:sz w:val="24"/>
          <w:szCs w:val="24"/>
          <w:lang w:bidi="en-US"/>
        </w:rPr>
        <w:t>本文件为首次自主制定，不涉及国际国外标准采标情况。</w:t>
      </w:r>
    </w:p>
    <w:p w14:paraId="0EC2F1D4" w14:textId="52F79731" w:rsidR="008A1ED9" w:rsidRPr="00630422" w:rsidRDefault="00F11A71" w:rsidP="00DA6729">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六</w:t>
      </w:r>
      <w:r w:rsidR="008A1ED9" w:rsidRPr="00630422">
        <w:rPr>
          <w:rFonts w:ascii="黑体" w:eastAsia="黑体" w:hAnsi="黑体" w:hint="eastAsia"/>
          <w:sz w:val="28"/>
          <w:szCs w:val="28"/>
          <w:lang w:eastAsia="zh-CN"/>
        </w:rPr>
        <w:t>、与有关现行法律、法规和强制性国家标准的关系</w:t>
      </w:r>
    </w:p>
    <w:p w14:paraId="67C3FF6C"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sz w:val="24"/>
          <w:szCs w:val="24"/>
          <w:lang w:eastAsia="zh-CN"/>
        </w:rPr>
        <w:t>本文件与相关法律、法规、规章及相关标准协调一致，没有冲突。</w:t>
      </w:r>
    </w:p>
    <w:p w14:paraId="652AAEEB" w14:textId="0700F402"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七</w:t>
      </w:r>
      <w:r w:rsidR="008A1ED9" w:rsidRPr="00630422">
        <w:rPr>
          <w:rFonts w:ascii="黑体" w:eastAsia="黑体" w:hAnsi="黑体" w:hint="eastAsia"/>
          <w:sz w:val="28"/>
          <w:szCs w:val="28"/>
          <w:lang w:eastAsia="zh-CN"/>
        </w:rPr>
        <w:t>、重大分歧意见的处理经过和依据</w:t>
      </w:r>
    </w:p>
    <w:p w14:paraId="318561A9"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hint="eastAsia"/>
          <w:sz w:val="24"/>
          <w:szCs w:val="24"/>
          <w:lang w:eastAsia="zh-CN"/>
        </w:rPr>
        <w:t>本文件在制定过程中未出现重大分歧意见。</w:t>
      </w:r>
    </w:p>
    <w:p w14:paraId="650066A3" w14:textId="1A330D47"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八</w:t>
      </w:r>
      <w:r w:rsidR="008A1ED9" w:rsidRPr="00630422">
        <w:rPr>
          <w:rFonts w:ascii="黑体" w:eastAsia="黑体" w:hAnsi="黑体" w:hint="eastAsia"/>
          <w:sz w:val="28"/>
          <w:szCs w:val="28"/>
          <w:lang w:eastAsia="zh-CN"/>
        </w:rPr>
        <w:t>、贯彻标准的要求和措施建议</w:t>
      </w:r>
    </w:p>
    <w:p w14:paraId="5B6E57AD"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hint="eastAsia"/>
          <w:sz w:val="24"/>
          <w:szCs w:val="24"/>
          <w:lang w:eastAsia="zh-CN"/>
        </w:rPr>
        <w:t>本文件发布后，应</w:t>
      </w:r>
      <w:r w:rsidRPr="00443CD0">
        <w:rPr>
          <w:rFonts w:eastAsia="宋体"/>
          <w:sz w:val="24"/>
          <w:szCs w:val="24"/>
          <w:lang w:eastAsia="zh-CN"/>
        </w:rPr>
        <w:t>向相关企业进行宣传、贯彻，推荐执行该</w:t>
      </w:r>
      <w:r w:rsidRPr="00443CD0">
        <w:rPr>
          <w:rFonts w:eastAsia="宋体" w:hint="eastAsia"/>
          <w:sz w:val="24"/>
          <w:szCs w:val="24"/>
          <w:lang w:eastAsia="zh-CN"/>
        </w:rPr>
        <w:t>文件。</w:t>
      </w:r>
    </w:p>
    <w:p w14:paraId="3326673C" w14:textId="5E38839A"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九</w:t>
      </w:r>
      <w:r w:rsidR="008A1ED9" w:rsidRPr="00630422">
        <w:rPr>
          <w:rFonts w:ascii="黑体" w:eastAsia="黑体" w:hAnsi="黑体" w:hint="eastAsia"/>
          <w:sz w:val="28"/>
          <w:szCs w:val="28"/>
          <w:lang w:eastAsia="zh-CN"/>
        </w:rPr>
        <w:t>、其他应当说明的事项</w:t>
      </w:r>
    </w:p>
    <w:p w14:paraId="652DFFCA" w14:textId="62BAE0FB" w:rsidR="008A1ED9" w:rsidRPr="000E76A1" w:rsidRDefault="008A1ED9" w:rsidP="000E76A1">
      <w:pPr>
        <w:tabs>
          <w:tab w:val="left" w:pos="1815"/>
        </w:tabs>
        <w:spacing w:beforeLines="50" w:before="156" w:afterLines="50" w:after="156"/>
        <w:ind w:firstLineChars="200" w:firstLine="480"/>
        <w:rPr>
          <w:rFonts w:eastAsia="宋体" w:hint="eastAsia"/>
          <w:sz w:val="24"/>
          <w:szCs w:val="24"/>
          <w:lang w:eastAsia="zh-CN"/>
        </w:rPr>
      </w:pPr>
      <w:r w:rsidRPr="0049596B">
        <w:rPr>
          <w:rFonts w:eastAsia="宋体" w:hint="eastAsia"/>
          <w:sz w:val="24"/>
          <w:szCs w:val="24"/>
          <w:lang w:eastAsia="zh-CN"/>
        </w:rPr>
        <w:t>无</w:t>
      </w:r>
      <w:r w:rsidRPr="0049596B">
        <w:rPr>
          <w:rFonts w:eastAsia="宋体"/>
          <w:sz w:val="24"/>
          <w:szCs w:val="24"/>
          <w:lang w:eastAsia="zh-CN"/>
        </w:rPr>
        <w:t>。</w:t>
      </w:r>
    </w:p>
    <w:sectPr w:rsidR="008A1ED9" w:rsidRPr="000E76A1" w:rsidSect="001F373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A8A0C" w14:textId="77777777" w:rsidR="00B959C7" w:rsidRDefault="00B959C7" w:rsidP="0039606D">
      <w:r>
        <w:separator/>
      </w:r>
    </w:p>
  </w:endnote>
  <w:endnote w:type="continuationSeparator" w:id="0">
    <w:p w14:paraId="09F98BFC" w14:textId="77777777" w:rsidR="00B959C7" w:rsidRDefault="00B959C7"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DECBC" w14:textId="77777777" w:rsidR="00B959C7" w:rsidRDefault="00B959C7" w:rsidP="0039606D">
      <w:r>
        <w:separator/>
      </w:r>
    </w:p>
  </w:footnote>
  <w:footnote w:type="continuationSeparator" w:id="0">
    <w:p w14:paraId="4DBE42E3" w14:textId="77777777" w:rsidR="00B959C7" w:rsidRDefault="00B959C7"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BD5AD220"/>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C5917C3"/>
    <w:multiLevelType w:val="multilevel"/>
    <w:tmpl w:val="631EF14E"/>
    <w:lvl w:ilvl="0">
      <w:start w:val="1"/>
      <w:numFmt w:val="none"/>
      <w:pStyle w:val="a0"/>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1"/>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15:restartNumberingAfterBreak="0">
    <w:nsid w:val="32CF6CF8"/>
    <w:multiLevelType w:val="hybridMultilevel"/>
    <w:tmpl w:val="5CF47AAA"/>
    <w:lvl w:ilvl="0" w:tplc="ACDA929E">
      <w:start w:val="3"/>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35DC7AC8"/>
    <w:multiLevelType w:val="hybridMultilevel"/>
    <w:tmpl w:val="C2C2039E"/>
    <w:lvl w:ilvl="0" w:tplc="9EEC3438">
      <w:start w:val="1"/>
      <w:numFmt w:val="lowerLetter"/>
      <w:lvlText w:val="%1）"/>
      <w:lvlJc w:val="left"/>
      <w:pPr>
        <w:ind w:left="757"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4C50F90"/>
    <w:multiLevelType w:val="multilevel"/>
    <w:tmpl w:val="C5D62106"/>
    <w:lvl w:ilvl="0">
      <w:start w:val="1"/>
      <w:numFmt w:val="lowerLetter"/>
      <w:pStyle w:val="a2"/>
      <w:lvlText w:val="%1)"/>
      <w:lvlJc w:val="left"/>
      <w:pPr>
        <w:tabs>
          <w:tab w:val="num" w:pos="851"/>
        </w:tabs>
        <w:ind w:left="851" w:hanging="426"/>
      </w:pPr>
      <w:rPr>
        <w:rFonts w:ascii="宋体" w:eastAsia="宋体" w:hAnsi="Times New Roman" w:hint="eastAsia"/>
        <w:sz w:val="21"/>
      </w:rPr>
    </w:lvl>
    <w:lvl w:ilvl="1">
      <w:start w:val="1"/>
      <w:numFmt w:val="decimal"/>
      <w:pStyle w:val="a3"/>
      <w:lvlText w:val="%2)"/>
      <w:lvlJc w:val="left"/>
      <w:pPr>
        <w:tabs>
          <w:tab w:val="num" w:pos="1276"/>
        </w:tabs>
        <w:ind w:left="1276" w:hanging="425"/>
      </w:pPr>
      <w:rPr>
        <w:rFonts w:ascii="宋体" w:eastAsia="宋体" w:hAnsi="Times New Roman" w:hint="eastAsia"/>
        <w:sz w:val="21"/>
      </w:rPr>
    </w:lvl>
    <w:lvl w:ilvl="2">
      <w:start w:val="1"/>
      <w:numFmt w:val="decimal"/>
      <w:pStyle w:val="a4"/>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15:restartNumberingAfterBreak="0">
    <w:nsid w:val="54632751"/>
    <w:multiLevelType w:val="multilevel"/>
    <w:tmpl w:val="ACF81318"/>
    <w:lvl w:ilvl="0">
      <w:start w:val="1"/>
      <w:numFmt w:val="none"/>
      <w:pStyle w:val="a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7" w15:restartNumberingAfterBreak="0">
    <w:nsid w:val="557C2AF5"/>
    <w:multiLevelType w:val="multilevel"/>
    <w:tmpl w:val="5AB41562"/>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pStyle w:val="a7"/>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5C265CB6"/>
    <w:multiLevelType w:val="multilevel"/>
    <w:tmpl w:val="F5241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8"/>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F542CA"/>
    <w:multiLevelType w:val="hybridMultilevel"/>
    <w:tmpl w:val="6BF4C838"/>
    <w:lvl w:ilvl="0" w:tplc="59162FD4">
      <w:start w:val="1"/>
      <w:numFmt w:val="lowerLetter"/>
      <w:lvlText w:val="%1）"/>
      <w:lvlJc w:val="left"/>
      <w:pPr>
        <w:ind w:left="757"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46260FA"/>
    <w:multiLevelType w:val="multilevel"/>
    <w:tmpl w:val="4F2011E8"/>
    <w:lvl w:ilvl="0">
      <w:start w:val="1"/>
      <w:numFmt w:val="decimal"/>
      <w:pStyle w:val="a9"/>
      <w:suff w:val="nothing"/>
      <w:lvlText w:val="表%1　"/>
      <w:lvlJc w:val="left"/>
      <w:pPr>
        <w:ind w:left="4111"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CEA2025"/>
    <w:multiLevelType w:val="multilevel"/>
    <w:tmpl w:val="EFEE3814"/>
    <w:lvl w:ilvl="0">
      <w:start w:val="1"/>
      <w:numFmt w:val="none"/>
      <w:pStyle w:val="aa"/>
      <w:suff w:val="nothing"/>
      <w:lvlText w:val="%1"/>
      <w:lvlJc w:val="left"/>
      <w:pPr>
        <w:ind w:left="0" w:firstLine="0"/>
      </w:pPr>
      <w:rPr>
        <w:rFonts w:hint="eastAsia"/>
      </w:rPr>
    </w:lvl>
    <w:lvl w:ilvl="1">
      <w:start w:val="1"/>
      <w:numFmt w:val="decimal"/>
      <w:pStyle w:val="ab"/>
      <w:suff w:val="nothing"/>
      <w:lvlText w:val="%1%2　"/>
      <w:lvlJc w:val="left"/>
      <w:pPr>
        <w:ind w:left="0" w:firstLine="0"/>
      </w:pPr>
      <w:rPr>
        <w:rFonts w:ascii="黑体" w:eastAsia="黑体" w:hint="eastAsia"/>
        <w:b w:val="0"/>
        <w:i w:val="0"/>
        <w:sz w:val="21"/>
      </w:rPr>
    </w:lvl>
    <w:lvl w:ilvl="2">
      <w:start w:val="1"/>
      <w:numFmt w:val="decimal"/>
      <w:pStyle w:val="ac"/>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d"/>
      <w:suff w:val="nothing"/>
      <w:lvlText w:val="%1%2.%3.%4　"/>
      <w:lvlJc w:val="left"/>
      <w:pPr>
        <w:ind w:left="0" w:firstLine="0"/>
      </w:pPr>
      <w:rPr>
        <w:rFonts w:ascii="黑体" w:eastAsia="黑体" w:hint="eastAsia"/>
        <w:b w:val="0"/>
        <w:i w:val="0"/>
        <w:sz w:val="21"/>
      </w:rPr>
    </w:lvl>
    <w:lvl w:ilvl="4">
      <w:start w:val="1"/>
      <w:numFmt w:val="decimal"/>
      <w:pStyle w:val="ae"/>
      <w:suff w:val="nothing"/>
      <w:lvlText w:val="%1%2.%3.%4.%5　"/>
      <w:lvlJc w:val="left"/>
      <w:pPr>
        <w:ind w:left="0" w:firstLine="0"/>
      </w:pPr>
      <w:rPr>
        <w:rFonts w:ascii="黑体" w:eastAsia="黑体" w:hint="eastAsia"/>
        <w:b w:val="0"/>
        <w:i w:val="0"/>
        <w:sz w:val="21"/>
      </w:rPr>
    </w:lvl>
    <w:lvl w:ilvl="5">
      <w:start w:val="1"/>
      <w:numFmt w:val="decimal"/>
      <w:pStyle w:val="af"/>
      <w:suff w:val="nothing"/>
      <w:lvlText w:val="%1%2.%3.%4.%5.%6　"/>
      <w:lvlJc w:val="left"/>
      <w:pPr>
        <w:ind w:left="0" w:firstLine="0"/>
      </w:pPr>
      <w:rPr>
        <w:rFonts w:ascii="黑体" w:eastAsia="黑体" w:hint="eastAsia"/>
        <w:b w:val="0"/>
        <w:i w:val="0"/>
        <w:sz w:val="21"/>
      </w:rPr>
    </w:lvl>
    <w:lvl w:ilvl="6">
      <w:start w:val="1"/>
      <w:numFmt w:val="decimal"/>
      <w:pStyle w:val="a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791870E4"/>
    <w:multiLevelType w:val="hybridMultilevel"/>
    <w:tmpl w:val="F7E833C0"/>
    <w:lvl w:ilvl="0" w:tplc="BF24784E">
      <w:start w:val="2"/>
      <w:numFmt w:val="lowerLetter"/>
      <w:lvlText w:val="%1）"/>
      <w:lvlJc w:val="left"/>
      <w:pPr>
        <w:ind w:left="360" w:firstLine="37"/>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9835B8D"/>
    <w:multiLevelType w:val="multilevel"/>
    <w:tmpl w:val="11CC2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3754974">
    <w:abstractNumId w:val="10"/>
  </w:num>
  <w:num w:numId="2" w16cid:durableId="305402237">
    <w:abstractNumId w:val="7"/>
  </w:num>
  <w:num w:numId="3" w16cid:durableId="418410740">
    <w:abstractNumId w:val="1"/>
  </w:num>
  <w:num w:numId="4" w16cid:durableId="921259461">
    <w:abstractNumId w:val="13"/>
  </w:num>
  <w:num w:numId="5" w16cid:durableId="1154298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2876989">
    <w:abstractNumId w:val="11"/>
  </w:num>
  <w:num w:numId="7" w16cid:durableId="471488976">
    <w:abstractNumId w:val="3"/>
  </w:num>
  <w:num w:numId="8" w16cid:durableId="1593973152">
    <w:abstractNumId w:val="8"/>
  </w:num>
  <w:num w:numId="9" w16cid:durableId="1345208392">
    <w:abstractNumId w:val="2"/>
  </w:num>
  <w:num w:numId="10" w16cid:durableId="868951396">
    <w:abstractNumId w:val="0"/>
  </w:num>
  <w:num w:numId="11" w16cid:durableId="1707948875">
    <w:abstractNumId w:val="6"/>
  </w:num>
  <w:num w:numId="12" w16cid:durableId="415175782">
    <w:abstractNumId w:val="5"/>
  </w:num>
  <w:num w:numId="13" w16cid:durableId="1431967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699134">
    <w:abstractNumId w:val="12"/>
  </w:num>
  <w:num w:numId="15" w16cid:durableId="1429306628">
    <w:abstractNumId w:val="9"/>
  </w:num>
  <w:num w:numId="16" w16cid:durableId="2050228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22BDE"/>
    <w:rsid w:val="00026ED5"/>
    <w:rsid w:val="000270CF"/>
    <w:rsid w:val="00027171"/>
    <w:rsid w:val="000553EA"/>
    <w:rsid w:val="0009387F"/>
    <w:rsid w:val="00095D42"/>
    <w:rsid w:val="000B1EDC"/>
    <w:rsid w:val="000C2080"/>
    <w:rsid w:val="000E0C08"/>
    <w:rsid w:val="000E2F3C"/>
    <w:rsid w:val="000E57B2"/>
    <w:rsid w:val="000E76A1"/>
    <w:rsid w:val="000F3905"/>
    <w:rsid w:val="00115C6A"/>
    <w:rsid w:val="00126D01"/>
    <w:rsid w:val="00135D47"/>
    <w:rsid w:val="001618C9"/>
    <w:rsid w:val="00171C5E"/>
    <w:rsid w:val="00191117"/>
    <w:rsid w:val="001B66FD"/>
    <w:rsid w:val="001D31DE"/>
    <w:rsid w:val="001D3AF2"/>
    <w:rsid w:val="001E3F83"/>
    <w:rsid w:val="001F0ED0"/>
    <w:rsid w:val="001F373D"/>
    <w:rsid w:val="00206311"/>
    <w:rsid w:val="00212780"/>
    <w:rsid w:val="002150B4"/>
    <w:rsid w:val="00220BAA"/>
    <w:rsid w:val="00223D97"/>
    <w:rsid w:val="002435DD"/>
    <w:rsid w:val="00257733"/>
    <w:rsid w:val="002577AE"/>
    <w:rsid w:val="002A18F0"/>
    <w:rsid w:val="002A6D38"/>
    <w:rsid w:val="002E61E6"/>
    <w:rsid w:val="002E7983"/>
    <w:rsid w:val="002F0A3B"/>
    <w:rsid w:val="002F4B63"/>
    <w:rsid w:val="00301000"/>
    <w:rsid w:val="00313769"/>
    <w:rsid w:val="003210BE"/>
    <w:rsid w:val="0032488F"/>
    <w:rsid w:val="00352287"/>
    <w:rsid w:val="00372B4C"/>
    <w:rsid w:val="003736F0"/>
    <w:rsid w:val="00385B41"/>
    <w:rsid w:val="00394EE5"/>
    <w:rsid w:val="0039606D"/>
    <w:rsid w:val="003B443D"/>
    <w:rsid w:val="003B760A"/>
    <w:rsid w:val="003C5787"/>
    <w:rsid w:val="003F4B21"/>
    <w:rsid w:val="004052E3"/>
    <w:rsid w:val="00416D4D"/>
    <w:rsid w:val="00440D54"/>
    <w:rsid w:val="00443CD0"/>
    <w:rsid w:val="0046066A"/>
    <w:rsid w:val="0046165E"/>
    <w:rsid w:val="0049596B"/>
    <w:rsid w:val="004A6B36"/>
    <w:rsid w:val="004E1739"/>
    <w:rsid w:val="004E1B0B"/>
    <w:rsid w:val="004F15BE"/>
    <w:rsid w:val="00503D30"/>
    <w:rsid w:val="00503F20"/>
    <w:rsid w:val="00520BB2"/>
    <w:rsid w:val="005555B2"/>
    <w:rsid w:val="00557912"/>
    <w:rsid w:val="005922F1"/>
    <w:rsid w:val="005A17B2"/>
    <w:rsid w:val="005B0B24"/>
    <w:rsid w:val="005B220D"/>
    <w:rsid w:val="005B63E2"/>
    <w:rsid w:val="005D7ADB"/>
    <w:rsid w:val="00630422"/>
    <w:rsid w:val="00632696"/>
    <w:rsid w:val="006559D0"/>
    <w:rsid w:val="00661F60"/>
    <w:rsid w:val="0066376A"/>
    <w:rsid w:val="0067324F"/>
    <w:rsid w:val="006763F6"/>
    <w:rsid w:val="00686487"/>
    <w:rsid w:val="00694D0B"/>
    <w:rsid w:val="006E6332"/>
    <w:rsid w:val="0070541A"/>
    <w:rsid w:val="00721B4F"/>
    <w:rsid w:val="007266E4"/>
    <w:rsid w:val="00743ABA"/>
    <w:rsid w:val="007453A5"/>
    <w:rsid w:val="007503A6"/>
    <w:rsid w:val="007538F4"/>
    <w:rsid w:val="00756AB0"/>
    <w:rsid w:val="0076109F"/>
    <w:rsid w:val="00777512"/>
    <w:rsid w:val="007934FC"/>
    <w:rsid w:val="00794A36"/>
    <w:rsid w:val="007C4BA3"/>
    <w:rsid w:val="007D1F7A"/>
    <w:rsid w:val="0080261E"/>
    <w:rsid w:val="00803FC9"/>
    <w:rsid w:val="008444EC"/>
    <w:rsid w:val="00875C94"/>
    <w:rsid w:val="008778E7"/>
    <w:rsid w:val="008A1ED9"/>
    <w:rsid w:val="009232FE"/>
    <w:rsid w:val="00930A33"/>
    <w:rsid w:val="00932DBE"/>
    <w:rsid w:val="00945728"/>
    <w:rsid w:val="00972023"/>
    <w:rsid w:val="009779CA"/>
    <w:rsid w:val="00981AB6"/>
    <w:rsid w:val="00986252"/>
    <w:rsid w:val="00990BAF"/>
    <w:rsid w:val="009E3F1D"/>
    <w:rsid w:val="009E4ACB"/>
    <w:rsid w:val="009E79F7"/>
    <w:rsid w:val="009F65A7"/>
    <w:rsid w:val="00A46011"/>
    <w:rsid w:val="00A605DD"/>
    <w:rsid w:val="00A83268"/>
    <w:rsid w:val="00A84441"/>
    <w:rsid w:val="00A90804"/>
    <w:rsid w:val="00AB0C57"/>
    <w:rsid w:val="00AB0D6D"/>
    <w:rsid w:val="00AB14C3"/>
    <w:rsid w:val="00AB4715"/>
    <w:rsid w:val="00AC17D2"/>
    <w:rsid w:val="00AC6497"/>
    <w:rsid w:val="00AD5958"/>
    <w:rsid w:val="00AE013B"/>
    <w:rsid w:val="00B14A29"/>
    <w:rsid w:val="00B36D7E"/>
    <w:rsid w:val="00B528C3"/>
    <w:rsid w:val="00B95210"/>
    <w:rsid w:val="00B959C7"/>
    <w:rsid w:val="00B96A7E"/>
    <w:rsid w:val="00B97046"/>
    <w:rsid w:val="00BA1CCE"/>
    <w:rsid w:val="00BB017A"/>
    <w:rsid w:val="00BC6FEB"/>
    <w:rsid w:val="00BE547D"/>
    <w:rsid w:val="00BF5D14"/>
    <w:rsid w:val="00BF7B23"/>
    <w:rsid w:val="00C05E64"/>
    <w:rsid w:val="00C1451D"/>
    <w:rsid w:val="00C34A6D"/>
    <w:rsid w:val="00C52ED5"/>
    <w:rsid w:val="00C5474E"/>
    <w:rsid w:val="00C6475D"/>
    <w:rsid w:val="00C71115"/>
    <w:rsid w:val="00C967C2"/>
    <w:rsid w:val="00CB51BA"/>
    <w:rsid w:val="00CB7A17"/>
    <w:rsid w:val="00CE23DA"/>
    <w:rsid w:val="00CE4E1E"/>
    <w:rsid w:val="00CF29FD"/>
    <w:rsid w:val="00CF2BAD"/>
    <w:rsid w:val="00D21AC1"/>
    <w:rsid w:val="00D23365"/>
    <w:rsid w:val="00D237D1"/>
    <w:rsid w:val="00D6022C"/>
    <w:rsid w:val="00D64C82"/>
    <w:rsid w:val="00D80697"/>
    <w:rsid w:val="00D8356F"/>
    <w:rsid w:val="00D93B8F"/>
    <w:rsid w:val="00D941F9"/>
    <w:rsid w:val="00DA2C4B"/>
    <w:rsid w:val="00DA6729"/>
    <w:rsid w:val="00DA7712"/>
    <w:rsid w:val="00DB6CED"/>
    <w:rsid w:val="00DD1C43"/>
    <w:rsid w:val="00E10453"/>
    <w:rsid w:val="00E32AF7"/>
    <w:rsid w:val="00E42D4A"/>
    <w:rsid w:val="00E43D5D"/>
    <w:rsid w:val="00E65CB1"/>
    <w:rsid w:val="00E71C6C"/>
    <w:rsid w:val="00E72843"/>
    <w:rsid w:val="00EA1301"/>
    <w:rsid w:val="00EB010B"/>
    <w:rsid w:val="00EB4DCA"/>
    <w:rsid w:val="00EC0A06"/>
    <w:rsid w:val="00EC1EBB"/>
    <w:rsid w:val="00ED5295"/>
    <w:rsid w:val="00ED78E0"/>
    <w:rsid w:val="00EE4349"/>
    <w:rsid w:val="00EF1E09"/>
    <w:rsid w:val="00F07CA1"/>
    <w:rsid w:val="00F11A71"/>
    <w:rsid w:val="00F80FCD"/>
    <w:rsid w:val="00F8295F"/>
    <w:rsid w:val="00FB33A2"/>
    <w:rsid w:val="00FB68F9"/>
    <w:rsid w:val="00FD001F"/>
    <w:rsid w:val="00FD4A24"/>
    <w:rsid w:val="00FD5CA6"/>
    <w:rsid w:val="00FD684D"/>
    <w:rsid w:val="00FD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0EFE"/>
  <w15:docId w15:val="{33D06C70-E992-4580-9A03-D7C8B61F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uiPriority w:val="1"/>
    <w:qFormat/>
    <w:rsid w:val="0039606D"/>
    <w:pPr>
      <w:widowControl w:val="0"/>
      <w:autoSpaceDE w:val="0"/>
      <w:autoSpaceDN w:val="0"/>
    </w:pPr>
    <w:rPr>
      <w:rFonts w:ascii="宋体" w:eastAsia="Times New Roman" w:hAnsi="宋体" w:cs="宋体"/>
      <w:kern w:val="0"/>
      <w:sz w:val="22"/>
      <w:lang w:eastAsia="en-US" w:bidi="en-US"/>
    </w:rPr>
  </w:style>
  <w:style w:type="paragraph" w:styleId="1">
    <w:name w:val="heading 1"/>
    <w:basedOn w:val="af1"/>
    <w:next w:val="af1"/>
    <w:link w:val="10"/>
    <w:uiPriority w:val="9"/>
    <w:qFormat/>
    <w:rsid w:val="00C1451D"/>
    <w:pPr>
      <w:keepNext/>
      <w:keepLines/>
      <w:spacing w:before="340" w:after="330" w:line="578" w:lineRule="auto"/>
      <w:outlineLvl w:val="0"/>
    </w:pPr>
    <w:rPr>
      <w:b/>
      <w:bCs/>
      <w:kern w:val="44"/>
      <w:sz w:val="44"/>
      <w:szCs w:val="44"/>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1"/>
    <w:link w:val="af6"/>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f2"/>
    <w:link w:val="af5"/>
    <w:uiPriority w:val="99"/>
    <w:rsid w:val="0039606D"/>
    <w:rPr>
      <w:sz w:val="18"/>
      <w:szCs w:val="18"/>
    </w:rPr>
  </w:style>
  <w:style w:type="paragraph" w:styleId="af7">
    <w:name w:val="footer"/>
    <w:basedOn w:val="af1"/>
    <w:link w:val="af8"/>
    <w:uiPriority w:val="99"/>
    <w:unhideWhenUsed/>
    <w:rsid w:val="0039606D"/>
    <w:pPr>
      <w:tabs>
        <w:tab w:val="center" w:pos="4153"/>
        <w:tab w:val="right" w:pos="8306"/>
      </w:tabs>
      <w:snapToGrid w:val="0"/>
    </w:pPr>
    <w:rPr>
      <w:sz w:val="18"/>
      <w:szCs w:val="18"/>
    </w:rPr>
  </w:style>
  <w:style w:type="character" w:customStyle="1" w:styleId="af8">
    <w:name w:val="页脚 字符"/>
    <w:basedOn w:val="af2"/>
    <w:link w:val="af7"/>
    <w:uiPriority w:val="99"/>
    <w:rsid w:val="0039606D"/>
    <w:rPr>
      <w:sz w:val="18"/>
      <w:szCs w:val="18"/>
    </w:rPr>
  </w:style>
  <w:style w:type="paragraph" w:styleId="af9">
    <w:name w:val="Body Text"/>
    <w:basedOn w:val="af1"/>
    <w:link w:val="afa"/>
    <w:uiPriority w:val="1"/>
    <w:qFormat/>
    <w:rsid w:val="0039606D"/>
    <w:rPr>
      <w:rFonts w:eastAsia="宋体"/>
      <w:sz w:val="21"/>
      <w:szCs w:val="21"/>
    </w:rPr>
  </w:style>
  <w:style w:type="character" w:customStyle="1" w:styleId="afa">
    <w:name w:val="正文文本 字符"/>
    <w:basedOn w:val="af2"/>
    <w:link w:val="af9"/>
    <w:uiPriority w:val="1"/>
    <w:rsid w:val="0039606D"/>
    <w:rPr>
      <w:rFonts w:ascii="宋体" w:eastAsia="宋体" w:hAnsi="宋体" w:cs="宋体"/>
      <w:kern w:val="0"/>
      <w:szCs w:val="21"/>
      <w:lang w:eastAsia="en-US" w:bidi="en-US"/>
    </w:rPr>
  </w:style>
  <w:style w:type="table" w:styleId="afb">
    <w:name w:val="Table Grid"/>
    <w:basedOn w:val="af3"/>
    <w:uiPriority w:val="39"/>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c">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c"/>
    <w:qFormat/>
    <w:rsid w:val="005B0B24"/>
    <w:rPr>
      <w:rFonts w:ascii="宋体" w:eastAsia="宋体" w:hAnsi="Times New Roman" w:cs="Times New Roman"/>
      <w:kern w:val="0"/>
      <w:szCs w:val="20"/>
    </w:rPr>
  </w:style>
  <w:style w:type="character" w:customStyle="1" w:styleId="10">
    <w:name w:val="标题 1 字符"/>
    <w:basedOn w:val="af2"/>
    <w:link w:val="1"/>
    <w:uiPriority w:val="9"/>
    <w:rsid w:val="00C1451D"/>
    <w:rPr>
      <w:rFonts w:ascii="宋体" w:eastAsia="Times New Roman" w:hAnsi="宋体" w:cs="宋体"/>
      <w:b/>
      <w:bCs/>
      <w:kern w:val="44"/>
      <w:sz w:val="44"/>
      <w:szCs w:val="44"/>
      <w:lang w:eastAsia="en-US" w:bidi="en-US"/>
    </w:rPr>
  </w:style>
  <w:style w:type="paragraph" w:customStyle="1" w:styleId="afd">
    <w:name w:val="正文表标题"/>
    <w:next w:val="afc"/>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9">
    <w:name w:val="正文图标题"/>
    <w:next w:val="afc"/>
    <w:rsid w:val="003B443D"/>
    <w:pPr>
      <w:numPr>
        <w:numId w:val="1"/>
      </w:numPr>
      <w:tabs>
        <w:tab w:val="num" w:pos="360"/>
      </w:tabs>
      <w:spacing w:beforeLines="50" w:afterLines="50"/>
      <w:ind w:left="0"/>
      <w:jc w:val="center"/>
    </w:pPr>
    <w:rPr>
      <w:rFonts w:ascii="黑体" w:eastAsia="黑体" w:hAnsi="Times New Roman" w:cs="Times New Roman"/>
      <w:kern w:val="0"/>
      <w:szCs w:val="20"/>
    </w:rPr>
  </w:style>
  <w:style w:type="paragraph" w:customStyle="1" w:styleId="a6">
    <w:name w:val="其他发布日期"/>
    <w:basedOn w:val="af1"/>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e">
    <w:name w:val="一级条标题"/>
    <w:next w:val="afc"/>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
    <w:name w:val="章标题"/>
    <w:next w:val="afc"/>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0">
    <w:name w:val="二级条标题"/>
    <w:basedOn w:val="afe"/>
    <w:next w:val="afc"/>
    <w:rsid w:val="003B443D"/>
    <w:pPr>
      <w:numPr>
        <w:ilvl w:val="2"/>
      </w:numPr>
      <w:tabs>
        <w:tab w:val="num" w:pos="1440"/>
      </w:tabs>
      <w:spacing w:before="50" w:after="50"/>
      <w:ind w:left="284" w:hanging="720"/>
      <w:outlineLvl w:val="3"/>
    </w:pPr>
  </w:style>
  <w:style w:type="paragraph" w:customStyle="1" w:styleId="aff1">
    <w:name w:val="三级条标题"/>
    <w:basedOn w:val="aff0"/>
    <w:next w:val="afc"/>
    <w:rsid w:val="003B443D"/>
    <w:pPr>
      <w:numPr>
        <w:ilvl w:val="3"/>
      </w:numPr>
      <w:tabs>
        <w:tab w:val="num" w:pos="1440"/>
      </w:tabs>
      <w:ind w:left="284" w:hanging="720"/>
      <w:outlineLvl w:val="4"/>
    </w:pPr>
  </w:style>
  <w:style w:type="paragraph" w:customStyle="1" w:styleId="aff2">
    <w:name w:val="四级条标题"/>
    <w:basedOn w:val="aff1"/>
    <w:next w:val="afc"/>
    <w:rsid w:val="003B443D"/>
    <w:pPr>
      <w:numPr>
        <w:ilvl w:val="4"/>
      </w:numPr>
      <w:tabs>
        <w:tab w:val="num" w:pos="1440"/>
      </w:tabs>
      <w:ind w:left="284" w:hanging="720"/>
      <w:outlineLvl w:val="5"/>
    </w:pPr>
  </w:style>
  <w:style w:type="paragraph" w:customStyle="1" w:styleId="aff3">
    <w:name w:val="五级条标题"/>
    <w:basedOn w:val="aff2"/>
    <w:next w:val="afc"/>
    <w:rsid w:val="003B443D"/>
    <w:pPr>
      <w:numPr>
        <w:ilvl w:val="5"/>
      </w:numPr>
      <w:tabs>
        <w:tab w:val="num" w:pos="1440"/>
      </w:tabs>
      <w:ind w:left="284" w:hanging="720"/>
      <w:outlineLvl w:val="6"/>
    </w:pPr>
  </w:style>
  <w:style w:type="paragraph" w:customStyle="1" w:styleId="aff4">
    <w:name w:val="二级无"/>
    <w:basedOn w:val="aff0"/>
    <w:rsid w:val="003B443D"/>
    <w:pPr>
      <w:numPr>
        <w:ilvl w:val="0"/>
      </w:numPr>
      <w:tabs>
        <w:tab w:val="num" w:pos="1440"/>
      </w:tabs>
      <w:spacing w:beforeLines="0" w:afterLines="0"/>
      <w:ind w:left="284" w:hanging="720"/>
    </w:pPr>
    <w:rPr>
      <w:rFonts w:ascii="宋体" w:eastAsia="宋体"/>
    </w:rPr>
  </w:style>
  <w:style w:type="paragraph" w:customStyle="1" w:styleId="ad">
    <w:name w:val="标准文件_二级条标题"/>
    <w:next w:val="af1"/>
    <w:rsid w:val="00503D30"/>
    <w:pPr>
      <w:widowControl w:val="0"/>
      <w:numPr>
        <w:ilvl w:val="3"/>
        <w:numId w:val="6"/>
      </w:numPr>
      <w:spacing w:beforeLines="50" w:before="50" w:afterLines="50" w:after="50"/>
      <w:jc w:val="both"/>
      <w:outlineLvl w:val="2"/>
    </w:pPr>
    <w:rPr>
      <w:rFonts w:ascii="黑体" w:eastAsia="黑体" w:hAnsi="Times New Roman" w:cs="Times New Roman"/>
      <w:kern w:val="0"/>
      <w:szCs w:val="20"/>
    </w:rPr>
  </w:style>
  <w:style w:type="paragraph" w:customStyle="1" w:styleId="ae">
    <w:name w:val="标准文件_三级条标题"/>
    <w:basedOn w:val="ad"/>
    <w:next w:val="af1"/>
    <w:rsid w:val="00503D30"/>
    <w:pPr>
      <w:widowControl/>
      <w:numPr>
        <w:ilvl w:val="4"/>
      </w:numPr>
      <w:outlineLvl w:val="3"/>
    </w:pPr>
  </w:style>
  <w:style w:type="paragraph" w:customStyle="1" w:styleId="af">
    <w:name w:val="标准文件_四级条标题"/>
    <w:next w:val="af1"/>
    <w:rsid w:val="00503D30"/>
    <w:pPr>
      <w:widowControl w:val="0"/>
      <w:numPr>
        <w:ilvl w:val="5"/>
        <w:numId w:val="6"/>
      </w:numPr>
      <w:spacing w:beforeLines="50" w:before="50" w:afterLines="50" w:after="50"/>
      <w:jc w:val="both"/>
      <w:outlineLvl w:val="4"/>
    </w:pPr>
    <w:rPr>
      <w:rFonts w:ascii="黑体" w:eastAsia="黑体" w:hAnsi="Times New Roman" w:cs="Times New Roman"/>
      <w:kern w:val="0"/>
      <w:szCs w:val="20"/>
    </w:rPr>
  </w:style>
  <w:style w:type="paragraph" w:customStyle="1" w:styleId="af0">
    <w:name w:val="标准文件_五级条标题"/>
    <w:next w:val="af1"/>
    <w:rsid w:val="00503D30"/>
    <w:pPr>
      <w:widowControl w:val="0"/>
      <w:numPr>
        <w:ilvl w:val="6"/>
        <w:numId w:val="6"/>
      </w:numPr>
      <w:spacing w:beforeLines="50" w:before="50" w:afterLines="50" w:after="50"/>
      <w:jc w:val="both"/>
      <w:outlineLvl w:val="5"/>
    </w:pPr>
    <w:rPr>
      <w:rFonts w:ascii="黑体" w:eastAsia="黑体" w:hAnsi="Times New Roman" w:cs="Times New Roman"/>
      <w:kern w:val="0"/>
      <w:szCs w:val="20"/>
    </w:rPr>
  </w:style>
  <w:style w:type="paragraph" w:customStyle="1" w:styleId="ab">
    <w:name w:val="标准文件_章标题"/>
    <w:next w:val="af1"/>
    <w:rsid w:val="00503D30"/>
    <w:pPr>
      <w:numPr>
        <w:ilvl w:val="1"/>
        <w:numId w:val="6"/>
      </w:numPr>
      <w:spacing w:beforeLines="100" w:before="100" w:afterLines="100" w:after="100"/>
      <w:jc w:val="both"/>
      <w:outlineLvl w:val="0"/>
    </w:pPr>
    <w:rPr>
      <w:rFonts w:ascii="黑体" w:eastAsia="黑体" w:hAnsi="Times New Roman" w:cs="Times New Roman"/>
      <w:kern w:val="0"/>
      <w:szCs w:val="20"/>
    </w:rPr>
  </w:style>
  <w:style w:type="paragraph" w:customStyle="1" w:styleId="ac">
    <w:name w:val="标准文件_一级条标题"/>
    <w:basedOn w:val="ab"/>
    <w:next w:val="af1"/>
    <w:rsid w:val="00503D30"/>
    <w:pPr>
      <w:numPr>
        <w:ilvl w:val="2"/>
      </w:numPr>
      <w:spacing w:beforeLines="50" w:before="50" w:afterLines="50" w:after="50"/>
      <w:outlineLvl w:val="1"/>
    </w:pPr>
  </w:style>
  <w:style w:type="paragraph" w:customStyle="1" w:styleId="aff5">
    <w:name w:val="标准文件_正文表标题"/>
    <w:next w:val="af1"/>
    <w:rsid w:val="00503D30"/>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a">
    <w:name w:val="前言标题"/>
    <w:next w:val="af1"/>
    <w:rsid w:val="00503D30"/>
    <w:pPr>
      <w:numPr>
        <w:numId w:val="6"/>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8">
    <w:name w:val="标准文件_二级无标题"/>
    <w:basedOn w:val="ad"/>
    <w:qFormat/>
    <w:rsid w:val="00503D30"/>
    <w:pPr>
      <w:numPr>
        <w:numId w:val="8"/>
      </w:numPr>
      <w:spacing w:beforeLines="0" w:before="0" w:afterLines="0" w:after="0"/>
      <w:outlineLvl w:val="9"/>
    </w:pPr>
    <w:rPr>
      <w:rFonts w:ascii="宋体" w:eastAsia="宋体"/>
    </w:rPr>
  </w:style>
  <w:style w:type="paragraph" w:styleId="aff6">
    <w:name w:val="List Paragraph"/>
    <w:basedOn w:val="af1"/>
    <w:uiPriority w:val="34"/>
    <w:qFormat/>
    <w:rsid w:val="00503D30"/>
    <w:pPr>
      <w:ind w:firstLineChars="200" w:firstLine="420"/>
    </w:pPr>
  </w:style>
  <w:style w:type="paragraph" w:customStyle="1" w:styleId="aff7">
    <w:name w:val="标准文件_段"/>
    <w:link w:val="Char0"/>
    <w:qFormat/>
    <w:rsid w:val="00443CD0"/>
    <w:pPr>
      <w:autoSpaceDE w:val="0"/>
      <w:autoSpaceDN w:val="0"/>
      <w:ind w:firstLineChars="200" w:firstLine="200"/>
      <w:jc w:val="both"/>
    </w:pPr>
    <w:rPr>
      <w:rFonts w:ascii="宋体" w:eastAsia="宋体" w:hAnsi="Times New Roman" w:cs="Times New Roman"/>
      <w:noProof/>
      <w:kern w:val="0"/>
      <w:szCs w:val="20"/>
    </w:rPr>
  </w:style>
  <w:style w:type="paragraph" w:customStyle="1" w:styleId="a0">
    <w:name w:val="标准文件_一级项"/>
    <w:rsid w:val="00443CD0"/>
    <w:pPr>
      <w:numPr>
        <w:numId w:val="9"/>
      </w:numPr>
    </w:pPr>
    <w:rPr>
      <w:rFonts w:ascii="宋体" w:eastAsia="宋体" w:hAnsi="Times New Roman" w:cs="Times New Roman"/>
      <w:kern w:val="0"/>
      <w:szCs w:val="20"/>
    </w:rPr>
  </w:style>
  <w:style w:type="paragraph" w:customStyle="1" w:styleId="a1">
    <w:name w:val="标准文件_三级项"/>
    <w:basedOn w:val="af1"/>
    <w:rsid w:val="00443CD0"/>
    <w:pPr>
      <w:numPr>
        <w:ilvl w:val="2"/>
        <w:numId w:val="9"/>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8">
    <w:name w:val="标准文件_表格"/>
    <w:basedOn w:val="aff7"/>
    <w:qFormat/>
    <w:rsid w:val="00443CD0"/>
    <w:pPr>
      <w:ind w:firstLineChars="0" w:firstLine="0"/>
      <w:jc w:val="center"/>
    </w:pPr>
    <w:rPr>
      <w:sz w:val="18"/>
    </w:rPr>
  </w:style>
  <w:style w:type="paragraph" w:customStyle="1" w:styleId="a">
    <w:name w:val="标准文件_注×："/>
    <w:rsid w:val="00443CD0"/>
    <w:pPr>
      <w:widowControl w:val="0"/>
      <w:numPr>
        <w:numId w:val="10"/>
      </w:numPr>
      <w:autoSpaceDE w:val="0"/>
      <w:autoSpaceDN w:val="0"/>
      <w:jc w:val="both"/>
    </w:pPr>
    <w:rPr>
      <w:rFonts w:ascii="宋体" w:eastAsia="宋体" w:hAnsi="Times New Roman" w:cs="Times New Roman"/>
      <w:kern w:val="0"/>
      <w:sz w:val="18"/>
      <w:szCs w:val="18"/>
    </w:rPr>
  </w:style>
  <w:style w:type="character" w:customStyle="1" w:styleId="Char0">
    <w:name w:val="标准文件_段 Char"/>
    <w:link w:val="aff7"/>
    <w:qFormat/>
    <w:rsid w:val="00443CD0"/>
    <w:rPr>
      <w:rFonts w:ascii="宋体" w:eastAsia="宋体" w:hAnsi="Times New Roman" w:cs="Times New Roman"/>
      <w:noProof/>
      <w:kern w:val="0"/>
      <w:szCs w:val="20"/>
    </w:rPr>
  </w:style>
  <w:style w:type="paragraph" w:customStyle="1" w:styleId="2">
    <w:name w:val="标准文件_二级项2"/>
    <w:basedOn w:val="aff7"/>
    <w:qFormat/>
    <w:rsid w:val="00443CD0"/>
    <w:pPr>
      <w:numPr>
        <w:ilvl w:val="1"/>
        <w:numId w:val="9"/>
      </w:numPr>
      <w:tabs>
        <w:tab w:val="num" w:pos="360"/>
      </w:tabs>
      <w:ind w:left="0" w:firstLineChars="0" w:firstLine="0"/>
    </w:pPr>
  </w:style>
  <w:style w:type="paragraph" w:styleId="aff9">
    <w:name w:val="Date"/>
    <w:basedOn w:val="af1"/>
    <w:next w:val="af1"/>
    <w:link w:val="affa"/>
    <w:uiPriority w:val="99"/>
    <w:semiHidden/>
    <w:unhideWhenUsed/>
    <w:rsid w:val="008A1ED9"/>
    <w:pPr>
      <w:ind w:leftChars="2500" w:left="100"/>
    </w:pPr>
  </w:style>
  <w:style w:type="character" w:customStyle="1" w:styleId="affa">
    <w:name w:val="日期 字符"/>
    <w:basedOn w:val="af2"/>
    <w:link w:val="aff9"/>
    <w:uiPriority w:val="99"/>
    <w:semiHidden/>
    <w:rsid w:val="008A1ED9"/>
    <w:rPr>
      <w:rFonts w:ascii="宋体" w:eastAsia="Times New Roman" w:hAnsi="宋体" w:cs="宋体"/>
      <w:kern w:val="0"/>
      <w:sz w:val="22"/>
      <w:lang w:eastAsia="en-US" w:bidi="en-US"/>
    </w:rPr>
  </w:style>
  <w:style w:type="table" w:customStyle="1" w:styleId="11">
    <w:name w:val="网格型1"/>
    <w:basedOn w:val="af3"/>
    <w:next w:val="afb"/>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f3"/>
    <w:next w:val="afb"/>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f3"/>
    <w:next w:val="afb"/>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f3"/>
    <w:next w:val="afb"/>
    <w:uiPriority w:val="39"/>
    <w:rsid w:val="00E71C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标准文件_破折号列项（二级）"/>
    <w:basedOn w:val="af1"/>
    <w:rsid w:val="00E71C6C"/>
    <w:pPr>
      <w:widowControl/>
      <w:numPr>
        <w:numId w:val="11"/>
      </w:numPr>
      <w:autoSpaceDE/>
      <w:autoSpaceDN/>
      <w:adjustRightInd w:val="0"/>
      <w:snapToGrid w:val="0"/>
      <w:ind w:firstLineChars="200" w:firstLine="200"/>
    </w:pPr>
    <w:rPr>
      <w:rFonts w:ascii="Times New Roman" w:eastAsia="宋体" w:hAnsi="Times New Roman" w:cs="Times New Roman"/>
      <w:sz w:val="21"/>
      <w:szCs w:val="20"/>
      <w:lang w:eastAsia="zh-CN" w:bidi="ar-SA"/>
    </w:rPr>
  </w:style>
  <w:style w:type="table" w:customStyle="1" w:styleId="5">
    <w:name w:val="网格型5"/>
    <w:basedOn w:val="af3"/>
    <w:next w:val="afb"/>
    <w:uiPriority w:val="39"/>
    <w:rsid w:val="00E71C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f3"/>
    <w:next w:val="afb"/>
    <w:uiPriority w:val="39"/>
    <w:rsid w:val="001911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f3"/>
    <w:next w:val="afb"/>
    <w:uiPriority w:val="39"/>
    <w:rsid w:val="001911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f3"/>
    <w:next w:val="afb"/>
    <w:uiPriority w:val="39"/>
    <w:rsid w:val="00C967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f3"/>
    <w:next w:val="afb"/>
    <w:uiPriority w:val="39"/>
    <w:rsid w:val="00C967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标准文件_数字编号列项（二级）"/>
    <w:rsid w:val="009779CA"/>
    <w:pPr>
      <w:numPr>
        <w:ilvl w:val="1"/>
        <w:numId w:val="12"/>
      </w:numPr>
      <w:jc w:val="both"/>
    </w:pPr>
    <w:rPr>
      <w:rFonts w:ascii="宋体" w:eastAsia="宋体" w:hAnsi="Times New Roman" w:cs="Times New Roman"/>
      <w:kern w:val="0"/>
      <w:szCs w:val="20"/>
    </w:rPr>
  </w:style>
  <w:style w:type="paragraph" w:customStyle="1" w:styleId="a4">
    <w:name w:val="标准文件_编号列项（三级）"/>
    <w:rsid w:val="009779CA"/>
    <w:pPr>
      <w:numPr>
        <w:ilvl w:val="2"/>
        <w:numId w:val="12"/>
      </w:numPr>
    </w:pPr>
    <w:rPr>
      <w:rFonts w:ascii="宋体" w:eastAsia="宋体" w:hAnsi="Times New Roman" w:cs="Times New Roman"/>
      <w:kern w:val="0"/>
      <w:szCs w:val="20"/>
    </w:rPr>
  </w:style>
  <w:style w:type="paragraph" w:customStyle="1" w:styleId="a7">
    <w:name w:val="标准文件_三级无标题"/>
    <w:basedOn w:val="ae"/>
    <w:qFormat/>
    <w:rsid w:val="009779CA"/>
    <w:pPr>
      <w:numPr>
        <w:numId w:val="2"/>
      </w:numPr>
      <w:spacing w:beforeLines="0" w:before="0" w:afterLines="0" w:after="0"/>
      <w:outlineLvl w:val="9"/>
    </w:pPr>
    <w:rPr>
      <w:rFonts w:ascii="宋体" w:eastAsia="宋体"/>
    </w:rPr>
  </w:style>
  <w:style w:type="paragraph" w:customStyle="1" w:styleId="a2">
    <w:name w:val="标准文件_字母编号列项（一级）"/>
    <w:rsid w:val="009779CA"/>
    <w:pPr>
      <w:numPr>
        <w:numId w:val="12"/>
      </w:numPr>
      <w:jc w:val="both"/>
    </w:pPr>
    <w:rPr>
      <w:rFonts w:ascii="宋体" w:eastAsia="宋体" w:hAnsi="Times New Roman" w:cs="Times New Roman"/>
      <w:kern w:val="0"/>
      <w:szCs w:val="20"/>
    </w:rPr>
  </w:style>
  <w:style w:type="character" w:styleId="affb">
    <w:name w:val="Strong"/>
    <w:uiPriority w:val="22"/>
    <w:qFormat/>
    <w:rsid w:val="00352287"/>
    <w:rPr>
      <w:b/>
      <w:bCs/>
    </w:rPr>
  </w:style>
  <w:style w:type="paragraph" w:styleId="affc">
    <w:name w:val="Normal (Web)"/>
    <w:basedOn w:val="af1"/>
    <w:uiPriority w:val="99"/>
    <w:unhideWhenUsed/>
    <w:rsid w:val="00352287"/>
    <w:pPr>
      <w:widowControl/>
      <w:autoSpaceDE/>
      <w:autoSpaceDN/>
      <w:spacing w:before="100" w:beforeAutospacing="1" w:after="100" w:afterAutospacing="1"/>
    </w:pPr>
    <w:rPr>
      <w:rFonts w:eastAsia="宋体"/>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6100</TotalTime>
  <Pages>9</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565470151@qq.com</cp:lastModifiedBy>
  <cp:revision>112</cp:revision>
  <cp:lastPrinted>2022-03-19T01:18:00Z</cp:lastPrinted>
  <dcterms:created xsi:type="dcterms:W3CDTF">2021-10-22T09:34:00Z</dcterms:created>
  <dcterms:modified xsi:type="dcterms:W3CDTF">2024-09-13T08:41:00Z</dcterms:modified>
</cp:coreProperties>
</file>