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81D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425DE5">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14:paraId="6518EBDC">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1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11DB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892F912">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CCS</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6670E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96A19A7">
                  <w:pPr>
                    <w:pStyle w:val="52"/>
                    <w:framePr w:wrap="notBeside" w:vAnchor="page" w:hAnchor="page" w:x="1372" w:y="568"/>
                    <w:ind w:left="420" w:right="624"/>
                    <w:rPr>
                      <w:rFonts w:hint="eastAsia" w:ascii="宋体" w:hAnsi="宋体"/>
                      <w:sz w:val="28"/>
                      <w:szCs w:val="28"/>
                    </w:rPr>
                  </w:pP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5A91439C">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C 0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05</w:t>
            </w:r>
            <w:r>
              <w:rPr>
                <w:rFonts w:ascii="黑体" w:hAnsi="黑体" w:eastAsia="黑体"/>
                <w:sz w:val="21"/>
                <w:szCs w:val="21"/>
              </w:rPr>
              <w:fldChar w:fldCharType="end"/>
            </w:r>
            <w:bookmarkEnd w:id="2"/>
          </w:p>
        </w:tc>
      </w:tr>
    </w:tbl>
    <w:p w14:paraId="2E9E0972">
      <w:pPr>
        <w:pStyle w:val="53"/>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FDD257D">
      <w:pPr>
        <w:pStyle w:val="198"/>
        <w:framePr/>
      </w:pPr>
      <w:r>
        <w:t>T/</w:t>
      </w:r>
      <w:bookmarkStart w:id="4" w:name="NSTD_CODE_F"/>
      <w:r>
        <w:fldChar w:fldCharType="begin">
          <w:ffData>
            <w:name w:val="文字1"/>
            <w:enabled/>
            <w:calcOnExit w:val="0"/>
            <w:textInput>
              <w:default w:val="FDSA"/>
            </w:textInput>
          </w:ffData>
        </w:fldChar>
      </w:r>
      <w:bookmarkStart w:id="5" w:name="文字1"/>
      <w:r>
        <w:instrText xml:space="preserve"> FORMTEXT </w:instrText>
      </w:r>
      <w:r>
        <w:fldChar w:fldCharType="separate"/>
      </w:r>
      <w:r>
        <w:t>FDSA</w:t>
      </w:r>
      <w:r>
        <w:fldChar w:fldCharType="end"/>
      </w:r>
      <w:bookmarkEnd w:id="5"/>
      <w:r>
        <w:rPr>
          <w:rFonts w:hint="eastAsia"/>
        </w:rPr>
        <w:t xml:space="preserve"> </w:t>
      </w:r>
      <w:bookmarkEnd w:id="4"/>
      <w:r>
        <w:fldChar w:fldCharType="begin">
          <w:ffData>
            <w:enabled/>
            <w:calcOnExit w:val="0"/>
            <w:textInput>
              <w:default w:val="XXX"/>
            </w:textInput>
          </w:ffData>
        </w:fldChar>
      </w:r>
      <w:r>
        <w:instrText xml:space="preserve"> FORMTEXT </w:instrText>
      </w:r>
      <w:r>
        <w:fldChar w:fldCharType="separate"/>
      </w:r>
      <w:r>
        <w:t>XXX</w:t>
      </w:r>
      <w:r>
        <w:fldChar w:fldCharType="end"/>
      </w:r>
      <w:r>
        <w:rPr>
          <w:rFonts w:hAnsi="黑体"/>
        </w:rPr>
        <w:t>—</w:t>
      </w:r>
      <w:r>
        <w:fldChar w:fldCharType="begin">
          <w:ffData>
            <w:name w:val="NSTD_CODE_B"/>
            <w:enabled/>
            <w:calcOnExit w:val="0"/>
            <w:textInput>
              <w:default w:val="2024"/>
            </w:textInput>
          </w:ffData>
        </w:fldChar>
      </w:r>
      <w:bookmarkStart w:id="6" w:name="NSTD_CODE_B"/>
      <w:r>
        <w:instrText xml:space="preserve"> FORMTEXT </w:instrText>
      </w:r>
      <w:r>
        <w:fldChar w:fldCharType="separate"/>
      </w:r>
      <w:r>
        <w:t>2024</w:t>
      </w:r>
      <w:r>
        <w:fldChar w:fldCharType="end"/>
      </w:r>
      <w:bookmarkEnd w:id="6"/>
    </w:p>
    <w:p w14:paraId="61F42CC3">
      <w:pPr>
        <w:pStyle w:val="199"/>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6F66148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4jzNgAAAAM&#10;AQAADwAAAAAAAAABACAAAAAiAAAAZHJzL2Rvd25yZXYueG1sUEsBAhQAFAAAAAgAh07iQAM1DObj&#10;AQAAqgMAAA4AAAAAAAAAAQAgAAAAJwEAAGRycy9lMm9Eb2MueG1sUEsFBgAAAAAGAAYAWQEAAHwF&#10;AAAAAA==&#10;">
                <v:fill on="f" focussize="0,0"/>
                <v:stroke color="#000000" joinstyle="round"/>
                <v:imagedata o:title=""/>
                <o:lock v:ext="edit" aspectratio="f"/>
              </v:line>
            </w:pict>
          </mc:Fallback>
        </mc:AlternateContent>
      </w:r>
    </w:p>
    <w:p w14:paraId="3A2E30CC">
      <w:pPr>
        <w:pStyle w:val="53"/>
        <w:framePr w:w="9639" w:h="6976" w:hRule="exact" w:hSpace="0" w:vSpace="0" w:wrap="around" w:hAnchor="page" w:y="6408"/>
        <w:jc w:val="center"/>
        <w:rPr>
          <w:rFonts w:hint="eastAsia" w:ascii="黑体" w:hAnsi="黑体" w:eastAsia="黑体"/>
          <w:b w:val="0"/>
          <w:bCs w:val="0"/>
          <w:w w:val="100"/>
        </w:rPr>
      </w:pPr>
    </w:p>
    <w:p w14:paraId="1912CCF7">
      <w:pPr>
        <w:pStyle w:val="200"/>
        <w:framePr w:h="6974" w:hRule="exact" w:wrap="around" w:x="1419" w:anchorLock="1"/>
        <w:rPr>
          <w:rFonts w:hint="eastAsia"/>
        </w:rPr>
      </w:pPr>
      <w:r>
        <w:fldChar w:fldCharType="begin">
          <w:ffData>
            <w:name w:val="CSTD_NAME"/>
            <w:enabled/>
            <w:calcOnExit w:val="0"/>
            <w:textInput>
              <w:default w:val="乳腺癌类器官药物敏感性检测指导患者精准治疗技术规范"/>
            </w:textInput>
          </w:ffData>
        </w:fldChar>
      </w:r>
      <w:bookmarkStart w:id="8" w:name="CSTD_NAME"/>
      <w:r>
        <w:instrText xml:space="preserve"> FORMTEXT </w:instrText>
      </w:r>
      <w:r>
        <w:fldChar w:fldCharType="separate"/>
      </w:r>
      <w:r>
        <w:t>乳腺癌类器官药物敏感性检测指导患者精准治疗技术规范</w:t>
      </w:r>
      <w:r>
        <w:fldChar w:fldCharType="end"/>
      </w:r>
      <w:bookmarkEnd w:id="8"/>
    </w:p>
    <w:p w14:paraId="014DE4D2">
      <w:pPr>
        <w:framePr w:w="9639" w:h="6974" w:hRule="exact" w:wrap="around" w:vAnchor="page" w:hAnchor="page" w:x="1419" w:y="6408" w:anchorLock="1"/>
        <w:ind w:left="-1418"/>
      </w:pPr>
    </w:p>
    <w:p w14:paraId="244FEB89">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precision treatment of patients guided by drug sensitivity testing of breast cancer like organs"/>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precision treatment of patients guided by drug sensitivity testing of breast cancer like organs</w:t>
      </w:r>
      <w:r>
        <w:rPr>
          <w:rFonts w:eastAsia="黑体"/>
          <w:szCs w:val="28"/>
        </w:rPr>
        <w:fldChar w:fldCharType="end"/>
      </w:r>
      <w:bookmarkEnd w:id="9"/>
    </w:p>
    <w:p w14:paraId="290BB6CC">
      <w:pPr>
        <w:pStyle w:val="128"/>
        <w:framePr w:w="9639" w:h="6974" w:hRule="exact" w:wrap="around" w:vAnchor="page" w:hAnchor="page" w:x="1419" w:y="6408" w:anchorLock="1"/>
        <w:spacing w:before="440" w:after="160"/>
        <w:jc w:val="both"/>
        <w:textAlignment w:val="bottom"/>
        <w:rPr>
          <w:sz w:val="24"/>
          <w:szCs w:val="28"/>
        </w:rPr>
      </w:pPr>
    </w:p>
    <w:p w14:paraId="41706ECA">
      <w:pPr>
        <w:pStyle w:val="128"/>
        <w:framePr w:w="9639" w:h="6974" w:hRule="exact" w:wrap="around" w:vAnchor="page" w:hAnchor="page" w:x="1419" w:y="6408" w:anchorLock="1"/>
        <w:spacing w:before="180" w:line="240" w:lineRule="atLeast"/>
        <w:textAlignment w:val="bottom"/>
        <w:rPr>
          <w:sz w:val="21"/>
          <w:szCs w:val="28"/>
        </w:rPr>
      </w:pPr>
    </w:p>
    <w:p w14:paraId="1156FFD5">
      <w:pPr>
        <w:pStyle w:val="128"/>
        <w:framePr w:w="9639" w:h="6974" w:hRule="exact" w:wrap="around" w:vAnchor="page" w:hAnchor="page" w:x="1419" w:y="6408" w:anchorLock="1"/>
        <w:spacing w:before="720" w:beforeLines="300" w:after="72" w:afterLines="30" w:line="240" w:lineRule="auto"/>
        <w:textAlignment w:val="bottom"/>
        <w:rPr>
          <w:b/>
          <w:sz w:val="21"/>
          <w:szCs w:val="28"/>
        </w:rPr>
      </w:pPr>
    </w:p>
    <w:p w14:paraId="51A15243">
      <w:pPr>
        <w:pStyle w:val="196"/>
        <w:framePr w:wrap="around" w:y="14176"/>
      </w:pPr>
      <w:r>
        <w:rPr>
          <w:rFonts w:ascii="黑体"/>
        </w:rPr>
        <w:fldChar w:fldCharType="begin">
          <w:ffData>
            <w:name w:val="PLSH_DATE_Y"/>
            <w:enabled/>
            <w:calcOnExit w:val="0"/>
            <w:textInput>
              <w:default w:val="2024"/>
              <w:maxLength w:val="4"/>
            </w:textInput>
          </w:ffData>
        </w:fldChar>
      </w:r>
      <w:bookmarkStart w:id="10"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34DDC3E9">
      <w:pPr>
        <w:pStyle w:val="197"/>
        <w:framePr w:wrap="around" w:y="14176"/>
      </w:pPr>
      <w:r>
        <w:rPr>
          <w:rFonts w:ascii="黑体"/>
        </w:rPr>
        <w:fldChar w:fldCharType="begin">
          <w:ffData>
            <w:name w:val="CROT_DATE_Y"/>
            <w:enabled/>
            <w:calcOnExit w:val="0"/>
            <w:textInput>
              <w:default w:val="2024"/>
              <w:maxLength w:val="4"/>
            </w:textInput>
          </w:ffData>
        </w:fldChar>
      </w:r>
      <w:bookmarkStart w:id="13"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3AB186E1">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default w:val="中国食品药品企业质量安全促进会"/>
            </w:textInput>
          </w:ffData>
        </w:fldChar>
      </w:r>
      <w:bookmarkStart w:id="16" w:name="fm"/>
      <w:r>
        <w:rPr>
          <w:rFonts w:hAnsi="黑体"/>
          <w:w w:val="100"/>
          <w:sz w:val="28"/>
        </w:rPr>
        <w:instrText xml:space="preserve"> FORMTEXT </w:instrText>
      </w:r>
      <w:r>
        <w:rPr>
          <w:rFonts w:hAnsi="黑体"/>
          <w:w w:val="100"/>
          <w:sz w:val="28"/>
        </w:rPr>
        <w:fldChar w:fldCharType="separate"/>
      </w:r>
      <w:r>
        <w:rPr>
          <w:rFonts w:hAnsi="黑体"/>
          <w:w w:val="100"/>
          <w:sz w:val="28"/>
        </w:rPr>
        <w:t>中国食品药品企业质量安全促进会</w:t>
      </w:r>
      <w:r>
        <w:rPr>
          <w:rFonts w:hAnsi="黑体"/>
          <w:w w:val="100"/>
          <w:sz w:val="28"/>
        </w:rPr>
        <w:fldChar w:fldCharType="end"/>
      </w:r>
      <w:bookmarkEnd w:id="16"/>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47659EC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cE4iM+MB&#10;AACqAwAADgAAAAAAAAABACAAAAAmAQAAZHJzL2Uyb0RvYy54bWxQSwUGAAAAAAYABgBZAQAAewUA&#10;AAAA&#10;">
                <v:fill on="f" focussize="0,0"/>
                <v:stroke color="#000000" joinstyle="round"/>
                <v:imagedata o:title=""/>
                <o:lock v:ext="edit" aspectratio="f"/>
                <w10:anchorlock/>
              </v:line>
            </w:pict>
          </mc:Fallback>
        </mc:AlternateContent>
      </w:r>
    </w:p>
    <w:p w14:paraId="66EEB13A">
      <w:pPr>
        <w:pStyle w:val="94"/>
        <w:spacing w:after="360"/>
      </w:pPr>
      <w:bookmarkStart w:id="17" w:name="BookMark1"/>
      <w:bookmarkStart w:id="18" w:name="_Toc108566363"/>
      <w:bookmarkStart w:id="19" w:name="_Toc112825828"/>
      <w:bookmarkStart w:id="20" w:name="_Toc106365557"/>
      <w:bookmarkStart w:id="21" w:name="_Toc106365611"/>
      <w:bookmarkStart w:id="22" w:name="_Toc107841983"/>
      <w:bookmarkStart w:id="23" w:name="_Toc131668659"/>
      <w:bookmarkStart w:id="24" w:name="_Toc107842051"/>
      <w:bookmarkStart w:id="25" w:name="_Toc117888210"/>
      <w:bookmarkStart w:id="26" w:name="_Toc106365706"/>
      <w:bookmarkStart w:id="27" w:name="_Toc107842722"/>
      <w:r>
        <w:rPr>
          <w:rFonts w:hint="eastAsia"/>
          <w:spacing w:val="320"/>
        </w:rPr>
        <w:t>目</w:t>
      </w:r>
      <w:r>
        <w:rPr>
          <w:rFonts w:hint="eastAsia"/>
        </w:rPr>
        <w:t>次</w:t>
      </w:r>
    </w:p>
    <w:p w14:paraId="6ADF3321">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"_Toc170039690" </w:instrText>
      </w:r>
      <w:r>
        <w:fldChar w:fldCharType="separate"/>
      </w:r>
      <w:r>
        <w:rPr>
          <w:rStyle w:val="34"/>
        </w:rPr>
        <w:t>前言</w:t>
      </w:r>
      <w:r>
        <w:tab/>
      </w:r>
      <w:r>
        <w:fldChar w:fldCharType="begin"/>
      </w:r>
      <w:r>
        <w:instrText xml:space="preserve"> PAGEREF _Toc170039690 \h </w:instrText>
      </w:r>
      <w:r>
        <w:fldChar w:fldCharType="separate"/>
      </w:r>
      <w:r>
        <w:t>II</w:t>
      </w:r>
      <w:r>
        <w:fldChar w:fldCharType="end"/>
      </w:r>
      <w:r>
        <w:fldChar w:fldCharType="end"/>
      </w:r>
    </w:p>
    <w:p w14:paraId="0FB97479">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"_Toc170039691" </w:instrText>
      </w:r>
      <w:r>
        <w:fldChar w:fldCharType="separate"/>
      </w:r>
      <w:r>
        <w:rPr>
          <w:rStyle w:val="34"/>
        </w:rPr>
        <w:t>1  范围</w:t>
      </w:r>
      <w:r>
        <w:tab/>
      </w:r>
      <w:r>
        <w:fldChar w:fldCharType="begin"/>
      </w:r>
      <w:r>
        <w:instrText xml:space="preserve"> PAGEREF _Toc170039691 \h </w:instrText>
      </w:r>
      <w:r>
        <w:fldChar w:fldCharType="separate"/>
      </w:r>
      <w:r>
        <w:t>1</w:t>
      </w:r>
      <w:r>
        <w:fldChar w:fldCharType="end"/>
      </w:r>
      <w:r>
        <w:fldChar w:fldCharType="end"/>
      </w:r>
    </w:p>
    <w:p w14:paraId="58B6069E">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"_Toc170039692" </w:instrText>
      </w:r>
      <w:r>
        <w:fldChar w:fldCharType="separate"/>
      </w:r>
      <w:r>
        <w:rPr>
          <w:rStyle w:val="34"/>
        </w:rPr>
        <w:t>2  规范性引用文件</w:t>
      </w:r>
      <w:r>
        <w:tab/>
      </w:r>
      <w:r>
        <w:fldChar w:fldCharType="begin"/>
      </w:r>
      <w:r>
        <w:instrText xml:space="preserve"> PAGEREF _Toc170039692 \h </w:instrText>
      </w:r>
      <w:r>
        <w:fldChar w:fldCharType="separate"/>
      </w:r>
      <w:r>
        <w:t>1</w:t>
      </w:r>
      <w:r>
        <w:fldChar w:fldCharType="end"/>
      </w:r>
      <w:r>
        <w:fldChar w:fldCharType="end"/>
      </w:r>
    </w:p>
    <w:p w14:paraId="5A28D23C">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"_Toc170039693" </w:instrText>
      </w:r>
      <w:r>
        <w:fldChar w:fldCharType="separate"/>
      </w:r>
      <w:r>
        <w:rPr>
          <w:rStyle w:val="34"/>
        </w:rPr>
        <w:t>3  术语和定义</w:t>
      </w:r>
      <w:r>
        <w:tab/>
      </w:r>
      <w:r>
        <w:fldChar w:fldCharType="begin"/>
      </w:r>
      <w:r>
        <w:instrText xml:space="preserve"> PAGEREF _Toc170039693 \h </w:instrText>
      </w:r>
      <w:r>
        <w:fldChar w:fldCharType="separate"/>
      </w:r>
      <w:r>
        <w:t>1</w:t>
      </w:r>
      <w:r>
        <w:fldChar w:fldCharType="end"/>
      </w:r>
      <w:r>
        <w:fldChar w:fldCharType="end"/>
      </w:r>
    </w:p>
    <w:p w14:paraId="6B1624C8">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"_Toc170039694" </w:instrText>
      </w:r>
      <w:r>
        <w:fldChar w:fldCharType="separate"/>
      </w:r>
      <w:r>
        <w:rPr>
          <w:rStyle w:val="34"/>
        </w:rPr>
        <w:t>4  样本采集与处理</w:t>
      </w:r>
      <w:r>
        <w:tab/>
      </w:r>
      <w:r>
        <w:fldChar w:fldCharType="begin"/>
      </w:r>
      <w:r>
        <w:instrText xml:space="preserve"> PAGEREF _Toc170039694 \h </w:instrText>
      </w:r>
      <w:r>
        <w:fldChar w:fldCharType="separate"/>
      </w:r>
      <w:r>
        <w:t>1</w:t>
      </w:r>
      <w:r>
        <w:fldChar w:fldCharType="end"/>
      </w:r>
      <w:r>
        <w:fldChar w:fldCharType="end"/>
      </w:r>
    </w:p>
    <w:p w14:paraId="4B8DF674">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"_Toc170039695" </w:instrText>
      </w:r>
      <w:r>
        <w:fldChar w:fldCharType="separate"/>
      </w:r>
      <w:r>
        <w:rPr>
          <w:rStyle w:val="34"/>
        </w:rPr>
        <w:t>5  类器官建立与培养</w:t>
      </w:r>
      <w:r>
        <w:tab/>
      </w:r>
      <w:r>
        <w:fldChar w:fldCharType="begin"/>
      </w:r>
      <w:r>
        <w:instrText xml:space="preserve"> PAGEREF _Toc170039695 \h </w:instrText>
      </w:r>
      <w:r>
        <w:fldChar w:fldCharType="separate"/>
      </w:r>
      <w:r>
        <w:t>2</w:t>
      </w:r>
      <w:r>
        <w:fldChar w:fldCharType="end"/>
      </w:r>
      <w:r>
        <w:fldChar w:fldCharType="end"/>
      </w:r>
    </w:p>
    <w:p w14:paraId="2034AC44">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"_Toc170039696" </w:instrText>
      </w:r>
      <w:r>
        <w:fldChar w:fldCharType="separate"/>
      </w:r>
      <w:r>
        <w:rPr>
          <w:rStyle w:val="34"/>
        </w:rPr>
        <w:t>6  药物敏感性检测</w:t>
      </w:r>
      <w:r>
        <w:tab/>
      </w:r>
      <w:r>
        <w:fldChar w:fldCharType="begin"/>
      </w:r>
      <w:r>
        <w:instrText xml:space="preserve"> PAGEREF _Toc170039696 \h </w:instrText>
      </w:r>
      <w:r>
        <w:fldChar w:fldCharType="separate"/>
      </w:r>
      <w:r>
        <w:t>2</w:t>
      </w:r>
      <w:r>
        <w:fldChar w:fldCharType="end"/>
      </w:r>
      <w:r>
        <w:fldChar w:fldCharType="end"/>
      </w:r>
    </w:p>
    <w:p w14:paraId="1FC1644D">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"_Toc170039697" </w:instrText>
      </w:r>
      <w:r>
        <w:fldChar w:fldCharType="separate"/>
      </w:r>
      <w:r>
        <w:rPr>
          <w:rStyle w:val="34"/>
        </w:rPr>
        <w:t>7  结果解读与精准治疗建议</w:t>
      </w:r>
      <w:r>
        <w:tab/>
      </w:r>
      <w:r>
        <w:fldChar w:fldCharType="begin"/>
      </w:r>
      <w:r>
        <w:instrText xml:space="preserve"> PAGEREF _Toc170039697 \h </w:instrText>
      </w:r>
      <w:r>
        <w:fldChar w:fldCharType="separate"/>
      </w:r>
      <w:r>
        <w:t>4</w:t>
      </w:r>
      <w:r>
        <w:fldChar w:fldCharType="end"/>
      </w:r>
      <w:r>
        <w:fldChar w:fldCharType="end"/>
      </w:r>
    </w:p>
    <w:p w14:paraId="775817CF">
      <w:pPr>
        <w:pStyle w:val="94"/>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322C6449">
      <w:pPr>
        <w:pStyle w:val="92"/>
        <w:spacing w:before="900" w:after="360"/>
      </w:pPr>
      <w:bookmarkStart w:id="28" w:name="_Toc170039690"/>
      <w:bookmarkStart w:id="29" w:name="BookMark2"/>
      <w:r>
        <w:rPr>
          <w:spacing w:val="320"/>
        </w:rPr>
        <w:t>前</w:t>
      </w:r>
      <w:r>
        <w:t>言</w:t>
      </w:r>
      <w:bookmarkEnd w:id="18"/>
      <w:bookmarkEnd w:id="19"/>
      <w:bookmarkEnd w:id="20"/>
      <w:bookmarkEnd w:id="21"/>
      <w:bookmarkEnd w:id="22"/>
      <w:bookmarkEnd w:id="23"/>
      <w:bookmarkEnd w:id="24"/>
      <w:bookmarkEnd w:id="25"/>
      <w:bookmarkEnd w:id="26"/>
      <w:bookmarkEnd w:id="27"/>
      <w:bookmarkEnd w:id="28"/>
    </w:p>
    <w:p w14:paraId="2AAB8DEC">
      <w:pPr>
        <w:pStyle w:val="59"/>
        <w:ind w:firstLine="420"/>
      </w:pPr>
      <w:r>
        <w:rPr>
          <w:rFonts w:hint="eastAsia"/>
        </w:rPr>
        <w:t>本文件按照GB/T 1.1—2020《标准化工作导则 第1部分：标准化文件的结构和起草规则》的规定起草。</w:t>
      </w:r>
    </w:p>
    <w:p w14:paraId="12705920">
      <w:pPr>
        <w:pStyle w:val="59"/>
        <w:ind w:firstLine="420"/>
      </w:pPr>
      <w:r>
        <w:rPr>
          <w:rFonts w:hint="eastAsia"/>
        </w:rPr>
        <w:t>请注意本文件的某些内容可能涉及专利。本文件的发布机构不承担识别专利的责任。</w:t>
      </w:r>
    </w:p>
    <w:p w14:paraId="7B17D18D">
      <w:pPr>
        <w:pStyle w:val="59"/>
        <w:ind w:firstLine="420"/>
      </w:pPr>
      <w:r>
        <w:rPr>
          <w:rFonts w:hint="eastAsia"/>
        </w:rPr>
        <w:t>本文件由XXX提出。</w:t>
      </w:r>
    </w:p>
    <w:p w14:paraId="5BCEFF83">
      <w:pPr>
        <w:pStyle w:val="59"/>
        <w:ind w:firstLine="420"/>
      </w:pPr>
      <w:r>
        <w:rPr>
          <w:rFonts w:hint="eastAsia"/>
        </w:rPr>
        <w:t>本文件由中国食品药品企业质量安全促进会归口。</w:t>
      </w:r>
    </w:p>
    <w:p w14:paraId="5953FC51">
      <w:pPr>
        <w:pStyle w:val="59"/>
        <w:ind w:firstLine="420"/>
        <w:rPr>
          <w:rFonts w:hint="eastAsia"/>
          <w:lang w:eastAsia="zh-CN"/>
        </w:rPr>
      </w:pPr>
      <w:r>
        <w:rPr>
          <w:rFonts w:hint="eastAsia"/>
        </w:rPr>
        <w:t>本文件起草单位：深圳市北科生物科技有限公司</w:t>
      </w:r>
      <w:r>
        <w:rPr>
          <w:rFonts w:hint="eastAsia"/>
          <w:lang w:eastAsia="zh-CN"/>
        </w:rPr>
        <w:t>、国科大杭州高等研究院、朴衡博迈（上海）生物医药有限公司、上海睿钰生物科技有限公司、杭州艾名医学科技有限公司、山东富优生命科学有限公司、诺赛联合（北京）生物医学科技有限公司、山东省第四人民医院、新安吉医疗科技（深圳）有限公司。</w:t>
      </w:r>
    </w:p>
    <w:p w14:paraId="226343AF">
      <w:pPr>
        <w:pStyle w:val="59"/>
        <w:ind w:firstLine="420"/>
        <w:rPr>
          <w:rFonts w:hint="eastAsia"/>
          <w:lang w:eastAsia="zh-CN"/>
        </w:rPr>
      </w:pPr>
      <w:r>
        <w:rPr>
          <w:rFonts w:hint="eastAsia"/>
        </w:rPr>
        <w:t>本文件主要起草人：</w:t>
      </w:r>
      <w:r>
        <w:rPr>
          <w:rFonts w:hint="eastAsia"/>
          <w:lang w:eastAsia="zh-CN"/>
        </w:rPr>
        <w:t>蔡车国、张梦娜、李金朋、高云峰、廖延、宋光启、王鹤鸣、陈睿、陈凯、游明亮、申重阳、张茂好、张晓峰、亓爱杰、李</w:t>
      </w:r>
      <w:bookmarkStart w:id="107" w:name="_GoBack"/>
      <w:bookmarkEnd w:id="107"/>
      <w:r>
        <w:rPr>
          <w:rFonts w:hint="eastAsia"/>
          <w:lang w:eastAsia="zh-CN"/>
        </w:rPr>
        <w:t>少波、张磊升、胡良昌、祝佳杏。</w:t>
      </w:r>
    </w:p>
    <w:p w14:paraId="36225FAE">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29"/>
    <w:p w14:paraId="7EBDF002">
      <w:pPr>
        <w:spacing w:line="20" w:lineRule="exact"/>
        <w:jc w:val="center"/>
        <w:rPr>
          <w:rFonts w:hint="eastAsia" w:ascii="黑体" w:hAnsi="黑体" w:eastAsia="黑体"/>
          <w:sz w:val="32"/>
          <w:szCs w:val="32"/>
        </w:rPr>
      </w:pPr>
      <w:bookmarkStart w:id="30" w:name="BookMark4"/>
    </w:p>
    <w:p w14:paraId="57AD6A7F">
      <w:pPr>
        <w:spacing w:line="20" w:lineRule="exact"/>
        <w:jc w:val="center"/>
        <w:rPr>
          <w:rFonts w:hint="eastAsia" w:ascii="黑体" w:hAnsi="黑体" w:eastAsia="黑体"/>
          <w:sz w:val="32"/>
          <w:szCs w:val="32"/>
        </w:rPr>
      </w:pPr>
    </w:p>
    <w:sdt>
      <w:sdtPr>
        <w:tag w:val="NEW_STAND_NAME"/>
        <w:id w:val="595910757"/>
        <w:lock w:val="sdtLocked"/>
        <w:placeholder>
          <w:docPart w:val="D4E66663DE9748F58314B34514FC0626"/>
        </w:placeholder>
      </w:sdtPr>
      <w:sdtEndPr>
        <w:rPr>
          <w:color w:val="FF0000"/>
        </w:rPr>
      </w:sdtEndPr>
      <w:sdtContent>
        <w:p w14:paraId="32DB6806">
          <w:pPr>
            <w:pStyle w:val="180"/>
            <w:rPr>
              <w:rFonts w:hint="eastAsia"/>
            </w:rPr>
          </w:pPr>
          <w:bookmarkStart w:id="31" w:name="NEW_STAND_NAME"/>
          <w:r>
            <w:rPr>
              <w:rFonts w:hint="eastAsia"/>
            </w:rPr>
            <w:t>乳腺癌类器官药物敏感性检测指导患者精准治疗技术规范</w:t>
          </w:r>
        </w:p>
      </w:sdtContent>
    </w:sdt>
    <w:bookmarkEnd w:id="31"/>
    <w:p w14:paraId="26327883">
      <w:pPr>
        <w:pStyle w:val="107"/>
        <w:spacing w:before="240" w:after="240"/>
      </w:pPr>
      <w:bookmarkStart w:id="32" w:name="_Toc131668660"/>
      <w:bookmarkStart w:id="33" w:name="_Toc17233333"/>
      <w:bookmarkStart w:id="34" w:name="_Toc170039691"/>
      <w:bookmarkStart w:id="35" w:name="_Toc17233325"/>
      <w:bookmarkStart w:id="36" w:name="_Toc26648465"/>
      <w:bookmarkStart w:id="37" w:name="_Toc24884211"/>
      <w:bookmarkStart w:id="38" w:name="_Toc26986530"/>
      <w:bookmarkStart w:id="39" w:name="_Toc26986771"/>
      <w:bookmarkStart w:id="40" w:name="_Toc24884218"/>
      <w:bookmarkStart w:id="41" w:name="_Toc97192964"/>
      <w:bookmarkStart w:id="42" w:name="_Toc106361445"/>
      <w:bookmarkStart w:id="43" w:name="_Toc106365558"/>
      <w:bookmarkStart w:id="44" w:name="_Toc106365612"/>
      <w:bookmarkStart w:id="45" w:name="_Toc26718930"/>
      <w:bookmarkStart w:id="46" w:name="_Toc106365707"/>
      <w:bookmarkStart w:id="47" w:name="_Toc107841984"/>
      <w:bookmarkStart w:id="48" w:name="_Toc107842052"/>
      <w:bookmarkStart w:id="49" w:name="_Toc107842723"/>
      <w:bookmarkStart w:id="50" w:name="_Toc108566364"/>
      <w:bookmarkStart w:id="51" w:name="_Toc112825829"/>
      <w:bookmarkStart w:id="52" w:name="_Toc11788821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A3474B2">
      <w:pPr>
        <w:pStyle w:val="59"/>
        <w:ind w:firstLine="420"/>
      </w:pPr>
      <w:bookmarkStart w:id="53" w:name="_Hlk107843470"/>
      <w:bookmarkStart w:id="54" w:name="_Toc24884212"/>
      <w:bookmarkStart w:id="55" w:name="_Toc17233334"/>
      <w:bookmarkStart w:id="56" w:name="_Toc17233326"/>
      <w:bookmarkStart w:id="57" w:name="_Toc24884219"/>
      <w:bookmarkStart w:id="58" w:name="_Toc26648466"/>
      <w:r>
        <w:rPr>
          <w:rFonts w:hint="eastAsia"/>
        </w:rPr>
        <w:t>本文件规定了乳腺癌类器官药物敏感性检测的样本采集与处理、类器官建立与培养、药物敏感性检测、结果解读与精准治疗建议。</w:t>
      </w:r>
    </w:p>
    <w:p w14:paraId="0BB86A70">
      <w:pPr>
        <w:pStyle w:val="59"/>
        <w:ind w:firstLine="420"/>
      </w:pPr>
      <w:r>
        <w:rPr>
          <w:rFonts w:hint="eastAsia"/>
        </w:rPr>
        <w:t>本文件适用于乳腺癌类器官药物敏感性检测和指导治疗乳腺癌患者。</w:t>
      </w:r>
    </w:p>
    <w:bookmarkEnd w:id="53"/>
    <w:p w14:paraId="3CD7F1E0">
      <w:pPr>
        <w:pStyle w:val="107"/>
        <w:spacing w:before="240" w:after="240"/>
      </w:pPr>
      <w:bookmarkStart w:id="59" w:name="_Toc26986531"/>
      <w:bookmarkStart w:id="60" w:name="_Toc26986772"/>
      <w:bookmarkStart w:id="61" w:name="_Toc26718931"/>
      <w:bookmarkStart w:id="62" w:name="_Toc97192965"/>
      <w:bookmarkStart w:id="63" w:name="_Toc106361446"/>
      <w:bookmarkStart w:id="64" w:name="_Toc106365559"/>
      <w:bookmarkStart w:id="65" w:name="_Toc106365613"/>
      <w:bookmarkStart w:id="66" w:name="_Toc107841985"/>
      <w:bookmarkStart w:id="67" w:name="_Toc117888212"/>
      <w:bookmarkStart w:id="68" w:name="_Toc170039692"/>
      <w:bookmarkStart w:id="69" w:name="_Toc112825830"/>
      <w:bookmarkStart w:id="70" w:name="_Toc107842053"/>
      <w:bookmarkStart w:id="71" w:name="_Toc107842724"/>
      <w:bookmarkStart w:id="72" w:name="_Toc106365708"/>
      <w:bookmarkStart w:id="73" w:name="_Toc108566365"/>
      <w:bookmarkStart w:id="74" w:name="_Toc131668661"/>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C09C4F292F934B8DBFB9562BD158C8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E6817D2">
          <w:pPr>
            <w:pStyle w:val="59"/>
            <w:ind w:firstLine="420"/>
          </w:pPr>
          <w:r>
            <w:rPr>
              <w:rFonts w:hint="eastAsia"/>
            </w:rPr>
            <w:t>本文件没有规范性引用文件。</w:t>
          </w:r>
        </w:p>
      </w:sdtContent>
    </w:sdt>
    <w:p w14:paraId="66915BA4">
      <w:pPr>
        <w:pStyle w:val="107"/>
        <w:spacing w:before="240" w:after="240"/>
      </w:pPr>
      <w:bookmarkStart w:id="75" w:name="_Toc106365560"/>
      <w:bookmarkStart w:id="76" w:name="_Toc107842054"/>
      <w:bookmarkStart w:id="77" w:name="_Toc106361447"/>
      <w:bookmarkStart w:id="78" w:name="_Toc106365614"/>
      <w:bookmarkStart w:id="79" w:name="_Toc106365709"/>
      <w:bookmarkStart w:id="80" w:name="_Toc107841986"/>
      <w:bookmarkStart w:id="81" w:name="_Toc107842725"/>
      <w:bookmarkStart w:id="82" w:name="_Toc108566366"/>
      <w:bookmarkStart w:id="83" w:name="_Toc97192966"/>
      <w:bookmarkStart w:id="84" w:name="_Toc170039693"/>
      <w:bookmarkStart w:id="85" w:name="_Toc112825831"/>
      <w:bookmarkStart w:id="86" w:name="_Toc117888213"/>
      <w:bookmarkStart w:id="87" w:name="_Toc131668662"/>
      <w:r>
        <w:rPr>
          <w:rFonts w:hint="eastAsia"/>
        </w:rPr>
        <w:t>术语和定义</w:t>
      </w:r>
      <w:bookmarkEnd w:id="75"/>
      <w:bookmarkEnd w:id="76"/>
      <w:bookmarkEnd w:id="77"/>
      <w:bookmarkEnd w:id="78"/>
      <w:bookmarkEnd w:id="79"/>
      <w:bookmarkEnd w:id="80"/>
      <w:bookmarkEnd w:id="81"/>
      <w:bookmarkEnd w:id="82"/>
      <w:bookmarkEnd w:id="83"/>
      <w:bookmarkEnd w:id="84"/>
      <w:bookmarkEnd w:id="85"/>
      <w:bookmarkEnd w:id="86"/>
      <w:bookmarkEnd w:id="87"/>
    </w:p>
    <w:sdt>
      <w:sdtPr>
        <w:id w:val="-1909835108"/>
        <w:placeholder>
          <w:docPart w:val="E1C97280BE0742DE8603ACD2C5AABA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1758E19">
          <w:pPr>
            <w:pStyle w:val="59"/>
            <w:ind w:firstLine="420"/>
          </w:pPr>
          <w:bookmarkStart w:id="88" w:name="_Toc26986532"/>
          <w:bookmarkEnd w:id="88"/>
          <w:r>
            <w:t>下列术语和定义适用于本文件。</w:t>
          </w:r>
        </w:p>
      </w:sdtContent>
    </w:sdt>
    <w:p w14:paraId="0808BD07">
      <w:pPr>
        <w:pStyle w:val="108"/>
        <w:spacing w:before="120" w:after="120"/>
        <w:rPr>
          <w:rStyle w:val="31"/>
          <w:b w:val="0"/>
          <w:bCs w:val="0"/>
        </w:rPr>
      </w:pPr>
      <w:bookmarkStart w:id="89" w:name="_Toc106365561"/>
      <w:bookmarkEnd w:id="89"/>
      <w:bookmarkStart w:id="90" w:name="_Toc103105563"/>
      <w:bookmarkStart w:id="91" w:name="_Toc103105128"/>
      <w:bookmarkStart w:id="92" w:name="_Toc106361448"/>
      <w:bookmarkStart w:id="93" w:name="_Toc103107422"/>
      <w:bookmarkStart w:id="94" w:name="_Toc103107545"/>
    </w:p>
    <w:p w14:paraId="08103129">
      <w:pPr>
        <w:pStyle w:val="108"/>
        <w:numPr>
          <w:ilvl w:val="0"/>
          <w:numId w:val="0"/>
        </w:numPr>
        <w:spacing w:beforeLines="0" w:afterLines="0"/>
        <w:ind w:firstLine="420" w:firstLineChars="200"/>
        <w:rPr>
          <w:rFonts w:hint="eastAsia" w:ascii="宋体" w:hAnsi="宋体" w:eastAsia="宋体"/>
          <w:szCs w:val="21"/>
        </w:rPr>
      </w:pPr>
      <w:r>
        <w:rPr>
          <w:rStyle w:val="31"/>
          <w:rFonts w:hAnsi="黑体" w:cs="Segoe UI"/>
          <w:b w:val="0"/>
          <w:bCs w:val="0"/>
          <w:szCs w:val="21"/>
        </w:rPr>
        <w:t>乳腺癌类器官</w:t>
      </w:r>
      <w:r>
        <w:rPr>
          <w:rStyle w:val="31"/>
          <w:rFonts w:hint="eastAsia" w:ascii="宋体" w:hAnsi="宋体" w:eastAsia="宋体" w:cs="Segoe UI"/>
          <w:b w:val="0"/>
          <w:bCs w:val="0"/>
          <w:szCs w:val="21"/>
        </w:rPr>
        <w:t xml:space="preserve">  </w:t>
      </w:r>
      <w:r>
        <w:rPr>
          <w:rStyle w:val="31"/>
          <w:rFonts w:ascii="Times New Roman" w:eastAsia="宋体"/>
          <w:b w:val="0"/>
          <w:bCs w:val="0"/>
          <w:szCs w:val="21"/>
        </w:rPr>
        <w:t>breast cancer like organ</w:t>
      </w:r>
    </w:p>
    <w:p w14:paraId="681DD4A9">
      <w:pPr>
        <w:pStyle w:val="59"/>
        <w:ind w:firstLine="420"/>
      </w:pPr>
      <w:r>
        <w:t>利用乳腺癌患者的肿瘤组织或细胞，在体外三维培养条件下形成的具有类似原生组织结构的三维细胞团，能够模拟原生肿瘤组织的生理和病理特性。</w:t>
      </w:r>
    </w:p>
    <w:p w14:paraId="369D020C">
      <w:pPr>
        <w:pStyle w:val="108"/>
        <w:spacing w:before="120" w:after="120"/>
        <w:rPr>
          <w:rStyle w:val="31"/>
          <w:rFonts w:ascii="Segoe UI" w:hAnsi="Segoe UI" w:cs="Segoe UI"/>
          <w:sz w:val="23"/>
          <w:szCs w:val="23"/>
        </w:rPr>
      </w:pPr>
    </w:p>
    <w:p w14:paraId="63C40566">
      <w:pPr>
        <w:pStyle w:val="26"/>
        <w:spacing w:before="0" w:beforeAutospacing="0" w:after="0" w:afterAutospacing="0"/>
        <w:ind w:firstLine="420" w:firstLineChars="200"/>
        <w:rPr>
          <w:rFonts w:ascii="Times New Roman" w:hAnsi="Times New Roman" w:eastAsia="黑体" w:cs="Times New Roman"/>
          <w:b/>
          <w:bCs/>
          <w:sz w:val="21"/>
          <w:szCs w:val="21"/>
        </w:rPr>
      </w:pPr>
      <w:r>
        <w:rPr>
          <w:rStyle w:val="31"/>
          <w:rFonts w:ascii="黑体" w:hAnsi="黑体" w:eastAsia="黑体" w:cs="Segoe UI"/>
          <w:b w:val="0"/>
          <w:bCs w:val="0"/>
          <w:sz w:val="21"/>
          <w:szCs w:val="21"/>
        </w:rPr>
        <w:t>药物敏感性检测</w:t>
      </w:r>
      <w:r>
        <w:rPr>
          <w:rStyle w:val="31"/>
          <w:rFonts w:hint="eastAsia" w:ascii="黑体" w:hAnsi="黑体" w:eastAsia="黑体" w:cs="Segoe UI"/>
          <w:b w:val="0"/>
          <w:bCs w:val="0"/>
          <w:sz w:val="21"/>
          <w:szCs w:val="21"/>
        </w:rPr>
        <w:t xml:space="preserve">  </w:t>
      </w:r>
      <w:r>
        <w:rPr>
          <w:rStyle w:val="31"/>
          <w:rFonts w:ascii="Times New Roman" w:hAnsi="Times New Roman" w:eastAsia="黑体" w:cs="Times New Roman"/>
          <w:b w:val="0"/>
          <w:bCs w:val="0"/>
          <w:sz w:val="21"/>
          <w:szCs w:val="21"/>
        </w:rPr>
        <w:t>drug sensitivity testing</w:t>
      </w:r>
    </w:p>
    <w:p w14:paraId="4BC8CC8B">
      <w:pPr>
        <w:pStyle w:val="59"/>
        <w:ind w:firstLine="420"/>
      </w:pPr>
      <w:r>
        <w:t>一种通过实验方法评估特定药物对乳腺癌类器官生长或活性的抑制作用，从而预测该药物对患者肿瘤可能的治疗效果。</w:t>
      </w:r>
      <w:bookmarkStart w:id="95" w:name="_Toc107842727"/>
      <w:bookmarkStart w:id="96" w:name="_Toc106365615"/>
      <w:bookmarkStart w:id="97" w:name="_Toc106365567"/>
      <w:bookmarkStart w:id="98" w:name="_Toc107841988"/>
      <w:bookmarkStart w:id="99" w:name="_Toc107842056"/>
      <w:bookmarkStart w:id="100" w:name="_Toc108566368"/>
      <w:bookmarkStart w:id="101" w:name="_Toc106365710"/>
    </w:p>
    <w:bookmarkEnd w:id="90"/>
    <w:bookmarkEnd w:id="91"/>
    <w:bookmarkEnd w:id="92"/>
    <w:bookmarkEnd w:id="93"/>
    <w:bookmarkEnd w:id="94"/>
    <w:bookmarkEnd w:id="95"/>
    <w:bookmarkEnd w:id="96"/>
    <w:bookmarkEnd w:id="97"/>
    <w:bookmarkEnd w:id="98"/>
    <w:bookmarkEnd w:id="99"/>
    <w:bookmarkEnd w:id="100"/>
    <w:bookmarkEnd w:id="101"/>
    <w:p w14:paraId="446E8BB4">
      <w:pPr>
        <w:pStyle w:val="107"/>
        <w:spacing w:before="240" w:after="240"/>
      </w:pPr>
      <w:bookmarkStart w:id="102" w:name="_Toc170039694"/>
      <w:bookmarkStart w:id="103" w:name="BookMark8"/>
      <w:r>
        <w:t>样本采集与处理</w:t>
      </w:r>
      <w:bookmarkEnd w:id="102"/>
    </w:p>
    <w:p w14:paraId="5FF25813">
      <w:pPr>
        <w:pStyle w:val="108"/>
        <w:spacing w:before="120" w:after="120"/>
      </w:pPr>
      <w:r>
        <w:t>样本采集</w:t>
      </w:r>
    </w:p>
    <w:p w14:paraId="6F29A904">
      <w:pPr>
        <w:pStyle w:val="168"/>
      </w:pPr>
      <w:r>
        <w:rPr>
          <w:rFonts w:ascii="Segoe UI" w:hAnsi="Segoe UI"/>
        </w:rPr>
        <w:t>采集对象</w:t>
      </w:r>
      <w:r>
        <w:rPr>
          <w:rFonts w:hint="eastAsia"/>
        </w:rPr>
        <w:t>应为</w:t>
      </w:r>
      <w:r>
        <w:t>确诊为乳腺癌的患者，在符合医学伦理和患者知情同意的前提下进行样本采集。</w:t>
      </w:r>
    </w:p>
    <w:p w14:paraId="2C45EFAC">
      <w:pPr>
        <w:pStyle w:val="168"/>
      </w:pPr>
      <w:r>
        <w:t>通过手术或穿刺活检获取新鲜的乳腺癌组织样本。采集过程中应严格遵守无菌操作规范，避免样本污染。</w:t>
      </w:r>
    </w:p>
    <w:p w14:paraId="12085EA5">
      <w:pPr>
        <w:pStyle w:val="168"/>
      </w:pPr>
      <w:r>
        <w:t>根据实验需求采集足够量的样本，确保后续类器官培养和药物敏感性检测的顺利进行。</w:t>
      </w:r>
    </w:p>
    <w:p w14:paraId="6623AC84">
      <w:pPr>
        <w:pStyle w:val="108"/>
        <w:spacing w:before="120" w:after="120"/>
      </w:pPr>
      <w:r>
        <w:t>样本处理</w:t>
      </w:r>
    </w:p>
    <w:p w14:paraId="0D249AE6">
      <w:pPr>
        <w:pStyle w:val="59"/>
        <w:ind w:firstLine="420"/>
      </w:pPr>
      <w:r>
        <w:rPr>
          <w:rFonts w:hint="eastAsia"/>
        </w:rPr>
        <w:t>将采集到的乳腺癌组织样本按照以下步骤进行处理：</w:t>
      </w:r>
    </w:p>
    <w:p w14:paraId="019E3639">
      <w:pPr>
        <w:pStyle w:val="177"/>
      </w:pPr>
      <w:r>
        <w:rPr>
          <w:rFonts w:ascii="Segoe UI" w:hAnsi="Segoe UI"/>
        </w:rPr>
        <w:t>初步处理</w:t>
      </w:r>
      <w:r>
        <w:t>：</w:t>
      </w:r>
      <w:r>
        <w:rPr>
          <w:rFonts w:hint="eastAsia"/>
        </w:rPr>
        <w:t>将</w:t>
      </w:r>
      <w:r>
        <w:t>组织样本立即放入含有适量培养基或保存液的无菌容器中，以保持细胞的活性</w:t>
      </w:r>
      <w:r>
        <w:rPr>
          <w:rFonts w:hint="eastAsia"/>
        </w:rPr>
        <w:t>；</w:t>
      </w:r>
    </w:p>
    <w:p w14:paraId="2D92DC42">
      <w:pPr>
        <w:pStyle w:val="177"/>
      </w:pPr>
      <w:r>
        <w:rPr>
          <w:rFonts w:ascii="Segoe UI" w:hAnsi="Segoe UI"/>
        </w:rPr>
        <w:t>清洗与消毒</w:t>
      </w:r>
      <w:r>
        <w:t>：用无菌生理盐水或PBS缓冲液轻轻冲洗样本，去除表面的血迹和污染物。避免使用刺激性强的化学消毒剂</w:t>
      </w:r>
      <w:r>
        <w:rPr>
          <w:rFonts w:hint="eastAsia"/>
        </w:rPr>
        <w:t>；</w:t>
      </w:r>
    </w:p>
    <w:p w14:paraId="7618A89D">
      <w:pPr>
        <w:pStyle w:val="177"/>
      </w:pPr>
      <w:r>
        <w:rPr>
          <w:rFonts w:ascii="Segoe UI" w:hAnsi="Segoe UI"/>
        </w:rPr>
        <w:t>切割与消化</w:t>
      </w:r>
      <w:r>
        <w:t>：将组织样本切割成小块，便于后续的消化和分离。使用适宜的消化酶（如胰蛋白酶、胶原酶等）在37℃下进行消化，直至组织块分散成单个细胞或细胞团</w:t>
      </w:r>
      <w:r>
        <w:rPr>
          <w:rFonts w:hint="eastAsia"/>
        </w:rPr>
        <w:t>；</w:t>
      </w:r>
    </w:p>
    <w:p w14:paraId="2B09962C">
      <w:pPr>
        <w:pStyle w:val="177"/>
      </w:pPr>
      <w:r>
        <w:rPr>
          <w:rFonts w:ascii="Segoe UI" w:hAnsi="Segoe UI"/>
        </w:rPr>
        <w:t>细胞悬液制备</w:t>
      </w:r>
      <w:r>
        <w:t>：消化完成后，通过离心去除消化液，加入适量的培养基重悬细胞，制备成单细胞悬液，用于后续的类器官培养。</w:t>
      </w:r>
    </w:p>
    <w:p w14:paraId="29D2CCE9">
      <w:pPr>
        <w:pStyle w:val="108"/>
        <w:spacing w:before="120" w:after="120"/>
      </w:pPr>
      <w:r>
        <w:t>质量控制与记录</w:t>
      </w:r>
    </w:p>
    <w:p w14:paraId="170BBF98">
      <w:pPr>
        <w:pStyle w:val="168"/>
      </w:pPr>
      <w:r>
        <w:t>在样本处理过程中和处理后，应进行细胞活性检测（如台盼蓝染色法），确保细胞的活力和数量满足实验要求。</w:t>
      </w:r>
    </w:p>
    <w:p w14:paraId="38C1DF7E">
      <w:pPr>
        <w:pStyle w:val="168"/>
      </w:pPr>
      <w:r>
        <w:t>对处理后的细胞悬液进行微生物污染检测，确保无细菌、真菌等污染。</w:t>
      </w:r>
    </w:p>
    <w:p w14:paraId="6FD7E1BE">
      <w:pPr>
        <w:pStyle w:val="168"/>
      </w:pPr>
      <w:r>
        <w:t>详细记录样本的采集时间、地点、患者信息等，以及样本处理过程中的关键步骤和参数，确保实验的可追溯性和重复性。</w:t>
      </w:r>
    </w:p>
    <w:p w14:paraId="3E011524">
      <w:pPr>
        <w:pStyle w:val="107"/>
        <w:spacing w:before="240" w:after="240"/>
      </w:pPr>
      <w:bookmarkStart w:id="104" w:name="_Toc170039695"/>
      <w:r>
        <w:t>类器官建立与培养</w:t>
      </w:r>
      <w:bookmarkEnd w:id="104"/>
    </w:p>
    <w:p w14:paraId="4A94C850">
      <w:pPr>
        <w:pStyle w:val="108"/>
        <w:spacing w:before="120" w:after="120"/>
      </w:pPr>
      <w:r>
        <w:t>细胞接种与基质准备</w:t>
      </w:r>
    </w:p>
    <w:p w14:paraId="1A2DEE49">
      <w:pPr>
        <w:pStyle w:val="68"/>
        <w:spacing w:before="120" w:after="120"/>
      </w:pPr>
      <w:r>
        <w:t>基质胶准备</w:t>
      </w:r>
    </w:p>
    <w:p w14:paraId="48D594C8">
      <w:pPr>
        <w:pStyle w:val="59"/>
        <w:ind w:firstLine="420"/>
      </w:pPr>
      <w:r>
        <w:t>选择适宜的基质胶，如Matrigel或其他生物工程基质，用于模拟体内微环境，并为类器官的形成提供支持。</w:t>
      </w:r>
    </w:p>
    <w:p w14:paraId="146AD278">
      <w:pPr>
        <w:pStyle w:val="68"/>
        <w:spacing w:before="120" w:after="120"/>
      </w:pPr>
      <w:r>
        <w:t>细胞接种</w:t>
      </w:r>
    </w:p>
    <w:p w14:paraId="44B98FD4">
      <w:pPr>
        <w:pStyle w:val="59"/>
        <w:ind w:firstLine="420"/>
      </w:pPr>
      <w:r>
        <w:t>将处理好的乳腺癌细胞或细胞团接种在基质胶上，确保细胞分布均匀，密度适中。</w:t>
      </w:r>
    </w:p>
    <w:p w14:paraId="1DCF8352">
      <w:pPr>
        <w:pStyle w:val="108"/>
        <w:spacing w:before="120" w:after="120"/>
      </w:pPr>
      <w:r>
        <w:t>培养条件设置</w:t>
      </w:r>
    </w:p>
    <w:p w14:paraId="55449F60">
      <w:pPr>
        <w:pStyle w:val="68"/>
        <w:spacing w:before="120" w:after="120"/>
      </w:pPr>
      <w:r>
        <w:t>培养基</w:t>
      </w:r>
    </w:p>
    <w:p w14:paraId="3CEDA952">
      <w:pPr>
        <w:pStyle w:val="59"/>
        <w:ind w:firstLine="420"/>
      </w:pPr>
      <w:r>
        <w:t>根据乳腺癌类器官的生长需求，选择含有必需营养成分、生长因子和激素的培养基。</w:t>
      </w:r>
    </w:p>
    <w:p w14:paraId="466F518B">
      <w:pPr>
        <w:pStyle w:val="68"/>
        <w:spacing w:before="120" w:after="120"/>
      </w:pPr>
      <w:r>
        <w:t>环境条件</w:t>
      </w:r>
    </w:p>
    <w:p w14:paraId="0485820A">
      <w:pPr>
        <w:pStyle w:val="59"/>
        <w:ind w:firstLine="420"/>
      </w:pPr>
      <w:r>
        <w:t>维持培养环境的温度在37°C，CO</w:t>
      </w:r>
      <w:r>
        <w:rPr>
          <w:vertAlign w:val="subscript"/>
        </w:rPr>
        <w:t>2</w:t>
      </w:r>
      <w:r>
        <w:t>浓度为5%，并保持适宜的湿度，以模拟体内生理条件。</w:t>
      </w:r>
    </w:p>
    <w:p w14:paraId="5568F979">
      <w:pPr>
        <w:pStyle w:val="68"/>
        <w:spacing w:before="120" w:after="120"/>
      </w:pPr>
      <w:r>
        <w:rPr>
          <w:rFonts w:hint="eastAsia"/>
        </w:rPr>
        <w:t>换液与观察</w:t>
      </w:r>
    </w:p>
    <w:p w14:paraId="2987A072">
      <w:pPr>
        <w:pStyle w:val="59"/>
        <w:ind w:firstLine="420"/>
      </w:pPr>
      <w:r>
        <w:rPr>
          <w:rFonts w:hint="eastAsia"/>
        </w:rPr>
        <w:t>定期更换培养基，以去除代谢产物和补充营养物质。同时，定期观察类器官的生长情况，记录形态变化、增殖速率等关键指标。</w:t>
      </w:r>
    </w:p>
    <w:p w14:paraId="10DA658B">
      <w:pPr>
        <w:pStyle w:val="108"/>
        <w:spacing w:before="120" w:after="120"/>
      </w:pPr>
      <w:r>
        <w:t>类器官形成与监测</w:t>
      </w:r>
    </w:p>
    <w:p w14:paraId="257649E8">
      <w:pPr>
        <w:pStyle w:val="168"/>
      </w:pPr>
      <w:r>
        <w:t>在接种后，持续监测细胞在基质胶中的生长和分化情况，直至形成具有三维结构的类器官。</w:t>
      </w:r>
    </w:p>
    <w:p w14:paraId="45FE1CE7">
      <w:pPr>
        <w:pStyle w:val="168"/>
      </w:pPr>
      <w:r>
        <w:t>定期使用显微镜观察类器官的形态学特征，确保其结构与原生乳腺癌组织相似。</w:t>
      </w:r>
    </w:p>
    <w:p w14:paraId="40A798AB">
      <w:pPr>
        <w:pStyle w:val="108"/>
        <w:spacing w:before="120" w:after="120"/>
      </w:pPr>
      <w:r>
        <w:t>培养周期与传代</w:t>
      </w:r>
    </w:p>
    <w:p w14:paraId="7898AE49">
      <w:pPr>
        <w:pStyle w:val="168"/>
      </w:pPr>
      <w:r>
        <w:t>根据类器官的生长速度和实验需求，设定合理的培养周期。</w:t>
      </w:r>
    </w:p>
    <w:p w14:paraId="14632261">
      <w:pPr>
        <w:pStyle w:val="168"/>
      </w:pPr>
      <w:r>
        <w:t>当类器官生长到一定程度时，进行传代操作，即将类器官分散成单个细胞或小块，重新接种到新的基质胶上继续培养。</w:t>
      </w:r>
    </w:p>
    <w:p w14:paraId="3A2AA075">
      <w:pPr>
        <w:pStyle w:val="108"/>
        <w:spacing w:before="120" w:after="120"/>
      </w:pPr>
      <w:r>
        <w:t>培养过程中的质量控制</w:t>
      </w:r>
    </w:p>
    <w:p w14:paraId="105A6B58">
      <w:pPr>
        <w:pStyle w:val="168"/>
      </w:pPr>
      <w:r>
        <w:t>定期对培养物进行污染检测，确保无细菌、真菌或其他微生物的污染。</w:t>
      </w:r>
    </w:p>
    <w:p w14:paraId="77D4C357">
      <w:pPr>
        <w:pStyle w:val="168"/>
      </w:pPr>
      <w:r>
        <w:t>详细记录类器官的生长情况，包括形态学变化、生长速度等，以便后续分析。</w:t>
      </w:r>
    </w:p>
    <w:p w14:paraId="49AEF8FB">
      <w:pPr>
        <w:pStyle w:val="107"/>
        <w:spacing w:before="240" w:after="240"/>
      </w:pPr>
      <w:bookmarkStart w:id="105" w:name="_Toc170039696"/>
      <w:r>
        <w:t>药物敏感性检测</w:t>
      </w:r>
      <w:bookmarkEnd w:id="105"/>
    </w:p>
    <w:p w14:paraId="31D20355">
      <w:pPr>
        <w:pStyle w:val="108"/>
        <w:spacing w:before="120" w:after="120"/>
      </w:pPr>
      <w:r>
        <w:t>检测原理</w:t>
      </w:r>
    </w:p>
    <w:p w14:paraId="60D6B0DD">
      <w:pPr>
        <w:pStyle w:val="59"/>
        <w:ind w:firstLine="420"/>
      </w:pPr>
      <w:r>
        <w:t>药物敏感性检测基于类器官对药物的反应来评估其疗效。通过检测药物对乳腺癌类器官生长、增殖或凋亡的影响，预测该药物对患者的可能疗效。</w:t>
      </w:r>
    </w:p>
    <w:p w14:paraId="589293AB">
      <w:pPr>
        <w:pStyle w:val="108"/>
        <w:spacing w:before="120" w:after="120"/>
      </w:pPr>
      <w:r>
        <w:t>实验准备</w:t>
      </w:r>
    </w:p>
    <w:p w14:paraId="3AA3E79B">
      <w:pPr>
        <w:pStyle w:val="68"/>
        <w:spacing w:before="120" w:after="120"/>
      </w:pPr>
      <w:r>
        <w:t>药物选择</w:t>
      </w:r>
    </w:p>
    <w:p w14:paraId="0A37E2D6">
      <w:pPr>
        <w:pStyle w:val="59"/>
        <w:ind w:firstLine="420"/>
      </w:pPr>
      <w:r>
        <w:t>根据临床需求和患者情况，选择待测药物。</w:t>
      </w:r>
    </w:p>
    <w:p w14:paraId="7B7DBB5A">
      <w:pPr>
        <w:pStyle w:val="68"/>
        <w:spacing w:before="120" w:after="120"/>
      </w:pPr>
      <w:r>
        <w:t>药物浓度设置</w:t>
      </w:r>
    </w:p>
    <w:p w14:paraId="1D05EBCF">
      <w:pPr>
        <w:pStyle w:val="59"/>
        <w:ind w:firstLine="420"/>
      </w:pPr>
      <w:r>
        <w:t>针对每种药物，设定多个浓度梯度，以全面评估药物在不同浓度下对类器官的影响。</w:t>
      </w:r>
    </w:p>
    <w:p w14:paraId="4E7F9D68">
      <w:pPr>
        <w:pStyle w:val="68"/>
        <w:spacing w:before="120" w:after="120"/>
      </w:pPr>
      <w:r>
        <w:t>对照组设置</w:t>
      </w:r>
    </w:p>
    <w:p w14:paraId="0734234B">
      <w:pPr>
        <w:pStyle w:val="59"/>
        <w:ind w:firstLine="420"/>
      </w:pPr>
      <w:r>
        <w:t>设立未经药物处理的对照组，以便准确评估药物效应。</w:t>
      </w:r>
    </w:p>
    <w:p w14:paraId="69958C5A">
      <w:pPr>
        <w:pStyle w:val="108"/>
        <w:spacing w:before="120" w:after="120"/>
      </w:pPr>
      <w:r>
        <w:t>铺板</w:t>
      </w:r>
    </w:p>
    <w:p w14:paraId="293645A5">
      <w:pPr>
        <w:pStyle w:val="68"/>
        <w:spacing w:before="120" w:after="120"/>
      </w:pPr>
      <w:r>
        <w:t>培养板的选择</w:t>
      </w:r>
    </w:p>
    <w:p w14:paraId="6E0BD98F">
      <w:pPr>
        <w:pStyle w:val="59"/>
        <w:ind w:firstLine="420"/>
      </w:pPr>
      <w:r>
        <w:t>应选择透明、无菌、对细胞无毒性的培养板，以确保类器官的正常生长和观察。</w:t>
      </w:r>
      <w:r>
        <w:rPr>
          <w:rFonts w:hint="eastAsia"/>
        </w:rPr>
        <w:t>宜</w:t>
      </w:r>
      <w:r>
        <w:t>使用低吸附性的培养板，以减少类器官与培养板表面的粘附，保持类器官的3D结构。</w:t>
      </w:r>
    </w:p>
    <w:p w14:paraId="57A623FB">
      <w:pPr>
        <w:pStyle w:val="68"/>
        <w:spacing w:before="120" w:after="120"/>
      </w:pPr>
      <w:r>
        <w:t>类器官密度</w:t>
      </w:r>
    </w:p>
    <w:p w14:paraId="1BBF36B8">
      <w:pPr>
        <w:pStyle w:val="59"/>
        <w:ind w:firstLine="420"/>
      </w:pPr>
      <w:r>
        <w:t>在铺板时，应控制类器官的密度，避免过度拥挤或过于稀疏，以保证类器官的正常生长和药物敏感性检测的准确性。</w:t>
      </w:r>
    </w:p>
    <w:p w14:paraId="11A2DEDA">
      <w:pPr>
        <w:pStyle w:val="59"/>
        <w:ind w:firstLine="420"/>
      </w:pPr>
      <w:r>
        <w:t>推荐的类器官密度应根据具体实验条件和类器官的大小而定，一般建议在培养板的每个孔中放置适当数量的类器官。</w:t>
      </w:r>
    </w:p>
    <w:p w14:paraId="304C18E7">
      <w:pPr>
        <w:pStyle w:val="68"/>
        <w:spacing w:before="120" w:after="120"/>
      </w:pPr>
      <w:r>
        <w:t>基质胶浓度和体积</w:t>
      </w:r>
    </w:p>
    <w:p w14:paraId="078EE267">
      <w:pPr>
        <w:pStyle w:val="59"/>
        <w:ind w:firstLine="420"/>
      </w:pPr>
      <w:r>
        <w:t>基质胶应用于支持类器官的生长和维持其3D结构。基质胶的浓度和体积应根据类器官的类型和大小进行优化，以确保类器官在培养过程中的稳定性和生长状况。</w:t>
      </w:r>
    </w:p>
    <w:p w14:paraId="0F9049C9">
      <w:pPr>
        <w:pStyle w:val="108"/>
        <w:spacing w:before="120" w:after="120"/>
      </w:pPr>
      <w:r>
        <w:t>加药</w:t>
      </w:r>
    </w:p>
    <w:p w14:paraId="2D6B589F">
      <w:pPr>
        <w:pStyle w:val="68"/>
        <w:spacing w:before="120" w:after="120"/>
      </w:pPr>
      <w:r>
        <w:t>药敏培养基配方</w:t>
      </w:r>
    </w:p>
    <w:p w14:paraId="779636F2">
      <w:pPr>
        <w:pStyle w:val="59"/>
        <w:ind w:firstLine="420"/>
      </w:pPr>
      <w:r>
        <w:t>药敏培养基应包含必需的营养成分和生长因子，以支持类器官的正常生长和代谢。培养基的配方应根据类器官的具体需求和实验设计进行优化。</w:t>
      </w:r>
    </w:p>
    <w:p w14:paraId="58C6DC1F">
      <w:pPr>
        <w:pStyle w:val="68"/>
        <w:spacing w:before="120" w:after="120"/>
      </w:pPr>
      <w:r>
        <w:t>药物浓度梯度稀释</w:t>
      </w:r>
    </w:p>
    <w:p w14:paraId="3350050C">
      <w:pPr>
        <w:pStyle w:val="59"/>
        <w:ind w:firstLine="420"/>
      </w:pPr>
      <w:r>
        <w:t>药物应按照预定的浓度梯度进行稀释，以评估不同药物浓度对类器官的影响。稀释过程中应确保药物的均匀分布和准确浓度，避免浓度误差对实验结果的影响。</w:t>
      </w:r>
    </w:p>
    <w:p w14:paraId="1FDE6FDC">
      <w:pPr>
        <w:pStyle w:val="68"/>
        <w:spacing w:before="120" w:after="120"/>
      </w:pPr>
      <w:r>
        <w:t>药物处理时间</w:t>
      </w:r>
    </w:p>
    <w:p w14:paraId="509941A2">
      <w:pPr>
        <w:pStyle w:val="59"/>
        <w:ind w:firstLine="420"/>
      </w:pPr>
      <w:r>
        <w:t>药物处理时间应根据药物的性质和实验目的进行确定。推荐在处理前进行预实验，以确定最佳的药物处理时间。</w:t>
      </w:r>
    </w:p>
    <w:p w14:paraId="2277B3BA">
      <w:pPr>
        <w:pStyle w:val="108"/>
        <w:spacing w:before="120" w:after="120"/>
      </w:pPr>
      <w:r>
        <w:t>检测</w:t>
      </w:r>
    </w:p>
    <w:p w14:paraId="6536B22C">
      <w:pPr>
        <w:pStyle w:val="68"/>
        <w:spacing w:before="120" w:after="120"/>
      </w:pPr>
      <w:r>
        <w:t>3D类器官细胞活力ATP检测法</w:t>
      </w:r>
    </w:p>
    <w:p w14:paraId="7CF38D16">
      <w:pPr>
        <w:pStyle w:val="59"/>
        <w:ind w:firstLine="420"/>
      </w:pPr>
      <w:r>
        <w:t>通过测量类器官中的ATP水平来评估细胞活力。应按照试剂盒说明书进行操作，确保测量结果的准确性。</w:t>
      </w:r>
    </w:p>
    <w:p w14:paraId="26787F34">
      <w:pPr>
        <w:pStyle w:val="68"/>
        <w:spacing w:before="120" w:after="120"/>
      </w:pPr>
      <w:r>
        <w:t>3D无损成像检测法</w:t>
      </w:r>
    </w:p>
    <w:p w14:paraId="691AD3BF">
      <w:pPr>
        <w:pStyle w:val="59"/>
        <w:ind w:firstLine="420"/>
      </w:pPr>
      <w:r>
        <w:t>使用高分辨率显微镜对类器官进行无损成像，观察类器官的形态变化和生长情况。成像过程中应避免对类器官造成损伤或干扰。</w:t>
      </w:r>
    </w:p>
    <w:p w14:paraId="453A3F65">
      <w:pPr>
        <w:pStyle w:val="68"/>
        <w:spacing w:before="120" w:after="120"/>
      </w:pPr>
      <w:r>
        <w:t>AOPI荧光染色检测法</w:t>
      </w:r>
    </w:p>
    <w:p w14:paraId="79F4BEED">
      <w:pPr>
        <w:pStyle w:val="59"/>
        <w:ind w:firstLine="420"/>
      </w:pPr>
      <w:r>
        <w:t>使用AOPI荧光染料对类器官进行染色，通过荧光显微镜观察活细胞和死细胞的分布情况。染色过程中应确保染料的均匀渗透和适当浓度，以获得清晰的荧光信号。</w:t>
      </w:r>
    </w:p>
    <w:p w14:paraId="3D4D8116">
      <w:pPr>
        <w:pStyle w:val="108"/>
        <w:spacing w:before="120" w:after="120"/>
      </w:pPr>
      <w:r>
        <w:t>数据分析</w:t>
      </w:r>
    </w:p>
    <w:p w14:paraId="615DED8D">
      <w:pPr>
        <w:pStyle w:val="68"/>
        <w:spacing w:before="120" w:after="120"/>
      </w:pPr>
      <w:r>
        <w:t>IC50计算</w:t>
      </w:r>
    </w:p>
    <w:p w14:paraId="20898E2B">
      <w:pPr>
        <w:pStyle w:val="59"/>
        <w:ind w:firstLine="420"/>
      </w:pPr>
      <w:r>
        <w:t>根据药物浓度和对应的细胞活力数据，使用合适的统计方法计算IC50值（半抑制浓度）。IC50值可用于评估药物对类器官的抑制效果，并比较不同药物或不同类器官之间的敏感性差异。</w:t>
      </w:r>
    </w:p>
    <w:p w14:paraId="581FB840">
      <w:pPr>
        <w:pStyle w:val="68"/>
        <w:spacing w:before="120" w:after="120"/>
      </w:pPr>
      <w:r>
        <w:t>类器官图片分析</w:t>
      </w:r>
    </w:p>
    <w:p w14:paraId="2A1330A9">
      <w:pPr>
        <w:pStyle w:val="59"/>
        <w:ind w:firstLine="420"/>
      </w:pPr>
      <w:r>
        <w:t>对类器官的图片进行定量分析，包括大小、数量、边缘粗糙度、中空度等反应器官活力的指标</w:t>
      </w:r>
      <w:r>
        <w:rPr>
          <w:rFonts w:hint="eastAsia"/>
        </w:rPr>
        <w:t>，</w:t>
      </w:r>
      <w:r>
        <w:t>可用于评估类器官的生长状况和药物对类器官形态的影响。</w:t>
      </w:r>
    </w:p>
    <w:p w14:paraId="3D3E8362">
      <w:pPr>
        <w:pStyle w:val="68"/>
        <w:spacing w:before="120" w:after="120"/>
      </w:pPr>
      <w:r>
        <w:t>荧光强度分析</w:t>
      </w:r>
    </w:p>
    <w:p w14:paraId="3FEA0A1E">
      <w:pPr>
        <w:pStyle w:val="59"/>
        <w:ind w:firstLine="420"/>
      </w:pPr>
      <w:r>
        <w:t>对AOPI荧光染色后的类器官图片进行荧光强度分析，分别计算绿色荧光（代表活细胞）和红色荧光（代表死细胞）的强度。通过比较不同药物处理组之间的荧光强度差异，评估药物对类器官细胞活力的影响。</w:t>
      </w:r>
    </w:p>
    <w:p w14:paraId="1092FDBD">
      <w:pPr>
        <w:pStyle w:val="108"/>
        <w:spacing w:before="120" w:after="120"/>
      </w:pPr>
      <w:r>
        <w:t>结果</w:t>
      </w:r>
      <w:r>
        <w:rPr>
          <w:rFonts w:hint="eastAsia"/>
        </w:rPr>
        <w:t>判定</w:t>
      </w:r>
      <w:r>
        <w:t>与报告</w:t>
      </w:r>
    </w:p>
    <w:p w14:paraId="70D70C51">
      <w:pPr>
        <w:pStyle w:val="68"/>
        <w:spacing w:before="120" w:after="120"/>
      </w:pPr>
      <w:r>
        <w:t>敏感性判定</w:t>
      </w:r>
    </w:p>
    <w:p w14:paraId="05006C60">
      <w:pPr>
        <w:pStyle w:val="59"/>
        <w:ind w:firstLine="420"/>
      </w:pPr>
      <w:r>
        <w:t>依据统计分析结果，制定敏感性判定标准，如将药物敏感性分为高度敏感、中度敏感和</w:t>
      </w:r>
      <w:r>
        <w:rPr>
          <w:rFonts w:hint="eastAsia"/>
        </w:rPr>
        <w:t>低</w:t>
      </w:r>
      <w:r>
        <w:t>敏感等级。</w:t>
      </w:r>
    </w:p>
    <w:p w14:paraId="4AE71120">
      <w:pPr>
        <w:pStyle w:val="68"/>
        <w:spacing w:before="120" w:after="120"/>
      </w:pPr>
      <w:r>
        <w:t>报告撰写</w:t>
      </w:r>
    </w:p>
    <w:p w14:paraId="1D88D191">
      <w:pPr>
        <w:pStyle w:val="167"/>
      </w:pPr>
      <w:r>
        <w:rPr>
          <w:rFonts w:hint="eastAsia"/>
        </w:rPr>
        <w:t>应撰写详细的药物敏感性检测报告，包括但不限于以下内容：</w:t>
      </w:r>
    </w:p>
    <w:p w14:paraId="24DC7275">
      <w:pPr>
        <w:pStyle w:val="177"/>
        <w:numPr>
          <w:ilvl w:val="0"/>
          <w:numId w:val="33"/>
        </w:numPr>
      </w:pPr>
      <w:r>
        <w:t>实验基本信息：包括实验时间、地点、操作人员、使用的类器官来源等</w:t>
      </w:r>
      <w:r>
        <w:rPr>
          <w:rFonts w:hint="eastAsia"/>
        </w:rPr>
        <w:t>；</w:t>
      </w:r>
    </w:p>
    <w:p w14:paraId="381FB09F">
      <w:pPr>
        <w:pStyle w:val="177"/>
      </w:pPr>
      <w:r>
        <w:t>实验方法与材料：详细描述实验方法、使用的药物及其浓度设置</w:t>
      </w:r>
      <w:r>
        <w:rPr>
          <w:rFonts w:hint="eastAsia"/>
        </w:rPr>
        <w:t>；</w:t>
      </w:r>
    </w:p>
    <w:p w14:paraId="32C78D7E">
      <w:pPr>
        <w:pStyle w:val="177"/>
      </w:pPr>
      <w:r>
        <w:t>结果部分：展示药物敏感性检测的各项指标结果</w:t>
      </w:r>
      <w:r>
        <w:rPr>
          <w:rFonts w:hint="eastAsia"/>
        </w:rPr>
        <w:t>；</w:t>
      </w:r>
    </w:p>
    <w:p w14:paraId="2C8BEA6C">
      <w:pPr>
        <w:pStyle w:val="177"/>
      </w:pPr>
      <w:r>
        <w:t>分析讨论：对实验结果进行深入分析，探讨药物敏感性的可能机制，以及实验结果对患者的治疗指导意义</w:t>
      </w:r>
      <w:r>
        <w:rPr>
          <w:rFonts w:hint="eastAsia"/>
        </w:rPr>
        <w:t>；</w:t>
      </w:r>
    </w:p>
    <w:p w14:paraId="0EAD0E4C">
      <w:pPr>
        <w:pStyle w:val="177"/>
      </w:pPr>
      <w:r>
        <w:t>结论与建议：根据实验结果，给出明确的药物敏感性结论，并提出针对患者的个性化精准治疗建议。</w:t>
      </w:r>
    </w:p>
    <w:p w14:paraId="24AEFEA9">
      <w:pPr>
        <w:pStyle w:val="167"/>
      </w:pPr>
      <w:r>
        <w:t>报告应由专业人员进行审核，确保数据的准确性和报告的完整性。对于关键数据和结论，应进行多次复核，避免出现错误或遗漏。</w:t>
      </w:r>
    </w:p>
    <w:p w14:paraId="6FADB0EF">
      <w:pPr>
        <w:pStyle w:val="107"/>
        <w:spacing w:before="240" w:after="240"/>
      </w:pPr>
      <w:bookmarkStart w:id="106" w:name="_Toc170039697"/>
      <w:r>
        <w:t>结果解读与精准治疗建议</w:t>
      </w:r>
      <w:bookmarkEnd w:id="106"/>
    </w:p>
    <w:p w14:paraId="7569AC6B">
      <w:pPr>
        <w:pStyle w:val="108"/>
        <w:spacing w:before="120" w:after="120"/>
      </w:pPr>
      <w:r>
        <w:t>结果解读</w:t>
      </w:r>
    </w:p>
    <w:p w14:paraId="72087EC7">
      <w:pPr>
        <w:pStyle w:val="68"/>
        <w:spacing w:before="120" w:after="120"/>
      </w:pPr>
      <w:r>
        <w:t>药物敏感性判定</w:t>
      </w:r>
    </w:p>
    <w:p w14:paraId="4AF48683">
      <w:pPr>
        <w:pStyle w:val="59"/>
        <w:ind w:firstLine="420"/>
      </w:pPr>
      <w:r>
        <w:t>根据第</w:t>
      </w:r>
      <w:r>
        <w:rPr>
          <w:rFonts w:hint="eastAsia"/>
        </w:rPr>
        <w:t>6</w:t>
      </w:r>
      <w:r>
        <w:t>章药物敏感性检测的结果，将药物对乳腺癌类器官的抑制作用进行量化评估。通常，抑制率超过50%可认为药物对该类器官有明显的抑制作用。</w:t>
      </w:r>
    </w:p>
    <w:p w14:paraId="21D930ED">
      <w:pPr>
        <w:pStyle w:val="59"/>
        <w:ind w:firstLine="420"/>
      </w:pPr>
      <w:r>
        <w:t>结合药物的IC50值（半数抑制浓度）来综合判断药物对肿瘤细胞的杀伤能力。IC50值越低，表示药物对肿瘤细胞的杀伤能力越强。</w:t>
      </w:r>
    </w:p>
    <w:p w14:paraId="2436A5B4">
      <w:pPr>
        <w:pStyle w:val="68"/>
        <w:spacing w:before="120" w:after="120"/>
      </w:pPr>
      <w:r>
        <w:t>结果可靠性分析</w:t>
      </w:r>
    </w:p>
    <w:p w14:paraId="3F424F07">
      <w:pPr>
        <w:pStyle w:val="59"/>
        <w:ind w:firstLine="420"/>
      </w:pPr>
      <w:r>
        <w:t>对比不同药物或同一药物不同浓度下的抑制作用，以评估结果的稳定性和可靠性。分析实验过程中的可能干扰因素，如类器官的质量、药物的稳定性等，以确保结果的准确性。</w:t>
      </w:r>
    </w:p>
    <w:p w14:paraId="6DDE8466">
      <w:pPr>
        <w:pStyle w:val="108"/>
        <w:spacing w:before="120" w:after="120"/>
      </w:pPr>
      <w:r>
        <w:t>精准治疗建议</w:t>
      </w:r>
    </w:p>
    <w:p w14:paraId="0C8A3A7D">
      <w:pPr>
        <w:pStyle w:val="68"/>
        <w:spacing w:before="120" w:after="120"/>
      </w:pPr>
      <w:r>
        <w:t>个性化治疗方案制定</w:t>
      </w:r>
    </w:p>
    <w:p w14:paraId="4BAED17B">
      <w:pPr>
        <w:pStyle w:val="59"/>
        <w:ind w:firstLine="420"/>
      </w:pPr>
      <w:r>
        <w:t>根据药物敏感性检测结果，为患者筛选出敏感药物，避免使用不敏感或耐药的药物。结合患者的临床情况、病理类型、分期等因素，制定个性化的精准治疗方案。</w:t>
      </w:r>
    </w:p>
    <w:p w14:paraId="0CA73A2C">
      <w:pPr>
        <w:pStyle w:val="68"/>
        <w:spacing w:before="120" w:after="120"/>
      </w:pPr>
      <w:r>
        <w:t>治疗方案调整建议</w:t>
      </w:r>
    </w:p>
    <w:p w14:paraId="79A9264D">
      <w:pPr>
        <w:pStyle w:val="59"/>
        <w:ind w:firstLine="420"/>
      </w:pPr>
      <w:r>
        <w:t>对于初次治疗效果不佳的患者，根据药物敏感性检测结果调整治疗方案，更换或增加敏感药物。定期监测患者的治疗效果，根据反馈及时调整治疗方案，以确保治疗效果的最大化。</w:t>
      </w:r>
    </w:p>
    <w:p w14:paraId="692F63C9">
      <w:pPr>
        <w:pStyle w:val="68"/>
        <w:spacing w:before="120" w:after="120"/>
      </w:pPr>
      <w:r>
        <w:t>注意事项与风险提示</w:t>
      </w:r>
    </w:p>
    <w:p w14:paraId="41B3D3E7">
      <w:pPr>
        <w:pStyle w:val="59"/>
        <w:ind w:firstLine="420"/>
      </w:pPr>
      <w:r>
        <w:t>提醒患者注意药物的副作用和不良反应，及时与医生沟通并调整用药方案。对于某些特殊类型的乳腺癌（如HER2阳性、三阴性乳腺癌等），应特别关注相关药物的敏感性情况，并给予针对性的治疗建议。</w:t>
      </w:r>
      <w:bookmarkEnd w:id="30"/>
    </w:p>
    <w:p w14:paraId="57B3B8AE">
      <w:pPr>
        <w:pStyle w:val="59"/>
        <w:ind w:firstLine="0" w:firstLineChars="0"/>
        <w:jc w:val="center"/>
      </w:pPr>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stretch>
                      <a:fillRect/>
                    </a:stretch>
                  </pic:blipFill>
                  <pic:spPr>
                    <a:xfrm>
                      <a:off x="0" y="0"/>
                      <a:ext cx="1485900" cy="317500"/>
                    </a:xfrm>
                    <a:prstGeom prst="rect">
                      <a:avLst/>
                    </a:prstGeom>
                  </pic:spPr>
                </pic:pic>
              </a:graphicData>
            </a:graphic>
          </wp:inline>
        </w:drawing>
      </w:r>
      <w:bookmarkEnd w:id="103"/>
    </w:p>
    <w:sectPr>
      <w:pgSz w:w="11906" w:h="16838"/>
      <w:pgMar w:top="1928"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044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AF30">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E90B">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7B9D">
    <w:pPr>
      <w:pStyle w:val="55"/>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8194">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CA0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8CF0">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FD48">
    <w:pPr>
      <w:pStyle w:val="64"/>
      <w:rPr>
        <w:rFonts w:hint="eastAsia"/>
      </w:rPr>
    </w:pPr>
    <w:r>
      <w:fldChar w:fldCharType="begin"/>
    </w:r>
    <w:r>
      <w:instrText xml:space="preserve"> STYLEREF  标准文件_文件编号  \* MERGEFORMAT </w:instrText>
    </w:r>
    <w:r>
      <w:fldChar w:fldCharType="separate"/>
    </w:r>
    <w:r>
      <w:t>T/FDSA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CD00">
    <w:pPr>
      <w:pStyle w:val="19"/>
      <w:jc w:val="right"/>
    </w:pPr>
    <w:r>
      <w:fldChar w:fldCharType="begin"/>
    </w:r>
    <w:r>
      <w:instrText xml:space="preserve"> STYLEREF  标准文件_文件编号  \* MERGEFORMAT </w:instrText>
    </w:r>
    <w:r>
      <w:fldChar w:fldCharType="separate"/>
    </w:r>
    <w:r>
      <w:t>T/FDSA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44"/>
      <w:lvlText w:val="%3."/>
      <w:lvlJc w:val="right"/>
      <w:pPr>
        <w:tabs>
          <w:tab w:val="left" w:pos="2258"/>
        </w:tabs>
        <w:ind w:left="2258" w:hanging="420"/>
      </w:pPr>
    </w:lvl>
    <w:lvl w:ilvl="3" w:tentative="0">
      <w:start w:val="1"/>
      <w:numFmt w:val="decimal"/>
      <w:pStyle w:val="246"/>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color w:val="auto"/>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1418"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hAns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YTg5MTkxNGY2YmEyY2ZkZmQ4YmRiMmM1MGQxNjkifQ=="/>
  </w:docVars>
  <w:rsids>
    <w:rsidRoot w:val="005F7249"/>
    <w:rsid w:val="0000040A"/>
    <w:rsid w:val="0000084F"/>
    <w:rsid w:val="00000A94"/>
    <w:rsid w:val="00001972"/>
    <w:rsid w:val="00001D9A"/>
    <w:rsid w:val="00003024"/>
    <w:rsid w:val="00007B3A"/>
    <w:rsid w:val="000107E0"/>
    <w:rsid w:val="00011FDE"/>
    <w:rsid w:val="00012FFD"/>
    <w:rsid w:val="00013CBA"/>
    <w:rsid w:val="00014162"/>
    <w:rsid w:val="00014340"/>
    <w:rsid w:val="000169D0"/>
    <w:rsid w:val="00016A9C"/>
    <w:rsid w:val="00020898"/>
    <w:rsid w:val="00022184"/>
    <w:rsid w:val="00022762"/>
    <w:rsid w:val="00023814"/>
    <w:rsid w:val="000238E0"/>
    <w:rsid w:val="000249DB"/>
    <w:rsid w:val="0002595E"/>
    <w:rsid w:val="00025B34"/>
    <w:rsid w:val="000270E1"/>
    <w:rsid w:val="00027981"/>
    <w:rsid w:val="00027D03"/>
    <w:rsid w:val="000303C3"/>
    <w:rsid w:val="000331D3"/>
    <w:rsid w:val="000346A5"/>
    <w:rsid w:val="000359C3"/>
    <w:rsid w:val="00035A7D"/>
    <w:rsid w:val="000365ED"/>
    <w:rsid w:val="00037A11"/>
    <w:rsid w:val="0004031E"/>
    <w:rsid w:val="0004249A"/>
    <w:rsid w:val="00043282"/>
    <w:rsid w:val="00044286"/>
    <w:rsid w:val="000468F7"/>
    <w:rsid w:val="00047F28"/>
    <w:rsid w:val="000503AA"/>
    <w:rsid w:val="000506A1"/>
    <w:rsid w:val="000509A8"/>
    <w:rsid w:val="000515DD"/>
    <w:rsid w:val="0005265A"/>
    <w:rsid w:val="000539DD"/>
    <w:rsid w:val="00053BD3"/>
    <w:rsid w:val="000556ED"/>
    <w:rsid w:val="00055FE2"/>
    <w:rsid w:val="0005616F"/>
    <w:rsid w:val="00060C2E"/>
    <w:rsid w:val="00061033"/>
    <w:rsid w:val="000619E9"/>
    <w:rsid w:val="000622D4"/>
    <w:rsid w:val="000624EF"/>
    <w:rsid w:val="0006357D"/>
    <w:rsid w:val="00067F1E"/>
    <w:rsid w:val="000706A3"/>
    <w:rsid w:val="00071CC0"/>
    <w:rsid w:val="00071CFC"/>
    <w:rsid w:val="00072D22"/>
    <w:rsid w:val="00073754"/>
    <w:rsid w:val="00073C8C"/>
    <w:rsid w:val="00077B64"/>
    <w:rsid w:val="00080A1C"/>
    <w:rsid w:val="00082317"/>
    <w:rsid w:val="000823C9"/>
    <w:rsid w:val="00083D2C"/>
    <w:rsid w:val="0008472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D10"/>
    <w:rsid w:val="000A7311"/>
    <w:rsid w:val="000B060F"/>
    <w:rsid w:val="000B1592"/>
    <w:rsid w:val="000B1FF2"/>
    <w:rsid w:val="000B3CDA"/>
    <w:rsid w:val="000B6A0B"/>
    <w:rsid w:val="000C0F6C"/>
    <w:rsid w:val="000C11DB"/>
    <w:rsid w:val="000C1492"/>
    <w:rsid w:val="000C2FBD"/>
    <w:rsid w:val="000C44DD"/>
    <w:rsid w:val="000C4B41"/>
    <w:rsid w:val="000C57D6"/>
    <w:rsid w:val="000C6362"/>
    <w:rsid w:val="000C7666"/>
    <w:rsid w:val="000D0A9C"/>
    <w:rsid w:val="000D1795"/>
    <w:rsid w:val="000D329A"/>
    <w:rsid w:val="000D4AD1"/>
    <w:rsid w:val="000D4B9C"/>
    <w:rsid w:val="000D4EB6"/>
    <w:rsid w:val="000D753B"/>
    <w:rsid w:val="000E1D2D"/>
    <w:rsid w:val="000E3EB9"/>
    <w:rsid w:val="000E4C9E"/>
    <w:rsid w:val="000E6FD7"/>
    <w:rsid w:val="000E7144"/>
    <w:rsid w:val="000F06E1"/>
    <w:rsid w:val="000F0E3C"/>
    <w:rsid w:val="000F19D5"/>
    <w:rsid w:val="000F205C"/>
    <w:rsid w:val="000F4050"/>
    <w:rsid w:val="000F4AEA"/>
    <w:rsid w:val="000F4CA0"/>
    <w:rsid w:val="000F67E9"/>
    <w:rsid w:val="00104926"/>
    <w:rsid w:val="00113B1E"/>
    <w:rsid w:val="0011711C"/>
    <w:rsid w:val="001233BF"/>
    <w:rsid w:val="00124E4F"/>
    <w:rsid w:val="001260B7"/>
    <w:rsid w:val="001265CB"/>
    <w:rsid w:val="001321C6"/>
    <w:rsid w:val="001325C4"/>
    <w:rsid w:val="00133010"/>
    <w:rsid w:val="001338EE"/>
    <w:rsid w:val="00133AAE"/>
    <w:rsid w:val="00135323"/>
    <w:rsid w:val="001356C4"/>
    <w:rsid w:val="00137565"/>
    <w:rsid w:val="001405B6"/>
    <w:rsid w:val="00141114"/>
    <w:rsid w:val="00142969"/>
    <w:rsid w:val="001446C2"/>
    <w:rsid w:val="001457E7"/>
    <w:rsid w:val="00145D9D"/>
    <w:rsid w:val="00146388"/>
    <w:rsid w:val="00146E02"/>
    <w:rsid w:val="00147ACB"/>
    <w:rsid w:val="00152099"/>
    <w:rsid w:val="001528E4"/>
    <w:rsid w:val="001529E5"/>
    <w:rsid w:val="00152FB3"/>
    <w:rsid w:val="00152FD3"/>
    <w:rsid w:val="001532BA"/>
    <w:rsid w:val="001534A2"/>
    <w:rsid w:val="00153C7E"/>
    <w:rsid w:val="0015441D"/>
    <w:rsid w:val="001549C9"/>
    <w:rsid w:val="00156173"/>
    <w:rsid w:val="00156B25"/>
    <w:rsid w:val="00156E1A"/>
    <w:rsid w:val="00157894"/>
    <w:rsid w:val="00157B55"/>
    <w:rsid w:val="001616F9"/>
    <w:rsid w:val="0016337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381"/>
    <w:rsid w:val="00187451"/>
    <w:rsid w:val="00187A0B"/>
    <w:rsid w:val="00190087"/>
    <w:rsid w:val="001913C4"/>
    <w:rsid w:val="0019348F"/>
    <w:rsid w:val="00193619"/>
    <w:rsid w:val="00193A07"/>
    <w:rsid w:val="00194C95"/>
    <w:rsid w:val="00195C34"/>
    <w:rsid w:val="00196EF5"/>
    <w:rsid w:val="001A06F2"/>
    <w:rsid w:val="001A1A53"/>
    <w:rsid w:val="001A234A"/>
    <w:rsid w:val="001A4CF3"/>
    <w:rsid w:val="001A5E24"/>
    <w:rsid w:val="001A6696"/>
    <w:rsid w:val="001B06E8"/>
    <w:rsid w:val="001B71D0"/>
    <w:rsid w:val="001B71EE"/>
    <w:rsid w:val="001C04A8"/>
    <w:rsid w:val="001C2C03"/>
    <w:rsid w:val="001C37F6"/>
    <w:rsid w:val="001C42F7"/>
    <w:rsid w:val="001C49E5"/>
    <w:rsid w:val="001C680C"/>
    <w:rsid w:val="001C7FEA"/>
    <w:rsid w:val="001D0499"/>
    <w:rsid w:val="001D0BBE"/>
    <w:rsid w:val="001D0ED4"/>
    <w:rsid w:val="001D212F"/>
    <w:rsid w:val="001D29D7"/>
    <w:rsid w:val="001D2DE7"/>
    <w:rsid w:val="001D396C"/>
    <w:rsid w:val="001D411C"/>
    <w:rsid w:val="001E1516"/>
    <w:rsid w:val="001E17BC"/>
    <w:rsid w:val="001E1B6A"/>
    <w:rsid w:val="001E2484"/>
    <w:rsid w:val="001E3CC4"/>
    <w:rsid w:val="001E4882"/>
    <w:rsid w:val="001E68C8"/>
    <w:rsid w:val="001E73AB"/>
    <w:rsid w:val="001F092D"/>
    <w:rsid w:val="001F143A"/>
    <w:rsid w:val="001F1605"/>
    <w:rsid w:val="001F1B63"/>
    <w:rsid w:val="001F1BCB"/>
    <w:rsid w:val="001F1FC9"/>
    <w:rsid w:val="001F2508"/>
    <w:rsid w:val="001F4816"/>
    <w:rsid w:val="001F69B4"/>
    <w:rsid w:val="001F77C7"/>
    <w:rsid w:val="00200183"/>
    <w:rsid w:val="00200333"/>
    <w:rsid w:val="0020107D"/>
    <w:rsid w:val="00202AA4"/>
    <w:rsid w:val="002031F7"/>
    <w:rsid w:val="002040E6"/>
    <w:rsid w:val="0020527B"/>
    <w:rsid w:val="00205F2C"/>
    <w:rsid w:val="00210B15"/>
    <w:rsid w:val="00211606"/>
    <w:rsid w:val="002142EA"/>
    <w:rsid w:val="00215ADD"/>
    <w:rsid w:val="0022027E"/>
    <w:rsid w:val="002204BB"/>
    <w:rsid w:val="00221B79"/>
    <w:rsid w:val="00221C6B"/>
    <w:rsid w:val="002253A1"/>
    <w:rsid w:val="00225CF8"/>
    <w:rsid w:val="0022794E"/>
    <w:rsid w:val="00233D64"/>
    <w:rsid w:val="0023482A"/>
    <w:rsid w:val="002352B3"/>
    <w:rsid w:val="002359CB"/>
    <w:rsid w:val="00243540"/>
    <w:rsid w:val="00244089"/>
    <w:rsid w:val="0024497B"/>
    <w:rsid w:val="0024515B"/>
    <w:rsid w:val="00246021"/>
    <w:rsid w:val="0024666E"/>
    <w:rsid w:val="00247F52"/>
    <w:rsid w:val="00250B25"/>
    <w:rsid w:val="00250BBE"/>
    <w:rsid w:val="00250DAD"/>
    <w:rsid w:val="002515C2"/>
    <w:rsid w:val="0025194F"/>
    <w:rsid w:val="00252E89"/>
    <w:rsid w:val="00256AFE"/>
    <w:rsid w:val="00256BA4"/>
    <w:rsid w:val="002604BE"/>
    <w:rsid w:val="0026148A"/>
    <w:rsid w:val="00262696"/>
    <w:rsid w:val="00263D25"/>
    <w:rsid w:val="002643C3"/>
    <w:rsid w:val="002644A9"/>
    <w:rsid w:val="00264A0C"/>
    <w:rsid w:val="00266EEB"/>
    <w:rsid w:val="00267EF4"/>
    <w:rsid w:val="002703AC"/>
    <w:rsid w:val="002705D6"/>
    <w:rsid w:val="00270CB8"/>
    <w:rsid w:val="00271A64"/>
    <w:rsid w:val="00272B08"/>
    <w:rsid w:val="002761F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085"/>
    <w:rsid w:val="002B4508"/>
    <w:rsid w:val="002B5779"/>
    <w:rsid w:val="002B7332"/>
    <w:rsid w:val="002B7F51"/>
    <w:rsid w:val="002C09E7"/>
    <w:rsid w:val="002C1E06"/>
    <w:rsid w:val="002C3F07"/>
    <w:rsid w:val="002C5278"/>
    <w:rsid w:val="002C6631"/>
    <w:rsid w:val="002C7EBB"/>
    <w:rsid w:val="002D0211"/>
    <w:rsid w:val="002D06C1"/>
    <w:rsid w:val="002D0903"/>
    <w:rsid w:val="002D1412"/>
    <w:rsid w:val="002D42B5"/>
    <w:rsid w:val="002D4F1A"/>
    <w:rsid w:val="002D53B1"/>
    <w:rsid w:val="002D6EC6"/>
    <w:rsid w:val="002D6FDE"/>
    <w:rsid w:val="002D7395"/>
    <w:rsid w:val="002D742D"/>
    <w:rsid w:val="002D79AC"/>
    <w:rsid w:val="002E039D"/>
    <w:rsid w:val="002E302E"/>
    <w:rsid w:val="002E45AC"/>
    <w:rsid w:val="002E4D5A"/>
    <w:rsid w:val="002E6326"/>
    <w:rsid w:val="002F30E0"/>
    <w:rsid w:val="002F35E4"/>
    <w:rsid w:val="002F3730"/>
    <w:rsid w:val="002F38E1"/>
    <w:rsid w:val="002F7AF6"/>
    <w:rsid w:val="00300E63"/>
    <w:rsid w:val="00302F5F"/>
    <w:rsid w:val="0030441D"/>
    <w:rsid w:val="00306063"/>
    <w:rsid w:val="00312133"/>
    <w:rsid w:val="00313B85"/>
    <w:rsid w:val="00317988"/>
    <w:rsid w:val="00320740"/>
    <w:rsid w:val="003221B4"/>
    <w:rsid w:val="0032258D"/>
    <w:rsid w:val="00322E62"/>
    <w:rsid w:val="00324D13"/>
    <w:rsid w:val="00324EDD"/>
    <w:rsid w:val="003331E4"/>
    <w:rsid w:val="00336C64"/>
    <w:rsid w:val="00337162"/>
    <w:rsid w:val="00340E15"/>
    <w:rsid w:val="003418D3"/>
    <w:rsid w:val="0034194F"/>
    <w:rsid w:val="00344605"/>
    <w:rsid w:val="00344EAA"/>
    <w:rsid w:val="00344FDB"/>
    <w:rsid w:val="003474AA"/>
    <w:rsid w:val="00350D1D"/>
    <w:rsid w:val="0035221D"/>
    <w:rsid w:val="00352C83"/>
    <w:rsid w:val="00352F1A"/>
    <w:rsid w:val="0036107C"/>
    <w:rsid w:val="003615D2"/>
    <w:rsid w:val="00362200"/>
    <w:rsid w:val="0036429C"/>
    <w:rsid w:val="00364A53"/>
    <w:rsid w:val="00365013"/>
    <w:rsid w:val="003654CB"/>
    <w:rsid w:val="00365AA9"/>
    <w:rsid w:val="00365F86"/>
    <w:rsid w:val="00365F87"/>
    <w:rsid w:val="00366E89"/>
    <w:rsid w:val="003705F4"/>
    <w:rsid w:val="00370D58"/>
    <w:rsid w:val="00371316"/>
    <w:rsid w:val="0037176B"/>
    <w:rsid w:val="00376713"/>
    <w:rsid w:val="00381815"/>
    <w:rsid w:val="003819AF"/>
    <w:rsid w:val="003820E9"/>
    <w:rsid w:val="00382DE7"/>
    <w:rsid w:val="00383DED"/>
    <w:rsid w:val="00384FFC"/>
    <w:rsid w:val="003872FC"/>
    <w:rsid w:val="00387ADC"/>
    <w:rsid w:val="00390020"/>
    <w:rsid w:val="003903D6"/>
    <w:rsid w:val="00390EE6"/>
    <w:rsid w:val="0039118F"/>
    <w:rsid w:val="00392AD7"/>
    <w:rsid w:val="003938D9"/>
    <w:rsid w:val="00394376"/>
    <w:rsid w:val="003943FF"/>
    <w:rsid w:val="0039663F"/>
    <w:rsid w:val="00397069"/>
    <w:rsid w:val="003974EB"/>
    <w:rsid w:val="00397CC5"/>
    <w:rsid w:val="003A11D1"/>
    <w:rsid w:val="003A1582"/>
    <w:rsid w:val="003A3D9C"/>
    <w:rsid w:val="003A4077"/>
    <w:rsid w:val="003A42C0"/>
    <w:rsid w:val="003A439F"/>
    <w:rsid w:val="003A4AA7"/>
    <w:rsid w:val="003B09AD"/>
    <w:rsid w:val="003B1F18"/>
    <w:rsid w:val="003B5BF0"/>
    <w:rsid w:val="003B60BF"/>
    <w:rsid w:val="003B6158"/>
    <w:rsid w:val="003B6BE3"/>
    <w:rsid w:val="003B7F26"/>
    <w:rsid w:val="003C010C"/>
    <w:rsid w:val="003C0A6C"/>
    <w:rsid w:val="003C0D1F"/>
    <w:rsid w:val="003C14F8"/>
    <w:rsid w:val="003C3D7C"/>
    <w:rsid w:val="003C5A43"/>
    <w:rsid w:val="003C777A"/>
    <w:rsid w:val="003D0519"/>
    <w:rsid w:val="003D0FF6"/>
    <w:rsid w:val="003D262C"/>
    <w:rsid w:val="003D380C"/>
    <w:rsid w:val="003D4E0B"/>
    <w:rsid w:val="003D6D61"/>
    <w:rsid w:val="003E019F"/>
    <w:rsid w:val="003E091D"/>
    <w:rsid w:val="003E1C53"/>
    <w:rsid w:val="003E259C"/>
    <w:rsid w:val="003E2A69"/>
    <w:rsid w:val="003E2D49"/>
    <w:rsid w:val="003E2FD4"/>
    <w:rsid w:val="003E3D13"/>
    <w:rsid w:val="003E49F6"/>
    <w:rsid w:val="003E660F"/>
    <w:rsid w:val="003F0841"/>
    <w:rsid w:val="003F23D3"/>
    <w:rsid w:val="003F2A34"/>
    <w:rsid w:val="003F3F08"/>
    <w:rsid w:val="003F49F1"/>
    <w:rsid w:val="003F6272"/>
    <w:rsid w:val="00400E72"/>
    <w:rsid w:val="00401400"/>
    <w:rsid w:val="00404869"/>
    <w:rsid w:val="00405884"/>
    <w:rsid w:val="00407D39"/>
    <w:rsid w:val="0041016C"/>
    <w:rsid w:val="00411E09"/>
    <w:rsid w:val="0041477A"/>
    <w:rsid w:val="004167A3"/>
    <w:rsid w:val="004179E0"/>
    <w:rsid w:val="00430E9E"/>
    <w:rsid w:val="00432DAA"/>
    <w:rsid w:val="00434305"/>
    <w:rsid w:val="00435DF7"/>
    <w:rsid w:val="0044083F"/>
    <w:rsid w:val="00441AD3"/>
    <w:rsid w:val="00441AE7"/>
    <w:rsid w:val="00444C85"/>
    <w:rsid w:val="00445574"/>
    <w:rsid w:val="004467FB"/>
    <w:rsid w:val="00452D6B"/>
    <w:rsid w:val="00454484"/>
    <w:rsid w:val="0045517B"/>
    <w:rsid w:val="004617AA"/>
    <w:rsid w:val="00463B77"/>
    <w:rsid w:val="00463C7B"/>
    <w:rsid w:val="004644A6"/>
    <w:rsid w:val="004659BD"/>
    <w:rsid w:val="00470775"/>
    <w:rsid w:val="00472512"/>
    <w:rsid w:val="00473EA6"/>
    <w:rsid w:val="004746B1"/>
    <w:rsid w:val="0047583F"/>
    <w:rsid w:val="00475DE8"/>
    <w:rsid w:val="00481C44"/>
    <w:rsid w:val="00481D81"/>
    <w:rsid w:val="00482339"/>
    <w:rsid w:val="00484936"/>
    <w:rsid w:val="00485C89"/>
    <w:rsid w:val="00485F22"/>
    <w:rsid w:val="00486303"/>
    <w:rsid w:val="00486BE3"/>
    <w:rsid w:val="00486C7A"/>
    <w:rsid w:val="004905E4"/>
    <w:rsid w:val="00490A89"/>
    <w:rsid w:val="00490AB4"/>
    <w:rsid w:val="00490CCA"/>
    <w:rsid w:val="004919BD"/>
    <w:rsid w:val="00492F02"/>
    <w:rsid w:val="004939AE"/>
    <w:rsid w:val="004A09D2"/>
    <w:rsid w:val="004A12DF"/>
    <w:rsid w:val="004A1BA8"/>
    <w:rsid w:val="004A4930"/>
    <w:rsid w:val="004A4B57"/>
    <w:rsid w:val="004A63FA"/>
    <w:rsid w:val="004A6A3D"/>
    <w:rsid w:val="004B0272"/>
    <w:rsid w:val="004B2701"/>
    <w:rsid w:val="004B2A01"/>
    <w:rsid w:val="004B2E1B"/>
    <w:rsid w:val="004B3AA8"/>
    <w:rsid w:val="004B3E93"/>
    <w:rsid w:val="004C1FBC"/>
    <w:rsid w:val="004C25A2"/>
    <w:rsid w:val="004C3F1D"/>
    <w:rsid w:val="004C458D"/>
    <w:rsid w:val="004C7556"/>
    <w:rsid w:val="004C7E8B"/>
    <w:rsid w:val="004C7E9D"/>
    <w:rsid w:val="004C7F67"/>
    <w:rsid w:val="004D0061"/>
    <w:rsid w:val="004D076D"/>
    <w:rsid w:val="004D0EF1"/>
    <w:rsid w:val="004D2253"/>
    <w:rsid w:val="004D4406"/>
    <w:rsid w:val="004D7C42"/>
    <w:rsid w:val="004E0465"/>
    <w:rsid w:val="004E127B"/>
    <w:rsid w:val="004E1C0A"/>
    <w:rsid w:val="004E1EBF"/>
    <w:rsid w:val="004E30C5"/>
    <w:rsid w:val="004E4AA5"/>
    <w:rsid w:val="004E4AEE"/>
    <w:rsid w:val="004E59E3"/>
    <w:rsid w:val="004E67C0"/>
    <w:rsid w:val="004E6AEE"/>
    <w:rsid w:val="004F391A"/>
    <w:rsid w:val="004F3CFB"/>
    <w:rsid w:val="004F3D35"/>
    <w:rsid w:val="004F3D42"/>
    <w:rsid w:val="004F6456"/>
    <w:rsid w:val="004F696E"/>
    <w:rsid w:val="004F6C71"/>
    <w:rsid w:val="004F6FE0"/>
    <w:rsid w:val="00500AA0"/>
    <w:rsid w:val="00500AA2"/>
    <w:rsid w:val="00500DC7"/>
    <w:rsid w:val="00501139"/>
    <w:rsid w:val="005019EE"/>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2E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E95"/>
    <w:rsid w:val="00561475"/>
    <w:rsid w:val="00562308"/>
    <w:rsid w:val="0056487B"/>
    <w:rsid w:val="00564FB9"/>
    <w:rsid w:val="00573D9E"/>
    <w:rsid w:val="005765E2"/>
    <w:rsid w:val="005768FF"/>
    <w:rsid w:val="005801E3"/>
    <w:rsid w:val="00581802"/>
    <w:rsid w:val="00581955"/>
    <w:rsid w:val="00581A92"/>
    <w:rsid w:val="005836A8"/>
    <w:rsid w:val="0058409C"/>
    <w:rsid w:val="00584262"/>
    <w:rsid w:val="00586630"/>
    <w:rsid w:val="00587ADD"/>
    <w:rsid w:val="005915F2"/>
    <w:rsid w:val="00593A49"/>
    <w:rsid w:val="00596160"/>
    <w:rsid w:val="005966E2"/>
    <w:rsid w:val="00597007"/>
    <w:rsid w:val="005A0966"/>
    <w:rsid w:val="005A11B7"/>
    <w:rsid w:val="005A1726"/>
    <w:rsid w:val="005A260B"/>
    <w:rsid w:val="005A4A1B"/>
    <w:rsid w:val="005A7830"/>
    <w:rsid w:val="005A7FCE"/>
    <w:rsid w:val="005B0F3F"/>
    <w:rsid w:val="005B191C"/>
    <w:rsid w:val="005B4903"/>
    <w:rsid w:val="005B51CE"/>
    <w:rsid w:val="005B5885"/>
    <w:rsid w:val="005B5A7B"/>
    <w:rsid w:val="005B5AEE"/>
    <w:rsid w:val="005B5CD7"/>
    <w:rsid w:val="005B5E37"/>
    <w:rsid w:val="005B6CF6"/>
    <w:rsid w:val="005B7422"/>
    <w:rsid w:val="005C0B56"/>
    <w:rsid w:val="005C29B8"/>
    <w:rsid w:val="005C5F21"/>
    <w:rsid w:val="005C7156"/>
    <w:rsid w:val="005C7265"/>
    <w:rsid w:val="005D0C75"/>
    <w:rsid w:val="005D4171"/>
    <w:rsid w:val="005D6A95"/>
    <w:rsid w:val="005D6B2C"/>
    <w:rsid w:val="005D6D9C"/>
    <w:rsid w:val="005E2335"/>
    <w:rsid w:val="005E34CA"/>
    <w:rsid w:val="005E3C18"/>
    <w:rsid w:val="005E4250"/>
    <w:rsid w:val="005E5808"/>
    <w:rsid w:val="005E6682"/>
    <w:rsid w:val="005E6812"/>
    <w:rsid w:val="005E7881"/>
    <w:rsid w:val="005E78E0"/>
    <w:rsid w:val="005F0D9C"/>
    <w:rsid w:val="005F284E"/>
    <w:rsid w:val="005F3BF5"/>
    <w:rsid w:val="005F7249"/>
    <w:rsid w:val="006008B5"/>
    <w:rsid w:val="006015CE"/>
    <w:rsid w:val="00604784"/>
    <w:rsid w:val="006048B7"/>
    <w:rsid w:val="00604C2D"/>
    <w:rsid w:val="00606419"/>
    <w:rsid w:val="00607D29"/>
    <w:rsid w:val="00612952"/>
    <w:rsid w:val="006136DF"/>
    <w:rsid w:val="00614CC1"/>
    <w:rsid w:val="00615A9D"/>
    <w:rsid w:val="00617387"/>
    <w:rsid w:val="006205D6"/>
    <w:rsid w:val="006252D8"/>
    <w:rsid w:val="006259BC"/>
    <w:rsid w:val="0062636B"/>
    <w:rsid w:val="006266B1"/>
    <w:rsid w:val="00627156"/>
    <w:rsid w:val="00632182"/>
    <w:rsid w:val="00632AE0"/>
    <w:rsid w:val="00633C17"/>
    <w:rsid w:val="00634D9E"/>
    <w:rsid w:val="006358F7"/>
    <w:rsid w:val="00636E3E"/>
    <w:rsid w:val="006379F7"/>
    <w:rsid w:val="00637E4D"/>
    <w:rsid w:val="00640620"/>
    <w:rsid w:val="00641A1F"/>
    <w:rsid w:val="00645904"/>
    <w:rsid w:val="00646B0C"/>
    <w:rsid w:val="00651ACB"/>
    <w:rsid w:val="00651C47"/>
    <w:rsid w:val="00652AB2"/>
    <w:rsid w:val="00653FED"/>
    <w:rsid w:val="00654EC0"/>
    <w:rsid w:val="0065525B"/>
    <w:rsid w:val="00655502"/>
    <w:rsid w:val="00655D4F"/>
    <w:rsid w:val="00656D29"/>
    <w:rsid w:val="006640E5"/>
    <w:rsid w:val="006646F1"/>
    <w:rsid w:val="00664929"/>
    <w:rsid w:val="00664F62"/>
    <w:rsid w:val="006655E1"/>
    <w:rsid w:val="00672060"/>
    <w:rsid w:val="00672BFD"/>
    <w:rsid w:val="006770F4"/>
    <w:rsid w:val="0067743C"/>
    <w:rsid w:val="00677A84"/>
    <w:rsid w:val="0068026D"/>
    <w:rsid w:val="00680A27"/>
    <w:rsid w:val="006816A4"/>
    <w:rsid w:val="006819B8"/>
    <w:rsid w:val="006840A6"/>
    <w:rsid w:val="006850CD"/>
    <w:rsid w:val="0068591A"/>
    <w:rsid w:val="00685AAB"/>
    <w:rsid w:val="006901DC"/>
    <w:rsid w:val="00690472"/>
    <w:rsid w:val="0069117F"/>
    <w:rsid w:val="006977E2"/>
    <w:rsid w:val="006A07AA"/>
    <w:rsid w:val="006A25E5"/>
    <w:rsid w:val="006A2B46"/>
    <w:rsid w:val="006A336D"/>
    <w:rsid w:val="006A37B9"/>
    <w:rsid w:val="006A545D"/>
    <w:rsid w:val="006B0360"/>
    <w:rsid w:val="006B2672"/>
    <w:rsid w:val="006B54BF"/>
    <w:rsid w:val="006B5F44"/>
    <w:rsid w:val="006B5F90"/>
    <w:rsid w:val="006B62E4"/>
    <w:rsid w:val="006B6C1A"/>
    <w:rsid w:val="006C1BBA"/>
    <w:rsid w:val="006C2079"/>
    <w:rsid w:val="006C5A62"/>
    <w:rsid w:val="006C5D68"/>
    <w:rsid w:val="006C6976"/>
    <w:rsid w:val="006C6DD0"/>
    <w:rsid w:val="006D04EA"/>
    <w:rsid w:val="006D16C4"/>
    <w:rsid w:val="006D2122"/>
    <w:rsid w:val="006D3E96"/>
    <w:rsid w:val="006D4515"/>
    <w:rsid w:val="006D4BB1"/>
    <w:rsid w:val="006D6593"/>
    <w:rsid w:val="006E68B3"/>
    <w:rsid w:val="006F03A8"/>
    <w:rsid w:val="006F2ACA"/>
    <w:rsid w:val="006F2ADC"/>
    <w:rsid w:val="006F2BFE"/>
    <w:rsid w:val="006F31E9"/>
    <w:rsid w:val="006F5BF1"/>
    <w:rsid w:val="006F6284"/>
    <w:rsid w:val="007002C5"/>
    <w:rsid w:val="00704387"/>
    <w:rsid w:val="00707669"/>
    <w:rsid w:val="0071038A"/>
    <w:rsid w:val="00711CBA"/>
    <w:rsid w:val="00711FB5"/>
    <w:rsid w:val="00712A01"/>
    <w:rsid w:val="00714F58"/>
    <w:rsid w:val="00720002"/>
    <w:rsid w:val="007210F6"/>
    <w:rsid w:val="00722FBF"/>
    <w:rsid w:val="00722FC2"/>
    <w:rsid w:val="0072394B"/>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21E"/>
    <w:rsid w:val="007644CC"/>
    <w:rsid w:val="00765C43"/>
    <w:rsid w:val="00765EFB"/>
    <w:rsid w:val="007671CA"/>
    <w:rsid w:val="00767219"/>
    <w:rsid w:val="00767C61"/>
    <w:rsid w:val="0077008A"/>
    <w:rsid w:val="00773B93"/>
    <w:rsid w:val="00773C1F"/>
    <w:rsid w:val="00774DA4"/>
    <w:rsid w:val="00776599"/>
    <w:rsid w:val="007807FF"/>
    <w:rsid w:val="0078114B"/>
    <w:rsid w:val="00781DD2"/>
    <w:rsid w:val="00782248"/>
    <w:rsid w:val="00783ECF"/>
    <w:rsid w:val="0078413A"/>
    <w:rsid w:val="00792228"/>
    <w:rsid w:val="007959E8"/>
    <w:rsid w:val="00795E9C"/>
    <w:rsid w:val="007A0521"/>
    <w:rsid w:val="007A2E12"/>
    <w:rsid w:val="007A3475"/>
    <w:rsid w:val="007A41C8"/>
    <w:rsid w:val="007A42DF"/>
    <w:rsid w:val="007A54CE"/>
    <w:rsid w:val="007A5D3A"/>
    <w:rsid w:val="007A6B0B"/>
    <w:rsid w:val="007A6FD9"/>
    <w:rsid w:val="007A7A9B"/>
    <w:rsid w:val="007A7FFA"/>
    <w:rsid w:val="007B04EB"/>
    <w:rsid w:val="007B0D4F"/>
    <w:rsid w:val="007B56EB"/>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225"/>
    <w:rsid w:val="007F0ED8"/>
    <w:rsid w:val="007F0F63"/>
    <w:rsid w:val="007F3E80"/>
    <w:rsid w:val="007F75CE"/>
    <w:rsid w:val="008013A4"/>
    <w:rsid w:val="008027CE"/>
    <w:rsid w:val="00802F42"/>
    <w:rsid w:val="00804383"/>
    <w:rsid w:val="00804BB7"/>
    <w:rsid w:val="00804D41"/>
    <w:rsid w:val="00810257"/>
    <w:rsid w:val="008104F5"/>
    <w:rsid w:val="00811072"/>
    <w:rsid w:val="00811369"/>
    <w:rsid w:val="00814E68"/>
    <w:rsid w:val="00815419"/>
    <w:rsid w:val="008163C8"/>
    <w:rsid w:val="008164A1"/>
    <w:rsid w:val="00817325"/>
    <w:rsid w:val="008209E6"/>
    <w:rsid w:val="0082182E"/>
    <w:rsid w:val="00821D19"/>
    <w:rsid w:val="0082252B"/>
    <w:rsid w:val="00822A20"/>
    <w:rsid w:val="00823303"/>
    <w:rsid w:val="008233B2"/>
    <w:rsid w:val="00823A9F"/>
    <w:rsid w:val="00823C85"/>
    <w:rsid w:val="00825138"/>
    <w:rsid w:val="008269DD"/>
    <w:rsid w:val="00830621"/>
    <w:rsid w:val="0083348C"/>
    <w:rsid w:val="008349C6"/>
    <w:rsid w:val="008373D3"/>
    <w:rsid w:val="00840617"/>
    <w:rsid w:val="00840F84"/>
    <w:rsid w:val="00842A47"/>
    <w:rsid w:val="00843C13"/>
    <w:rsid w:val="00843DEF"/>
    <w:rsid w:val="008454F8"/>
    <w:rsid w:val="008456BC"/>
    <w:rsid w:val="0085173A"/>
    <w:rsid w:val="00856348"/>
    <w:rsid w:val="008603CE"/>
    <w:rsid w:val="008620FC"/>
    <w:rsid w:val="008624F5"/>
    <w:rsid w:val="008627A5"/>
    <w:rsid w:val="00863E05"/>
    <w:rsid w:val="00865ACA"/>
    <w:rsid w:val="00865D28"/>
    <w:rsid w:val="00865F85"/>
    <w:rsid w:val="00867C10"/>
    <w:rsid w:val="00870439"/>
    <w:rsid w:val="00870DA1"/>
    <w:rsid w:val="00881807"/>
    <w:rsid w:val="00883F93"/>
    <w:rsid w:val="00884DB3"/>
    <w:rsid w:val="00885A9D"/>
    <w:rsid w:val="008864F6"/>
    <w:rsid w:val="0089049D"/>
    <w:rsid w:val="00891356"/>
    <w:rsid w:val="008919FF"/>
    <w:rsid w:val="008928C9"/>
    <w:rsid w:val="008930CB"/>
    <w:rsid w:val="008938DC"/>
    <w:rsid w:val="00893FD1"/>
    <w:rsid w:val="00894836"/>
    <w:rsid w:val="00895172"/>
    <w:rsid w:val="00895680"/>
    <w:rsid w:val="00896DFF"/>
    <w:rsid w:val="0089762C"/>
    <w:rsid w:val="008A173B"/>
    <w:rsid w:val="008A1893"/>
    <w:rsid w:val="008A241D"/>
    <w:rsid w:val="008A55EF"/>
    <w:rsid w:val="008A57E6"/>
    <w:rsid w:val="008A6F81"/>
    <w:rsid w:val="008A769A"/>
    <w:rsid w:val="008B0C9C"/>
    <w:rsid w:val="008B166D"/>
    <w:rsid w:val="008B17F4"/>
    <w:rsid w:val="008B3615"/>
    <w:rsid w:val="008B4AC4"/>
    <w:rsid w:val="008B50C8"/>
    <w:rsid w:val="008B5281"/>
    <w:rsid w:val="008B55B3"/>
    <w:rsid w:val="008B76E9"/>
    <w:rsid w:val="008B7E05"/>
    <w:rsid w:val="008C1797"/>
    <w:rsid w:val="008C219C"/>
    <w:rsid w:val="008C348A"/>
    <w:rsid w:val="008C475E"/>
    <w:rsid w:val="008C5F98"/>
    <w:rsid w:val="008C619A"/>
    <w:rsid w:val="008C74C7"/>
    <w:rsid w:val="008D0CE8"/>
    <w:rsid w:val="008D2D1D"/>
    <w:rsid w:val="008D3FA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18"/>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319"/>
    <w:rsid w:val="00915C3E"/>
    <w:rsid w:val="009161A8"/>
    <w:rsid w:val="009245AE"/>
    <w:rsid w:val="009245F5"/>
    <w:rsid w:val="009249EC"/>
    <w:rsid w:val="009273B3"/>
    <w:rsid w:val="009305B5"/>
    <w:rsid w:val="009345FC"/>
    <w:rsid w:val="00935D46"/>
    <w:rsid w:val="009378DD"/>
    <w:rsid w:val="009429D5"/>
    <w:rsid w:val="00942BF1"/>
    <w:rsid w:val="00944DDB"/>
    <w:rsid w:val="00945180"/>
    <w:rsid w:val="00945428"/>
    <w:rsid w:val="0094607B"/>
    <w:rsid w:val="00953604"/>
    <w:rsid w:val="0095496B"/>
    <w:rsid w:val="00957A43"/>
    <w:rsid w:val="00960F1E"/>
    <w:rsid w:val="009610DC"/>
    <w:rsid w:val="00961490"/>
    <w:rsid w:val="0096381A"/>
    <w:rsid w:val="00965E04"/>
    <w:rsid w:val="009674AD"/>
    <w:rsid w:val="00967B04"/>
    <w:rsid w:val="00970CDC"/>
    <w:rsid w:val="0097314C"/>
    <w:rsid w:val="00975727"/>
    <w:rsid w:val="00977010"/>
    <w:rsid w:val="00977D02"/>
    <w:rsid w:val="00977FF9"/>
    <w:rsid w:val="0098032A"/>
    <w:rsid w:val="009809BB"/>
    <w:rsid w:val="0098243A"/>
    <w:rsid w:val="0098364B"/>
    <w:rsid w:val="009860E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C24"/>
    <w:rsid w:val="009A72AD"/>
    <w:rsid w:val="009B09E0"/>
    <w:rsid w:val="009B0BC5"/>
    <w:rsid w:val="009B1247"/>
    <w:rsid w:val="009B6029"/>
    <w:rsid w:val="009B6971"/>
    <w:rsid w:val="009C0CE5"/>
    <w:rsid w:val="009C0E6D"/>
    <w:rsid w:val="009C27F1"/>
    <w:rsid w:val="009C3152"/>
    <w:rsid w:val="009C3257"/>
    <w:rsid w:val="009C3975"/>
    <w:rsid w:val="009C4CFA"/>
    <w:rsid w:val="009C5070"/>
    <w:rsid w:val="009C5D76"/>
    <w:rsid w:val="009D112C"/>
    <w:rsid w:val="009D1385"/>
    <w:rsid w:val="009D47FA"/>
    <w:rsid w:val="009D4C5B"/>
    <w:rsid w:val="009D50D2"/>
    <w:rsid w:val="009D6BCA"/>
    <w:rsid w:val="009E0F62"/>
    <w:rsid w:val="009E4A58"/>
    <w:rsid w:val="009E4CD6"/>
    <w:rsid w:val="009E5A2D"/>
    <w:rsid w:val="009E5AB2"/>
    <w:rsid w:val="009E6219"/>
    <w:rsid w:val="009F03B3"/>
    <w:rsid w:val="009F58C7"/>
    <w:rsid w:val="009F6375"/>
    <w:rsid w:val="00A0096C"/>
    <w:rsid w:val="00A01348"/>
    <w:rsid w:val="00A01757"/>
    <w:rsid w:val="00A028C0"/>
    <w:rsid w:val="00A02BAE"/>
    <w:rsid w:val="00A03FA5"/>
    <w:rsid w:val="00A06A6B"/>
    <w:rsid w:val="00A07D9B"/>
    <w:rsid w:val="00A07E47"/>
    <w:rsid w:val="00A129D0"/>
    <w:rsid w:val="00A12C33"/>
    <w:rsid w:val="00A138BA"/>
    <w:rsid w:val="00A14B88"/>
    <w:rsid w:val="00A14C8E"/>
    <w:rsid w:val="00A153D9"/>
    <w:rsid w:val="00A15F09"/>
    <w:rsid w:val="00A169B6"/>
    <w:rsid w:val="00A2271D"/>
    <w:rsid w:val="00A237D5"/>
    <w:rsid w:val="00A30EFC"/>
    <w:rsid w:val="00A31984"/>
    <w:rsid w:val="00A32D73"/>
    <w:rsid w:val="00A3367B"/>
    <w:rsid w:val="00A33C67"/>
    <w:rsid w:val="00A34CBC"/>
    <w:rsid w:val="00A3597D"/>
    <w:rsid w:val="00A36DD1"/>
    <w:rsid w:val="00A4006C"/>
    <w:rsid w:val="00A40091"/>
    <w:rsid w:val="00A4030F"/>
    <w:rsid w:val="00A41C79"/>
    <w:rsid w:val="00A41CB5"/>
    <w:rsid w:val="00A42CDF"/>
    <w:rsid w:val="00A4452E"/>
    <w:rsid w:val="00A4472C"/>
    <w:rsid w:val="00A44E69"/>
    <w:rsid w:val="00A4661E"/>
    <w:rsid w:val="00A52423"/>
    <w:rsid w:val="00A525D6"/>
    <w:rsid w:val="00A525DB"/>
    <w:rsid w:val="00A52CC9"/>
    <w:rsid w:val="00A5473B"/>
    <w:rsid w:val="00A55BD6"/>
    <w:rsid w:val="00A55D50"/>
    <w:rsid w:val="00A57142"/>
    <w:rsid w:val="00A61F26"/>
    <w:rsid w:val="00A648CD"/>
    <w:rsid w:val="00A6537A"/>
    <w:rsid w:val="00A67866"/>
    <w:rsid w:val="00A70B07"/>
    <w:rsid w:val="00A721CB"/>
    <w:rsid w:val="00A723F8"/>
    <w:rsid w:val="00A77CCB"/>
    <w:rsid w:val="00A83D8D"/>
    <w:rsid w:val="00A8446B"/>
    <w:rsid w:val="00A8473F"/>
    <w:rsid w:val="00A860EB"/>
    <w:rsid w:val="00A862D6"/>
    <w:rsid w:val="00A8715E"/>
    <w:rsid w:val="00A92941"/>
    <w:rsid w:val="00A9295B"/>
    <w:rsid w:val="00A9389C"/>
    <w:rsid w:val="00A93B09"/>
    <w:rsid w:val="00A94948"/>
    <w:rsid w:val="00A952D7"/>
    <w:rsid w:val="00A963F7"/>
    <w:rsid w:val="00A96AD8"/>
    <w:rsid w:val="00AA052C"/>
    <w:rsid w:val="00AA1E45"/>
    <w:rsid w:val="00AA4286"/>
    <w:rsid w:val="00AA456B"/>
    <w:rsid w:val="00AA57F5"/>
    <w:rsid w:val="00AA672E"/>
    <w:rsid w:val="00AA6EC9"/>
    <w:rsid w:val="00AB07E0"/>
    <w:rsid w:val="00AB6309"/>
    <w:rsid w:val="00AB6C5F"/>
    <w:rsid w:val="00AB7129"/>
    <w:rsid w:val="00AC27A6"/>
    <w:rsid w:val="00AC30F7"/>
    <w:rsid w:val="00AC3A5A"/>
    <w:rsid w:val="00AC4D95"/>
    <w:rsid w:val="00AC5DF4"/>
    <w:rsid w:val="00AD0AEF"/>
    <w:rsid w:val="00AD11B7"/>
    <w:rsid w:val="00AD1239"/>
    <w:rsid w:val="00AD1A94"/>
    <w:rsid w:val="00AD1C05"/>
    <w:rsid w:val="00AD3ACC"/>
    <w:rsid w:val="00AD3EED"/>
    <w:rsid w:val="00AD4126"/>
    <w:rsid w:val="00AD421C"/>
    <w:rsid w:val="00AD44FA"/>
    <w:rsid w:val="00AD6694"/>
    <w:rsid w:val="00AD7654"/>
    <w:rsid w:val="00AE070A"/>
    <w:rsid w:val="00AE101C"/>
    <w:rsid w:val="00AE2A69"/>
    <w:rsid w:val="00AE376A"/>
    <w:rsid w:val="00AE37E5"/>
    <w:rsid w:val="00AE3A00"/>
    <w:rsid w:val="00AE5EB4"/>
    <w:rsid w:val="00AF0C18"/>
    <w:rsid w:val="00AF2EA6"/>
    <w:rsid w:val="00AF31CA"/>
    <w:rsid w:val="00AF47C5"/>
    <w:rsid w:val="00AF5398"/>
    <w:rsid w:val="00B0085C"/>
    <w:rsid w:val="00B0175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62"/>
    <w:rsid w:val="00B47293"/>
    <w:rsid w:val="00B50829"/>
    <w:rsid w:val="00B50E50"/>
    <w:rsid w:val="00B52120"/>
    <w:rsid w:val="00B54ABC"/>
    <w:rsid w:val="00B56FBE"/>
    <w:rsid w:val="00B60ACF"/>
    <w:rsid w:val="00B61072"/>
    <w:rsid w:val="00B62B58"/>
    <w:rsid w:val="00B65149"/>
    <w:rsid w:val="00B66567"/>
    <w:rsid w:val="00B66F52"/>
    <w:rsid w:val="00B66FE5"/>
    <w:rsid w:val="00B67549"/>
    <w:rsid w:val="00B72880"/>
    <w:rsid w:val="00B7574D"/>
    <w:rsid w:val="00B758BF"/>
    <w:rsid w:val="00B77EC8"/>
    <w:rsid w:val="00B814B4"/>
    <w:rsid w:val="00B827A6"/>
    <w:rsid w:val="00B831CE"/>
    <w:rsid w:val="00B86677"/>
    <w:rsid w:val="00B87131"/>
    <w:rsid w:val="00B9059D"/>
    <w:rsid w:val="00B939B1"/>
    <w:rsid w:val="00B95508"/>
    <w:rsid w:val="00B96D40"/>
    <w:rsid w:val="00B96E56"/>
    <w:rsid w:val="00B97386"/>
    <w:rsid w:val="00BA263B"/>
    <w:rsid w:val="00BA42B2"/>
    <w:rsid w:val="00BA58D4"/>
    <w:rsid w:val="00BA5B9E"/>
    <w:rsid w:val="00BA7C9A"/>
    <w:rsid w:val="00BB22CD"/>
    <w:rsid w:val="00BB5F8F"/>
    <w:rsid w:val="00BB657A"/>
    <w:rsid w:val="00BB6E79"/>
    <w:rsid w:val="00BC1A4E"/>
    <w:rsid w:val="00BC2D4E"/>
    <w:rsid w:val="00BC5B86"/>
    <w:rsid w:val="00BC5DC7"/>
    <w:rsid w:val="00BC6B8B"/>
    <w:rsid w:val="00BC73D8"/>
    <w:rsid w:val="00BC7746"/>
    <w:rsid w:val="00BD52D7"/>
    <w:rsid w:val="00BD5AD2"/>
    <w:rsid w:val="00BE1651"/>
    <w:rsid w:val="00BE22F3"/>
    <w:rsid w:val="00BE5B52"/>
    <w:rsid w:val="00BE679C"/>
    <w:rsid w:val="00BE7B8D"/>
    <w:rsid w:val="00BF0993"/>
    <w:rsid w:val="00BF10A9"/>
    <w:rsid w:val="00BF1703"/>
    <w:rsid w:val="00BF231C"/>
    <w:rsid w:val="00BF37D4"/>
    <w:rsid w:val="00BF51E5"/>
    <w:rsid w:val="00BF5AA6"/>
    <w:rsid w:val="00BF6D23"/>
    <w:rsid w:val="00BF74A6"/>
    <w:rsid w:val="00C006D5"/>
    <w:rsid w:val="00C0092E"/>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3E52"/>
    <w:rsid w:val="00C34C20"/>
    <w:rsid w:val="00C35A3E"/>
    <w:rsid w:val="00C42130"/>
    <w:rsid w:val="00C423A4"/>
    <w:rsid w:val="00C423E3"/>
    <w:rsid w:val="00C44BF5"/>
    <w:rsid w:val="00C451B8"/>
    <w:rsid w:val="00C521D6"/>
    <w:rsid w:val="00C53008"/>
    <w:rsid w:val="00C55232"/>
    <w:rsid w:val="00C553A4"/>
    <w:rsid w:val="00C55A06"/>
    <w:rsid w:val="00C55D03"/>
    <w:rsid w:val="00C601BC"/>
    <w:rsid w:val="00C62E36"/>
    <w:rsid w:val="00C6317B"/>
    <w:rsid w:val="00C6329F"/>
    <w:rsid w:val="00C63340"/>
    <w:rsid w:val="00C63AB7"/>
    <w:rsid w:val="00C643F9"/>
    <w:rsid w:val="00C64E95"/>
    <w:rsid w:val="00C71372"/>
    <w:rsid w:val="00C72410"/>
    <w:rsid w:val="00C7287F"/>
    <w:rsid w:val="00C80CB8"/>
    <w:rsid w:val="00C819F8"/>
    <w:rsid w:val="00C8248C"/>
    <w:rsid w:val="00C84E33"/>
    <w:rsid w:val="00C86D6F"/>
    <w:rsid w:val="00C905FC"/>
    <w:rsid w:val="00C92D03"/>
    <w:rsid w:val="00C9319C"/>
    <w:rsid w:val="00C93717"/>
    <w:rsid w:val="00C9435D"/>
    <w:rsid w:val="00C94DF2"/>
    <w:rsid w:val="00C96741"/>
    <w:rsid w:val="00CA2D1B"/>
    <w:rsid w:val="00CA375D"/>
    <w:rsid w:val="00CA662A"/>
    <w:rsid w:val="00CA7AFD"/>
    <w:rsid w:val="00CA7C3C"/>
    <w:rsid w:val="00CB0189"/>
    <w:rsid w:val="00CB0368"/>
    <w:rsid w:val="00CB0BA2"/>
    <w:rsid w:val="00CB1A42"/>
    <w:rsid w:val="00CB1B0C"/>
    <w:rsid w:val="00CB2C0B"/>
    <w:rsid w:val="00CB517D"/>
    <w:rsid w:val="00CC038D"/>
    <w:rsid w:val="00CC08DB"/>
    <w:rsid w:val="00CC2A54"/>
    <w:rsid w:val="00CC39FF"/>
    <w:rsid w:val="00CC3C2F"/>
    <w:rsid w:val="00CC4AC8"/>
    <w:rsid w:val="00CC5233"/>
    <w:rsid w:val="00CC5DE6"/>
    <w:rsid w:val="00CC6E4E"/>
    <w:rsid w:val="00CC6FE8"/>
    <w:rsid w:val="00CC7202"/>
    <w:rsid w:val="00CC7618"/>
    <w:rsid w:val="00CD2808"/>
    <w:rsid w:val="00CD28BF"/>
    <w:rsid w:val="00CD4092"/>
    <w:rsid w:val="00CD4A20"/>
    <w:rsid w:val="00CD50A1"/>
    <w:rsid w:val="00CD519E"/>
    <w:rsid w:val="00CD6B9F"/>
    <w:rsid w:val="00CD6F02"/>
    <w:rsid w:val="00CD7CA9"/>
    <w:rsid w:val="00CE0C4F"/>
    <w:rsid w:val="00CE30EA"/>
    <w:rsid w:val="00CE36FD"/>
    <w:rsid w:val="00CF048A"/>
    <w:rsid w:val="00CF155A"/>
    <w:rsid w:val="00CF2947"/>
    <w:rsid w:val="00CF39C9"/>
    <w:rsid w:val="00CF56CE"/>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3D2"/>
    <w:rsid w:val="00D1489E"/>
    <w:rsid w:val="00D1553E"/>
    <w:rsid w:val="00D164C0"/>
    <w:rsid w:val="00D20737"/>
    <w:rsid w:val="00D21E81"/>
    <w:rsid w:val="00D223DE"/>
    <w:rsid w:val="00D234BB"/>
    <w:rsid w:val="00D25E37"/>
    <w:rsid w:val="00D2661A"/>
    <w:rsid w:val="00D27582"/>
    <w:rsid w:val="00D27EC4"/>
    <w:rsid w:val="00D32484"/>
    <w:rsid w:val="00D32719"/>
    <w:rsid w:val="00D33333"/>
    <w:rsid w:val="00D352A2"/>
    <w:rsid w:val="00D35DCF"/>
    <w:rsid w:val="00D4162B"/>
    <w:rsid w:val="00D4514F"/>
    <w:rsid w:val="00D451E2"/>
    <w:rsid w:val="00D45E89"/>
    <w:rsid w:val="00D45E8D"/>
    <w:rsid w:val="00D466AE"/>
    <w:rsid w:val="00D4734F"/>
    <w:rsid w:val="00D47F37"/>
    <w:rsid w:val="00D51089"/>
    <w:rsid w:val="00D51BF3"/>
    <w:rsid w:val="00D562D8"/>
    <w:rsid w:val="00D649E6"/>
    <w:rsid w:val="00D66846"/>
    <w:rsid w:val="00D66F6C"/>
    <w:rsid w:val="00D675FB"/>
    <w:rsid w:val="00D71F25"/>
    <w:rsid w:val="00D72A9C"/>
    <w:rsid w:val="00D733FF"/>
    <w:rsid w:val="00D77031"/>
    <w:rsid w:val="00D84941"/>
    <w:rsid w:val="00D84FA1"/>
    <w:rsid w:val="00D851F0"/>
    <w:rsid w:val="00D86DB7"/>
    <w:rsid w:val="00D87541"/>
    <w:rsid w:val="00D87BF5"/>
    <w:rsid w:val="00D90721"/>
    <w:rsid w:val="00D926D0"/>
    <w:rsid w:val="00D93030"/>
    <w:rsid w:val="00D950E1"/>
    <w:rsid w:val="00D952A6"/>
    <w:rsid w:val="00D974A8"/>
    <w:rsid w:val="00D97F99"/>
    <w:rsid w:val="00DA1E08"/>
    <w:rsid w:val="00DA24F8"/>
    <w:rsid w:val="00DA28E8"/>
    <w:rsid w:val="00DA38D3"/>
    <w:rsid w:val="00DA3932"/>
    <w:rsid w:val="00DA3AFC"/>
    <w:rsid w:val="00DA64F8"/>
    <w:rsid w:val="00DA6A76"/>
    <w:rsid w:val="00DA6C15"/>
    <w:rsid w:val="00DA77A3"/>
    <w:rsid w:val="00DB0258"/>
    <w:rsid w:val="00DB276D"/>
    <w:rsid w:val="00DB38EE"/>
    <w:rsid w:val="00DB498B"/>
    <w:rsid w:val="00DB66CA"/>
    <w:rsid w:val="00DB6BCA"/>
    <w:rsid w:val="00DB6F54"/>
    <w:rsid w:val="00DB73F7"/>
    <w:rsid w:val="00DC0321"/>
    <w:rsid w:val="00DC127D"/>
    <w:rsid w:val="00DC3067"/>
    <w:rsid w:val="00DC370B"/>
    <w:rsid w:val="00DC47C6"/>
    <w:rsid w:val="00DC5A71"/>
    <w:rsid w:val="00DC5B90"/>
    <w:rsid w:val="00DC6D01"/>
    <w:rsid w:val="00DD00FF"/>
    <w:rsid w:val="00DD0619"/>
    <w:rsid w:val="00DD07FB"/>
    <w:rsid w:val="00DD082B"/>
    <w:rsid w:val="00DD25C6"/>
    <w:rsid w:val="00DD4FE5"/>
    <w:rsid w:val="00DD54B0"/>
    <w:rsid w:val="00DD57EE"/>
    <w:rsid w:val="00DD6BCC"/>
    <w:rsid w:val="00DE0A4B"/>
    <w:rsid w:val="00DE2410"/>
    <w:rsid w:val="00DE2939"/>
    <w:rsid w:val="00DE6DE0"/>
    <w:rsid w:val="00DE6E81"/>
    <w:rsid w:val="00DE703F"/>
    <w:rsid w:val="00DE7595"/>
    <w:rsid w:val="00DF1961"/>
    <w:rsid w:val="00DF4218"/>
    <w:rsid w:val="00DF44DE"/>
    <w:rsid w:val="00E01138"/>
    <w:rsid w:val="00E02DFB"/>
    <w:rsid w:val="00E030F9"/>
    <w:rsid w:val="00E0311A"/>
    <w:rsid w:val="00E03138"/>
    <w:rsid w:val="00E03B7A"/>
    <w:rsid w:val="00E05CFD"/>
    <w:rsid w:val="00E06404"/>
    <w:rsid w:val="00E11A85"/>
    <w:rsid w:val="00E12495"/>
    <w:rsid w:val="00E15CCD"/>
    <w:rsid w:val="00E202EF"/>
    <w:rsid w:val="00E210B5"/>
    <w:rsid w:val="00E2552F"/>
    <w:rsid w:val="00E3051B"/>
    <w:rsid w:val="00E3137A"/>
    <w:rsid w:val="00E32CCF"/>
    <w:rsid w:val="00E34A98"/>
    <w:rsid w:val="00E35D1E"/>
    <w:rsid w:val="00E364F9"/>
    <w:rsid w:val="00E365FA"/>
    <w:rsid w:val="00E36789"/>
    <w:rsid w:val="00E377A7"/>
    <w:rsid w:val="00E41F86"/>
    <w:rsid w:val="00E44A83"/>
    <w:rsid w:val="00E4554D"/>
    <w:rsid w:val="00E46AF5"/>
    <w:rsid w:val="00E502C1"/>
    <w:rsid w:val="00E502DD"/>
    <w:rsid w:val="00E50D3A"/>
    <w:rsid w:val="00E51387"/>
    <w:rsid w:val="00E51E68"/>
    <w:rsid w:val="00E52EFD"/>
    <w:rsid w:val="00E5408A"/>
    <w:rsid w:val="00E56800"/>
    <w:rsid w:val="00E575D9"/>
    <w:rsid w:val="00E60C63"/>
    <w:rsid w:val="00E61C71"/>
    <w:rsid w:val="00E6228E"/>
    <w:rsid w:val="00E62FF9"/>
    <w:rsid w:val="00E635D6"/>
    <w:rsid w:val="00E639BC"/>
    <w:rsid w:val="00E63FE5"/>
    <w:rsid w:val="00E65DCB"/>
    <w:rsid w:val="00E664CC"/>
    <w:rsid w:val="00E70388"/>
    <w:rsid w:val="00E70F92"/>
    <w:rsid w:val="00E74313"/>
    <w:rsid w:val="00E74C54"/>
    <w:rsid w:val="00E77A03"/>
    <w:rsid w:val="00E8025C"/>
    <w:rsid w:val="00E81B92"/>
    <w:rsid w:val="00E822CE"/>
    <w:rsid w:val="00E822E8"/>
    <w:rsid w:val="00E82554"/>
    <w:rsid w:val="00E82606"/>
    <w:rsid w:val="00E831C1"/>
    <w:rsid w:val="00E846C8"/>
    <w:rsid w:val="00E84957"/>
    <w:rsid w:val="00E84A55"/>
    <w:rsid w:val="00E85BFF"/>
    <w:rsid w:val="00E8747F"/>
    <w:rsid w:val="00E90391"/>
    <w:rsid w:val="00E906C2"/>
    <w:rsid w:val="00E908A2"/>
    <w:rsid w:val="00E92A16"/>
    <w:rsid w:val="00E9311F"/>
    <w:rsid w:val="00E934D1"/>
    <w:rsid w:val="00E94AF0"/>
    <w:rsid w:val="00E9597D"/>
    <w:rsid w:val="00E95D13"/>
    <w:rsid w:val="00E95DD3"/>
    <w:rsid w:val="00E969D5"/>
    <w:rsid w:val="00EA58D1"/>
    <w:rsid w:val="00EA61BC"/>
    <w:rsid w:val="00EA681A"/>
    <w:rsid w:val="00EA735B"/>
    <w:rsid w:val="00EB1E69"/>
    <w:rsid w:val="00EB2086"/>
    <w:rsid w:val="00EB31ED"/>
    <w:rsid w:val="00EB5B85"/>
    <w:rsid w:val="00EB5EDF"/>
    <w:rsid w:val="00EB60FE"/>
    <w:rsid w:val="00EB74DB"/>
    <w:rsid w:val="00EC2498"/>
    <w:rsid w:val="00EC5359"/>
    <w:rsid w:val="00EC562A"/>
    <w:rsid w:val="00EC731C"/>
    <w:rsid w:val="00ED067A"/>
    <w:rsid w:val="00ED2B50"/>
    <w:rsid w:val="00ED590C"/>
    <w:rsid w:val="00ED5AEC"/>
    <w:rsid w:val="00EE0350"/>
    <w:rsid w:val="00EE0719"/>
    <w:rsid w:val="00EE0E80"/>
    <w:rsid w:val="00EE586D"/>
    <w:rsid w:val="00EE613F"/>
    <w:rsid w:val="00EE7295"/>
    <w:rsid w:val="00EE7699"/>
    <w:rsid w:val="00EE7869"/>
    <w:rsid w:val="00EF054A"/>
    <w:rsid w:val="00EF1171"/>
    <w:rsid w:val="00EF3235"/>
    <w:rsid w:val="00EF7E72"/>
    <w:rsid w:val="00F06D37"/>
    <w:rsid w:val="00F07B9D"/>
    <w:rsid w:val="00F11586"/>
    <w:rsid w:val="00F1183B"/>
    <w:rsid w:val="00F11C9F"/>
    <w:rsid w:val="00F12263"/>
    <w:rsid w:val="00F1409D"/>
    <w:rsid w:val="00F14214"/>
    <w:rsid w:val="00F157A9"/>
    <w:rsid w:val="00F16F00"/>
    <w:rsid w:val="00F22D9F"/>
    <w:rsid w:val="00F25BB6"/>
    <w:rsid w:val="00F26B7E"/>
    <w:rsid w:val="00F27A3B"/>
    <w:rsid w:val="00F32270"/>
    <w:rsid w:val="00F32780"/>
    <w:rsid w:val="00F33817"/>
    <w:rsid w:val="00F34CDC"/>
    <w:rsid w:val="00F363AE"/>
    <w:rsid w:val="00F4138F"/>
    <w:rsid w:val="00F420D5"/>
    <w:rsid w:val="00F451EA"/>
    <w:rsid w:val="00F45447"/>
    <w:rsid w:val="00F456C6"/>
    <w:rsid w:val="00F4577B"/>
    <w:rsid w:val="00F4600A"/>
    <w:rsid w:val="00F46496"/>
    <w:rsid w:val="00F474D0"/>
    <w:rsid w:val="00F50179"/>
    <w:rsid w:val="00F515EE"/>
    <w:rsid w:val="00F56511"/>
    <w:rsid w:val="00F602D2"/>
    <w:rsid w:val="00F6194E"/>
    <w:rsid w:val="00F623AC"/>
    <w:rsid w:val="00F62DBF"/>
    <w:rsid w:val="00F63F4A"/>
    <w:rsid w:val="00F6412A"/>
    <w:rsid w:val="00F65893"/>
    <w:rsid w:val="00F66A4A"/>
    <w:rsid w:val="00F673C4"/>
    <w:rsid w:val="00F675D4"/>
    <w:rsid w:val="00F71E22"/>
    <w:rsid w:val="00F72142"/>
    <w:rsid w:val="00F72AE7"/>
    <w:rsid w:val="00F75AF2"/>
    <w:rsid w:val="00F833BA"/>
    <w:rsid w:val="00F84FD0"/>
    <w:rsid w:val="00F859A8"/>
    <w:rsid w:val="00F86D87"/>
    <w:rsid w:val="00F9108B"/>
    <w:rsid w:val="00F91349"/>
    <w:rsid w:val="00F93278"/>
    <w:rsid w:val="00F93A8A"/>
    <w:rsid w:val="00F95248"/>
    <w:rsid w:val="00F956A9"/>
    <w:rsid w:val="00F963ED"/>
    <w:rsid w:val="00F966CF"/>
    <w:rsid w:val="00F96CAE"/>
    <w:rsid w:val="00F96D37"/>
    <w:rsid w:val="00F97C99"/>
    <w:rsid w:val="00FA020D"/>
    <w:rsid w:val="00FA170D"/>
    <w:rsid w:val="00FA2118"/>
    <w:rsid w:val="00FA662D"/>
    <w:rsid w:val="00FA73B1"/>
    <w:rsid w:val="00FA73DC"/>
    <w:rsid w:val="00FB0343"/>
    <w:rsid w:val="00FB0CB9"/>
    <w:rsid w:val="00FB231D"/>
    <w:rsid w:val="00FB3DBC"/>
    <w:rsid w:val="00FB45F1"/>
    <w:rsid w:val="00FB4A72"/>
    <w:rsid w:val="00FB54E8"/>
    <w:rsid w:val="00FB676A"/>
    <w:rsid w:val="00FB67ED"/>
    <w:rsid w:val="00FB7054"/>
    <w:rsid w:val="00FC17B7"/>
    <w:rsid w:val="00FC2CB7"/>
    <w:rsid w:val="00FC4090"/>
    <w:rsid w:val="00FC55B4"/>
    <w:rsid w:val="00FD00E6"/>
    <w:rsid w:val="00FD09A1"/>
    <w:rsid w:val="00FD1715"/>
    <w:rsid w:val="00FD1A58"/>
    <w:rsid w:val="00FD202D"/>
    <w:rsid w:val="00FD27FD"/>
    <w:rsid w:val="00FD2A7C"/>
    <w:rsid w:val="00FD4B3F"/>
    <w:rsid w:val="00FD59EB"/>
    <w:rsid w:val="00FD7299"/>
    <w:rsid w:val="00FE1FBE"/>
    <w:rsid w:val="00FE3901"/>
    <w:rsid w:val="00FE39D3"/>
    <w:rsid w:val="00FE4BCE"/>
    <w:rsid w:val="00FE54AE"/>
    <w:rsid w:val="00FE576A"/>
    <w:rsid w:val="00FE7E79"/>
    <w:rsid w:val="00FF3E7D"/>
    <w:rsid w:val="00FF4761"/>
    <w:rsid w:val="00FF5B99"/>
    <w:rsid w:val="00FF730C"/>
    <w:rsid w:val="00FF73F4"/>
    <w:rsid w:val="00FF7CE4"/>
    <w:rsid w:val="00FF7E39"/>
    <w:rsid w:val="76CA45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50"/>
    <w:uiPriority w:val="0"/>
    <w:pPr>
      <w:adjustRightInd/>
      <w:spacing w:line="240" w:lineRule="auto"/>
      <w:jc w:val="left"/>
    </w:pPr>
    <w:rPr>
      <w:rFonts w:ascii="Times New Roman" w:hAnsi="Times New Roman"/>
      <w:szCs w:val="24"/>
    </w:rPr>
  </w:style>
  <w:style w:type="paragraph" w:styleId="14">
    <w:name w:val="Body Text"/>
    <w:basedOn w:val="1"/>
    <w:link w:val="89"/>
    <w:qFormat/>
    <w:uiPriority w:val="1"/>
    <w:pPr>
      <w:spacing w:after="120"/>
    </w:pPr>
  </w:style>
  <w:style w:type="paragraph" w:styleId="15">
    <w:name w:val="toc 5"/>
    <w:basedOn w:val="1"/>
    <w:next w:val="1"/>
    <w:autoRedefine/>
    <w:unhideWhenUsed/>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uiPriority w:val="39"/>
    <w:rPr>
      <w:rFonts w:ascii="宋体"/>
    </w:rPr>
  </w:style>
  <w:style w:type="paragraph" w:styleId="21">
    <w:name w:val="toc 4"/>
    <w:basedOn w:val="1"/>
    <w:next w:val="1"/>
    <w:autoRedefine/>
    <w:unhideWhenUsed/>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autoRedefine/>
    <w:unhideWhenUsed/>
    <w:uiPriority w:val="39"/>
    <w:pPr>
      <w:tabs>
        <w:tab w:val="right" w:leader="dot" w:pos="9344"/>
      </w:tabs>
      <w:spacing w:line="300" w:lineRule="exact"/>
      <w:ind w:left="210"/>
    </w:pPr>
    <w:rPr>
      <w:rFonts w:ascii="宋体"/>
    </w:rPr>
  </w:style>
  <w:style w:type="paragraph" w:styleId="26">
    <w:name w:val="Normal (Web)"/>
    <w:basedOn w:val="1"/>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uiPriority w:val="0"/>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ind w:left="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uiPriority w:val="0"/>
    <w:pPr>
      <w:outlineLvl w:val="4"/>
    </w:pPr>
  </w:style>
  <w:style w:type="paragraph" w:customStyle="1" w:styleId="133">
    <w:name w:val="附录四级无标题条"/>
    <w:basedOn w:val="132"/>
    <w:next w:val="59"/>
    <w:uiPriority w:val="0"/>
    <w:pPr>
      <w:outlineLvl w:val="5"/>
    </w:pPr>
  </w:style>
  <w:style w:type="paragraph" w:customStyle="1" w:styleId="134">
    <w:name w:val="附录图"/>
    <w:next w:val="59"/>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uiPriority w:val="0"/>
    <w:pPr>
      <w:adjustRightInd/>
      <w:spacing w:line="240" w:lineRule="auto"/>
      <w:jc w:val="left"/>
    </w:pPr>
    <w:rPr>
      <w:bCs/>
      <w:iCs/>
    </w:rPr>
  </w:style>
  <w:style w:type="paragraph" w:customStyle="1" w:styleId="146">
    <w:name w:val="目录 31"/>
    <w:basedOn w:val="1"/>
    <w:next w:val="1"/>
    <w:autoRedefine/>
    <w:semiHidden/>
    <w:uiPriority w:val="0"/>
    <w:pPr>
      <w:spacing w:line="240" w:lineRule="auto"/>
    </w:pPr>
    <w:rPr>
      <w:rFonts w:ascii="宋体" w:hAnsi="宋体"/>
      <w:iCs/>
    </w:rPr>
  </w:style>
  <w:style w:type="paragraph" w:customStyle="1" w:styleId="147">
    <w:name w:val="目录 41"/>
    <w:basedOn w:val="1"/>
    <w:next w:val="1"/>
    <w:autoRedefine/>
    <w:semiHidden/>
    <w:uiPriority w:val="0"/>
    <w:pPr>
      <w:adjustRightInd/>
      <w:spacing w:line="240" w:lineRule="auto"/>
      <w:jc w:val="left"/>
    </w:pPr>
  </w:style>
  <w:style w:type="paragraph" w:customStyle="1" w:styleId="148">
    <w:name w:val="目录 51"/>
    <w:basedOn w:val="1"/>
    <w:next w:val="1"/>
    <w:autoRedefine/>
    <w:semiHidden/>
    <w:uiPriority w:val="0"/>
    <w:pPr>
      <w:spacing w:line="240" w:lineRule="auto"/>
    </w:pPr>
    <w:rPr>
      <w:rFonts w:ascii="宋体" w:hAnsi="宋体"/>
    </w:rPr>
  </w:style>
  <w:style w:type="paragraph" w:customStyle="1" w:styleId="149">
    <w:name w:val="目录 61"/>
    <w:basedOn w:val="1"/>
    <w:next w:val="1"/>
    <w:autoRedefine/>
    <w:semiHidden/>
    <w:uiPriority w:val="0"/>
    <w:pPr>
      <w:adjustRightInd/>
      <w:spacing w:line="240" w:lineRule="auto"/>
      <w:jc w:val="left"/>
    </w:pPr>
  </w:style>
  <w:style w:type="paragraph" w:customStyle="1" w:styleId="150">
    <w:name w:val="目录 71"/>
    <w:basedOn w:val="149"/>
    <w:autoRedefine/>
    <w:semiHidden/>
    <w:uiPriority w:val="0"/>
    <w:pPr>
      <w:ind w:left="1260"/>
    </w:pPr>
  </w:style>
  <w:style w:type="paragraph" w:customStyle="1" w:styleId="151">
    <w:name w:val="目录 81"/>
    <w:basedOn w:val="150"/>
    <w:autoRedefine/>
    <w:semiHidden/>
    <w:uiPriority w:val="0"/>
    <w:pPr>
      <w:ind w:left="1470"/>
    </w:pPr>
  </w:style>
  <w:style w:type="paragraph" w:customStyle="1" w:styleId="152">
    <w:name w:val="目录 91"/>
    <w:basedOn w:val="151"/>
    <w:autoRedefine/>
    <w:semiHidden/>
    <w:uiPriority w:val="0"/>
    <w:pPr>
      <w:ind w:left="1680"/>
    </w:pPr>
  </w:style>
  <w:style w:type="paragraph" w:customStyle="1" w:styleId="15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30"/>
    <w:link w:val="233"/>
    <w:qFormat/>
    <w:uiPriority w:val="0"/>
    <w:rPr>
      <w:rFonts w:ascii="宋体" w:hAnsi="Times New Roman"/>
      <w:sz w:val="21"/>
    </w:rPr>
  </w:style>
  <w:style w:type="paragraph" w:customStyle="1" w:styleId="235">
    <w:name w:val="一级条标题"/>
    <w:next w:val="233"/>
    <w:link w:val="241"/>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章标题"/>
    <w:next w:val="233"/>
    <w:link w:val="245"/>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3"/>
    <w:link w:val="248"/>
    <w:uiPriority w:val="0"/>
    <w:pPr>
      <w:numPr>
        <w:ilvl w:val="2"/>
      </w:numPr>
      <w:tabs>
        <w:tab w:val="left" w:pos="360"/>
        <w:tab w:val="left" w:pos="2258"/>
      </w:tabs>
      <w:spacing w:before="50" w:after="50"/>
      <w:ind w:left="2258" w:hanging="420"/>
      <w:outlineLvl w:val="3"/>
    </w:pPr>
  </w:style>
  <w:style w:type="paragraph" w:customStyle="1" w:styleId="238">
    <w:name w:val="三级条标题"/>
    <w:basedOn w:val="237"/>
    <w:next w:val="233"/>
    <w:uiPriority w:val="0"/>
    <w:pPr>
      <w:numPr>
        <w:ilvl w:val="3"/>
      </w:numPr>
      <w:tabs>
        <w:tab w:val="left" w:pos="2678"/>
      </w:tabs>
      <w:ind w:left="2678" w:hanging="420"/>
      <w:outlineLvl w:val="4"/>
    </w:pPr>
  </w:style>
  <w:style w:type="paragraph" w:customStyle="1" w:styleId="239">
    <w:name w:val="四级条标题"/>
    <w:basedOn w:val="238"/>
    <w:next w:val="233"/>
    <w:uiPriority w:val="0"/>
    <w:pPr>
      <w:numPr>
        <w:ilvl w:val="4"/>
      </w:numPr>
      <w:tabs>
        <w:tab w:val="left" w:pos="3098"/>
      </w:tabs>
      <w:ind w:left="3098" w:hanging="420"/>
      <w:outlineLvl w:val="5"/>
    </w:pPr>
  </w:style>
  <w:style w:type="paragraph" w:customStyle="1" w:styleId="240">
    <w:name w:val="五级条标题"/>
    <w:basedOn w:val="239"/>
    <w:next w:val="233"/>
    <w:uiPriority w:val="0"/>
    <w:pPr>
      <w:numPr>
        <w:ilvl w:val="5"/>
      </w:numPr>
      <w:tabs>
        <w:tab w:val="left" w:pos="3518"/>
      </w:tabs>
      <w:ind w:left="3518" w:hanging="420"/>
      <w:outlineLvl w:val="6"/>
    </w:pPr>
  </w:style>
  <w:style w:type="character" w:customStyle="1" w:styleId="241">
    <w:name w:val="一级条标题 Char Char"/>
    <w:link w:val="235"/>
    <w:uiPriority w:val="0"/>
    <w:rPr>
      <w:rFonts w:ascii="黑体" w:hAnsi="Times New Roman" w:eastAsia="黑体"/>
      <w:sz w:val="21"/>
      <w:szCs w:val="21"/>
    </w:rPr>
  </w:style>
  <w:style w:type="paragraph" w:customStyle="1" w:styleId="242">
    <w:name w:val="正文表标题"/>
    <w:next w:val="233"/>
    <w:uiPriority w:val="0"/>
    <w:pPr>
      <w:tabs>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43">
    <w:name w:val="正文图标题"/>
    <w:next w:val="233"/>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4">
    <w:name w:val="二级无"/>
    <w:basedOn w:val="237"/>
    <w:uiPriority w:val="0"/>
    <w:pPr>
      <w:numPr>
        <w:numId w:val="1"/>
      </w:numPr>
      <w:tabs>
        <w:tab w:val="clear" w:pos="2258"/>
      </w:tabs>
      <w:spacing w:before="0" w:beforeLines="0" w:after="0" w:afterLines="0"/>
    </w:pPr>
    <w:rPr>
      <w:rFonts w:ascii="宋体" w:eastAsia="宋体"/>
    </w:rPr>
  </w:style>
  <w:style w:type="character" w:customStyle="1" w:styleId="245">
    <w:name w:val="章标题[858D7CFB-ED40-4347-BF05-701D383B685F]"/>
    <w:link w:val="236"/>
    <w:uiPriority w:val="0"/>
    <w:rPr>
      <w:rFonts w:ascii="黑体" w:hAnsi="Times New Roman" w:eastAsia="黑体"/>
      <w:sz w:val="21"/>
    </w:rPr>
  </w:style>
  <w:style w:type="paragraph" w:customStyle="1" w:styleId="246">
    <w:name w:val="三级无"/>
    <w:basedOn w:val="238"/>
    <w:uiPriority w:val="0"/>
    <w:pPr>
      <w:numPr>
        <w:numId w:val="1"/>
      </w:numPr>
      <w:tabs>
        <w:tab w:val="clear" w:pos="2678"/>
      </w:tabs>
      <w:spacing w:before="0" w:beforeLines="0" w:after="0" w:afterLines="0"/>
    </w:pPr>
    <w:rPr>
      <w:rFonts w:ascii="宋体" w:eastAsia="宋体"/>
    </w:rPr>
  </w:style>
  <w:style w:type="character" w:customStyle="1" w:styleId="247">
    <w:name w:val="正文文本 Char"/>
    <w:basedOn w:val="30"/>
    <w:uiPriority w:val="1"/>
    <w:rPr>
      <w:rFonts w:ascii="宋体" w:hAnsi="宋体" w:cs="宋体"/>
      <w:sz w:val="21"/>
      <w:szCs w:val="21"/>
      <w:lang w:eastAsia="en-US" w:bidi="en-US"/>
    </w:rPr>
  </w:style>
  <w:style w:type="character" w:customStyle="1" w:styleId="248">
    <w:name w:val="二级条标题 Char Char"/>
    <w:basedOn w:val="241"/>
    <w:link w:val="237"/>
    <w:uiPriority w:val="0"/>
    <w:rPr>
      <w:rFonts w:ascii="黑体" w:hAnsi="Times New Roman" w:eastAsia="黑体"/>
      <w:sz w:val="21"/>
      <w:szCs w:val="21"/>
    </w:rPr>
  </w:style>
  <w:style w:type="paragraph" w:customStyle="1" w:styleId="249">
    <w:name w:val="章"/>
    <w:basedOn w:val="4"/>
    <w:uiPriority w:val="0"/>
    <w:pPr>
      <w:adjustRightInd/>
    </w:pPr>
    <w:rPr>
      <w:rFonts w:ascii="Times New Roman" w:hAnsi="Times New Roman" w:eastAsia="黑体"/>
      <w:b w:val="0"/>
      <w:sz w:val="21"/>
    </w:rPr>
  </w:style>
  <w:style w:type="character" w:customStyle="1" w:styleId="250">
    <w:name w:val="批注文字 字符"/>
    <w:basedOn w:val="30"/>
    <w:link w:val="13"/>
    <w:uiPriority w:val="0"/>
    <w:rPr>
      <w:rFonts w:ascii="Times New Roman" w:hAnsi="Times New Roman"/>
      <w:kern w:val="2"/>
      <w:sz w:val="21"/>
      <w:szCs w:val="24"/>
    </w:rPr>
  </w:style>
  <w:style w:type="paragraph" w:styleId="251">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E66663DE9748F58314B34514FC0626"/>
        <w:style w:val=""/>
        <w:category>
          <w:name w:val="常规"/>
          <w:gallery w:val="placeholder"/>
        </w:category>
        <w:types>
          <w:type w:val="bbPlcHdr"/>
        </w:types>
        <w:behaviors>
          <w:behavior w:val="content"/>
        </w:behaviors>
        <w:description w:val=""/>
        <w:guid w:val="{2212E321-CEC7-47A8-B685-D61819B1D26C}"/>
      </w:docPartPr>
      <w:docPartBody>
        <w:p w14:paraId="3989E1A7">
          <w:pPr>
            <w:pStyle w:val="5"/>
            <w:rPr>
              <w:rFonts w:hint="eastAsia"/>
            </w:rPr>
          </w:pPr>
          <w:r>
            <w:rPr>
              <w:rStyle w:val="4"/>
              <w:rFonts w:hint="eastAsia"/>
            </w:rPr>
            <w:t>单击或点击此处输入文字。</w:t>
          </w:r>
        </w:p>
      </w:docPartBody>
    </w:docPart>
    <w:docPart>
      <w:docPartPr>
        <w:name w:val="C09C4F292F934B8DBFB9562BD158C836"/>
        <w:style w:val=""/>
        <w:category>
          <w:name w:val="常规"/>
          <w:gallery w:val="placeholder"/>
        </w:category>
        <w:types>
          <w:type w:val="bbPlcHdr"/>
        </w:types>
        <w:behaviors>
          <w:behavior w:val="content"/>
        </w:behaviors>
        <w:description w:val=""/>
        <w:guid w:val="{DDE1A1D6-5292-41B0-8392-3B2034767DF1}"/>
      </w:docPartPr>
      <w:docPartBody>
        <w:p w14:paraId="29DB443F">
          <w:pPr>
            <w:pStyle w:val="6"/>
            <w:rPr>
              <w:rFonts w:hint="eastAsia"/>
            </w:rPr>
          </w:pPr>
          <w:r>
            <w:rPr>
              <w:rStyle w:val="4"/>
              <w:rFonts w:hint="eastAsia"/>
            </w:rPr>
            <w:t>选择一项。</w:t>
          </w:r>
        </w:p>
      </w:docPartBody>
    </w:docPart>
    <w:docPart>
      <w:docPartPr>
        <w:name w:val="E1C97280BE0742DE8603ACD2C5AABA30"/>
        <w:style w:val=""/>
        <w:category>
          <w:name w:val="常规"/>
          <w:gallery w:val="placeholder"/>
        </w:category>
        <w:types>
          <w:type w:val="bbPlcHdr"/>
        </w:types>
        <w:behaviors>
          <w:behavior w:val="content"/>
        </w:behaviors>
        <w:description w:val=""/>
        <w:guid w:val="{99A6E2C1-D054-4AC5-98E4-7989F483B614}"/>
      </w:docPartPr>
      <w:docPartBody>
        <w:p w14:paraId="441A785D">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C30252"/>
    <w:rsid w:val="00060C33"/>
    <w:rsid w:val="000833E6"/>
    <w:rsid w:val="000D6BD1"/>
    <w:rsid w:val="000F5DC6"/>
    <w:rsid w:val="00146ECC"/>
    <w:rsid w:val="001C51A5"/>
    <w:rsid w:val="00246DB7"/>
    <w:rsid w:val="0026118B"/>
    <w:rsid w:val="002705D6"/>
    <w:rsid w:val="00277218"/>
    <w:rsid w:val="00277375"/>
    <w:rsid w:val="002858FB"/>
    <w:rsid w:val="00292778"/>
    <w:rsid w:val="003278BD"/>
    <w:rsid w:val="0034098E"/>
    <w:rsid w:val="00347BEE"/>
    <w:rsid w:val="00355651"/>
    <w:rsid w:val="003F2E8D"/>
    <w:rsid w:val="0040118F"/>
    <w:rsid w:val="00416D6C"/>
    <w:rsid w:val="00421727"/>
    <w:rsid w:val="004761EA"/>
    <w:rsid w:val="0048269A"/>
    <w:rsid w:val="004C1151"/>
    <w:rsid w:val="004F3ADF"/>
    <w:rsid w:val="00593353"/>
    <w:rsid w:val="00605627"/>
    <w:rsid w:val="00621142"/>
    <w:rsid w:val="00713E9A"/>
    <w:rsid w:val="00730CCA"/>
    <w:rsid w:val="00763E68"/>
    <w:rsid w:val="0076421E"/>
    <w:rsid w:val="007E65B0"/>
    <w:rsid w:val="008353AE"/>
    <w:rsid w:val="00857CC9"/>
    <w:rsid w:val="008946A8"/>
    <w:rsid w:val="00902A24"/>
    <w:rsid w:val="00910719"/>
    <w:rsid w:val="0093646D"/>
    <w:rsid w:val="00957E39"/>
    <w:rsid w:val="00981AE2"/>
    <w:rsid w:val="00994538"/>
    <w:rsid w:val="009B221A"/>
    <w:rsid w:val="009C5E98"/>
    <w:rsid w:val="00A26175"/>
    <w:rsid w:val="00A345E6"/>
    <w:rsid w:val="00B55DE7"/>
    <w:rsid w:val="00B77739"/>
    <w:rsid w:val="00BB01F7"/>
    <w:rsid w:val="00C30252"/>
    <w:rsid w:val="00D30E78"/>
    <w:rsid w:val="00D55883"/>
    <w:rsid w:val="00D856AB"/>
    <w:rsid w:val="00DA3C4C"/>
    <w:rsid w:val="00EA5409"/>
    <w:rsid w:val="00ED6B5C"/>
    <w:rsid w:val="00EE2067"/>
    <w:rsid w:val="00EF7D77"/>
    <w:rsid w:val="00F1393D"/>
    <w:rsid w:val="00F31F03"/>
    <w:rsid w:val="00F65967"/>
    <w:rsid w:val="00FB1363"/>
    <w:rsid w:val="00FD5DFD"/>
    <w:rsid w:val="00FE0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4E66663DE9748F58314B34514FC06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09C4F292F934B8DBFB9562BD158C83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1C97280BE0742DE8603ACD2C5AABA3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57CDC-6AC3-4E64-AC07-AEE5464E379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3509</Words>
  <Characters>3751</Characters>
  <Lines>33</Lines>
  <Paragraphs>9</Paragraphs>
  <TotalTime>0</TotalTime>
  <ScaleCrop>false</ScaleCrop>
  <LinksUpToDate>false</LinksUpToDate>
  <CharactersWithSpaces>3804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2022-07-27T08:47:00Z</dcterms:created>
  <dc:creator>中尉</dc:creator>
  <dc:description>&lt;config cover="true" show_menu="true" version="1.0.0" doctype="SDKXY"&gt;_x000d_
&lt;/config&gt;</dc:description>
  <cp:lastModifiedBy>YouknowwhatI</cp:lastModifiedBy>
  <cp:lastPrinted>2023-04-10T00:58:00Z</cp:lastPrinted>
  <dcterms:modified xsi:type="dcterms:W3CDTF">2024-09-13T08:52:35Z</dcterms:modified>
  <dc:title>团体标准</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2052-12.1.0.17150</vt:lpwstr>
  </property>
  <property fmtid="{D5CDD505-2E9C-101B-9397-08002B2CF9AE}" pid="15" name="ICV">
    <vt:lpwstr>2B65CD2F97FF4D2CA875F7DF938DAA21_12</vt:lpwstr>
  </property>
</Properties>
</file>