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031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0C03A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7F43F69">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7.08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07.080</w:t>
            </w:r>
            <w:r>
              <w:rPr>
                <w:rFonts w:ascii="黑体" w:hAnsi="黑体" w:eastAsia="黑体"/>
                <w:sz w:val="21"/>
                <w:szCs w:val="21"/>
              </w:rPr>
              <w:fldChar w:fldCharType="end"/>
            </w:r>
            <w:bookmarkEnd w:id="0"/>
          </w:p>
        </w:tc>
      </w:tr>
      <w:tr w14:paraId="0040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158E9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274A43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00BDEF1">
                  <w:pPr>
                    <w:pStyle w:val="49"/>
                    <w:framePr w:wrap="notBeside" w:vAnchor="page" w:hAnchor="page" w:x="1372" w:y="568"/>
                    <w:ind w:left="420" w:right="624"/>
                    <w:rPr>
                      <w:rFonts w:ascii="宋体" w:hAnsi="宋体"/>
                      <w:sz w:val="28"/>
                      <w:szCs w:val="28"/>
                    </w:rPr>
                  </w:pP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FCC6B6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04"/>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04</w:t>
            </w:r>
            <w:r>
              <w:rPr>
                <w:rFonts w:ascii="黑体" w:hAnsi="黑体" w:eastAsia="黑体"/>
                <w:sz w:val="21"/>
                <w:szCs w:val="21"/>
              </w:rPr>
              <w:fldChar w:fldCharType="end"/>
            </w:r>
            <w:bookmarkEnd w:id="2"/>
          </w:p>
        </w:tc>
      </w:tr>
    </w:tbl>
    <w:p w14:paraId="3F83C4C9">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D213853">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3E7AA032">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0160620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99E55ED">
      <w:pPr>
        <w:pStyle w:val="50"/>
        <w:framePr w:w="9639" w:h="6976" w:hRule="exact" w:hSpace="0" w:vSpace="0" w:wrap="around" w:hAnchor="page" w:y="6408"/>
        <w:jc w:val="center"/>
        <w:rPr>
          <w:rFonts w:ascii="黑体" w:hAnsi="黑体" w:eastAsia="黑体"/>
          <w:b w:val="0"/>
          <w:bCs w:val="0"/>
          <w:w w:val="100"/>
        </w:rPr>
      </w:pPr>
    </w:p>
    <w:p w14:paraId="7A5350B1">
      <w:pPr>
        <w:pStyle w:val="197"/>
        <w:framePr w:h="6974" w:hRule="exact" w:wrap="around" w:x="1419" w:anchorLock="1"/>
      </w:pPr>
      <w:r>
        <w:fldChar w:fldCharType="begin">
          <w:ffData>
            <w:name w:val="CSTD_NAME"/>
            <w:enabled/>
            <w:calcOnExit w:val="0"/>
            <w:textInput>
              <w:default w:val="人体肌肉干细胞分离制备规范"/>
            </w:textInput>
          </w:ffData>
        </w:fldChar>
      </w:r>
      <w:bookmarkStart w:id="8" w:name="CSTD_NAME"/>
      <w:r>
        <w:instrText xml:space="preserve"> FORMTEXT </w:instrText>
      </w:r>
      <w:r>
        <w:fldChar w:fldCharType="separate"/>
      </w:r>
      <w:r>
        <w:t>人体肌肉干细胞分离制备规范</w:t>
      </w:r>
      <w:r>
        <w:fldChar w:fldCharType="end"/>
      </w:r>
      <w:bookmarkEnd w:id="8"/>
    </w:p>
    <w:p w14:paraId="694B9BAC">
      <w:pPr>
        <w:framePr w:w="9639" w:h="6974" w:hRule="exact" w:wrap="around" w:vAnchor="page" w:hAnchor="page" w:x="1419" w:y="6408" w:anchorLock="1"/>
        <w:ind w:left="-1418"/>
      </w:pPr>
    </w:p>
    <w:p w14:paraId="149FFB9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isolation and preparation of human muscle-derived stem cells"/>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Specification for isolation and preparation of human muscle-derived stem cells</w:t>
      </w:r>
      <w:r>
        <w:rPr>
          <w:rFonts w:eastAsia="黑体"/>
          <w:szCs w:val="28"/>
        </w:rPr>
        <w:fldChar w:fldCharType="end"/>
      </w:r>
      <w:bookmarkEnd w:id="9"/>
    </w:p>
    <w:p w14:paraId="58847F9D">
      <w:pPr>
        <w:framePr w:w="9639" w:h="6974" w:hRule="exact" w:wrap="around" w:vAnchor="page" w:hAnchor="page" w:x="1419" w:y="6408" w:anchorLock="1"/>
        <w:spacing w:line="760" w:lineRule="exact"/>
        <w:ind w:left="-1418"/>
      </w:pPr>
    </w:p>
    <w:p w14:paraId="6E20921C">
      <w:pPr>
        <w:pStyle w:val="125"/>
        <w:framePr w:w="9639" w:h="6974" w:hRule="exact" w:wrap="around" w:vAnchor="page" w:hAnchor="page" w:x="1419" w:y="6408" w:anchorLock="1"/>
        <w:textAlignment w:val="bottom"/>
        <w:rPr>
          <w:rFonts w:eastAsia="黑体"/>
          <w:szCs w:val="28"/>
        </w:rPr>
      </w:pPr>
    </w:p>
    <w:p w14:paraId="72922179">
      <w:pPr>
        <w:pStyle w:val="125"/>
        <w:framePr w:w="9639" w:h="6974" w:hRule="exact" w:wrap="around" w:vAnchor="page" w:hAnchor="page" w:x="1419" w:y="6408" w:anchorLock="1"/>
        <w:spacing w:before="440" w:after="160"/>
        <w:textAlignment w:val="bottom"/>
        <w:rPr>
          <w:sz w:val="24"/>
          <w:szCs w:val="28"/>
        </w:rPr>
      </w:pPr>
    </w:p>
    <w:p w14:paraId="6B1B0EF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81A5594">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7551D0A0">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5EBD7D5D">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267F40B6">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中国食品药品企业质量安全促进会"/>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中国食品药品企业质量安全促进会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CBFF58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D6B5851">
      <w:pPr>
        <w:pStyle w:val="91"/>
        <w:spacing w:after="360"/>
        <w:rPr>
          <w:rFonts w:hint="eastAsia"/>
        </w:rPr>
      </w:pPr>
      <w:bookmarkStart w:id="18" w:name="BookMark1"/>
      <w:bookmarkStart w:id="19" w:name="_Toc139526978"/>
      <w:r>
        <w:rPr>
          <w:rFonts w:hint="eastAsia"/>
          <w:spacing w:val="320"/>
        </w:rPr>
        <w:t>目</w:t>
      </w:r>
      <w:r>
        <w:rPr>
          <w:rFonts w:hint="eastAsia"/>
        </w:rPr>
        <w:t>次</w:t>
      </w:r>
    </w:p>
    <w:p w14:paraId="6565082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"_Toc170228391" </w:instrText>
      </w:r>
      <w:r>
        <w:fldChar w:fldCharType="separate"/>
      </w:r>
      <w:r>
        <w:rPr>
          <w:rStyle w:val="32"/>
        </w:rPr>
        <w:t>前言</w:t>
      </w:r>
      <w:r>
        <w:tab/>
      </w:r>
      <w:r>
        <w:fldChar w:fldCharType="begin"/>
      </w:r>
      <w:r>
        <w:instrText xml:space="preserve"> PAGEREF _Toc170228391 \h </w:instrText>
      </w:r>
      <w:r>
        <w:fldChar w:fldCharType="separate"/>
      </w:r>
      <w:r>
        <w:t>II</w:t>
      </w:r>
      <w:r>
        <w:fldChar w:fldCharType="end"/>
      </w:r>
      <w:r>
        <w:fldChar w:fldCharType="end"/>
      </w:r>
    </w:p>
    <w:p w14:paraId="6FF77266">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"_Toc170228392" </w:instrText>
      </w:r>
      <w:r>
        <w:fldChar w:fldCharType="separate"/>
      </w:r>
      <w:r>
        <w:rPr>
          <w:rStyle w:val="32"/>
        </w:rPr>
        <w:t>1  范围</w:t>
      </w:r>
      <w:r>
        <w:tab/>
      </w:r>
      <w:r>
        <w:fldChar w:fldCharType="begin"/>
      </w:r>
      <w:r>
        <w:instrText xml:space="preserve"> PAGEREF _Toc170228392 \h </w:instrText>
      </w:r>
      <w:r>
        <w:fldChar w:fldCharType="separate"/>
      </w:r>
      <w:r>
        <w:t>1</w:t>
      </w:r>
      <w:r>
        <w:fldChar w:fldCharType="end"/>
      </w:r>
      <w:r>
        <w:fldChar w:fldCharType="end"/>
      </w:r>
    </w:p>
    <w:p w14:paraId="02EC9AE9">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"_Toc170228393" </w:instrText>
      </w:r>
      <w:r>
        <w:fldChar w:fldCharType="separate"/>
      </w:r>
      <w:r>
        <w:rPr>
          <w:rStyle w:val="32"/>
        </w:rPr>
        <w:t>2  规范性引用文件</w:t>
      </w:r>
      <w:r>
        <w:tab/>
      </w:r>
      <w:r>
        <w:fldChar w:fldCharType="begin"/>
      </w:r>
      <w:r>
        <w:instrText xml:space="preserve"> PAGEREF _Toc170228393 \h </w:instrText>
      </w:r>
      <w:r>
        <w:fldChar w:fldCharType="separate"/>
      </w:r>
      <w:r>
        <w:t>1</w:t>
      </w:r>
      <w:r>
        <w:fldChar w:fldCharType="end"/>
      </w:r>
      <w:r>
        <w:fldChar w:fldCharType="end"/>
      </w:r>
    </w:p>
    <w:p w14:paraId="49FF86D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"_Toc170228394" </w:instrText>
      </w:r>
      <w:r>
        <w:fldChar w:fldCharType="separate"/>
      </w:r>
      <w:r>
        <w:rPr>
          <w:rStyle w:val="32"/>
        </w:rPr>
        <w:t>3  术语和定义、缩略语</w:t>
      </w:r>
      <w:r>
        <w:tab/>
      </w:r>
      <w:r>
        <w:fldChar w:fldCharType="begin"/>
      </w:r>
      <w:r>
        <w:instrText xml:space="preserve"> PAGEREF _Toc170228394 \h </w:instrText>
      </w:r>
      <w:r>
        <w:fldChar w:fldCharType="separate"/>
      </w:r>
      <w:r>
        <w:t>1</w:t>
      </w:r>
      <w:r>
        <w:fldChar w:fldCharType="end"/>
      </w:r>
      <w:r>
        <w:fldChar w:fldCharType="end"/>
      </w:r>
    </w:p>
    <w:p w14:paraId="6AE456F8">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"_Toc170228395" </w:instrText>
      </w:r>
      <w:r>
        <w:fldChar w:fldCharType="separate"/>
      </w:r>
      <w:r>
        <w:rPr>
          <w:rStyle w:val="32"/>
        </w:rPr>
        <w:t>4  基本要求</w:t>
      </w:r>
      <w:r>
        <w:tab/>
      </w:r>
      <w:r>
        <w:fldChar w:fldCharType="begin"/>
      </w:r>
      <w:r>
        <w:instrText xml:space="preserve"> PAGEREF _Toc170228395 \h </w:instrText>
      </w:r>
      <w:r>
        <w:fldChar w:fldCharType="separate"/>
      </w:r>
      <w:r>
        <w:t>2</w:t>
      </w:r>
      <w:r>
        <w:fldChar w:fldCharType="end"/>
      </w:r>
      <w:r>
        <w:fldChar w:fldCharType="end"/>
      </w:r>
    </w:p>
    <w:p w14:paraId="54E964C6">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"_Toc170228396" </w:instrText>
      </w:r>
      <w:r>
        <w:fldChar w:fldCharType="separate"/>
      </w:r>
      <w:r>
        <w:rPr>
          <w:rStyle w:val="32"/>
        </w:rPr>
        <w:t>5  样本采集</w:t>
      </w:r>
      <w:r>
        <w:tab/>
      </w:r>
      <w:r>
        <w:fldChar w:fldCharType="begin"/>
      </w:r>
      <w:r>
        <w:instrText xml:space="preserve"> PAGEREF _Toc170228396 \h </w:instrText>
      </w:r>
      <w:r>
        <w:fldChar w:fldCharType="separate"/>
      </w:r>
      <w:r>
        <w:t>3</w:t>
      </w:r>
      <w:r>
        <w:fldChar w:fldCharType="end"/>
      </w:r>
      <w:r>
        <w:fldChar w:fldCharType="end"/>
      </w:r>
    </w:p>
    <w:p w14:paraId="18CBE35D">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"_Toc170228397" </w:instrText>
      </w:r>
      <w:r>
        <w:fldChar w:fldCharType="separate"/>
      </w:r>
      <w:r>
        <w:rPr>
          <w:rStyle w:val="32"/>
        </w:rPr>
        <w:t>6  样本运输</w:t>
      </w:r>
      <w:r>
        <w:tab/>
      </w:r>
      <w:r>
        <w:fldChar w:fldCharType="begin"/>
      </w:r>
      <w:r>
        <w:instrText xml:space="preserve"> PAGEREF _Toc170228397 \h </w:instrText>
      </w:r>
      <w:r>
        <w:fldChar w:fldCharType="separate"/>
      </w:r>
      <w:r>
        <w:t>4</w:t>
      </w:r>
      <w:r>
        <w:fldChar w:fldCharType="end"/>
      </w:r>
      <w:r>
        <w:fldChar w:fldCharType="end"/>
      </w:r>
    </w:p>
    <w:p w14:paraId="60DE1BAF">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"_Toc170228398" </w:instrText>
      </w:r>
      <w:r>
        <w:fldChar w:fldCharType="separate"/>
      </w:r>
      <w:r>
        <w:rPr>
          <w:rStyle w:val="32"/>
        </w:rPr>
        <w:t>7  样本接收</w:t>
      </w:r>
      <w:r>
        <w:tab/>
      </w:r>
      <w:r>
        <w:fldChar w:fldCharType="begin"/>
      </w:r>
      <w:r>
        <w:instrText xml:space="preserve"> PAGEREF _Toc170228398 \h </w:instrText>
      </w:r>
      <w:r>
        <w:fldChar w:fldCharType="separate"/>
      </w:r>
      <w:r>
        <w:t>4</w:t>
      </w:r>
      <w:r>
        <w:fldChar w:fldCharType="end"/>
      </w:r>
      <w:r>
        <w:fldChar w:fldCharType="end"/>
      </w:r>
    </w:p>
    <w:p w14:paraId="43D8EB8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"_Toc170228399" </w:instrText>
      </w:r>
      <w:r>
        <w:fldChar w:fldCharType="separate"/>
      </w:r>
      <w:r>
        <w:rPr>
          <w:rStyle w:val="32"/>
        </w:rPr>
        <w:t>8  分离与培养</w:t>
      </w:r>
      <w:r>
        <w:tab/>
      </w:r>
      <w:r>
        <w:fldChar w:fldCharType="begin"/>
      </w:r>
      <w:r>
        <w:instrText xml:space="preserve"> PAGEREF _Toc170228399 \h </w:instrText>
      </w:r>
      <w:r>
        <w:fldChar w:fldCharType="separate"/>
      </w:r>
      <w:r>
        <w:t>5</w:t>
      </w:r>
      <w:r>
        <w:fldChar w:fldCharType="end"/>
      </w:r>
      <w:r>
        <w:fldChar w:fldCharType="end"/>
      </w:r>
    </w:p>
    <w:p w14:paraId="73D17E66">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"_Toc170228400" </w:instrText>
      </w:r>
      <w:r>
        <w:fldChar w:fldCharType="separate"/>
      </w:r>
      <w:r>
        <w:rPr>
          <w:rStyle w:val="32"/>
        </w:rPr>
        <w:t>9  记录</w:t>
      </w:r>
      <w:r>
        <w:tab/>
      </w:r>
      <w:r>
        <w:fldChar w:fldCharType="begin"/>
      </w:r>
      <w:r>
        <w:instrText xml:space="preserve"> PAGEREF _Toc170228400 \h </w:instrText>
      </w:r>
      <w:r>
        <w:fldChar w:fldCharType="separate"/>
      </w:r>
      <w:r>
        <w:t>6</w:t>
      </w:r>
      <w:r>
        <w:fldChar w:fldCharType="end"/>
      </w:r>
      <w:r>
        <w:fldChar w:fldCharType="end"/>
      </w:r>
    </w:p>
    <w:p w14:paraId="46EB0AC3">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"_Toc170228401" </w:instrText>
      </w:r>
      <w:r>
        <w:fldChar w:fldCharType="separate"/>
      </w:r>
      <w:r>
        <w:rPr>
          <w:rStyle w:val="32"/>
        </w:rPr>
        <w:t>10  质量控制</w:t>
      </w:r>
      <w:r>
        <w:tab/>
      </w:r>
      <w:r>
        <w:fldChar w:fldCharType="begin"/>
      </w:r>
      <w:r>
        <w:instrText xml:space="preserve"> PAGEREF _Toc170228401 \h </w:instrText>
      </w:r>
      <w:r>
        <w:fldChar w:fldCharType="separate"/>
      </w:r>
      <w:r>
        <w:t>7</w:t>
      </w:r>
      <w:r>
        <w:fldChar w:fldCharType="end"/>
      </w:r>
      <w:r>
        <w:fldChar w:fldCharType="end"/>
      </w:r>
    </w:p>
    <w:p w14:paraId="4208B07C">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"_Toc170228402" </w:instrText>
      </w:r>
      <w:r>
        <w:fldChar w:fldCharType="separate"/>
      </w:r>
      <w:r>
        <w:rPr>
          <w:rStyle w:val="32"/>
        </w:rPr>
        <w:t>11  质量评价与放行</w:t>
      </w:r>
      <w:r>
        <w:tab/>
      </w:r>
      <w:r>
        <w:fldChar w:fldCharType="begin"/>
      </w:r>
      <w:r>
        <w:instrText xml:space="preserve"> PAGEREF _Toc170228402 \h </w:instrText>
      </w:r>
      <w:r>
        <w:fldChar w:fldCharType="separate"/>
      </w:r>
      <w:r>
        <w:t>8</w:t>
      </w:r>
      <w:r>
        <w:fldChar w:fldCharType="end"/>
      </w:r>
      <w:r>
        <w:fldChar w:fldCharType="end"/>
      </w:r>
    </w:p>
    <w:p w14:paraId="62675020">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"_Toc170228403" </w:instrText>
      </w:r>
      <w:r>
        <w:fldChar w:fldCharType="separate"/>
      </w:r>
      <w:r>
        <w:rPr>
          <w:rStyle w:val="32"/>
        </w:rPr>
        <w:t>附录A（资料性）  人体肌肉干细胞质量控制检测表</w:t>
      </w:r>
      <w:r>
        <w:tab/>
      </w:r>
      <w:r>
        <w:fldChar w:fldCharType="begin"/>
      </w:r>
      <w:r>
        <w:instrText xml:space="preserve"> PAGEREF _Toc170228403 \h </w:instrText>
      </w:r>
      <w:r>
        <w:fldChar w:fldCharType="separate"/>
      </w:r>
      <w:r>
        <w:t>10</w:t>
      </w:r>
      <w:r>
        <w:fldChar w:fldCharType="end"/>
      </w:r>
      <w:r>
        <w:fldChar w:fldCharType="end"/>
      </w:r>
    </w:p>
    <w:p w14:paraId="3079B59D">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"_Toc170228404" </w:instrText>
      </w:r>
      <w:r>
        <w:fldChar w:fldCharType="separate"/>
      </w:r>
      <w:r>
        <w:rPr>
          <w:rStyle w:val="32"/>
        </w:rPr>
        <w:t>参考文献</w:t>
      </w:r>
      <w:r>
        <w:tab/>
      </w:r>
      <w:r>
        <w:fldChar w:fldCharType="begin"/>
      </w:r>
      <w:r>
        <w:instrText xml:space="preserve"> PAGEREF _Toc170228404 \h </w:instrText>
      </w:r>
      <w:r>
        <w:fldChar w:fldCharType="separate"/>
      </w:r>
      <w:r>
        <w:t>11</w:t>
      </w:r>
      <w:r>
        <w:fldChar w:fldCharType="end"/>
      </w:r>
      <w:r>
        <w:fldChar w:fldCharType="end"/>
      </w:r>
    </w:p>
    <w:p w14:paraId="013A644F">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1F0E23D8">
      <w:pPr>
        <w:pStyle w:val="89"/>
        <w:spacing w:before="900" w:after="360"/>
      </w:pPr>
      <w:bookmarkStart w:id="20" w:name="_Toc170228391"/>
      <w:bookmarkStart w:id="21" w:name="BookMark2"/>
      <w:r>
        <w:rPr>
          <w:spacing w:val="320"/>
        </w:rPr>
        <w:t>前</w:t>
      </w:r>
      <w:r>
        <w:t>言</w:t>
      </w:r>
      <w:bookmarkEnd w:id="19"/>
      <w:bookmarkEnd w:id="20"/>
    </w:p>
    <w:p w14:paraId="7C81D860">
      <w:pPr>
        <w:pStyle w:val="56"/>
        <w:ind w:firstLine="420"/>
      </w:pPr>
      <w:r>
        <w:rPr>
          <w:rFonts w:hint="eastAsia"/>
        </w:rPr>
        <w:t>本文件按照GB/T 1.1—2020《标准化工作导则  第1部分：标准化文件的结构和起草规则》的规定起草。</w:t>
      </w:r>
    </w:p>
    <w:p w14:paraId="1C56E2F3">
      <w:pPr>
        <w:pStyle w:val="56"/>
        <w:ind w:firstLine="420"/>
      </w:pPr>
      <w:r>
        <w:rPr>
          <w:rFonts w:hint="eastAsia"/>
        </w:rPr>
        <w:t>请注意本文件的某些内容可能涉及专利。本文件的发布机构不承担识别专利的责任。</w:t>
      </w:r>
    </w:p>
    <w:p w14:paraId="4C4D325C">
      <w:pPr>
        <w:pStyle w:val="56"/>
        <w:ind w:firstLine="420"/>
      </w:pPr>
      <w:r>
        <w:rPr>
          <w:rFonts w:hint="eastAsia"/>
        </w:rPr>
        <w:t>本文件由重庆市铂而斐细胞生物技术有限公司提出。</w:t>
      </w:r>
    </w:p>
    <w:p w14:paraId="3D9DF409">
      <w:pPr>
        <w:pStyle w:val="56"/>
        <w:ind w:firstLine="420"/>
        <w:rPr>
          <w:rFonts w:hint="eastAsia"/>
        </w:rPr>
      </w:pPr>
      <w:r>
        <w:rPr>
          <w:rFonts w:hint="eastAsia"/>
        </w:rPr>
        <w:t>本文件由中国食品药品企业质量安全促进会归口。</w:t>
      </w:r>
    </w:p>
    <w:p w14:paraId="0991AB8C">
      <w:pPr>
        <w:pStyle w:val="56"/>
        <w:ind w:firstLine="420"/>
        <w:rPr>
          <w:rFonts w:hint="eastAsia"/>
          <w:lang w:eastAsia="zh-CN"/>
        </w:rPr>
      </w:pPr>
      <w:r>
        <w:rPr>
          <w:rFonts w:hint="eastAsia"/>
        </w:rPr>
        <w:t>本文件起草单位：重庆市铂而斐细胞生物技术有限公司</w:t>
      </w:r>
      <w:r>
        <w:rPr>
          <w:rFonts w:hint="eastAsia"/>
          <w:lang w:eastAsia="zh-CN"/>
        </w:rPr>
        <w:t>、山东卓东生物科技有限公司、济南万泉生物技术有限公司。</w:t>
      </w:r>
    </w:p>
    <w:p w14:paraId="1AC10D71">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r>
        <w:rPr>
          <w:rFonts w:hint="eastAsia"/>
          <w:lang w:eastAsia="zh-CN"/>
        </w:rPr>
        <w:t>甘元善、牟晓东、</w:t>
      </w:r>
      <w:bookmarkStart w:id="143" w:name="_GoBack"/>
      <w:r>
        <w:rPr>
          <w:rFonts w:hint="eastAsia"/>
          <w:lang w:eastAsia="zh-CN"/>
        </w:rPr>
        <w:t>戴</w:t>
      </w:r>
      <w:bookmarkEnd w:id="143"/>
      <w:r>
        <w:rPr>
          <w:rFonts w:hint="eastAsia"/>
          <w:lang w:eastAsia="zh-CN"/>
        </w:rPr>
        <w:t>晓宇。</w:t>
      </w:r>
    </w:p>
    <w:bookmarkEnd w:id="21"/>
    <w:p w14:paraId="3F357D6B">
      <w:pPr>
        <w:spacing w:line="20" w:lineRule="exact"/>
        <w:jc w:val="center"/>
        <w:rPr>
          <w:rFonts w:ascii="黑体" w:hAnsi="黑体" w:eastAsia="黑体"/>
          <w:sz w:val="32"/>
          <w:szCs w:val="32"/>
        </w:rPr>
      </w:pPr>
      <w:bookmarkStart w:id="22" w:name="BookMark4"/>
    </w:p>
    <w:p w14:paraId="02193EFA">
      <w:pPr>
        <w:spacing w:line="20" w:lineRule="exact"/>
        <w:jc w:val="center"/>
        <w:rPr>
          <w:rFonts w:ascii="黑体" w:hAnsi="黑体" w:eastAsia="黑体"/>
          <w:sz w:val="32"/>
          <w:szCs w:val="32"/>
        </w:rPr>
      </w:pPr>
    </w:p>
    <w:sdt>
      <w:sdtPr>
        <w:tag w:val="NEW_STAND_NAME"/>
        <w:id w:val="595910757"/>
        <w:lock w:val="sdtLocked"/>
        <w:placeholder>
          <w:docPart w:val="7787C93782EF4B09B1CDC2153F13753B"/>
        </w:placeholder>
      </w:sdtPr>
      <w:sdtContent>
        <w:p w14:paraId="1D91ACC7">
          <w:pPr>
            <w:pStyle w:val="177"/>
          </w:pPr>
          <w:bookmarkStart w:id="23" w:name="NEW_STAND_NAME"/>
          <w:r>
            <w:rPr>
              <w:rFonts w:hint="eastAsia"/>
            </w:rPr>
            <w:t>人体肌肉干细胞分离制备规范</w:t>
          </w:r>
        </w:p>
      </w:sdtContent>
    </w:sdt>
    <w:bookmarkEnd w:id="23"/>
    <w:p w14:paraId="789E0B5C">
      <w:pPr>
        <w:pStyle w:val="104"/>
        <w:spacing w:before="240" w:after="240"/>
      </w:pPr>
      <w:bookmarkStart w:id="24" w:name="_Toc97192964"/>
      <w:bookmarkStart w:id="25" w:name="_Toc139436571"/>
      <w:bookmarkStart w:id="26" w:name="_Toc139526979"/>
      <w:bookmarkStart w:id="27" w:name="_Toc24884218"/>
      <w:bookmarkStart w:id="28" w:name="_Toc17233325"/>
      <w:bookmarkStart w:id="29" w:name="_Toc26718930"/>
      <w:bookmarkStart w:id="30" w:name="_Toc24884211"/>
      <w:bookmarkStart w:id="31" w:name="_Toc26986771"/>
      <w:bookmarkStart w:id="32" w:name="_Toc26986530"/>
      <w:bookmarkStart w:id="33" w:name="_Toc17233333"/>
      <w:bookmarkStart w:id="34" w:name="_Toc170228392"/>
      <w:bookmarkStart w:id="35" w:name="_Toc26648465"/>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Start w:id="36" w:name="_Toc26648466"/>
      <w:bookmarkStart w:id="37" w:name="_Toc17233334"/>
      <w:bookmarkStart w:id="38" w:name="_Toc24884212"/>
      <w:bookmarkStart w:id="39" w:name="_Toc24884219"/>
      <w:bookmarkStart w:id="40" w:name="_Toc17233326"/>
    </w:p>
    <w:p w14:paraId="6226BAB0">
      <w:pPr>
        <w:pStyle w:val="56"/>
        <w:ind w:firstLine="420"/>
      </w:pPr>
      <w:r>
        <w:rPr>
          <w:rFonts w:hint="eastAsia"/>
        </w:rPr>
        <w:t>本文件规定了人体肌肉干细胞的基本要求、样本采集、样本运输、样本接收、分离与培养、记录、质量控制、质量评价与放行。</w:t>
      </w:r>
    </w:p>
    <w:p w14:paraId="02D4CBEE">
      <w:pPr>
        <w:pStyle w:val="56"/>
        <w:ind w:firstLine="420"/>
      </w:pPr>
      <w:r>
        <w:rPr>
          <w:rFonts w:hint="eastAsia"/>
        </w:rPr>
        <w:t>本文件适用于人体肌肉干细胞的分离制备与质量控制。</w:t>
      </w:r>
    </w:p>
    <w:p w14:paraId="38A022B5">
      <w:pPr>
        <w:pStyle w:val="104"/>
        <w:spacing w:before="240" w:after="240"/>
      </w:pPr>
      <w:bookmarkStart w:id="41" w:name="_Toc26986531"/>
      <w:bookmarkStart w:id="42" w:name="_Toc97192965"/>
      <w:bookmarkStart w:id="43" w:name="_Toc26718931"/>
      <w:bookmarkStart w:id="44" w:name="_Toc26986772"/>
      <w:bookmarkStart w:id="45" w:name="_Toc170228393"/>
      <w:bookmarkStart w:id="46" w:name="_Toc139526980"/>
      <w:bookmarkStart w:id="47" w:name="_Toc139436572"/>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F33301FC7AF409C8DED287A201F8A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2604AE7">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32665E5">
      <w:pPr>
        <w:pStyle w:val="56"/>
        <w:ind w:firstLine="420"/>
      </w:pPr>
      <w:r>
        <w:rPr>
          <w:rFonts w:hint="eastAsia"/>
        </w:rPr>
        <w:t xml:space="preserve">GB 3095 </w:t>
      </w:r>
      <w:r>
        <w:t xml:space="preserve"> </w:t>
      </w:r>
      <w:r>
        <w:rPr>
          <w:rFonts w:hint="eastAsia"/>
        </w:rPr>
        <w:t>环境空气质量标准</w:t>
      </w:r>
    </w:p>
    <w:p w14:paraId="231FE446">
      <w:pPr>
        <w:pStyle w:val="56"/>
        <w:ind w:firstLine="420"/>
      </w:pPr>
      <w:r>
        <w:rPr>
          <w:rFonts w:hint="eastAsia"/>
        </w:rPr>
        <w:t xml:space="preserve">GB 19489 </w:t>
      </w:r>
      <w:r>
        <w:t xml:space="preserve"> </w:t>
      </w:r>
      <w:r>
        <w:rPr>
          <w:rFonts w:hint="eastAsia"/>
        </w:rPr>
        <w:t xml:space="preserve">实验室 </w:t>
      </w:r>
      <w:r>
        <w:t xml:space="preserve"> </w:t>
      </w:r>
      <w:r>
        <w:rPr>
          <w:rFonts w:hint="eastAsia"/>
        </w:rPr>
        <w:t>生物安全通用要求</w:t>
      </w:r>
    </w:p>
    <w:p w14:paraId="1985226E">
      <w:pPr>
        <w:pStyle w:val="56"/>
        <w:ind w:firstLine="420"/>
      </w:pPr>
      <w:r>
        <w:rPr>
          <w:rFonts w:hint="eastAsia"/>
        </w:rPr>
        <w:t>GB/T 37864  生物样本库质量和能力通用要求</w:t>
      </w:r>
    </w:p>
    <w:p w14:paraId="23869700">
      <w:pPr>
        <w:pStyle w:val="56"/>
        <w:ind w:firstLine="420"/>
      </w:pPr>
      <w:r>
        <w:rPr>
          <w:rFonts w:hint="eastAsia"/>
        </w:rPr>
        <w:t xml:space="preserve">GB 50073 </w:t>
      </w:r>
      <w:r>
        <w:t xml:space="preserve"> </w:t>
      </w:r>
      <w:r>
        <w:rPr>
          <w:rFonts w:hint="eastAsia"/>
        </w:rPr>
        <w:t>洁净厂房设计规范</w:t>
      </w:r>
    </w:p>
    <w:p w14:paraId="7D5BA7F3">
      <w:pPr>
        <w:pStyle w:val="56"/>
        <w:ind w:firstLine="420"/>
      </w:pPr>
      <w:r>
        <w:rPr>
          <w:rFonts w:hint="eastAsia"/>
        </w:rPr>
        <w:t>GB 50346</w:t>
      </w:r>
      <w:r>
        <w:t xml:space="preserve">  </w:t>
      </w:r>
      <w:r>
        <w:rPr>
          <w:rFonts w:hint="eastAsia"/>
        </w:rPr>
        <w:t>生物安全实验室建筑技术规范</w:t>
      </w:r>
    </w:p>
    <w:p w14:paraId="40470406">
      <w:pPr>
        <w:pStyle w:val="56"/>
        <w:ind w:firstLine="420"/>
      </w:pPr>
      <w:r>
        <w:rPr>
          <w:rFonts w:hint="eastAsia"/>
        </w:rPr>
        <w:t xml:space="preserve">GB 50591 </w:t>
      </w:r>
      <w:r>
        <w:t xml:space="preserve"> </w:t>
      </w:r>
      <w:r>
        <w:rPr>
          <w:rFonts w:hint="eastAsia"/>
        </w:rPr>
        <w:t>洁净室施工及验收规范</w:t>
      </w:r>
    </w:p>
    <w:p w14:paraId="7F721FA2">
      <w:pPr>
        <w:pStyle w:val="104"/>
        <w:spacing w:before="240" w:after="240"/>
        <w:rPr>
          <w:szCs w:val="21"/>
        </w:rPr>
      </w:pPr>
      <w:bookmarkStart w:id="48" w:name="_Toc97192966"/>
      <w:bookmarkStart w:id="49" w:name="_Toc170228394"/>
      <w:bookmarkStart w:id="50" w:name="_Toc139436573"/>
      <w:bookmarkStart w:id="51" w:name="_Toc139526981"/>
      <w:r>
        <w:rPr>
          <w:rFonts w:hint="eastAsia"/>
          <w:szCs w:val="21"/>
        </w:rPr>
        <w:t>术语和定义</w:t>
      </w:r>
      <w:bookmarkEnd w:id="48"/>
      <w:r>
        <w:rPr>
          <w:rFonts w:hint="eastAsia"/>
          <w:szCs w:val="21"/>
        </w:rPr>
        <w:t>、缩略语</w:t>
      </w:r>
      <w:bookmarkEnd w:id="49"/>
      <w:bookmarkEnd w:id="50"/>
      <w:bookmarkEnd w:id="51"/>
    </w:p>
    <w:p w14:paraId="583498AA">
      <w:pPr>
        <w:pStyle w:val="105"/>
        <w:spacing w:before="120" w:after="120"/>
      </w:pPr>
      <w:r>
        <w:rPr>
          <w:rFonts w:hint="eastAsia"/>
        </w:rPr>
        <w:t>术语和定义</w:t>
      </w:r>
    </w:p>
    <w:sdt>
      <w:sdtPr>
        <w:id w:val="-1909835108"/>
        <w:placeholder>
          <w:docPart w:val="99F26CEBBD0C4F5E83493DA76BB6B2B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4D193B0">
          <w:pPr>
            <w:pStyle w:val="56"/>
            <w:ind w:firstLine="420"/>
          </w:pPr>
          <w:bookmarkStart w:id="52" w:name="_Toc26986532"/>
          <w:bookmarkEnd w:id="52"/>
          <w:r>
            <w:t>下列术语和定义适用于本文件。</w:t>
          </w:r>
        </w:p>
      </w:sdtContent>
    </w:sdt>
    <w:p w14:paraId="271BB04A">
      <w:pPr>
        <w:pStyle w:val="165"/>
      </w:pPr>
      <w:bookmarkStart w:id="53" w:name="_Toc31426"/>
    </w:p>
    <w:p w14:paraId="6C46C958">
      <w:pPr>
        <w:pStyle w:val="165"/>
        <w:numPr>
          <w:ilvl w:val="0"/>
          <w:numId w:val="0"/>
        </w:numPr>
        <w:ind w:firstLine="420" w:firstLineChars="200"/>
        <w:rPr>
          <w:rFonts w:ascii="Times New Roman"/>
        </w:rPr>
      </w:pPr>
      <w:r>
        <w:rPr>
          <w:rFonts w:hint="eastAsia" w:ascii="黑体" w:hAnsi="黑体" w:eastAsia="黑体"/>
        </w:rPr>
        <w:t>人体肌肉干细胞</w:t>
      </w:r>
      <w:r>
        <w:rPr>
          <w:rFonts w:hint="eastAsia"/>
        </w:rPr>
        <w:t xml:space="preserve">  </w:t>
      </w:r>
      <w:r>
        <w:rPr>
          <w:rFonts w:ascii="Times New Roman"/>
        </w:rPr>
        <w:t>human muscle-derived stem cells</w:t>
      </w:r>
      <w:bookmarkEnd w:id="53"/>
    </w:p>
    <w:p w14:paraId="72A7133A">
      <w:pPr>
        <w:pStyle w:val="231"/>
      </w:pPr>
      <w:r>
        <w:rPr>
          <w:rFonts w:hint="eastAsia"/>
        </w:rPr>
        <w:t>从人体肌肉组织中分离得到的一种具有多向分化潜能的干细胞。</w:t>
      </w:r>
    </w:p>
    <w:p w14:paraId="0E998565">
      <w:pPr>
        <w:pStyle w:val="165"/>
      </w:pPr>
      <w:bookmarkStart w:id="54" w:name="_Toc132386708"/>
      <w:bookmarkEnd w:id="54"/>
      <w:bookmarkStart w:id="55" w:name="_Toc131497890"/>
      <w:bookmarkEnd w:id="55"/>
      <w:bookmarkStart w:id="56" w:name="_Toc131498676"/>
      <w:bookmarkEnd w:id="56"/>
      <w:bookmarkStart w:id="57" w:name="_Toc7240"/>
    </w:p>
    <w:p w14:paraId="329F27C5">
      <w:pPr>
        <w:pStyle w:val="165"/>
        <w:numPr>
          <w:ilvl w:val="0"/>
          <w:numId w:val="0"/>
        </w:numPr>
        <w:ind w:firstLine="420" w:firstLineChars="200"/>
        <w:rPr>
          <w:rFonts w:ascii="Times New Roman"/>
        </w:rPr>
      </w:pPr>
      <w:r>
        <w:rPr>
          <w:rFonts w:hint="eastAsia" w:ascii="黑体" w:hAnsi="黑体" w:eastAsia="黑体"/>
        </w:rPr>
        <w:t>供者</w:t>
      </w:r>
      <w:r>
        <w:rPr>
          <w:rFonts w:hint="eastAsia"/>
        </w:rPr>
        <w:t xml:space="preserve"> </w:t>
      </w:r>
      <w:r>
        <w:t xml:space="preserve"> </w:t>
      </w:r>
      <w:r>
        <w:rPr>
          <w:rFonts w:ascii="Times New Roman"/>
        </w:rPr>
        <w:t>donor</w:t>
      </w:r>
    </w:p>
    <w:p w14:paraId="1EC56D43">
      <w:pPr>
        <w:pStyle w:val="231"/>
      </w:pPr>
      <w:r>
        <w:rPr>
          <w:rFonts w:hint="eastAsia"/>
        </w:rPr>
        <w:t>提供用于细胞产品生产用细胞的个体，可以是健康人，也可以是患者。</w:t>
      </w:r>
    </w:p>
    <w:p w14:paraId="16FD5BC4">
      <w:pPr>
        <w:pStyle w:val="165"/>
      </w:pPr>
    </w:p>
    <w:p w14:paraId="10B61911">
      <w:pPr>
        <w:pStyle w:val="165"/>
        <w:numPr>
          <w:ilvl w:val="0"/>
          <w:numId w:val="0"/>
        </w:numPr>
        <w:ind w:firstLine="420" w:firstLineChars="200"/>
        <w:rPr>
          <w:rFonts w:ascii="Times New Roman"/>
        </w:rPr>
      </w:pPr>
      <w:r>
        <w:rPr>
          <w:rFonts w:hint="eastAsia" w:ascii="黑体" w:hAnsi="黑体" w:eastAsia="黑体"/>
        </w:rPr>
        <w:t>样本</w:t>
      </w:r>
      <w:r>
        <w:rPr>
          <w:rFonts w:hint="eastAsia"/>
        </w:rPr>
        <w:t xml:space="preserve"> </w:t>
      </w:r>
      <w:r>
        <w:t xml:space="preserve"> </w:t>
      </w:r>
      <w:r>
        <w:rPr>
          <w:rFonts w:ascii="Times New Roman"/>
        </w:rPr>
        <w:t>specimen</w:t>
      </w:r>
    </w:p>
    <w:p w14:paraId="6F121051">
      <w:pPr>
        <w:pStyle w:val="231"/>
        <w:rPr>
          <w:rFonts w:hint="eastAsia"/>
        </w:rPr>
      </w:pPr>
      <w:r>
        <w:rPr>
          <w:rFonts w:hint="eastAsia"/>
        </w:rPr>
        <w:t>在特定时间从受试者或捐献者中采集的器官、组织等标本。</w:t>
      </w:r>
    </w:p>
    <w:p w14:paraId="2308DCDA">
      <w:pPr>
        <w:pStyle w:val="165"/>
      </w:pPr>
    </w:p>
    <w:p w14:paraId="260D608D">
      <w:pPr>
        <w:pStyle w:val="165"/>
        <w:numPr>
          <w:ilvl w:val="0"/>
          <w:numId w:val="0"/>
        </w:numPr>
        <w:ind w:firstLine="420" w:firstLineChars="200"/>
        <w:rPr>
          <w:rFonts w:ascii="Times New Roman"/>
        </w:rPr>
      </w:pPr>
      <w:r>
        <w:rPr>
          <w:rFonts w:hint="eastAsia" w:ascii="黑体" w:hAnsi="黑体" w:eastAsia="黑体"/>
        </w:rPr>
        <w:t>质量控制</w:t>
      </w:r>
      <w:r>
        <w:rPr>
          <w:rFonts w:hint="eastAsia"/>
        </w:rPr>
        <w:t xml:space="preserve"> </w:t>
      </w:r>
      <w:r>
        <w:t xml:space="preserve"> </w:t>
      </w:r>
      <w:r>
        <w:rPr>
          <w:rFonts w:ascii="Times New Roman"/>
        </w:rPr>
        <w:t>quality control</w:t>
      </w:r>
    </w:p>
    <w:p w14:paraId="6A3DD464">
      <w:pPr>
        <w:pStyle w:val="231"/>
      </w:pPr>
      <w:r>
        <w:rPr>
          <w:rFonts w:hint="eastAsia"/>
        </w:rPr>
        <w:t>为达到临床级人源干细胞入库质量要求所采取的操作技术和管理程序。</w:t>
      </w:r>
    </w:p>
    <w:p w14:paraId="6109F1FE">
      <w:pPr>
        <w:pStyle w:val="165"/>
      </w:pPr>
    </w:p>
    <w:p w14:paraId="55958C2B">
      <w:pPr>
        <w:pStyle w:val="165"/>
        <w:numPr>
          <w:ilvl w:val="0"/>
          <w:numId w:val="0"/>
        </w:numPr>
        <w:ind w:firstLine="420" w:firstLineChars="200"/>
        <w:rPr>
          <w:rFonts w:ascii="Times New Roman"/>
        </w:rPr>
      </w:pPr>
      <w:r>
        <w:rPr>
          <w:rFonts w:hint="eastAsia" w:ascii="黑体" w:hAnsi="黑体" w:eastAsia="黑体"/>
        </w:rPr>
        <w:t xml:space="preserve">细胞活率 </w:t>
      </w:r>
      <w:r>
        <w:rPr>
          <w:rFonts w:ascii="黑体" w:hAnsi="黑体" w:eastAsia="黑体"/>
        </w:rPr>
        <w:t xml:space="preserve"> </w:t>
      </w:r>
      <w:r>
        <w:rPr>
          <w:rFonts w:ascii="Times New Roman"/>
        </w:rPr>
        <w:t>cell viability</w:t>
      </w:r>
      <w:bookmarkEnd w:id="57"/>
    </w:p>
    <w:p w14:paraId="652F20DD">
      <w:pPr>
        <w:pStyle w:val="231"/>
      </w:pPr>
      <w:r>
        <w:rPr>
          <w:rFonts w:hint="eastAsia"/>
        </w:rPr>
        <w:t>能够增值、保持正常代谢活性的细胞占全部细胞的百分比。</w:t>
      </w:r>
    </w:p>
    <w:p w14:paraId="5C0CB6EB">
      <w:pPr>
        <w:pStyle w:val="165"/>
      </w:pPr>
      <w:bookmarkStart w:id="58" w:name="_Toc131497891"/>
      <w:bookmarkEnd w:id="58"/>
      <w:bookmarkStart w:id="59" w:name="_Toc132386709"/>
      <w:bookmarkEnd w:id="59"/>
      <w:bookmarkStart w:id="60" w:name="_Toc131498677"/>
      <w:bookmarkEnd w:id="60"/>
      <w:bookmarkStart w:id="61" w:name="_Toc19561"/>
    </w:p>
    <w:p w14:paraId="6ED24024">
      <w:pPr>
        <w:pStyle w:val="165"/>
        <w:numPr>
          <w:ilvl w:val="0"/>
          <w:numId w:val="0"/>
        </w:numPr>
        <w:ind w:firstLine="420" w:firstLineChars="200"/>
        <w:rPr>
          <w:rFonts w:ascii="Times New Roman"/>
        </w:rPr>
      </w:pPr>
      <w:r>
        <w:rPr>
          <w:rFonts w:hint="eastAsia" w:ascii="黑体" w:hAnsi="黑体" w:eastAsia="黑体"/>
        </w:rPr>
        <w:t>台盼蓝</w:t>
      </w:r>
      <w:r>
        <w:rPr>
          <w:rFonts w:hint="eastAsia"/>
        </w:rPr>
        <w:t xml:space="preserve"> </w:t>
      </w:r>
      <w:r>
        <w:rPr>
          <w:rFonts w:ascii="Times New Roman"/>
        </w:rPr>
        <w:t xml:space="preserve"> trypan blue</w:t>
      </w:r>
      <w:bookmarkEnd w:id="61"/>
    </w:p>
    <w:p w14:paraId="12F39F11">
      <w:pPr>
        <w:pStyle w:val="162"/>
        <w:numPr>
          <w:ilvl w:val="2"/>
          <w:numId w:val="0"/>
        </w:numPr>
        <w:ind w:firstLine="420" w:firstLineChars="200"/>
        <w:rPr>
          <w:rFonts w:ascii="Times New Roman"/>
        </w:rPr>
      </w:pPr>
      <w:r>
        <w:rPr>
          <w:rFonts w:hint="eastAsia" w:ascii="Times New Roman"/>
        </w:rPr>
        <w:t>细胞活性染料，常用于检测细胞膜的完整性，检测细胞是否存活。</w:t>
      </w:r>
    </w:p>
    <w:p w14:paraId="079862DB">
      <w:pPr>
        <w:pStyle w:val="179"/>
      </w:pPr>
      <w:r>
        <w:rPr>
          <w:rFonts w:hint="eastAsia"/>
        </w:rPr>
        <w:t>活细胞因细胞膜结构完整会排斥台盼蓝，而丧失活性或者细胞膜结构不完整的细胞则会被台盼蓝染成淡蓝色。</w:t>
      </w:r>
      <w:bookmarkStart w:id="62" w:name="_Toc3629"/>
      <w:bookmarkEnd w:id="62"/>
    </w:p>
    <w:p w14:paraId="34A9B53A">
      <w:pPr>
        <w:pStyle w:val="165"/>
      </w:pPr>
    </w:p>
    <w:p w14:paraId="6D9A514D">
      <w:pPr>
        <w:pStyle w:val="165"/>
        <w:numPr>
          <w:ilvl w:val="0"/>
          <w:numId w:val="0"/>
        </w:numPr>
        <w:ind w:firstLine="420" w:firstLineChars="200"/>
        <w:rPr>
          <w:rFonts w:ascii="Times New Roman"/>
        </w:rPr>
      </w:pPr>
      <w:r>
        <w:rPr>
          <w:rFonts w:hint="eastAsia" w:ascii="黑体" w:hAnsi="黑体" w:eastAsia="黑体"/>
        </w:rPr>
        <w:t>放行检验</w:t>
      </w:r>
      <w:r>
        <w:rPr>
          <w:rFonts w:hint="eastAsia"/>
        </w:rPr>
        <w:t xml:space="preserve"> </w:t>
      </w:r>
      <w:r>
        <w:t xml:space="preserve"> </w:t>
      </w:r>
      <w:r>
        <w:rPr>
          <w:rFonts w:ascii="Times New Roman"/>
        </w:rPr>
        <w:t>release testing</w:t>
      </w:r>
    </w:p>
    <w:p w14:paraId="542DF201">
      <w:pPr>
        <w:pStyle w:val="231"/>
      </w:pPr>
      <w:r>
        <w:rPr>
          <w:rFonts w:hint="eastAsia"/>
        </w:rPr>
        <w:t>在干细胞已完成质量检验的基础上，对每种类型的每批次干细胞，在冻存入库及出库前所进行的相对快速和简化的检验。</w:t>
      </w:r>
    </w:p>
    <w:p w14:paraId="01A9F419">
      <w:pPr>
        <w:pStyle w:val="105"/>
        <w:spacing w:before="120" w:after="120"/>
      </w:pPr>
      <w:r>
        <w:rPr>
          <w:rFonts w:hint="eastAsia"/>
        </w:rPr>
        <w:t>缩略语</w:t>
      </w:r>
    </w:p>
    <w:p w14:paraId="70060D7D">
      <w:pPr>
        <w:pStyle w:val="56"/>
        <w:ind w:firstLine="420"/>
      </w:pPr>
      <w:r>
        <w:rPr>
          <w:rFonts w:hint="eastAsia"/>
        </w:rPr>
        <w:t>下列缩略语适用于本文件。</w:t>
      </w:r>
    </w:p>
    <w:p w14:paraId="33406D46">
      <w:pPr>
        <w:pStyle w:val="56"/>
        <w:ind w:firstLine="420"/>
      </w:pPr>
      <w:r>
        <w:rPr>
          <w:rFonts w:hint="eastAsia"/>
        </w:rPr>
        <w:t>HAV：甲型肝炎病毒（</w:t>
      </w:r>
      <w:r>
        <w:t>Hepatitis A Virus</w:t>
      </w:r>
      <w:r>
        <w:rPr>
          <w:rFonts w:hint="eastAsia"/>
        </w:rPr>
        <w:t>）</w:t>
      </w:r>
    </w:p>
    <w:p w14:paraId="49ACD4FF">
      <w:pPr>
        <w:pStyle w:val="56"/>
        <w:ind w:firstLine="420"/>
      </w:pPr>
      <w:r>
        <w:rPr>
          <w:rFonts w:hint="eastAsia"/>
        </w:rPr>
        <w:t>HBV：乙型肝炎病毒（Hepatitis B Virus）</w:t>
      </w:r>
    </w:p>
    <w:p w14:paraId="067407D1">
      <w:pPr>
        <w:pStyle w:val="56"/>
        <w:ind w:firstLine="420"/>
      </w:pPr>
      <w:r>
        <w:rPr>
          <w:rFonts w:hint="eastAsia"/>
        </w:rPr>
        <w:t>HCV：丙型肝炎病毒（Hepatitis C Virus）</w:t>
      </w:r>
    </w:p>
    <w:p w14:paraId="2C5C93DA">
      <w:pPr>
        <w:pStyle w:val="56"/>
        <w:ind w:firstLine="420"/>
      </w:pPr>
      <w:r>
        <w:rPr>
          <w:rFonts w:hint="eastAsia"/>
        </w:rPr>
        <w:t>HIV：人类免疫缺陷病毒（Human Immunodeficiency Virus）</w:t>
      </w:r>
    </w:p>
    <w:p w14:paraId="76A0CB23">
      <w:pPr>
        <w:pStyle w:val="56"/>
        <w:ind w:firstLine="420"/>
      </w:pPr>
      <w:r>
        <w:rPr>
          <w:rFonts w:hint="eastAsia"/>
        </w:rPr>
        <w:t>HTLV：人类嗜T细胞病毒(Human Thymic Leukemia Virus)</w:t>
      </w:r>
    </w:p>
    <w:p w14:paraId="119DFFB8">
      <w:pPr>
        <w:pStyle w:val="56"/>
        <w:ind w:firstLine="420"/>
      </w:pPr>
      <w:r>
        <w:rPr>
          <w:rFonts w:hint="eastAsia"/>
        </w:rPr>
        <w:t>EBV：人类疱疹病毒（</w:t>
      </w:r>
      <w:r>
        <w:t>E</w:t>
      </w:r>
      <w:r>
        <w:rPr>
          <w:rFonts w:hint="eastAsia"/>
        </w:rPr>
        <w:t xml:space="preserve">pstein-barr </w:t>
      </w:r>
      <w:r>
        <w:t>V</w:t>
      </w:r>
      <w:r>
        <w:rPr>
          <w:rFonts w:hint="eastAsia"/>
        </w:rPr>
        <w:t>irus）</w:t>
      </w:r>
    </w:p>
    <w:p w14:paraId="2F4936A2">
      <w:pPr>
        <w:pStyle w:val="56"/>
        <w:ind w:firstLine="420"/>
      </w:pPr>
      <w:r>
        <w:rPr>
          <w:rFonts w:hint="eastAsia"/>
        </w:rPr>
        <w:t>CMV：巨细胞病毒（cytomegalo virus）</w:t>
      </w:r>
    </w:p>
    <w:p w14:paraId="26C1B819">
      <w:pPr>
        <w:pStyle w:val="104"/>
        <w:spacing w:before="240" w:after="240"/>
      </w:pPr>
      <w:bookmarkStart w:id="63" w:name="_Toc139436574"/>
      <w:bookmarkStart w:id="64" w:name="_Toc170228395"/>
      <w:bookmarkStart w:id="65" w:name="_Toc139526982"/>
      <w:r>
        <w:rPr>
          <w:rFonts w:hint="eastAsia"/>
        </w:rPr>
        <w:t>基本要求</w:t>
      </w:r>
      <w:bookmarkEnd w:id="63"/>
      <w:bookmarkEnd w:id="64"/>
      <w:bookmarkEnd w:id="65"/>
    </w:p>
    <w:p w14:paraId="70C0695A">
      <w:pPr>
        <w:pStyle w:val="105"/>
        <w:spacing w:before="120" w:after="120"/>
      </w:pPr>
      <w:bookmarkStart w:id="66" w:name="_Toc22158"/>
      <w:r>
        <w:rPr>
          <w:rFonts w:hint="eastAsia"/>
        </w:rPr>
        <w:t>场地与设施</w:t>
      </w:r>
      <w:bookmarkEnd w:id="66"/>
    </w:p>
    <w:p w14:paraId="04116F81">
      <w:pPr>
        <w:pStyle w:val="56"/>
        <w:ind w:firstLine="420"/>
        <w:rPr>
          <w:rFonts w:hint="eastAsia"/>
        </w:rPr>
      </w:pPr>
      <w:r>
        <w:rPr>
          <w:rFonts w:hint="eastAsia"/>
        </w:rPr>
        <w:t>人体肌肉干细胞制备机构的场地和设施应满足以下要求：</w:t>
      </w:r>
    </w:p>
    <w:p w14:paraId="20968C78">
      <w:pPr>
        <w:pStyle w:val="174"/>
      </w:pPr>
      <w:r>
        <w:t>选址应符合</w:t>
      </w:r>
      <w:r>
        <w:rPr>
          <w:rFonts w:hint="eastAsia"/>
        </w:rPr>
        <w:t>《药品生产质量管理规范》的</w:t>
      </w:r>
      <w:r>
        <w:t>要求，空气质量标准应符合GB 3095标准分级二级标准</w:t>
      </w:r>
      <w:r>
        <w:rPr>
          <w:rFonts w:hint="eastAsia"/>
        </w:rPr>
        <w:t>；</w:t>
      </w:r>
    </w:p>
    <w:p w14:paraId="4A97AB4A">
      <w:pPr>
        <w:pStyle w:val="174"/>
      </w:pPr>
      <w:r>
        <w:t>实验室或厂房应由具有洁净实验室设计建设资质的工程公司设计与建造，并应符合GB 19489、GB 50073、GB 50346</w:t>
      </w:r>
      <w:r>
        <w:rPr>
          <w:rFonts w:hint="eastAsia"/>
        </w:rPr>
        <w:t>和</w:t>
      </w:r>
      <w:r>
        <w:t>GB 50591</w:t>
      </w:r>
      <w:r>
        <w:rPr>
          <w:rFonts w:hint="eastAsia"/>
        </w:rPr>
        <w:t>的</w:t>
      </w:r>
      <w:r>
        <w:t>规定。建设完成后，各功能区域的洁净级别应由专业机构进行检测并出具合格证明</w:t>
      </w:r>
      <w:r>
        <w:rPr>
          <w:rFonts w:hint="eastAsia"/>
        </w:rPr>
        <w:t>；</w:t>
      </w:r>
    </w:p>
    <w:p w14:paraId="0F47F835">
      <w:pPr>
        <w:pStyle w:val="174"/>
      </w:pPr>
      <w:r>
        <w:rPr>
          <w:rFonts w:hint="eastAsia"/>
        </w:rPr>
        <w:t>各</w:t>
      </w:r>
      <w:r>
        <w:t>功能区应按</w:t>
      </w:r>
      <w:r>
        <w:rPr>
          <w:rFonts w:hint="eastAsia"/>
        </w:rPr>
        <w:t>肌肉干细胞</w:t>
      </w:r>
      <w:r>
        <w:t>制备工艺进行各区域设计</w:t>
      </w:r>
      <w:r>
        <w:rPr>
          <w:rFonts w:hint="eastAsia"/>
        </w:rPr>
        <w:t>，</w:t>
      </w:r>
      <w:r>
        <w:t>符合</w:t>
      </w:r>
      <w:r>
        <w:rPr>
          <w:rFonts w:hint="eastAsia"/>
        </w:rPr>
        <w:t>《药品生产质量管理规范》</w:t>
      </w:r>
      <w:r>
        <w:t>和《干细胞制剂质量控制及临床前研究指导原则》</w:t>
      </w:r>
      <w:r>
        <w:rPr>
          <w:rFonts w:hint="eastAsia"/>
        </w:rPr>
        <w:t>的</w:t>
      </w:r>
      <w:r>
        <w:t>要求。</w:t>
      </w:r>
    </w:p>
    <w:p w14:paraId="37930B9A">
      <w:pPr>
        <w:pStyle w:val="174"/>
      </w:pPr>
      <w:r>
        <w:t>应配备独立质量检测实验室，并符合GB 19489和GB 50346</w:t>
      </w:r>
      <w:r>
        <w:rPr>
          <w:rFonts w:hint="eastAsia"/>
        </w:rPr>
        <w:t>的</w:t>
      </w:r>
      <w:r>
        <w:t>规定。</w:t>
      </w:r>
    </w:p>
    <w:p w14:paraId="1F30E4FE">
      <w:pPr>
        <w:pStyle w:val="105"/>
        <w:spacing w:before="120" w:after="120"/>
      </w:pPr>
      <w:r>
        <w:rPr>
          <w:rFonts w:hint="eastAsia"/>
        </w:rPr>
        <w:t>设备和耗材</w:t>
      </w:r>
    </w:p>
    <w:p w14:paraId="769D94E4">
      <w:pPr>
        <w:pStyle w:val="56"/>
        <w:ind w:firstLine="420"/>
        <w:rPr>
          <w:rFonts w:hint="eastAsia"/>
        </w:rPr>
      </w:pPr>
      <w:r>
        <w:rPr>
          <w:rFonts w:hint="eastAsia"/>
        </w:rPr>
        <w:t>人体肌肉干细胞制备机构的设备和耗材应满足以下要求：</w:t>
      </w:r>
    </w:p>
    <w:p w14:paraId="31CDBA24">
      <w:pPr>
        <w:pStyle w:val="174"/>
        <w:numPr>
          <w:ilvl w:val="0"/>
          <w:numId w:val="32"/>
        </w:numPr>
      </w:pPr>
      <w:r>
        <w:t>应优先选用符合</w:t>
      </w:r>
      <w:r>
        <w:rPr>
          <w:rFonts w:hint="eastAsia"/>
        </w:rPr>
        <w:t>《药品生产质量管理规范》</w:t>
      </w:r>
      <w:r>
        <w:t>和《干细胞制剂质量控制及临床前研究指导原则》要求，获得国家资质认证的设备、仪器、耗材和试剂</w:t>
      </w:r>
      <w:r>
        <w:rPr>
          <w:rFonts w:hint="eastAsia"/>
        </w:rPr>
        <w:t>；</w:t>
      </w:r>
    </w:p>
    <w:p w14:paraId="3C6AD710">
      <w:pPr>
        <w:pStyle w:val="174"/>
      </w:pPr>
      <w:r>
        <w:t>应对设备、仪器、耗材和试剂供应商进行资质审核认证，要求供应商提供产品质量报告和批次检验报告，并对耗材及试剂进行质量抽检，避免采购质量不合格的产品</w:t>
      </w:r>
      <w:r>
        <w:rPr>
          <w:rFonts w:hint="eastAsia"/>
        </w:rPr>
        <w:t>；</w:t>
      </w:r>
    </w:p>
    <w:p w14:paraId="69C94E70">
      <w:pPr>
        <w:pStyle w:val="174"/>
      </w:pPr>
      <w:r>
        <w:t>设备和仪器正式使用前应做安装确认(IQ)、运行确认</w:t>
      </w:r>
      <w:r>
        <w:rPr>
          <w:rFonts w:hint="eastAsia"/>
        </w:rPr>
        <w:t>（O</w:t>
      </w:r>
      <w:r>
        <w:t>Q</w:t>
      </w:r>
      <w:r>
        <w:rPr>
          <w:rFonts w:hint="eastAsia"/>
        </w:rPr>
        <w:t>）</w:t>
      </w:r>
      <w:r>
        <w:t>和性能确认(PQ)，并定期进行第三方校准，不得使用有安全隐患的仪器操作样本及细胞制品</w:t>
      </w:r>
      <w:r>
        <w:rPr>
          <w:rFonts w:hint="eastAsia"/>
        </w:rPr>
        <w:t>；</w:t>
      </w:r>
    </w:p>
    <w:p w14:paraId="6AD2FF6B">
      <w:pPr>
        <w:pStyle w:val="174"/>
      </w:pPr>
      <w:r>
        <w:t>应对设备与仪器进行编号建档</w:t>
      </w:r>
      <w:r>
        <w:rPr>
          <w:rFonts w:hint="eastAsia"/>
        </w:rPr>
        <w:t>，</w:t>
      </w:r>
      <w:r>
        <w:t>并建立标准操作流程(SOP)</w:t>
      </w:r>
      <w:r>
        <w:rPr>
          <w:rFonts w:hint="eastAsia"/>
        </w:rPr>
        <w:t>，</w:t>
      </w:r>
      <w:r>
        <w:t>确保使用、运行、保养、维修记录完整可追溯，对于关键工艺相关设备参数应进行实时监测，及时对状态异常的设备进行校对和维修。</w:t>
      </w:r>
    </w:p>
    <w:p w14:paraId="3B9D98D1">
      <w:pPr>
        <w:pStyle w:val="105"/>
        <w:spacing w:before="120" w:after="120"/>
      </w:pPr>
      <w:bookmarkStart w:id="67" w:name="_Toc25342"/>
      <w:r>
        <w:rPr>
          <w:rFonts w:hint="eastAsia"/>
        </w:rPr>
        <w:t>人员管理</w:t>
      </w:r>
      <w:bookmarkEnd w:id="67"/>
    </w:p>
    <w:p w14:paraId="4E7AFAB3">
      <w:pPr>
        <w:pStyle w:val="56"/>
        <w:ind w:firstLine="420"/>
        <w:rPr>
          <w:rFonts w:hint="eastAsia"/>
        </w:rPr>
      </w:pPr>
      <w:r>
        <w:rPr>
          <w:rFonts w:hint="eastAsia"/>
        </w:rPr>
        <w:t>人体肌肉干细胞制备机构人员管理应满足以下要求：</w:t>
      </w:r>
    </w:p>
    <w:p w14:paraId="27FC67F6">
      <w:pPr>
        <w:pStyle w:val="174"/>
        <w:numPr>
          <w:ilvl w:val="0"/>
          <w:numId w:val="33"/>
        </w:numPr>
      </w:pPr>
      <w:r>
        <w:t>应分别设立干细胞制备负责人、质量管理负责人和质量授权人岗位。由法人授权任命，任职资质应符合</w:t>
      </w:r>
      <w:r>
        <w:rPr>
          <w:rFonts w:hint="eastAsia"/>
        </w:rPr>
        <w:t>《药品生产质量管理规范》</w:t>
      </w:r>
      <w:r>
        <w:t>和《干细胞制剂质量控制及临床前研究指导原则》要求，定期接受岗位专业培训，制备负责人与质量管理负责人、质量授权人不得相互兼任</w:t>
      </w:r>
      <w:r>
        <w:rPr>
          <w:rFonts w:hint="eastAsia"/>
        </w:rPr>
        <w:t>；</w:t>
      </w:r>
    </w:p>
    <w:p w14:paraId="192D20A3">
      <w:pPr>
        <w:pStyle w:val="174"/>
      </w:pPr>
      <w:r>
        <w:t>干细胞制备</w:t>
      </w:r>
      <w:r>
        <w:rPr>
          <w:rFonts w:hint="eastAsia"/>
        </w:rPr>
        <w:t>和质量技术人员</w:t>
      </w:r>
      <w:r>
        <w:t>应具备的健康要求</w:t>
      </w:r>
      <w:r>
        <w:rPr>
          <w:rFonts w:hint="eastAsia"/>
        </w:rPr>
        <w:t>：</w:t>
      </w:r>
      <w:r>
        <w:t>HAV、</w:t>
      </w:r>
      <w:r>
        <w:rPr>
          <w:rFonts w:hint="eastAsia"/>
        </w:rPr>
        <w:t>HBV、</w:t>
      </w:r>
      <w:r>
        <w:t>HCV、HI</w:t>
      </w:r>
      <w:r>
        <w:rPr>
          <w:rFonts w:hint="eastAsia"/>
        </w:rPr>
        <w:t>V</w:t>
      </w:r>
      <w:r>
        <w:t>及梅毒的抗体检测应为阴性，并且(矫正)视力正常，无色盲、色弱</w:t>
      </w:r>
      <w:r>
        <w:rPr>
          <w:rFonts w:hint="eastAsia"/>
        </w:rPr>
        <w:t>；</w:t>
      </w:r>
    </w:p>
    <w:p w14:paraId="7349BFA4">
      <w:pPr>
        <w:pStyle w:val="174"/>
      </w:pPr>
      <w:r>
        <w:rPr>
          <w:rFonts w:hint="eastAsia"/>
        </w:rPr>
        <w:t>干细胞制备和质量技术人员应</w:t>
      </w:r>
      <w:r>
        <w:t>半年接受体检一次，有呼吸道感染或</w:t>
      </w:r>
      <w:r>
        <w:rPr>
          <w:rFonts w:hint="eastAsia"/>
        </w:rPr>
        <w:t>发热</w:t>
      </w:r>
      <w:r>
        <w:t>等疾病状态下不得进入洁净操作区，需完全康复后方可恢复岗位操作</w:t>
      </w:r>
      <w:r>
        <w:rPr>
          <w:rFonts w:hint="eastAsia"/>
        </w:rPr>
        <w:t>；</w:t>
      </w:r>
    </w:p>
    <w:p w14:paraId="6F49D9C8">
      <w:pPr>
        <w:pStyle w:val="174"/>
      </w:pPr>
      <w:r>
        <w:rPr>
          <w:rFonts w:hint="eastAsia"/>
        </w:rPr>
        <w:t>干细胞制备和质量技术人员</w:t>
      </w:r>
      <w:r>
        <w:t>上岗前应经过专业培训，内容包括但不限于干细胞理论与实践、生命伦理、干细胞法律法规、GMP管理、GCP资质、制剂基本知识、细胞培养基础、生物安全、仪器设备使用与维护方法、物料管理与清洁卫生、岗位职责、操作规范等内容。</w:t>
      </w:r>
    </w:p>
    <w:p w14:paraId="7F34BA60">
      <w:pPr>
        <w:pStyle w:val="104"/>
        <w:spacing w:before="240" w:after="240"/>
      </w:pPr>
      <w:bookmarkStart w:id="68" w:name="_Toc139436575"/>
      <w:bookmarkStart w:id="69" w:name="_Toc4306"/>
      <w:bookmarkStart w:id="70" w:name="_Toc11952"/>
      <w:bookmarkStart w:id="71" w:name="_Toc170228396"/>
      <w:bookmarkStart w:id="72" w:name="_Toc139526983"/>
      <w:r>
        <w:rPr>
          <w:rFonts w:hint="eastAsia"/>
        </w:rPr>
        <w:t>样本采集</w:t>
      </w:r>
      <w:bookmarkEnd w:id="68"/>
      <w:bookmarkEnd w:id="69"/>
      <w:bookmarkEnd w:id="70"/>
      <w:bookmarkEnd w:id="71"/>
      <w:bookmarkEnd w:id="72"/>
    </w:p>
    <w:p w14:paraId="3292888B">
      <w:pPr>
        <w:pStyle w:val="105"/>
        <w:spacing w:before="120" w:after="120"/>
      </w:pPr>
      <w:bookmarkStart w:id="73" w:name="_Toc15648"/>
      <w:r>
        <w:rPr>
          <w:rFonts w:hint="eastAsia"/>
        </w:rPr>
        <w:t>一般要求</w:t>
      </w:r>
    </w:p>
    <w:p w14:paraId="518A93D2">
      <w:pPr>
        <w:pStyle w:val="165"/>
      </w:pPr>
      <w:r>
        <w:rPr>
          <w:rFonts w:hint="eastAsia"/>
        </w:rPr>
        <w:t>人体肌肉</w:t>
      </w:r>
      <w:r>
        <w:t>样本采集与处理应符合GB/T 37864的要求。采集和处理程序可供样本采集人员使用。</w:t>
      </w:r>
    </w:p>
    <w:p w14:paraId="4C55AF2A">
      <w:pPr>
        <w:pStyle w:val="165"/>
      </w:pPr>
      <w:r>
        <w:rPr>
          <w:rFonts w:hint="eastAsia"/>
        </w:rPr>
        <w:t>人体肌肉样本采集方</w:t>
      </w:r>
      <w:r>
        <w:t>应具备相关的资质和设施环境。</w:t>
      </w:r>
    </w:p>
    <w:p w14:paraId="08DA4154">
      <w:pPr>
        <w:pStyle w:val="165"/>
      </w:pPr>
      <w:r>
        <w:rPr>
          <w:rFonts w:hint="eastAsia"/>
        </w:rPr>
        <w:t>人体肌肉样本采集</w:t>
      </w:r>
      <w:r>
        <w:t>应通过伦理审查批准并履行知情同意程序</w:t>
      </w:r>
      <w:r>
        <w:rPr>
          <w:rFonts w:hint="eastAsia"/>
        </w:rPr>
        <w:t>，</w:t>
      </w:r>
      <w:r>
        <w:t>应建立适当的质量管理体系确保符合用户需求并持续改进。</w:t>
      </w:r>
    </w:p>
    <w:p w14:paraId="3808F647">
      <w:pPr>
        <w:pStyle w:val="105"/>
        <w:spacing w:before="120" w:after="120"/>
      </w:pPr>
      <w:bookmarkStart w:id="74" w:name="_Toc6730"/>
      <w:r>
        <w:rPr>
          <w:rFonts w:hint="eastAsia"/>
        </w:rPr>
        <w:t>供者健康</w:t>
      </w:r>
      <w:bookmarkEnd w:id="74"/>
    </w:p>
    <w:p w14:paraId="4ADCD590">
      <w:pPr>
        <w:pStyle w:val="165"/>
      </w:pPr>
      <w:r>
        <w:rPr>
          <w:rFonts w:hint="eastAsia"/>
        </w:rPr>
        <w:t>人体肌肉样本采集方应对供者的基本信息与健康信息进行详细采集与记录，同时做好对供者的隐私保护，相关记录入档保留至少30年。</w:t>
      </w:r>
    </w:p>
    <w:p w14:paraId="14F9D200">
      <w:pPr>
        <w:pStyle w:val="165"/>
      </w:pPr>
      <w:r>
        <w:rPr>
          <w:rFonts w:hint="eastAsia"/>
        </w:rPr>
        <w:t>供者应无血液系统疾病、内分泌系统疾病、恶性肿瘤史、性传播疾病及高危人群史、吸毒史，不应具有包括但不限于以下疾病或健康状况：</w:t>
      </w:r>
    </w:p>
    <w:p w14:paraId="4EFA17ED">
      <w:pPr>
        <w:pStyle w:val="174"/>
        <w:numPr>
          <w:ilvl w:val="0"/>
          <w:numId w:val="34"/>
        </w:numPr>
      </w:pPr>
      <w:r>
        <w:rPr>
          <w:rFonts w:hint="eastAsia"/>
        </w:rPr>
        <w:t>一般传染性疾病或其他遗传疾病：</w:t>
      </w:r>
      <w:r>
        <w:t>HIV、HBV、HCV</w:t>
      </w:r>
      <w:r>
        <w:rPr>
          <w:rFonts w:hint="eastAsia"/>
        </w:rPr>
        <w:t>、梅毒</w:t>
      </w:r>
      <w:r>
        <w:t>、HTLV</w:t>
      </w:r>
      <w:r>
        <w:rPr>
          <w:rFonts w:hint="eastAsia"/>
        </w:rPr>
        <w:t>、</w:t>
      </w:r>
      <w:r>
        <w:t>EBV与CMV</w:t>
      </w:r>
      <w:r>
        <w:rPr>
          <w:rFonts w:hint="eastAsia"/>
        </w:rPr>
        <w:t>抗体</w:t>
      </w:r>
      <w:r>
        <w:t>与核酸检测应为阴性</w:t>
      </w:r>
      <w:r>
        <w:rPr>
          <w:rFonts w:hint="eastAsia"/>
        </w:rPr>
        <w:t>；</w:t>
      </w:r>
    </w:p>
    <w:p w14:paraId="6B74B556">
      <w:pPr>
        <w:pStyle w:val="174"/>
      </w:pPr>
      <w:r>
        <w:rPr>
          <w:rFonts w:hint="eastAsia"/>
        </w:rPr>
        <w:t>传染性皮肤病(未治愈的)；</w:t>
      </w:r>
    </w:p>
    <w:p w14:paraId="775DA710">
      <w:pPr>
        <w:pStyle w:val="174"/>
      </w:pPr>
      <w:r>
        <w:rPr>
          <w:rFonts w:hint="eastAsia"/>
        </w:rPr>
        <w:t>大面积皮肤损伤(未治愈的)；</w:t>
      </w:r>
    </w:p>
    <w:p w14:paraId="5EDF16B5">
      <w:pPr>
        <w:pStyle w:val="174"/>
      </w:pPr>
      <w:r>
        <w:rPr>
          <w:rFonts w:hint="eastAsia"/>
        </w:rPr>
        <w:t>鼻/咽喉传染病(未治愈的)。</w:t>
      </w:r>
    </w:p>
    <w:p w14:paraId="2F770E5F">
      <w:pPr>
        <w:pStyle w:val="174"/>
      </w:pPr>
      <w:r>
        <w:rPr>
          <w:rFonts w:hint="eastAsia"/>
        </w:rPr>
        <w:t>采集前12个小时内用过酒精，镇静药等。</w:t>
      </w:r>
    </w:p>
    <w:p w14:paraId="3C7F32CC">
      <w:pPr>
        <w:pStyle w:val="105"/>
        <w:spacing w:before="120" w:after="120"/>
      </w:pPr>
      <w:r>
        <w:rPr>
          <w:rFonts w:hint="eastAsia"/>
        </w:rPr>
        <w:t>采集场所</w:t>
      </w:r>
      <w:bookmarkEnd w:id="73"/>
    </w:p>
    <w:p w14:paraId="76CC7FB1">
      <w:pPr>
        <w:pStyle w:val="56"/>
        <w:ind w:firstLine="420"/>
      </w:pPr>
      <w:r>
        <w:rPr>
          <w:rFonts w:hint="eastAsia"/>
        </w:rPr>
        <w:t>人体肌肉</w:t>
      </w:r>
      <w:r>
        <w:rPr>
          <w:rFonts w:hint="eastAsia" w:hAnsi="宋体" w:cs="宋体"/>
        </w:rPr>
        <w:t>的采集场所应达到Ⅲ级洁净手术室要求。</w:t>
      </w:r>
    </w:p>
    <w:p w14:paraId="1E4BA35D">
      <w:pPr>
        <w:pStyle w:val="105"/>
        <w:spacing w:before="120" w:after="120"/>
      </w:pPr>
      <w:bookmarkStart w:id="75" w:name="_Toc18759"/>
      <w:r>
        <w:rPr>
          <w:rFonts w:hint="eastAsia"/>
        </w:rPr>
        <w:t>采集人员</w:t>
      </w:r>
      <w:bookmarkEnd w:id="75"/>
    </w:p>
    <w:p w14:paraId="56C6D637">
      <w:pPr>
        <w:pStyle w:val="165"/>
        <w:numPr>
          <w:ilvl w:val="0"/>
          <w:numId w:val="0"/>
        </w:numPr>
        <w:ind w:firstLine="420" w:firstLineChars="200"/>
      </w:pPr>
      <w:r>
        <w:rPr>
          <w:rFonts w:hint="eastAsia"/>
        </w:rPr>
        <w:t>采集人员应具有医师职业证，且经过相应的技术培训。</w:t>
      </w:r>
    </w:p>
    <w:p w14:paraId="2514D4FF">
      <w:pPr>
        <w:pStyle w:val="105"/>
        <w:spacing w:before="120" w:after="120"/>
      </w:pPr>
      <w:bookmarkStart w:id="76" w:name="_Toc3271"/>
      <w:r>
        <w:rPr>
          <w:rFonts w:hint="eastAsia"/>
        </w:rPr>
        <w:t>采集流程</w:t>
      </w:r>
      <w:bookmarkEnd w:id="76"/>
    </w:p>
    <w:p w14:paraId="2B3C0C63">
      <w:pPr>
        <w:pStyle w:val="65"/>
        <w:spacing w:before="120" w:after="120"/>
      </w:pPr>
      <w:r>
        <w:rPr>
          <w:rFonts w:hint="eastAsia"/>
        </w:rPr>
        <w:t>信息填写</w:t>
      </w:r>
    </w:p>
    <w:p w14:paraId="39B3EBF6">
      <w:pPr>
        <w:pStyle w:val="164"/>
      </w:pPr>
      <w:r>
        <w:rPr>
          <w:rFonts w:hint="eastAsia"/>
        </w:rPr>
        <w:t>采集人员应按照要求填写个人信息，个人信息表应包括但不限于：姓名、性别、有效身份证件、联系方式、紧急联络人、住址等。</w:t>
      </w:r>
    </w:p>
    <w:p w14:paraId="46700679">
      <w:pPr>
        <w:pStyle w:val="164"/>
      </w:pPr>
      <w:r>
        <w:rPr>
          <w:rFonts w:hint="eastAsia"/>
        </w:rPr>
        <w:t>采集人员在采集前填写健康调查表。</w:t>
      </w:r>
    </w:p>
    <w:p w14:paraId="52B51C15">
      <w:pPr>
        <w:pStyle w:val="65"/>
        <w:spacing w:before="120" w:after="120"/>
      </w:pPr>
      <w:r>
        <w:rPr>
          <w:rFonts w:hint="eastAsia"/>
        </w:rPr>
        <w:t>采集前准备</w:t>
      </w:r>
    </w:p>
    <w:p w14:paraId="09034074">
      <w:pPr>
        <w:pStyle w:val="164"/>
      </w:pPr>
      <w:r>
        <w:rPr>
          <w:rFonts w:hint="eastAsia"/>
        </w:rPr>
        <w:t>肌肉组织采集前应由医师制定手术方案和术前术后的防感染措施。</w:t>
      </w:r>
    </w:p>
    <w:p w14:paraId="23F5177B">
      <w:pPr>
        <w:pStyle w:val="164"/>
      </w:pPr>
      <w:r>
        <w:rPr>
          <w:rFonts w:hint="eastAsia"/>
        </w:rPr>
        <w:t>应确定供者身体健康，精神状态良好，保持供者的血压、血糖控制在较好的范围内。</w:t>
      </w:r>
    </w:p>
    <w:p w14:paraId="0C928DB9">
      <w:pPr>
        <w:pStyle w:val="164"/>
      </w:pPr>
      <w:r>
        <w:rPr>
          <w:rFonts w:hint="eastAsia"/>
        </w:rPr>
        <w:t>采集前的三天内应停用抗凝药、激素、阿司匹林、维生素E等。</w:t>
      </w:r>
    </w:p>
    <w:p w14:paraId="6D53A2FC">
      <w:pPr>
        <w:pStyle w:val="164"/>
      </w:pPr>
      <w:r>
        <w:rPr>
          <w:rFonts w:hint="eastAsia"/>
        </w:rPr>
        <w:t>采集术前两天应清淡饮食，合理安排作息时间。</w:t>
      </w:r>
    </w:p>
    <w:p w14:paraId="3CA080E7">
      <w:pPr>
        <w:pStyle w:val="164"/>
      </w:pPr>
      <w:r>
        <w:rPr>
          <w:rFonts w:hint="eastAsia"/>
        </w:rPr>
        <w:t>采集前应对客户进行身体检查，包括但不限于：病毒全套、血常规、凝血系列、心电图等。</w:t>
      </w:r>
    </w:p>
    <w:p w14:paraId="747DF25C">
      <w:pPr>
        <w:pStyle w:val="65"/>
        <w:spacing w:before="120" w:after="120"/>
      </w:pPr>
      <w:r>
        <w:rPr>
          <w:rFonts w:hint="eastAsia"/>
        </w:rPr>
        <w:t>耗材器械确认</w:t>
      </w:r>
    </w:p>
    <w:p w14:paraId="1EC7A876">
      <w:pPr>
        <w:pStyle w:val="231"/>
      </w:pPr>
      <w:r>
        <w:rPr>
          <w:rFonts w:hint="eastAsia"/>
        </w:rPr>
        <w:t>采集人员应按照采集套装清单核查器材种类和数量，一次性使用物品在有效期内且包装完好。手术前应对采集器材进行复核，复核内容主要包括：</w:t>
      </w:r>
    </w:p>
    <w:p w14:paraId="6C968637">
      <w:pPr>
        <w:pStyle w:val="132"/>
      </w:pPr>
      <w:r>
        <w:t>手术包：无破损、无渗漏、无污染</w:t>
      </w:r>
      <w:r>
        <w:rPr>
          <w:rFonts w:hint="eastAsia"/>
        </w:rPr>
        <w:t>，</w:t>
      </w:r>
      <w:r>
        <w:t>处于有效期内</w:t>
      </w:r>
      <w:r>
        <w:rPr>
          <w:rFonts w:hint="eastAsia"/>
        </w:rPr>
        <w:t>；</w:t>
      </w:r>
    </w:p>
    <w:p w14:paraId="65A7D388">
      <w:pPr>
        <w:pStyle w:val="132"/>
      </w:pPr>
      <w:r>
        <w:t>消毒剂：</w:t>
      </w:r>
    </w:p>
    <w:p w14:paraId="726AE371">
      <w:pPr>
        <w:pStyle w:val="187"/>
      </w:pPr>
      <w:r>
        <w:t>一般选用含碘消毒液，对碘过敏者可选用其他消毒剂；</w:t>
      </w:r>
    </w:p>
    <w:p w14:paraId="09A45A7E">
      <w:pPr>
        <w:pStyle w:val="187"/>
      </w:pPr>
      <w:r>
        <w:rPr>
          <w:rFonts w:hint="eastAsia"/>
        </w:rPr>
        <w:t>应</w:t>
      </w:r>
      <w:r>
        <w:t>处于有效期内；</w:t>
      </w:r>
    </w:p>
    <w:p w14:paraId="013051BE">
      <w:pPr>
        <w:pStyle w:val="187"/>
      </w:pPr>
      <w:r>
        <w:rPr>
          <w:rFonts w:hint="eastAsia"/>
        </w:rPr>
        <w:t>应</w:t>
      </w:r>
      <w:r>
        <w:t>标明启用日期</w:t>
      </w:r>
      <w:r>
        <w:rPr>
          <w:rFonts w:hint="eastAsia"/>
        </w:rPr>
        <w:t>；</w:t>
      </w:r>
    </w:p>
    <w:p w14:paraId="35BCA1D1">
      <w:pPr>
        <w:pStyle w:val="132"/>
      </w:pPr>
      <w:r>
        <w:rPr>
          <w:rFonts w:ascii="Times New Roman"/>
        </w:rPr>
        <w:t>采</w:t>
      </w:r>
      <w:r>
        <w:rPr>
          <w:rFonts w:hint="eastAsia"/>
        </w:rPr>
        <w:t>集容器上均已粘贴供者识别码。</w:t>
      </w:r>
    </w:p>
    <w:p w14:paraId="2098A6D2">
      <w:pPr>
        <w:pStyle w:val="65"/>
        <w:spacing w:before="120" w:after="120"/>
      </w:pPr>
      <w:r>
        <w:rPr>
          <w:rFonts w:hint="eastAsia"/>
        </w:rPr>
        <w:t>采集过程</w:t>
      </w:r>
    </w:p>
    <w:p w14:paraId="1B4487B4">
      <w:pPr>
        <w:pStyle w:val="167"/>
        <w:numPr>
          <w:ilvl w:val="0"/>
          <w:numId w:val="0"/>
        </w:numPr>
        <w:ind w:firstLine="420" w:firstLineChars="200"/>
      </w:pPr>
      <w:r>
        <w:rPr>
          <w:rFonts w:hint="eastAsia"/>
        </w:rPr>
        <w:t>由医师行肌肉切取手术，置于无菌采集瓶中，密封保存，并粘贴条形码作为唯一标识。</w:t>
      </w:r>
    </w:p>
    <w:p w14:paraId="2F16CDD2">
      <w:pPr>
        <w:pStyle w:val="105"/>
        <w:spacing w:before="120" w:after="120"/>
      </w:pPr>
      <w:r>
        <w:rPr>
          <w:rFonts w:hint="eastAsia"/>
        </w:rPr>
        <w:t>采集后注意事项</w:t>
      </w:r>
    </w:p>
    <w:p w14:paraId="18E2CB6E">
      <w:pPr>
        <w:pStyle w:val="164"/>
      </w:pPr>
      <w:r>
        <w:rPr>
          <w:rFonts w:hint="eastAsia"/>
        </w:rPr>
        <w:t>采集后尽量平躺休息60分钟，尽量减少肢体运动。</w:t>
      </w:r>
    </w:p>
    <w:p w14:paraId="4FA30224">
      <w:pPr>
        <w:pStyle w:val="164"/>
      </w:pPr>
      <w:r>
        <w:rPr>
          <w:rFonts w:hint="eastAsia"/>
        </w:rPr>
        <w:t>采集后一周建议温水擦浴，伤口不要碰水。</w:t>
      </w:r>
    </w:p>
    <w:p w14:paraId="3B960E59">
      <w:pPr>
        <w:pStyle w:val="164"/>
      </w:pPr>
      <w:r>
        <w:rPr>
          <w:rFonts w:hint="eastAsia"/>
        </w:rPr>
        <w:t>采集后三天内禁止饮酒，饮食以清淡为主。</w:t>
      </w:r>
    </w:p>
    <w:p w14:paraId="06B13C0F">
      <w:pPr>
        <w:pStyle w:val="164"/>
      </w:pPr>
      <w:r>
        <w:rPr>
          <w:rFonts w:hint="eastAsia"/>
        </w:rPr>
        <w:t>保持心情舒畅，合理饮食，作息时间规律。</w:t>
      </w:r>
    </w:p>
    <w:p w14:paraId="5859C91D">
      <w:pPr>
        <w:pStyle w:val="164"/>
      </w:pPr>
      <w:r>
        <w:rPr>
          <w:rFonts w:hint="eastAsia"/>
        </w:rPr>
        <w:t>特殊情况（如感染、血肿、疼痛等）及时复诊。</w:t>
      </w:r>
    </w:p>
    <w:p w14:paraId="07854A2F">
      <w:pPr>
        <w:pStyle w:val="104"/>
        <w:spacing w:before="240" w:after="240"/>
      </w:pPr>
      <w:bookmarkStart w:id="77" w:name="_Toc139436576"/>
      <w:bookmarkStart w:id="78" w:name="_Toc139526984"/>
      <w:bookmarkStart w:id="79" w:name="_Toc24855"/>
      <w:bookmarkStart w:id="80" w:name="_Toc170228397"/>
      <w:bookmarkStart w:id="81" w:name="_Toc29425"/>
      <w:r>
        <w:rPr>
          <w:rFonts w:hint="eastAsia"/>
        </w:rPr>
        <w:t>样本运输</w:t>
      </w:r>
      <w:bookmarkEnd w:id="77"/>
      <w:bookmarkEnd w:id="78"/>
      <w:bookmarkEnd w:id="79"/>
      <w:bookmarkEnd w:id="80"/>
      <w:bookmarkEnd w:id="81"/>
    </w:p>
    <w:p w14:paraId="1F7BAF17">
      <w:pPr>
        <w:pStyle w:val="105"/>
        <w:spacing w:before="120" w:after="120"/>
      </w:pPr>
      <w:r>
        <w:rPr>
          <w:rFonts w:hint="eastAsia"/>
        </w:rPr>
        <w:t>一般要求</w:t>
      </w:r>
    </w:p>
    <w:p w14:paraId="66F8B9CE">
      <w:pPr>
        <w:pStyle w:val="165"/>
      </w:pPr>
      <w:r>
        <w:rPr>
          <w:rFonts w:hint="eastAsia"/>
        </w:rPr>
        <w:t>样本运输人员应是经过专业培训合格的人员，对样本运输应制定规范及应急预案，并对样本运输全程做记录，包括但不限于运输的方式、条件、路径、时间、人员、地址及样本信息，相关记录入档保留至少30年。</w:t>
      </w:r>
    </w:p>
    <w:p w14:paraId="6EFCF35E">
      <w:pPr>
        <w:pStyle w:val="165"/>
      </w:pPr>
      <w:r>
        <w:rPr>
          <w:rFonts w:hint="eastAsia"/>
        </w:rPr>
        <w:t>样本运输应采用平稳、安全、快速的运输途径，宜采用冷藏运输车或专用标本冷藏运输箱运输。</w:t>
      </w:r>
    </w:p>
    <w:p w14:paraId="79114DB0">
      <w:pPr>
        <w:pStyle w:val="165"/>
      </w:pPr>
      <w:r>
        <w:rPr>
          <w:rFonts w:hint="eastAsia"/>
        </w:rPr>
        <w:t>运输过程中应防渗漏、防辐射、抗震动、耐压、耐热等，样本包装应贴上条形码作为唯一标识。</w:t>
      </w:r>
    </w:p>
    <w:p w14:paraId="27DE528C">
      <w:pPr>
        <w:pStyle w:val="165"/>
      </w:pPr>
      <w:r>
        <w:rPr>
          <w:rFonts w:hint="eastAsia"/>
        </w:rPr>
        <w:t>样本运输温度应维持在2℃～8℃，运输时间不超过12小时。</w:t>
      </w:r>
    </w:p>
    <w:p w14:paraId="17119735">
      <w:pPr>
        <w:pStyle w:val="105"/>
        <w:spacing w:before="120" w:after="120"/>
      </w:pPr>
      <w:bookmarkStart w:id="82" w:name="_Toc2231"/>
      <w:r>
        <w:rPr>
          <w:rFonts w:hint="eastAsia"/>
        </w:rPr>
        <w:t>运输箱</w:t>
      </w:r>
      <w:bookmarkEnd w:id="82"/>
    </w:p>
    <w:p w14:paraId="18E297A2">
      <w:pPr>
        <w:pStyle w:val="231"/>
      </w:pPr>
      <w:r>
        <w:rPr>
          <w:rFonts w:hint="eastAsia"/>
        </w:rPr>
        <w:t>运输箱应有相应的标识，标识内容应完整、清晰，标识至少包括以下内容：</w:t>
      </w:r>
    </w:p>
    <w:p w14:paraId="47DFF15A">
      <w:pPr>
        <w:pStyle w:val="231"/>
      </w:pPr>
      <w:r>
        <w:rPr>
          <w:rFonts w:hint="eastAsia"/>
        </w:rPr>
        <w:t>——采集方名称及联系方式；</w:t>
      </w:r>
    </w:p>
    <w:p w14:paraId="753AD8D1">
      <w:pPr>
        <w:pStyle w:val="231"/>
      </w:pPr>
      <w:r>
        <w:rPr>
          <w:rFonts w:hint="eastAsia"/>
        </w:rPr>
        <w:t>——最大承重量；</w:t>
      </w:r>
    </w:p>
    <w:p w14:paraId="6D9CC2EF">
      <w:pPr>
        <w:pStyle w:val="231"/>
      </w:pPr>
      <w:r>
        <w:rPr>
          <w:rFonts w:hint="eastAsia"/>
        </w:rPr>
        <w:t>——放置方向、防摔、防晒、防雨标识；</w:t>
      </w:r>
    </w:p>
    <w:p w14:paraId="31EF3227">
      <w:pPr>
        <w:pStyle w:val="231"/>
      </w:pPr>
      <w:r>
        <w:rPr>
          <w:rFonts w:hint="eastAsia"/>
        </w:rPr>
        <w:t>——最多叠放层数；</w:t>
      </w:r>
    </w:p>
    <w:p w14:paraId="4063C83A">
      <w:pPr>
        <w:pStyle w:val="231"/>
      </w:pPr>
      <w:r>
        <w:rPr>
          <w:rFonts w:hint="eastAsia"/>
        </w:rPr>
        <w:t>——样本的品名、运输起始地和目的地、样本保存温度；</w:t>
      </w:r>
    </w:p>
    <w:p w14:paraId="4F052C8A">
      <w:pPr>
        <w:pStyle w:val="231"/>
      </w:pPr>
      <w:r>
        <w:rPr>
          <w:rFonts w:hint="eastAsia"/>
        </w:rPr>
        <w:t>——生物危害标识；</w:t>
      </w:r>
    </w:p>
    <w:p w14:paraId="148A9150">
      <w:pPr>
        <w:pStyle w:val="231"/>
      </w:pPr>
      <w:r>
        <w:rPr>
          <w:rFonts w:hint="eastAsia"/>
        </w:rPr>
        <w:t>——禁止辐射标识。</w:t>
      </w:r>
    </w:p>
    <w:p w14:paraId="22F5621C">
      <w:pPr>
        <w:pStyle w:val="105"/>
        <w:spacing w:before="120" w:after="120"/>
      </w:pPr>
      <w:bookmarkStart w:id="83" w:name="_Toc31898"/>
      <w:r>
        <w:rPr>
          <w:rFonts w:hint="eastAsia"/>
        </w:rPr>
        <w:t>质量监控</w:t>
      </w:r>
      <w:bookmarkEnd w:id="83"/>
    </w:p>
    <w:p w14:paraId="3AC1A0EB">
      <w:pPr>
        <w:pStyle w:val="165"/>
      </w:pPr>
      <w:r>
        <w:rPr>
          <w:rFonts w:hint="eastAsia"/>
        </w:rPr>
        <w:t>样本运输过程中应有可供追溯的记录，记录应包括下列内容：</w:t>
      </w:r>
    </w:p>
    <w:p w14:paraId="31471B8F">
      <w:pPr>
        <w:pStyle w:val="132"/>
      </w:pPr>
      <w:bookmarkStart w:id="84" w:name="_Toc28069"/>
      <w:r>
        <w:rPr>
          <w:rFonts w:hint="eastAsia"/>
        </w:rPr>
        <w:t>品名、数量、规格；</w:t>
      </w:r>
      <w:bookmarkEnd w:id="84"/>
    </w:p>
    <w:p w14:paraId="0FF8FBAB">
      <w:pPr>
        <w:pStyle w:val="132"/>
      </w:pPr>
      <w:bookmarkStart w:id="85" w:name="_Toc31567"/>
      <w:r>
        <w:rPr>
          <w:rFonts w:hint="eastAsia"/>
        </w:rPr>
        <w:t>状态是否正常；</w:t>
      </w:r>
      <w:bookmarkEnd w:id="85"/>
    </w:p>
    <w:p w14:paraId="5DDB83DE">
      <w:pPr>
        <w:pStyle w:val="132"/>
      </w:pPr>
      <w:bookmarkStart w:id="86" w:name="_Toc7139"/>
      <w:r>
        <w:rPr>
          <w:rFonts w:hint="eastAsia"/>
        </w:rPr>
        <w:t>运输的始发地和目的地；</w:t>
      </w:r>
      <w:bookmarkEnd w:id="86"/>
    </w:p>
    <w:p w14:paraId="495ED70E">
      <w:pPr>
        <w:pStyle w:val="132"/>
      </w:pPr>
      <w:bookmarkStart w:id="87" w:name="_Toc22947"/>
      <w:r>
        <w:rPr>
          <w:rFonts w:hint="eastAsia"/>
        </w:rPr>
        <w:t>采集机构交接人、时间和日期；</w:t>
      </w:r>
      <w:bookmarkEnd w:id="87"/>
    </w:p>
    <w:p w14:paraId="566D1425">
      <w:pPr>
        <w:pStyle w:val="132"/>
      </w:pPr>
      <w:bookmarkStart w:id="88" w:name="_Toc3423"/>
      <w:r>
        <w:rPr>
          <w:rFonts w:hint="eastAsia"/>
        </w:rPr>
        <w:t>运输承接人、时间和日期；</w:t>
      </w:r>
      <w:bookmarkEnd w:id="88"/>
    </w:p>
    <w:p w14:paraId="31AAA409">
      <w:pPr>
        <w:pStyle w:val="132"/>
      </w:pPr>
      <w:bookmarkStart w:id="89" w:name="_Toc2279"/>
      <w:r>
        <w:rPr>
          <w:rFonts w:hint="eastAsia"/>
        </w:rPr>
        <w:t>运输方式和运输箱编号及温度状态；</w:t>
      </w:r>
      <w:bookmarkEnd w:id="89"/>
    </w:p>
    <w:p w14:paraId="7A63C9E1">
      <w:pPr>
        <w:pStyle w:val="132"/>
      </w:pPr>
      <w:bookmarkStart w:id="90" w:name="_Toc30983"/>
      <w:r>
        <w:rPr>
          <w:rFonts w:hint="eastAsia"/>
        </w:rPr>
        <w:t>运输箱的外观和标识是否完整。</w:t>
      </w:r>
      <w:bookmarkEnd w:id="90"/>
    </w:p>
    <w:p w14:paraId="6144AA0F">
      <w:pPr>
        <w:pStyle w:val="165"/>
      </w:pPr>
      <w:r>
        <w:rPr>
          <w:rFonts w:hint="eastAsia"/>
        </w:rPr>
        <w:t>运输前应检查冷藏运输箱及控温设备的性能和运行状态是否符合要求。</w:t>
      </w:r>
    </w:p>
    <w:p w14:paraId="223CDBE4">
      <w:pPr>
        <w:pStyle w:val="165"/>
      </w:pPr>
      <w:r>
        <w:rPr>
          <w:rFonts w:hint="eastAsia"/>
        </w:rPr>
        <w:t>运输设备应定期进行监控和评估：</w:t>
      </w:r>
    </w:p>
    <w:p w14:paraId="13CC7686">
      <w:pPr>
        <w:pStyle w:val="174"/>
        <w:numPr>
          <w:ilvl w:val="0"/>
          <w:numId w:val="35"/>
        </w:numPr>
      </w:pPr>
      <w:r>
        <w:rPr>
          <w:rFonts w:hint="eastAsia"/>
        </w:rPr>
        <w:t>温度：随机抽取运输箱进行腔体空载和满载条件下的测定，确认其满足性能要求；</w:t>
      </w:r>
    </w:p>
    <w:p w14:paraId="25EBAB1A">
      <w:pPr>
        <w:pStyle w:val="174"/>
      </w:pPr>
      <w:r>
        <w:rPr>
          <w:rFonts w:hint="eastAsia"/>
        </w:rPr>
        <w:t>微生物：对箱体的内壁进行取样开展微生物培养，不得检出致病性的微生物。</w:t>
      </w:r>
    </w:p>
    <w:p w14:paraId="5D0FD5AB">
      <w:pPr>
        <w:pStyle w:val="165"/>
      </w:pPr>
      <w:r>
        <w:rPr>
          <w:rFonts w:hint="eastAsia"/>
        </w:rPr>
        <w:t>运输过程的记录应放入样本档案，保存至样本使用或销毁后1</w:t>
      </w:r>
      <w:r>
        <w:t>0</w:t>
      </w:r>
      <w:r>
        <w:rPr>
          <w:rFonts w:hint="eastAsia"/>
        </w:rPr>
        <w:t>年以上。</w:t>
      </w:r>
    </w:p>
    <w:p w14:paraId="4384D710">
      <w:pPr>
        <w:pStyle w:val="104"/>
        <w:spacing w:before="240" w:after="240"/>
      </w:pPr>
      <w:bookmarkStart w:id="91" w:name="_Toc8108"/>
      <w:bookmarkStart w:id="92" w:name="_Toc139526985"/>
      <w:bookmarkStart w:id="93" w:name="_Toc139436577"/>
      <w:bookmarkStart w:id="94" w:name="_Toc170228398"/>
      <w:bookmarkStart w:id="95" w:name="_Toc19372"/>
      <w:r>
        <w:rPr>
          <w:rFonts w:hint="eastAsia"/>
        </w:rPr>
        <w:t>样本接收</w:t>
      </w:r>
      <w:bookmarkEnd w:id="91"/>
      <w:bookmarkEnd w:id="92"/>
      <w:bookmarkEnd w:id="93"/>
      <w:bookmarkEnd w:id="94"/>
      <w:bookmarkEnd w:id="95"/>
    </w:p>
    <w:p w14:paraId="5A3B67C3">
      <w:pPr>
        <w:pStyle w:val="162"/>
      </w:pPr>
      <w:bookmarkStart w:id="96" w:name="_Toc18718"/>
      <w:bookmarkStart w:id="97" w:name="_Toc105661192"/>
      <w:bookmarkStart w:id="98" w:name="_Toc131498704"/>
      <w:bookmarkStart w:id="99" w:name="_Toc132386736"/>
      <w:bookmarkStart w:id="100" w:name="_Toc105661289"/>
      <w:r>
        <w:t>样本接收人员</w:t>
      </w:r>
      <w:r>
        <w:rPr>
          <w:rFonts w:hint="eastAsia"/>
        </w:rPr>
        <w:t>应是经过专业培训合格的人员</w:t>
      </w:r>
      <w:r>
        <w:t>，应遵从安全与准确的原则对样本接收制定规范及应急预案，并对样本接收过程进行记录，相关记录入档保留至少30年。</w:t>
      </w:r>
      <w:bookmarkEnd w:id="96"/>
    </w:p>
    <w:p w14:paraId="340893B5">
      <w:pPr>
        <w:pStyle w:val="162"/>
      </w:pPr>
      <w:bookmarkStart w:id="101" w:name="_Toc5460"/>
      <w:r>
        <w:t>样本接收时，接收人员应做好自我防护工作，接触样本之前应佩戴手套与口罩，并对接收场所进行消毒。</w:t>
      </w:r>
      <w:bookmarkEnd w:id="101"/>
    </w:p>
    <w:p w14:paraId="44F84C59">
      <w:pPr>
        <w:pStyle w:val="162"/>
      </w:pPr>
      <w:bookmarkStart w:id="102" w:name="_Toc13566"/>
      <w:r>
        <w:t>接收样本后应先观察样本容器外包装的外观，检查有无破损。</w:t>
      </w:r>
      <w:bookmarkEnd w:id="102"/>
      <w:bookmarkStart w:id="103" w:name="_Toc4938"/>
      <w:r>
        <w:t>检查外观后，工作人员应检查样本采集信息记录表是否齐全，同时确认记录表上信息是否填写完整，检查信息记录表信息是否与样本信息一一对应，样本及记录表上应贴有一致对应的条形码，做到样本与供者信息相对应，确认无误后进行接收。</w:t>
      </w:r>
      <w:bookmarkEnd w:id="103"/>
    </w:p>
    <w:p w14:paraId="0495BB9E">
      <w:pPr>
        <w:pStyle w:val="162"/>
      </w:pPr>
      <w:bookmarkStart w:id="104" w:name="_Toc8700"/>
      <w:r>
        <w:t>样本接收后，使用75%医用酒精消毒清理容器外表面，如不能及时对样本进行处理，需把样本保存在2℃</w:t>
      </w:r>
      <w:r>
        <w:rPr>
          <w:rFonts w:hint="eastAsia"/>
        </w:rPr>
        <w:t>～</w:t>
      </w:r>
      <w:r>
        <w:t>8℃条件下，最长时间不超过12小时。</w:t>
      </w:r>
      <w:bookmarkEnd w:id="104"/>
    </w:p>
    <w:p w14:paraId="7F4B423C">
      <w:pPr>
        <w:pStyle w:val="162"/>
      </w:pPr>
      <w:bookmarkStart w:id="105" w:name="_Toc5340"/>
      <w:r>
        <w:t>样本量应能够满足制备和检测的最低要求。</w:t>
      </w:r>
      <w:bookmarkEnd w:id="105"/>
    </w:p>
    <w:p w14:paraId="0538ED97">
      <w:pPr>
        <w:pStyle w:val="162"/>
      </w:pPr>
      <w:bookmarkStart w:id="106" w:name="_Toc19527"/>
      <w:r>
        <w:t>样本接收后应及时将信息反馈给样本发送方。</w:t>
      </w:r>
      <w:bookmarkEnd w:id="106"/>
    </w:p>
    <w:p w14:paraId="73FF5BA5">
      <w:pPr>
        <w:pStyle w:val="162"/>
      </w:pPr>
      <w:bookmarkStart w:id="107" w:name="_Toc28433"/>
      <w:r>
        <w:rPr>
          <w:rFonts w:hint="eastAsia"/>
        </w:rPr>
        <w:t>制备机构</w:t>
      </w:r>
      <w:r>
        <w:t>应制定样本拒收标准，按照样本拒收标准处理样本</w:t>
      </w:r>
      <w:bookmarkEnd w:id="97"/>
      <w:bookmarkEnd w:id="98"/>
      <w:bookmarkEnd w:id="99"/>
      <w:bookmarkEnd w:id="100"/>
      <w:bookmarkEnd w:id="107"/>
      <w:r>
        <w:rPr>
          <w:rFonts w:hint="eastAsia"/>
        </w:rPr>
        <w:t>。</w:t>
      </w:r>
    </w:p>
    <w:p w14:paraId="266BC613">
      <w:pPr>
        <w:pStyle w:val="104"/>
        <w:spacing w:before="240" w:after="240"/>
      </w:pPr>
      <w:bookmarkStart w:id="108" w:name="_Toc3"/>
      <w:bookmarkStart w:id="109" w:name="_Toc139436578"/>
      <w:bookmarkStart w:id="110" w:name="_Toc8006"/>
      <w:bookmarkStart w:id="111" w:name="_Toc139526986"/>
      <w:bookmarkStart w:id="112" w:name="_Toc170228399"/>
      <w:r>
        <w:rPr>
          <w:rFonts w:hint="eastAsia"/>
        </w:rPr>
        <w:t>分离与培养</w:t>
      </w:r>
      <w:bookmarkEnd w:id="108"/>
      <w:bookmarkEnd w:id="109"/>
      <w:bookmarkEnd w:id="110"/>
      <w:bookmarkEnd w:id="111"/>
      <w:bookmarkEnd w:id="112"/>
    </w:p>
    <w:p w14:paraId="0F9A8792">
      <w:pPr>
        <w:pStyle w:val="105"/>
        <w:spacing w:before="120" w:after="120"/>
      </w:pPr>
      <w:bookmarkStart w:id="113" w:name="_Toc9195"/>
      <w:r>
        <w:rPr>
          <w:rFonts w:hint="eastAsia"/>
        </w:rPr>
        <w:t>基本要求</w:t>
      </w:r>
      <w:bookmarkEnd w:id="113"/>
    </w:p>
    <w:p w14:paraId="364F9626">
      <w:pPr>
        <w:pStyle w:val="165"/>
      </w:pPr>
      <w:r>
        <w:rPr>
          <w:rFonts w:hint="eastAsia" w:hAnsi="宋体" w:cs="宋体"/>
        </w:rPr>
        <w:t>人体肌肉干细胞分离与培养应符合</w:t>
      </w:r>
      <w:r>
        <w:rPr>
          <w:rFonts w:hint="eastAsia"/>
        </w:rPr>
        <w:t>《药品生产质量管理规范》</w:t>
      </w:r>
      <w:r>
        <w:t>和《干细胞制剂质量控制及临庆前研究指导原则》要求的车间内进行。</w:t>
      </w:r>
    </w:p>
    <w:p w14:paraId="26400CCB">
      <w:pPr>
        <w:pStyle w:val="165"/>
      </w:pPr>
      <w:r>
        <w:rPr>
          <w:rFonts w:hint="eastAsia"/>
        </w:rPr>
        <w:t>所有操作应事先制定标准规范，由经专业培训的技术人员严格遵照执行，并进行记录登记，相关记录入档保留至少30年。</w:t>
      </w:r>
    </w:p>
    <w:p w14:paraId="02378B30">
      <w:pPr>
        <w:pStyle w:val="165"/>
      </w:pPr>
      <w:r>
        <w:rPr>
          <w:rFonts w:hint="eastAsia"/>
        </w:rPr>
        <w:t>分离与培养过程中应标识干细胞的名称、代次、批次、操作日期、培养条件、操作人员姓名等信息。</w:t>
      </w:r>
    </w:p>
    <w:p w14:paraId="27E34FD6">
      <w:pPr>
        <w:pStyle w:val="165"/>
      </w:pPr>
      <w:r>
        <w:rPr>
          <w:rFonts w:hint="eastAsia"/>
        </w:rPr>
        <w:t>所使用试剂应采用符合《药品生产质量管理规范》、《中华人民共和国药典》和《干细胞制剂质量控制及临床前研究指导原则》要求的药品辅料或已获批的药品，应出具产品质检合格报告，并对各批次试剂进行质量抽检。</w:t>
      </w:r>
    </w:p>
    <w:p w14:paraId="567A7C57">
      <w:pPr>
        <w:pStyle w:val="165"/>
      </w:pPr>
      <w:r>
        <w:rPr>
          <w:rFonts w:hint="eastAsia"/>
        </w:rPr>
        <w:t>应避免人源或动物源性血清及蛋白，不得使用同种异体人血清或血浆。如必须使用动物血清，应确保其无特定动物源性病毒污染。严禁使用海绵体状脑病流行区来源的牛血清。</w:t>
      </w:r>
    </w:p>
    <w:p w14:paraId="3400FDE8">
      <w:pPr>
        <w:pStyle w:val="105"/>
        <w:spacing w:before="120" w:after="120"/>
      </w:pPr>
      <w:bookmarkStart w:id="114" w:name="_Toc11243"/>
      <w:r>
        <w:rPr>
          <w:rFonts w:hint="eastAsia"/>
        </w:rPr>
        <w:t>分离前准备工作</w:t>
      </w:r>
      <w:bookmarkEnd w:id="114"/>
    </w:p>
    <w:p w14:paraId="25198121">
      <w:pPr>
        <w:pStyle w:val="165"/>
      </w:pPr>
      <w:r>
        <w:rPr>
          <w:rFonts w:hint="eastAsia"/>
        </w:rPr>
        <w:t>环境确认：</w:t>
      </w:r>
      <w:r>
        <w:t>洁净室和洁净工作台或生物安全柜应</w:t>
      </w:r>
      <w:r>
        <w:rPr>
          <w:rFonts w:hint="eastAsia"/>
        </w:rPr>
        <w:t>使用</w:t>
      </w:r>
      <w:r>
        <w:t>紫外灯灭菌30</w:t>
      </w:r>
      <w:r>
        <w:rPr>
          <w:rFonts w:hint="eastAsia"/>
        </w:rPr>
        <w:t>分钟</w:t>
      </w:r>
      <w:r>
        <w:t>，并启动净化风机和空调系统自净20分钟以上。</w:t>
      </w:r>
    </w:p>
    <w:p w14:paraId="5E7B8C47">
      <w:pPr>
        <w:pStyle w:val="165"/>
      </w:pPr>
      <w:r>
        <w:t>工作人员核对样本与采集信息内容一致性，用75%的乙醇对采集瓶外表面自下而上进行清洁消毒，并放置传递窗自净15分钟后，传入分离、处理区域。</w:t>
      </w:r>
    </w:p>
    <w:p w14:paraId="44C16FF6">
      <w:pPr>
        <w:pStyle w:val="165"/>
      </w:pPr>
      <w:r>
        <w:t>物料准备</w:t>
      </w:r>
      <w:r>
        <w:rPr>
          <w:rFonts w:hint="eastAsia"/>
        </w:rPr>
        <w:t>：</w:t>
      </w:r>
      <w:r>
        <w:t>取出所需的试剂及耗材放置物料推车上，放置于洁净化工作台或生物安全柜旁边，待用。核查确认所用试剂及耗材的批号及是否在有效期内。</w:t>
      </w:r>
    </w:p>
    <w:p w14:paraId="4BF106FC">
      <w:pPr>
        <w:pStyle w:val="165"/>
      </w:pPr>
      <w:r>
        <w:t>培养液准备：自配培养液使用前确认微生物培养72小时以上结果为阴性；商品化的细胞培养液使用前应核查确认合格证和有效期。</w:t>
      </w:r>
    </w:p>
    <w:p w14:paraId="78A5CA7C">
      <w:pPr>
        <w:pStyle w:val="105"/>
        <w:spacing w:before="120" w:after="120"/>
      </w:pPr>
      <w:r>
        <w:rPr>
          <w:rFonts w:hint="eastAsia"/>
        </w:rPr>
        <w:t>分离与培养方法</w:t>
      </w:r>
    </w:p>
    <w:p w14:paraId="0B55E831">
      <w:pPr>
        <w:pStyle w:val="56"/>
        <w:ind w:firstLine="420"/>
      </w:pPr>
      <w:r>
        <w:rPr>
          <w:rFonts w:hint="eastAsia" w:hAnsi="宋体" w:cs="宋体"/>
        </w:rPr>
        <w:t>将肌肉</w:t>
      </w:r>
      <w:r>
        <w:rPr>
          <w:rFonts w:hint="eastAsia"/>
        </w:rPr>
        <w:t>组织剪碎至糜状，以胶原酶、中性酶和胰酶消化法分离原代细胞，采用贴壁法（胶原蛋白包埋的培养板）进行人肌肉间充质干细胞（铁壁快，24小时之内）和肌肉干细胞（贴壁慢，48小时之后)的分离。</w:t>
      </w:r>
    </w:p>
    <w:p w14:paraId="79B95E10">
      <w:pPr>
        <w:pStyle w:val="105"/>
        <w:spacing w:before="120" w:after="120"/>
      </w:pPr>
      <w:r>
        <w:rPr>
          <w:rFonts w:hint="eastAsia"/>
        </w:rPr>
        <w:t>细胞换液</w:t>
      </w:r>
    </w:p>
    <w:p w14:paraId="575A89D7">
      <w:pPr>
        <w:pStyle w:val="165"/>
      </w:pPr>
      <w:r>
        <w:rPr>
          <w:rFonts w:hint="eastAsia"/>
        </w:rPr>
        <w:t>换液操作应严格遵照《药品生产质量管理规范》和《干细胞制剂质量控制及临床前研究指导原则》要求，保证无外源微生物污染，相关操作均进行记录并入档保存至少 30年。</w:t>
      </w:r>
    </w:p>
    <w:p w14:paraId="4766EB06">
      <w:pPr>
        <w:pStyle w:val="165"/>
      </w:pPr>
      <w:r>
        <w:rPr>
          <w:rFonts w:hint="eastAsia"/>
        </w:rPr>
        <w:t>换液时间及频次应根据肌肉干细胞生长情况及培养基状态进行判断，以保障</w:t>
      </w:r>
      <w:r>
        <w:rPr>
          <w:rFonts w:hint="eastAsia" w:hAnsi="宋体" w:cs="宋体"/>
        </w:rPr>
        <w:t>肌肉</w:t>
      </w:r>
      <w:r>
        <w:rPr>
          <w:rFonts w:hint="eastAsia"/>
        </w:rPr>
        <w:t>干组胞生长所需营养物质水平，并消除代谢物毒害作用。</w:t>
      </w:r>
    </w:p>
    <w:p w14:paraId="525330ED">
      <w:pPr>
        <w:pStyle w:val="165"/>
      </w:pPr>
      <w:r>
        <w:rPr>
          <w:rFonts w:hint="eastAsia"/>
        </w:rPr>
        <w:t>换液操作时吸弃培养瓶中原有的部分或全部培养液，再加入新鲜培养液。首次换液需要在镜下观察到原代细胞完全贴壁和延展后方可进行。</w:t>
      </w:r>
    </w:p>
    <w:p w14:paraId="5C88D594">
      <w:pPr>
        <w:pStyle w:val="165"/>
      </w:pPr>
      <w:r>
        <w:rPr>
          <w:rFonts w:hint="eastAsia"/>
        </w:rPr>
        <w:t>培养基成分应符合</w:t>
      </w:r>
      <w:r>
        <w:rPr>
          <w:rFonts w:hint="eastAsia" w:hAnsi="宋体" w:cs="宋体"/>
        </w:rPr>
        <w:t>肌肉干</w:t>
      </w:r>
      <w:r>
        <w:rPr>
          <w:rFonts w:hint="eastAsia"/>
        </w:rPr>
        <w:t>细胞分离与培养基本要求，尽量采用已获国家批准的临床级产品或药品辅料。</w:t>
      </w:r>
    </w:p>
    <w:p w14:paraId="087674AC">
      <w:pPr>
        <w:pStyle w:val="105"/>
        <w:spacing w:before="120" w:after="120"/>
      </w:pPr>
      <w:bookmarkStart w:id="115" w:name="_Toc18183"/>
      <w:r>
        <w:rPr>
          <w:rFonts w:hint="eastAsia"/>
        </w:rPr>
        <w:t>细胞传代</w:t>
      </w:r>
      <w:bookmarkEnd w:id="115"/>
    </w:p>
    <w:p w14:paraId="43669F29">
      <w:pPr>
        <w:pStyle w:val="165"/>
      </w:pPr>
      <w:r>
        <w:rPr>
          <w:rFonts w:hint="eastAsia"/>
        </w:rPr>
        <w:t>传代操作应严格遵照《药品生产质量管理规范》和《干细胞制剂质量控制及临床前研究指导原则》要求，保证无外源微生物污染，相关操作均进行记录并入档保存至少 30年。</w:t>
      </w:r>
    </w:p>
    <w:p w14:paraId="52F4B5F8">
      <w:pPr>
        <w:pStyle w:val="165"/>
      </w:pPr>
      <w:r>
        <w:rPr>
          <w:rFonts w:hint="eastAsia"/>
        </w:rPr>
        <w:t>一般情况在达到 65%～80%融合度可讲行传代操作，传代操作应密度适宜、及时，迅速。</w:t>
      </w:r>
    </w:p>
    <w:p w14:paraId="10F5CF47">
      <w:pPr>
        <w:pStyle w:val="165"/>
      </w:pPr>
      <w:r>
        <w:rPr>
          <w:rFonts w:hint="eastAsia"/>
        </w:rPr>
        <w:t>传代所使用消化酶应符合</w:t>
      </w:r>
      <w:r>
        <w:rPr>
          <w:rFonts w:hint="eastAsia" w:hAnsi="宋体" w:cs="宋体"/>
        </w:rPr>
        <w:t>肌肉</w:t>
      </w:r>
      <w:r>
        <w:rPr>
          <w:rFonts w:hint="eastAsia"/>
        </w:rPr>
        <w:t>干细胞分离与培养的基本要求，尽量采用国家已批准的临床级产品。如必须使用动物源性消化酶，应确保其无特定动物源性病毒污染。</w:t>
      </w:r>
    </w:p>
    <w:p w14:paraId="411D84A6">
      <w:pPr>
        <w:pStyle w:val="105"/>
        <w:spacing w:before="120" w:after="120"/>
      </w:pPr>
      <w:bookmarkStart w:id="116" w:name="_Toc16807"/>
      <w:r>
        <w:rPr>
          <w:rFonts w:hint="eastAsia"/>
        </w:rPr>
        <w:t>细胞冻存</w:t>
      </w:r>
      <w:bookmarkEnd w:id="116"/>
    </w:p>
    <w:p w14:paraId="2476B471">
      <w:pPr>
        <w:pStyle w:val="165"/>
      </w:pPr>
      <w:r>
        <w:rPr>
          <w:rFonts w:hint="eastAsia"/>
        </w:rPr>
        <w:t>冻存操作应严格遵照《药品生产质量管理规范》和《干细胞制剂质量控制及临床前研究指导原则》要求，保证无外源微生物污染，相关操作均进行记录并入档保存至少 30年。</w:t>
      </w:r>
    </w:p>
    <w:p w14:paraId="78F5083F">
      <w:pPr>
        <w:pStyle w:val="165"/>
      </w:pPr>
      <w:r>
        <w:rPr>
          <w:rFonts w:hint="eastAsia"/>
        </w:rPr>
        <w:t>经制备数量达到冻存要求的</w:t>
      </w:r>
      <w:r>
        <w:rPr>
          <w:rFonts w:hint="eastAsia" w:hAnsi="宋体" w:cs="宋体"/>
        </w:rPr>
        <w:t>肌肉</w:t>
      </w:r>
      <w:r>
        <w:rPr>
          <w:rFonts w:hint="eastAsia"/>
        </w:rPr>
        <w:t>干细胞系可进行冻存操作，冻存细胞应加入适当的冻存保护液，遵循程序降温原则，并在液氮中进行保存。</w:t>
      </w:r>
    </w:p>
    <w:p w14:paraId="6B4A57BD">
      <w:pPr>
        <w:pStyle w:val="165"/>
      </w:pPr>
      <w:r>
        <w:rPr>
          <w:rFonts w:hint="eastAsia"/>
        </w:rPr>
        <w:t>冻存液成分应符合</w:t>
      </w:r>
      <w:r>
        <w:rPr>
          <w:rFonts w:hint="eastAsia" w:hAnsi="宋体" w:cs="宋体"/>
        </w:rPr>
        <w:t>肌肉</w:t>
      </w:r>
      <w:r>
        <w:rPr>
          <w:rFonts w:hint="eastAsia"/>
        </w:rPr>
        <w:t>干细胞分离与培养的基本要求，尽量采用国家已批准的临床</w:t>
      </w:r>
      <w:r>
        <w:rPr>
          <w:rFonts w:hint="eastAsia" w:ascii="Times New Roman"/>
        </w:rPr>
        <w:t>级产品或药品辅料，二甲基亚砜含量不得超过 10%，如必须使用动物源性血清，应确保其无特定动物源性病毒污染，严禁使用海绵状脑病流行区来源的牛血清。</w:t>
      </w:r>
    </w:p>
    <w:p w14:paraId="1E14DB6F">
      <w:pPr>
        <w:pStyle w:val="165"/>
      </w:pPr>
      <w:r>
        <w:rPr>
          <w:rFonts w:hint="eastAsia"/>
        </w:rPr>
        <w:t>冻存细胞应标明干细胞名称、培养条件、代次、批次、操作人员、冻存日期等信息，并具有唯一标识。</w:t>
      </w:r>
    </w:p>
    <w:p w14:paraId="2132E8D9">
      <w:pPr>
        <w:pStyle w:val="165"/>
      </w:pPr>
      <w:r>
        <w:rPr>
          <w:rFonts w:hint="eastAsia"/>
        </w:rPr>
        <w:t>液氮冻存应使用符合要求的液氮容器，气相冻存，由专人负责，保证液氮充足，温度恒定。</w:t>
      </w:r>
    </w:p>
    <w:p w14:paraId="391B9729">
      <w:pPr>
        <w:pStyle w:val="105"/>
        <w:spacing w:before="120" w:after="120"/>
      </w:pPr>
      <w:bookmarkStart w:id="117" w:name="_Toc32200"/>
      <w:r>
        <w:rPr>
          <w:rFonts w:hint="eastAsia"/>
        </w:rPr>
        <w:t>稳定性考察</w:t>
      </w:r>
      <w:bookmarkEnd w:id="117"/>
    </w:p>
    <w:p w14:paraId="7282E0ED">
      <w:pPr>
        <w:pStyle w:val="165"/>
      </w:pPr>
      <w:r>
        <w:rPr>
          <w:rFonts w:hint="eastAsia"/>
        </w:rPr>
        <w:t>细胞库应依据储存的干细胞产品的特性，制定年度的储存细胞质量稳定性考察方案和计划，并制定稳定性考察的相关质量标准。</w:t>
      </w:r>
    </w:p>
    <w:p w14:paraId="21FBC68E">
      <w:pPr>
        <w:pStyle w:val="165"/>
      </w:pPr>
      <w:r>
        <w:rPr>
          <w:rFonts w:hint="eastAsia"/>
        </w:rPr>
        <w:t>稳定性考察的相关质量标准包括但不限于以下内容：</w:t>
      </w:r>
    </w:p>
    <w:p w14:paraId="52FD0323">
      <w:pPr>
        <w:pStyle w:val="174"/>
        <w:numPr>
          <w:ilvl w:val="0"/>
          <w:numId w:val="36"/>
        </w:numPr>
      </w:pPr>
      <w:r>
        <w:rPr>
          <w:rFonts w:hint="eastAsia"/>
        </w:rPr>
        <w:t>冻存容器完整性和密闭性；</w:t>
      </w:r>
    </w:p>
    <w:p w14:paraId="4F6E2F7A">
      <w:pPr>
        <w:pStyle w:val="174"/>
      </w:pPr>
      <w:r>
        <w:rPr>
          <w:rFonts w:hint="eastAsia"/>
        </w:rPr>
        <w:t>细胞活率；</w:t>
      </w:r>
    </w:p>
    <w:p w14:paraId="51204C63">
      <w:pPr>
        <w:pStyle w:val="174"/>
      </w:pPr>
      <w:r>
        <w:rPr>
          <w:rFonts w:hint="eastAsia"/>
        </w:rPr>
        <w:t>微生物培养；</w:t>
      </w:r>
    </w:p>
    <w:p w14:paraId="5F1F4F79">
      <w:pPr>
        <w:pStyle w:val="174"/>
      </w:pPr>
      <w:r>
        <w:rPr>
          <w:rFonts w:hint="eastAsia"/>
        </w:rPr>
        <w:t>细胞冻存复苏回收率；</w:t>
      </w:r>
    </w:p>
    <w:p w14:paraId="4F38C92C">
      <w:pPr>
        <w:pStyle w:val="174"/>
      </w:pPr>
      <w:r>
        <w:rPr>
          <w:rFonts w:hint="eastAsia"/>
        </w:rPr>
        <w:t>细胞表面标记物表达；</w:t>
      </w:r>
    </w:p>
    <w:p w14:paraId="508A6C42">
      <w:pPr>
        <w:pStyle w:val="174"/>
      </w:pPr>
      <w:r>
        <w:rPr>
          <w:rFonts w:hint="eastAsia"/>
        </w:rPr>
        <w:t>细胞生物学效力。</w:t>
      </w:r>
    </w:p>
    <w:p w14:paraId="6968008F">
      <w:pPr>
        <w:pStyle w:val="165"/>
      </w:pPr>
      <w:r>
        <w:rPr>
          <w:rFonts w:hint="eastAsia" w:hAnsi="宋体" w:cs="宋体"/>
        </w:rPr>
        <w:t>肌肉</w:t>
      </w:r>
      <w:r>
        <w:rPr>
          <w:rFonts w:hint="eastAsia"/>
        </w:rPr>
        <w:t>干细胞在冻存后1周复苏存活率不应低于80%，1年复苏存活率不应低于60%。</w:t>
      </w:r>
    </w:p>
    <w:p w14:paraId="55EA4CF5">
      <w:pPr>
        <w:pStyle w:val="165"/>
      </w:pPr>
      <w:r>
        <w:rPr>
          <w:rFonts w:hint="eastAsia"/>
        </w:rPr>
        <w:t>常规每年至少执行一次稳定性考察计划，如遇特殊情况（例如液相液氮罐故障）可临时性增加稳定性考察计划。</w:t>
      </w:r>
    </w:p>
    <w:p w14:paraId="18973922">
      <w:pPr>
        <w:pStyle w:val="165"/>
      </w:pPr>
      <w:r>
        <w:rPr>
          <w:rFonts w:hint="eastAsia"/>
        </w:rPr>
        <w:t>应对年度性的稳定性考察结果进行趋势分析，便于监测细胞储存的连续稳定性并改进细胞储存工艺。</w:t>
      </w:r>
    </w:p>
    <w:p w14:paraId="7C7796EE">
      <w:pPr>
        <w:pStyle w:val="104"/>
        <w:spacing w:before="240" w:after="240"/>
      </w:pPr>
      <w:bookmarkStart w:id="118" w:name="_Toc170228400"/>
      <w:bookmarkStart w:id="119" w:name="_Toc139436579"/>
      <w:bookmarkStart w:id="120" w:name="_Toc139526987"/>
      <w:r>
        <w:rPr>
          <w:rFonts w:hint="eastAsia"/>
        </w:rPr>
        <w:t>记录</w:t>
      </w:r>
      <w:bookmarkEnd w:id="118"/>
      <w:bookmarkEnd w:id="119"/>
      <w:bookmarkEnd w:id="120"/>
    </w:p>
    <w:p w14:paraId="12E6108A">
      <w:pPr>
        <w:pStyle w:val="162"/>
      </w:pPr>
      <w:r>
        <w:rPr>
          <w:rFonts w:hint="eastAsia"/>
        </w:rPr>
        <w:t>原始记录应确保其可追溯细胞分离、处理和储存操作所有环节，记录内容包含但不限于以下信息：</w:t>
      </w:r>
    </w:p>
    <w:p w14:paraId="1F153D26">
      <w:pPr>
        <w:pStyle w:val="174"/>
        <w:numPr>
          <w:ilvl w:val="0"/>
          <w:numId w:val="37"/>
        </w:numPr>
      </w:pPr>
      <w:r>
        <w:rPr>
          <w:rFonts w:hint="eastAsia"/>
        </w:rPr>
        <w:t>供者身份号码；</w:t>
      </w:r>
    </w:p>
    <w:p w14:paraId="0CD7AB6E">
      <w:pPr>
        <w:pStyle w:val="174"/>
      </w:pPr>
      <w:r>
        <w:rPr>
          <w:rFonts w:hint="eastAsia"/>
        </w:rPr>
        <w:t>产品描述码、采集类型和分类码；</w:t>
      </w:r>
    </w:p>
    <w:p w14:paraId="48D85F85">
      <w:pPr>
        <w:pStyle w:val="174"/>
      </w:pPr>
      <w:r>
        <w:rPr>
          <w:rFonts w:hint="eastAsia"/>
        </w:rPr>
        <w:t>产品名称和组分；</w:t>
      </w:r>
    </w:p>
    <w:p w14:paraId="2FD552E0">
      <w:pPr>
        <w:pStyle w:val="174"/>
      </w:pPr>
      <w:r>
        <w:rPr>
          <w:rFonts w:hint="eastAsia"/>
        </w:rPr>
        <w:t>供者唯一身份辨识符，如果适用；</w:t>
      </w:r>
    </w:p>
    <w:p w14:paraId="25D921E2">
      <w:pPr>
        <w:pStyle w:val="174"/>
      </w:pPr>
      <w:r>
        <w:rPr>
          <w:rFonts w:hint="eastAsia"/>
        </w:rPr>
        <w:t>采集日期和时间；</w:t>
      </w:r>
    </w:p>
    <w:p w14:paraId="15F5B205">
      <w:pPr>
        <w:pStyle w:val="174"/>
      </w:pPr>
      <w:r>
        <w:rPr>
          <w:rFonts w:hint="eastAsia"/>
        </w:rPr>
        <w:t>生产制备机构的名称和地址；</w:t>
      </w:r>
    </w:p>
    <w:p w14:paraId="0DBB3845">
      <w:pPr>
        <w:pStyle w:val="174"/>
      </w:pPr>
      <w:r>
        <w:rPr>
          <w:rFonts w:hint="eastAsia"/>
        </w:rPr>
        <w:t>制备、保存、冻存中关键步骤的细节及结果；</w:t>
      </w:r>
    </w:p>
    <w:p w14:paraId="626A695C">
      <w:pPr>
        <w:pStyle w:val="174"/>
      </w:pPr>
      <w:r>
        <w:rPr>
          <w:rFonts w:hint="eastAsia"/>
        </w:rPr>
        <w:t>关键步骤的日期和时间，如果适用；</w:t>
      </w:r>
    </w:p>
    <w:p w14:paraId="2758D467">
      <w:pPr>
        <w:pStyle w:val="174"/>
      </w:pPr>
      <w:r>
        <w:rPr>
          <w:rFonts w:hint="eastAsia"/>
        </w:rPr>
        <w:t>每一步骤的操作人员姓名；</w:t>
      </w:r>
    </w:p>
    <w:p w14:paraId="15D92F10">
      <w:pPr>
        <w:pStyle w:val="174"/>
      </w:pPr>
      <w:r>
        <w:rPr>
          <w:rFonts w:hint="eastAsia"/>
        </w:rPr>
        <w:t>在分离、处理、冻存、储存过程中使用的关键物料的名称、生产商、批号、有效期限；</w:t>
      </w:r>
    </w:p>
    <w:p w14:paraId="47EF42C4">
      <w:pPr>
        <w:pStyle w:val="174"/>
      </w:pPr>
      <w:r>
        <w:rPr>
          <w:rFonts w:hint="eastAsia"/>
        </w:rPr>
        <w:t>使用试剂的数量；</w:t>
      </w:r>
    </w:p>
    <w:p w14:paraId="40E13DC2">
      <w:pPr>
        <w:pStyle w:val="174"/>
      </w:pPr>
      <w:r>
        <w:rPr>
          <w:rFonts w:hint="eastAsia"/>
        </w:rPr>
        <w:t>使用设备编码。</w:t>
      </w:r>
    </w:p>
    <w:p w14:paraId="1C0B0C2D">
      <w:pPr>
        <w:pStyle w:val="162"/>
      </w:pPr>
      <w:r>
        <w:rPr>
          <w:rFonts w:hint="eastAsia"/>
        </w:rPr>
        <w:t>记录的审核：应对记录的准确性和完整性以及标准、法律法规的符合性进行审核。</w:t>
      </w:r>
    </w:p>
    <w:p w14:paraId="6EDEE5DF">
      <w:pPr>
        <w:pStyle w:val="162"/>
      </w:pPr>
      <w:r>
        <w:rPr>
          <w:rFonts w:hint="eastAsia"/>
        </w:rPr>
        <w:t>记录的保存：记录应归档于受控区域进行保存，确保整个保存期间记录的清晰和完整性，并应避免意外或非授权的调阅、丢失、损坏、破坏、混淆或篡改。</w:t>
      </w:r>
    </w:p>
    <w:p w14:paraId="78259FCF">
      <w:pPr>
        <w:pStyle w:val="162"/>
      </w:pPr>
      <w:r>
        <w:rPr>
          <w:rFonts w:hint="eastAsia"/>
        </w:rPr>
        <w:t>记录的修改：机构应建立并保持合适的记录修改程序。记录修改人的签名及日期应记录下来；修改前的记录内容应清晰可辨认。</w:t>
      </w:r>
    </w:p>
    <w:p w14:paraId="5670B585">
      <w:pPr>
        <w:pStyle w:val="162"/>
      </w:pPr>
      <w:r>
        <w:rPr>
          <w:rFonts w:hint="eastAsia"/>
        </w:rPr>
        <w:t>隐私保护：应建立保密机制，确保供者、员工信息的保密性。</w:t>
      </w:r>
    </w:p>
    <w:p w14:paraId="3CF089C1">
      <w:pPr>
        <w:pStyle w:val="162"/>
      </w:pPr>
      <w:r>
        <w:rPr>
          <w:rFonts w:hint="eastAsia"/>
        </w:rPr>
        <w:t>记录保存期限：文件记录是要保存至细胞应用或处理后20年。</w:t>
      </w:r>
    </w:p>
    <w:p w14:paraId="72E1942A">
      <w:pPr>
        <w:pStyle w:val="104"/>
        <w:spacing w:before="240" w:after="240"/>
      </w:pPr>
      <w:bookmarkStart w:id="121" w:name="_Toc139526988"/>
      <w:bookmarkStart w:id="122" w:name="_Toc139436580"/>
      <w:bookmarkStart w:id="123" w:name="_Toc26374"/>
      <w:bookmarkStart w:id="124" w:name="_Toc170228401"/>
      <w:bookmarkStart w:id="125" w:name="_Toc30810"/>
      <w:r>
        <w:rPr>
          <w:rFonts w:hint="eastAsia"/>
        </w:rPr>
        <w:t>质量控制</w:t>
      </w:r>
      <w:bookmarkEnd w:id="121"/>
      <w:bookmarkEnd w:id="122"/>
      <w:bookmarkEnd w:id="123"/>
      <w:bookmarkEnd w:id="124"/>
      <w:bookmarkEnd w:id="125"/>
    </w:p>
    <w:p w14:paraId="52FE1468">
      <w:pPr>
        <w:pStyle w:val="105"/>
        <w:spacing w:before="120" w:after="120"/>
        <w:rPr>
          <w:rFonts w:eastAsia="宋体"/>
        </w:rPr>
      </w:pPr>
      <w:bookmarkStart w:id="126" w:name="_Toc22349"/>
      <w:r>
        <w:rPr>
          <w:rFonts w:hint="eastAsia"/>
        </w:rPr>
        <w:t>质控内容</w:t>
      </w:r>
      <w:bookmarkEnd w:id="126"/>
    </w:p>
    <w:p w14:paraId="7861AB13">
      <w:pPr>
        <w:pStyle w:val="65"/>
        <w:spacing w:before="120" w:after="120"/>
      </w:pPr>
      <w:r>
        <w:rPr>
          <w:rFonts w:hint="eastAsia"/>
        </w:rPr>
        <w:t>人体肌肉干细胞安全性</w:t>
      </w:r>
    </w:p>
    <w:p w14:paraId="1E745FA9">
      <w:pPr>
        <w:pStyle w:val="56"/>
        <w:ind w:firstLine="420"/>
        <w:rPr>
          <w:rFonts w:hint="eastAsia"/>
        </w:rPr>
      </w:pPr>
      <w:r>
        <w:rPr>
          <w:rFonts w:hint="eastAsia"/>
        </w:rPr>
        <w:t>人体肌肉干细胞安全性检验项目包括：</w:t>
      </w:r>
    </w:p>
    <w:p w14:paraId="7F6CD02D">
      <w:pPr>
        <w:pStyle w:val="174"/>
        <w:numPr>
          <w:ilvl w:val="0"/>
          <w:numId w:val="38"/>
        </w:numPr>
      </w:pPr>
      <w:r>
        <w:rPr>
          <w:rFonts w:hint="eastAsia"/>
        </w:rPr>
        <w:t>无菌检测：参照《中华人民共和国药典》2020年版四部通则1101无菌检测法执行，对肌肉干细胞样本采集、运输、分离、培养、冻存、复苏等生产制备环节进行留样（保存液、清洗液、培养基上清、冻存液等）检测。细菌和真菌检测结果都应为阴性；</w:t>
      </w:r>
    </w:p>
    <w:p w14:paraId="6F1D0497">
      <w:pPr>
        <w:pStyle w:val="174"/>
      </w:pPr>
      <w:r>
        <w:rPr>
          <w:rFonts w:hint="eastAsia"/>
        </w:rPr>
        <w:t>支原体检测：参照《中华人民共和国药典》2020年版四部通则3301支原体检测法执行，对肌肉干细胞样本采集、运输、分离、培养、冻存、复苏等生产制备环节进行留样（保存液、清洗液、培养基上清、冻存液等）检测。支原体检测结果都应为阴性；</w:t>
      </w:r>
    </w:p>
    <w:p w14:paraId="62390518">
      <w:pPr>
        <w:pStyle w:val="174"/>
      </w:pPr>
      <w:r>
        <w:rPr>
          <w:rFonts w:hint="eastAsia"/>
        </w:rPr>
        <w:t>细胞内外源致病因子检测：</w:t>
      </w:r>
      <w:r>
        <w:rPr>
          <w:rFonts w:ascii="Times New Roman"/>
        </w:rPr>
        <w:t>采用血清ELISA检测法或核酸检测法，对</w:t>
      </w:r>
      <w:r>
        <w:rPr>
          <w:rFonts w:hint="eastAsia" w:ascii="Times New Roman"/>
        </w:rPr>
        <w:t>肌肉</w:t>
      </w:r>
      <w:r>
        <w:rPr>
          <w:rFonts w:ascii="Times New Roman"/>
        </w:rPr>
        <w:t>干细胞样本采集、运输、分离、培养、冻存、复苏等生产制备环节进行留样</w:t>
      </w:r>
      <w:r>
        <w:rPr>
          <w:rFonts w:hint="eastAsia" w:ascii="Times New Roman"/>
        </w:rPr>
        <w:t>（保存液、清洗液、培养基上清、冻存液、细胞等）</w:t>
      </w:r>
      <w:r>
        <w:rPr>
          <w:rFonts w:ascii="Times New Roman"/>
        </w:rPr>
        <w:t>检测。</w:t>
      </w:r>
      <w:r>
        <w:rPr>
          <w:rFonts w:hAnsi="宋体"/>
        </w:rPr>
        <w:t>HIV抗体、HBsAg、HCV抗体、TP抗体、CMV-IgM、HTLV抗体、HPV抗体、HHV抗体、EBV抗体检测应为阴性；HCV、HBV、HIV病毒核酸检测应为阴性</w:t>
      </w:r>
      <w:r>
        <w:rPr>
          <w:rFonts w:hint="eastAsia" w:hAnsi="宋体"/>
        </w:rPr>
        <w:t>；</w:t>
      </w:r>
    </w:p>
    <w:p w14:paraId="56C210FC">
      <w:pPr>
        <w:pStyle w:val="174"/>
      </w:pPr>
      <w:r>
        <w:rPr>
          <w:rFonts w:hint="eastAsia"/>
        </w:rPr>
        <w:t>内毒素检测：参照《中华人民共和国药典》2020年版四部通则</w:t>
      </w:r>
      <w:r>
        <w:rPr>
          <w:rFonts w:ascii="Times New Roman"/>
        </w:rPr>
        <w:t>1143细菌内毒素检测法</w:t>
      </w:r>
      <w:r>
        <w:rPr>
          <w:rFonts w:hint="eastAsia" w:ascii="Times New Roman"/>
        </w:rPr>
        <w:t>执行</w:t>
      </w:r>
      <w:r>
        <w:rPr>
          <w:rFonts w:ascii="Times New Roman"/>
        </w:rPr>
        <w:t>，对</w:t>
      </w:r>
      <w:r>
        <w:rPr>
          <w:rFonts w:hint="eastAsia" w:ascii="Times New Roman"/>
        </w:rPr>
        <w:t>肌肉</w:t>
      </w:r>
      <w:r>
        <w:rPr>
          <w:rFonts w:ascii="Times New Roman"/>
        </w:rPr>
        <w:t>干细胞样本采集、运输、分离、培养、冻存、复苏等生产制备环节进行留样</w:t>
      </w:r>
      <w:r>
        <w:rPr>
          <w:rFonts w:hint="eastAsia" w:ascii="Times New Roman"/>
        </w:rPr>
        <w:t>（保存液、清洗液、培养基上清、冻存液等）</w:t>
      </w:r>
      <w:r>
        <w:rPr>
          <w:rFonts w:ascii="Times New Roman"/>
        </w:rPr>
        <w:t>检测。各类样本中</w:t>
      </w:r>
      <w:r>
        <w:rPr>
          <w:rFonts w:hAnsi="宋体"/>
        </w:rPr>
        <w:t>的内毒素检测值应≤0.5EU/mL。</w:t>
      </w:r>
    </w:p>
    <w:p w14:paraId="582B7066">
      <w:pPr>
        <w:pStyle w:val="174"/>
      </w:pPr>
      <w:r>
        <w:rPr>
          <w:rFonts w:hint="eastAsia"/>
        </w:rPr>
        <w:t>致瘤性检测：</w:t>
      </w:r>
      <w:r>
        <w:rPr>
          <w:rFonts w:ascii="Times New Roman"/>
        </w:rPr>
        <w:t>采用免疫缺陷动物</w:t>
      </w:r>
      <w:r>
        <w:rPr>
          <w:rFonts w:hint="eastAsia" w:ascii="Times New Roman"/>
        </w:rPr>
        <w:t>（裸鼠或SCID鼠）</w:t>
      </w:r>
      <w:r>
        <w:rPr>
          <w:rFonts w:ascii="Times New Roman"/>
        </w:rPr>
        <w:t>，通过局部或静脉方式接种</w:t>
      </w:r>
      <w:r>
        <w:rPr>
          <w:rFonts w:hint="eastAsia" w:ascii="Times New Roman"/>
        </w:rPr>
        <w:t>肌肉</w:t>
      </w:r>
      <w:r>
        <w:rPr>
          <w:rFonts w:ascii="Times New Roman"/>
        </w:rPr>
        <w:t>干细胞，评价</w:t>
      </w:r>
      <w:r>
        <w:rPr>
          <w:rFonts w:hint="eastAsia" w:ascii="Times New Roman"/>
        </w:rPr>
        <w:t>肌肉</w:t>
      </w:r>
      <w:r>
        <w:rPr>
          <w:rFonts w:ascii="Times New Roman"/>
        </w:rPr>
        <w:t>干细胞致瘤性。体内致瘤试验</w:t>
      </w:r>
      <w:r>
        <w:rPr>
          <w:rFonts w:hint="eastAsia" w:ascii="Times New Roman"/>
        </w:rPr>
        <w:t>严格</w:t>
      </w:r>
      <w:r>
        <w:rPr>
          <w:rFonts w:ascii="Times New Roman"/>
        </w:rPr>
        <w:t>遵照动物</w:t>
      </w:r>
      <w:r>
        <w:rPr>
          <w:rFonts w:hint="eastAsia" w:ascii="Times New Roman"/>
        </w:rPr>
        <w:t>伦理</w:t>
      </w:r>
      <w:r>
        <w:rPr>
          <w:rFonts w:ascii="Times New Roman"/>
        </w:rPr>
        <w:t>要求执行，单只小鼠接种</w:t>
      </w:r>
      <w:r>
        <w:rPr>
          <w:rFonts w:hint="eastAsia" w:ascii="Times New Roman"/>
        </w:rPr>
        <w:t>肌肉</w:t>
      </w:r>
      <w:r>
        <w:rPr>
          <w:rFonts w:ascii="Times New Roman"/>
        </w:rPr>
        <w:t>干细胞数量</w:t>
      </w:r>
      <w:r>
        <w:rPr>
          <w:rFonts w:hint="eastAsia" w:ascii="Times New Roman"/>
        </w:rPr>
        <w:t>≥</w:t>
      </w:r>
      <w:r>
        <w:rPr>
          <w:rFonts w:ascii="Times New Roman"/>
        </w:rPr>
        <w:t>10</w:t>
      </w:r>
      <w:r>
        <w:rPr>
          <w:rFonts w:ascii="Times New Roman"/>
          <w:vertAlign w:val="superscript"/>
        </w:rPr>
        <w:t>6</w:t>
      </w:r>
      <w:r>
        <w:rPr>
          <w:rFonts w:ascii="Times New Roman"/>
        </w:rPr>
        <w:t>细胞/kg，观察期</w:t>
      </w:r>
      <w:r>
        <w:rPr>
          <w:rFonts w:hint="eastAsia" w:ascii="Times New Roman"/>
        </w:rPr>
        <w:t>≥</w:t>
      </w:r>
      <w:r>
        <w:rPr>
          <w:rFonts w:ascii="Times New Roman"/>
        </w:rPr>
        <w:t>12周。</w:t>
      </w:r>
      <w:r>
        <w:rPr>
          <w:rFonts w:hint="eastAsia" w:ascii="Times New Roman"/>
        </w:rPr>
        <w:t>肌肉干细胞</w:t>
      </w:r>
      <w:r>
        <w:rPr>
          <w:rFonts w:ascii="Times New Roman"/>
        </w:rPr>
        <w:t>应无致瘤性。</w:t>
      </w:r>
    </w:p>
    <w:p w14:paraId="1583CFE6">
      <w:pPr>
        <w:pStyle w:val="65"/>
        <w:spacing w:before="120" w:after="120"/>
      </w:pPr>
      <w:r>
        <w:rPr>
          <w:rFonts w:hint="eastAsia"/>
        </w:rPr>
        <w:t>人体肌肉干细胞稳定性</w:t>
      </w:r>
    </w:p>
    <w:p w14:paraId="1FF0A50D">
      <w:pPr>
        <w:pStyle w:val="56"/>
        <w:ind w:firstLine="420"/>
        <w:rPr>
          <w:rFonts w:hint="eastAsia"/>
        </w:rPr>
      </w:pPr>
      <w:r>
        <w:rPr>
          <w:rFonts w:hint="eastAsia"/>
        </w:rPr>
        <w:t>人体肌肉干细胞稳定性检测项目包括：</w:t>
      </w:r>
    </w:p>
    <w:p w14:paraId="23E2A80D">
      <w:pPr>
        <w:pStyle w:val="174"/>
        <w:numPr>
          <w:ilvl w:val="0"/>
          <w:numId w:val="39"/>
        </w:numPr>
      </w:pPr>
      <w:r>
        <w:rPr>
          <w:rFonts w:hint="eastAsia"/>
        </w:rPr>
        <w:t>细胞数量和活率检测：</w:t>
      </w:r>
      <w:r>
        <w:rPr>
          <w:rFonts w:hAnsi="宋体"/>
        </w:rPr>
        <w:t>选用血球细胞计数板或细胞计数仪进行细胞计数，将待检测</w:t>
      </w:r>
      <w:r>
        <w:rPr>
          <w:rFonts w:hint="eastAsia" w:hAnsi="宋体"/>
        </w:rPr>
        <w:t>细胞</w:t>
      </w:r>
      <w:r>
        <w:rPr>
          <w:rFonts w:hAnsi="宋体"/>
        </w:rPr>
        <w:t>使用台盼蓝或A0/PI荧光染料染色，读取细胞数并计算活率。各代数及批次</w:t>
      </w:r>
      <w:r>
        <w:rPr>
          <w:rFonts w:hint="eastAsia" w:hAnsi="宋体"/>
        </w:rPr>
        <w:t>肌肉</w:t>
      </w:r>
      <w:r>
        <w:rPr>
          <w:rFonts w:hAnsi="宋体"/>
        </w:rPr>
        <w:t>干细胞活细胞比例</w:t>
      </w:r>
      <w:r>
        <w:rPr>
          <w:rFonts w:hint="eastAsia" w:hAnsi="宋体"/>
        </w:rPr>
        <w:t>≥</w:t>
      </w:r>
      <w:r>
        <w:rPr>
          <w:rFonts w:hAnsi="宋体"/>
        </w:rPr>
        <w:t>90%。</w:t>
      </w:r>
    </w:p>
    <w:p w14:paraId="78CED7C3">
      <w:pPr>
        <w:pStyle w:val="174"/>
      </w:pPr>
      <w:r>
        <w:rPr>
          <w:rFonts w:hint="eastAsia"/>
        </w:rPr>
        <w:t>生长活性检测：</w:t>
      </w:r>
      <w:r>
        <w:rPr>
          <w:rFonts w:hAnsi="宋体"/>
        </w:rPr>
        <w:t>通过检测细胞倍增时间、细胞周期、克隆形成率以及端粒酶活性对</w:t>
      </w:r>
      <w:r>
        <w:rPr>
          <w:rFonts w:hint="eastAsia" w:hAnsi="宋体"/>
        </w:rPr>
        <w:t>肌肉干细胞</w:t>
      </w:r>
      <w:r>
        <w:rPr>
          <w:rFonts w:hAnsi="宋体"/>
        </w:rPr>
        <w:t>生长活性进行测定，各代数及批次</w:t>
      </w:r>
      <w:r>
        <w:rPr>
          <w:rFonts w:hint="eastAsia" w:hAnsi="宋体"/>
        </w:rPr>
        <w:t>肌肉干细胞</w:t>
      </w:r>
      <w:r>
        <w:rPr>
          <w:rFonts w:hAnsi="宋体"/>
        </w:rPr>
        <w:t>应处于指数生长期，GO期细胞数</w:t>
      </w:r>
      <w:r>
        <w:rPr>
          <w:rFonts w:hint="eastAsia" w:hAnsi="宋体"/>
        </w:rPr>
        <w:t>≤</w:t>
      </w:r>
      <w:r>
        <w:rPr>
          <w:rFonts w:hAnsi="宋体"/>
        </w:rPr>
        <w:t>10%，具有端粒酶活性</w:t>
      </w:r>
      <w:r>
        <w:rPr>
          <w:rFonts w:hint="eastAsia" w:hAnsi="宋体"/>
        </w:rPr>
        <w:t>。</w:t>
      </w:r>
    </w:p>
    <w:p w14:paraId="3613FAB6">
      <w:pPr>
        <w:pStyle w:val="174"/>
      </w:pPr>
      <w:r>
        <w:rPr>
          <w:rFonts w:hint="eastAsia"/>
        </w:rPr>
        <w:t>细胞纯度和均一性检测：</w:t>
      </w:r>
      <w:r>
        <w:rPr>
          <w:rFonts w:hint="eastAsia" w:hAnsi="宋体"/>
        </w:rPr>
        <w:t>采用肌肉干细胞表面标志物流式检测以及人基因组DNA短片段重复序列(STR)测序进行检定。各代数及批次肌肉干细胞表面标志物表达应符合流式检测比例要求，单一细胞系的肌肉干细胞各代次及批次细胞STR检测结果应保持一致</w:t>
      </w:r>
      <w:r>
        <w:rPr>
          <w:rFonts w:hint="eastAsia" w:ascii="Times New Roman"/>
        </w:rPr>
        <w:t>。</w:t>
      </w:r>
    </w:p>
    <w:p w14:paraId="3785D782">
      <w:pPr>
        <w:pStyle w:val="65"/>
        <w:spacing w:before="120" w:after="120"/>
      </w:pPr>
      <w:r>
        <w:rPr>
          <w:rFonts w:hint="eastAsia"/>
        </w:rPr>
        <w:t>人体肌肉干细胞生物学特征</w:t>
      </w:r>
    </w:p>
    <w:p w14:paraId="3CDD02E7">
      <w:pPr>
        <w:pStyle w:val="56"/>
        <w:ind w:firstLine="420"/>
        <w:rPr>
          <w:rFonts w:hint="eastAsia"/>
        </w:rPr>
      </w:pPr>
      <w:r>
        <w:rPr>
          <w:rFonts w:hint="eastAsia"/>
        </w:rPr>
        <w:t>人体肌肉干细胞生物学特征检测项目包括：</w:t>
      </w:r>
    </w:p>
    <w:p w14:paraId="115463D6">
      <w:pPr>
        <w:pStyle w:val="174"/>
        <w:numPr>
          <w:ilvl w:val="0"/>
          <w:numId w:val="40"/>
        </w:numPr>
      </w:pPr>
      <w:r>
        <w:rPr>
          <w:rFonts w:hint="eastAsia"/>
        </w:rPr>
        <w:t>细胞形态检测：显微镜下观察，肌肉干细胞贴壁生长，呈短梭形外观，形态均一，细胞之间无密切接触；</w:t>
      </w:r>
    </w:p>
    <w:p w14:paraId="665F7176">
      <w:pPr>
        <w:pStyle w:val="174"/>
      </w:pPr>
      <w:r>
        <w:rPr>
          <w:rFonts w:hint="eastAsia"/>
        </w:rPr>
        <w:t>细胞表面标志物检测：</w:t>
      </w:r>
      <w:r>
        <w:rPr>
          <w:rFonts w:hAnsi="宋体"/>
        </w:rPr>
        <w:t>采用流式细胞术进行测定，</w:t>
      </w:r>
      <w:r>
        <w:rPr>
          <w:rFonts w:hint="eastAsia" w:hAnsi="宋体"/>
        </w:rPr>
        <w:t>肌肉</w:t>
      </w:r>
      <w:r>
        <w:rPr>
          <w:rFonts w:hAnsi="宋体"/>
        </w:rPr>
        <w:t>干细胞表面标志物</w:t>
      </w:r>
      <w:r>
        <w:rPr>
          <w:rFonts w:hint="eastAsia" w:hAnsi="宋体" w:cs="宋体"/>
        </w:rPr>
        <w:t>Integrin α7、Notch1和细胞核内标志物Pax7、myogenin阳</w:t>
      </w:r>
      <w:r>
        <w:rPr>
          <w:rFonts w:hAnsi="宋体"/>
        </w:rPr>
        <w:t>性率不低于9</w:t>
      </w:r>
      <w:r>
        <w:rPr>
          <w:rFonts w:hint="eastAsia" w:hAnsi="宋体"/>
        </w:rPr>
        <w:t>5</w:t>
      </w:r>
      <w:r>
        <w:rPr>
          <w:rFonts w:hAnsi="宋体"/>
        </w:rPr>
        <w:t>%；CD31、CD34、CD45、CD73、CD90、</w:t>
      </w:r>
      <w:r>
        <w:rPr>
          <w:rFonts w:hint="eastAsia" w:hAnsi="宋体"/>
        </w:rPr>
        <w:t>CD105</w:t>
      </w:r>
      <w:r>
        <w:rPr>
          <w:rFonts w:hAnsi="宋体"/>
        </w:rPr>
        <w:t>阳性率不高于5%。</w:t>
      </w:r>
    </w:p>
    <w:p w14:paraId="25308264">
      <w:pPr>
        <w:pStyle w:val="174"/>
      </w:pPr>
      <w:r>
        <w:rPr>
          <w:rFonts w:hint="eastAsia"/>
        </w:rPr>
        <w:t>分化能力检测：采用体外条件培养基诱导培养下，肌肉干细胞应能够分化为成肌肉、脂肪、骨、软骨细胞。成肌分化经观察多核的肌管的形成鉴定，成脂分化经油红0染色法鉴定，成骨分化经茜素红染色法鉴定，成软骨分化经阿尔辛蓝染色法鉴定。</w:t>
      </w:r>
    </w:p>
    <w:p w14:paraId="15212906">
      <w:pPr>
        <w:pStyle w:val="174"/>
      </w:pPr>
      <w:r>
        <w:rPr>
          <w:rFonts w:hint="eastAsia"/>
        </w:rPr>
        <w:t>染色体核型检测：</w:t>
      </w:r>
      <w:r>
        <w:rPr>
          <w:rFonts w:hAnsi="宋体"/>
        </w:rPr>
        <w:t>采用G带分析法进行测定，</w:t>
      </w:r>
      <w:r>
        <w:rPr>
          <w:rFonts w:hint="eastAsia" w:hAnsi="宋体"/>
        </w:rPr>
        <w:t>肌肉</w:t>
      </w:r>
      <w:r>
        <w:rPr>
          <w:rFonts w:hAnsi="宋体"/>
        </w:rPr>
        <w:t>干细胞染色体数量为46(含XX/XY)，无染色体缺失、异位和重排现象。</w:t>
      </w:r>
    </w:p>
    <w:p w14:paraId="342F8001">
      <w:pPr>
        <w:pStyle w:val="105"/>
        <w:spacing w:before="120" w:after="120"/>
      </w:pPr>
      <w:bookmarkStart w:id="127" w:name="_Toc2861"/>
      <w:r>
        <w:rPr>
          <w:rFonts w:hint="eastAsia"/>
        </w:rPr>
        <w:t>质控分类</w:t>
      </w:r>
      <w:bookmarkEnd w:id="127"/>
    </w:p>
    <w:p w14:paraId="1D4E8261">
      <w:pPr>
        <w:pStyle w:val="65"/>
        <w:spacing w:before="120" w:after="120"/>
      </w:pPr>
      <w:r>
        <w:rPr>
          <w:rFonts w:hint="eastAsia"/>
        </w:rPr>
        <w:t>批次质量检验</w:t>
      </w:r>
    </w:p>
    <w:p w14:paraId="67EC78CF">
      <w:pPr>
        <w:pStyle w:val="56"/>
        <w:ind w:firstLine="420"/>
        <w:rPr>
          <w:highlight w:val="green"/>
        </w:rPr>
      </w:pPr>
      <w:r>
        <w:rPr>
          <w:rFonts w:hint="eastAsia" w:ascii="Times New Roman"/>
        </w:rPr>
        <w:t>人体肌肉</w:t>
      </w:r>
      <w:r>
        <w:rPr>
          <w:rFonts w:ascii="Times New Roman"/>
        </w:rPr>
        <w:t>干细胞制备机构应对由同一供体、同一时间、使用同一工艺采集和分离获得的干细胞进行例行批次质量检验。当制备工艺、耗材、试剂、场地或规模等条件发生时，制备机构应对多批次干细胞制剂进行质量检验，确保工艺和质量稳定合格，记录入档保存至少30年。质量控制检测表参</w:t>
      </w:r>
      <w:r>
        <w:rPr>
          <w:rFonts w:hint="eastAsia" w:ascii="Times New Roman"/>
        </w:rPr>
        <w:t>见</w:t>
      </w:r>
      <w:r>
        <w:rPr>
          <w:rFonts w:ascii="Times New Roman"/>
        </w:rPr>
        <w:t>附录</w:t>
      </w:r>
      <w:r>
        <w:rPr>
          <w:rFonts w:hint="eastAsia" w:ascii="Times New Roman"/>
        </w:rPr>
        <w:t>A</w:t>
      </w:r>
      <w:r>
        <w:rPr>
          <w:rFonts w:ascii="Times New Roman"/>
        </w:rPr>
        <w:t>。</w:t>
      </w:r>
    </w:p>
    <w:p w14:paraId="75E39887">
      <w:pPr>
        <w:pStyle w:val="65"/>
        <w:spacing w:before="120" w:after="120"/>
      </w:pPr>
      <w:r>
        <w:rPr>
          <w:rFonts w:hint="eastAsia"/>
        </w:rPr>
        <w:t>放行质量检验</w:t>
      </w:r>
    </w:p>
    <w:p w14:paraId="375F727F">
      <w:pPr>
        <w:pStyle w:val="56"/>
        <w:ind w:firstLine="420"/>
        <w:rPr>
          <w:rFonts w:ascii="Times New Roman"/>
        </w:rPr>
      </w:pPr>
      <w:r>
        <w:rPr>
          <w:rFonts w:ascii="Times New Roman"/>
        </w:rPr>
        <w:t>每一批次</w:t>
      </w:r>
      <w:r>
        <w:rPr>
          <w:rFonts w:hint="eastAsia" w:ascii="Times New Roman"/>
        </w:rPr>
        <w:t>肌肉</w:t>
      </w:r>
      <w:r>
        <w:rPr>
          <w:rFonts w:ascii="Times New Roman"/>
        </w:rPr>
        <w:t>干细胞制剂在临床使用前应在完成例行质量检验的基础上，由干细胞临床研究机构质检平台进行快速和简化的质量检测，应包括但不限于活率、细胞表型、细菌、病毒、支原体和内毒素含量等，确认</w:t>
      </w:r>
      <w:r>
        <w:rPr>
          <w:rFonts w:hint="eastAsia" w:ascii="Times New Roman"/>
        </w:rPr>
        <w:t>细胞</w:t>
      </w:r>
      <w:r>
        <w:rPr>
          <w:rFonts w:ascii="Times New Roman"/>
        </w:rPr>
        <w:t>合格后方可申请临床放行使用。相关记录报告应入档保存至少30年。</w:t>
      </w:r>
    </w:p>
    <w:p w14:paraId="63B84AED">
      <w:pPr>
        <w:pStyle w:val="65"/>
        <w:spacing w:before="120" w:after="120"/>
      </w:pPr>
      <w:r>
        <w:rPr>
          <w:rFonts w:hint="eastAsia"/>
        </w:rPr>
        <w:t>复核质量检验</w:t>
      </w:r>
    </w:p>
    <w:p w14:paraId="301F494E">
      <w:pPr>
        <w:pStyle w:val="56"/>
        <w:ind w:firstLine="420"/>
        <w:rPr>
          <w:rFonts w:ascii="Times New Roman"/>
        </w:rPr>
      </w:pPr>
      <w:r>
        <w:rPr>
          <w:rFonts w:hint="eastAsia" w:ascii="Times New Roman"/>
        </w:rPr>
        <w:t>人体肌肉</w:t>
      </w:r>
      <w:r>
        <w:rPr>
          <w:rFonts w:ascii="Times New Roman"/>
        </w:rPr>
        <w:t>干细胞制备机构应对每一批次干细胞制剂单独留样保存，详细记录批号、代次、生产日期、来源等信息。定期由国家或地方相关部门授权的专业细胞检验机构或实验室进行</w:t>
      </w:r>
      <w:r>
        <w:rPr>
          <w:rFonts w:hint="eastAsia" w:ascii="Times New Roman"/>
        </w:rPr>
        <w:t>肌肉</w:t>
      </w:r>
      <w:r>
        <w:rPr>
          <w:rFonts w:ascii="Times New Roman"/>
        </w:rPr>
        <w:t>干细胞制剂的质量复核检验，并出具检验报告，入档保存至少30年。复核质量检验报告出具时间应在该批次</w:t>
      </w:r>
      <w:r>
        <w:rPr>
          <w:rFonts w:hint="eastAsia" w:ascii="Times New Roman"/>
        </w:rPr>
        <w:t>肌肉干细胞</w:t>
      </w:r>
      <w:r>
        <w:rPr>
          <w:rFonts w:ascii="Times New Roman"/>
        </w:rPr>
        <w:t>制剂提出放行申请之前，并作为放行检验参考。</w:t>
      </w:r>
    </w:p>
    <w:p w14:paraId="3B4BFBB2">
      <w:pPr>
        <w:pStyle w:val="104"/>
        <w:spacing w:before="240" w:after="240"/>
      </w:pPr>
      <w:bookmarkStart w:id="128" w:name="_Toc10120"/>
      <w:bookmarkStart w:id="129" w:name="_Toc1957"/>
      <w:bookmarkStart w:id="130" w:name="_Toc139436581"/>
      <w:bookmarkStart w:id="131" w:name="_Toc139526989"/>
      <w:bookmarkStart w:id="132" w:name="_Toc170228402"/>
      <w:r>
        <w:rPr>
          <w:rFonts w:hint="eastAsia"/>
        </w:rPr>
        <w:t>质量评价与放行</w:t>
      </w:r>
      <w:bookmarkEnd w:id="128"/>
      <w:bookmarkEnd w:id="129"/>
      <w:bookmarkEnd w:id="130"/>
      <w:bookmarkEnd w:id="131"/>
      <w:bookmarkEnd w:id="132"/>
    </w:p>
    <w:p w14:paraId="6D03A4A4">
      <w:pPr>
        <w:pStyle w:val="105"/>
        <w:spacing w:before="120" w:after="120"/>
      </w:pPr>
      <w:bookmarkStart w:id="133" w:name="_Toc12001"/>
      <w:r>
        <w:rPr>
          <w:rFonts w:hint="eastAsia"/>
        </w:rPr>
        <w:t>质量评价内容</w:t>
      </w:r>
      <w:bookmarkEnd w:id="133"/>
    </w:p>
    <w:p w14:paraId="3FD024A2">
      <w:pPr>
        <w:pStyle w:val="165"/>
      </w:pPr>
      <w:r>
        <w:rPr>
          <w:rFonts w:hint="eastAsia"/>
        </w:rPr>
        <w:t>供者健康筛查结果应符合合格供者要求并签署了知情同意书。</w:t>
      </w:r>
    </w:p>
    <w:p w14:paraId="2F1A3AD6">
      <w:pPr>
        <w:pStyle w:val="165"/>
      </w:pPr>
      <w:r>
        <w:rPr>
          <w:rFonts w:hint="eastAsia"/>
        </w:rPr>
        <w:t>肌肉及检测标本的采集和运输符合标准要求。</w:t>
      </w:r>
    </w:p>
    <w:p w14:paraId="1C4FF15F">
      <w:pPr>
        <w:pStyle w:val="165"/>
      </w:pPr>
      <w:r>
        <w:rPr>
          <w:rFonts w:hint="eastAsia"/>
        </w:rPr>
        <w:t>肌肉及检测标本的接收、标识以及暂存符合标准要求。</w:t>
      </w:r>
    </w:p>
    <w:p w14:paraId="41EB83E2">
      <w:pPr>
        <w:pStyle w:val="165"/>
      </w:pPr>
      <w:r>
        <w:rPr>
          <w:rFonts w:hint="eastAsia"/>
        </w:rPr>
        <w:t>细胞分离、处理、检测区域应满足操作要求，有洁净要求的操作环境应满足相应级别环境要求，应有定期环境监控；细胞分离、处理各工序完毕后均应及时清场；现场应无污染及交叉污染，如有传染病原体或污染物，应得到有效隔离或清除。</w:t>
      </w:r>
    </w:p>
    <w:p w14:paraId="032F3BB0">
      <w:pPr>
        <w:pStyle w:val="165"/>
      </w:pPr>
      <w:r>
        <w:rPr>
          <w:rFonts w:hint="eastAsia"/>
        </w:rPr>
        <w:t>细胞在分离、处理及检测等过程中所涉及的人员均已通过考核合格后上岗。</w:t>
      </w:r>
    </w:p>
    <w:p w14:paraId="46118676">
      <w:pPr>
        <w:pStyle w:val="165"/>
      </w:pPr>
      <w:r>
        <w:rPr>
          <w:rFonts w:hint="eastAsia"/>
        </w:rPr>
        <w:t>细胞分离、处理、检测等所使用的设备应符合设备管理要求（标识清晰正确，在合格计量校验期内定期维护保养等）；与细胞接触的器械应经消毒灭菌并在有效期内。</w:t>
      </w:r>
    </w:p>
    <w:p w14:paraId="29602733">
      <w:pPr>
        <w:pStyle w:val="165"/>
      </w:pPr>
      <w:r>
        <w:rPr>
          <w:rFonts w:hint="eastAsia"/>
        </w:rPr>
        <w:t>细胞制备、检测所用物料应经确认来自合格供应商，关键物料均应经抽样检测并确认其质量合格。试剂及耗材的有效期应在规定期限内，批号应按照要求记录下来以便具有可追溯性。</w:t>
      </w:r>
    </w:p>
    <w:p w14:paraId="68CCA132">
      <w:pPr>
        <w:pStyle w:val="165"/>
      </w:pPr>
      <w:r>
        <w:rPr>
          <w:rFonts w:hint="eastAsia"/>
        </w:rPr>
        <w:t xml:space="preserve">应核对供者检测报告，其内容至少包括：乙型肝炎病毒表面抗原（HBsAg）、丙型肝炎病毒抗体（HCVAb）、梅毒螺旋体特异性抗体（Anti-TP）、人类免疫缺陷病毒I/Ⅱ型抗体（HIV-I/ⅡAb）和丙氨酸氨基转移酶（ALT）等，其余检测项目全部符合质量标准要求。采集时间距制备时间在要求时限以内，无凝血现象，病原体检测及筛查标准按照产品质量标准执行。               </w:t>
      </w:r>
    </w:p>
    <w:p w14:paraId="0D50FAEC">
      <w:pPr>
        <w:pStyle w:val="165"/>
      </w:pPr>
      <w:r>
        <w:rPr>
          <w:rFonts w:hint="eastAsia"/>
        </w:rPr>
        <w:t>细胞分离、处理、检测和过程监控程序应与机构批准的管理文件内容一致。记录填写应真实、完整、正确，关键计算结果应进行确认。</w:t>
      </w:r>
    </w:p>
    <w:p w14:paraId="76B6D798">
      <w:pPr>
        <w:pStyle w:val="165"/>
      </w:pPr>
      <w:r>
        <w:rPr>
          <w:rFonts w:hint="eastAsia"/>
        </w:rPr>
        <w:t>样本在采集、运输、制备、分离、冻存、发放过程中不存在任何重大偏差；若有偏差发生，均应通过合适的评价，并采取了有效的纠正措施。</w:t>
      </w:r>
    </w:p>
    <w:p w14:paraId="5F79D455">
      <w:pPr>
        <w:pStyle w:val="165"/>
      </w:pPr>
      <w:r>
        <w:rPr>
          <w:rFonts w:hint="eastAsia"/>
        </w:rPr>
        <w:t>数量及包装：装量细胞数量与临床需求一致；细胞包装满足运输要求，细胞的内、外包装标签内容与公司规定内容相符，经双人复核确认其准确性和完整性。</w:t>
      </w:r>
    </w:p>
    <w:p w14:paraId="5FD3B34B">
      <w:pPr>
        <w:pStyle w:val="165"/>
      </w:pPr>
      <w:r>
        <w:rPr>
          <w:rFonts w:hint="eastAsia"/>
        </w:rPr>
        <w:t>异常事件调查：过程中若出现异常，应进行调查处理，按调查处理意见执行。异常处理的有关记录应归入对应批次细胞制备档案中。</w:t>
      </w:r>
    </w:p>
    <w:p w14:paraId="57922C18">
      <w:pPr>
        <w:pStyle w:val="165"/>
      </w:pPr>
      <w:r>
        <w:rPr>
          <w:rFonts w:hint="eastAsia"/>
        </w:rPr>
        <w:t>其他需要考虑的因素。</w:t>
      </w:r>
    </w:p>
    <w:p w14:paraId="1DB28B7C">
      <w:pPr>
        <w:pStyle w:val="105"/>
        <w:spacing w:before="120" w:after="120"/>
      </w:pPr>
      <w:bookmarkStart w:id="134" w:name="_Toc23935"/>
      <w:r>
        <w:rPr>
          <w:rFonts w:hint="eastAsia"/>
        </w:rPr>
        <w:t>评价结论</w:t>
      </w:r>
      <w:bookmarkEnd w:id="134"/>
    </w:p>
    <w:p w14:paraId="659DC3B3">
      <w:pPr>
        <w:pStyle w:val="165"/>
      </w:pPr>
      <w:r>
        <w:rPr>
          <w:rFonts w:hint="eastAsia"/>
        </w:rPr>
        <w:t>如果细胞质量评价各项都满足11.1的要求，则视为合格品，可转为长期储存。</w:t>
      </w:r>
    </w:p>
    <w:p w14:paraId="706997F2">
      <w:pPr>
        <w:pStyle w:val="165"/>
      </w:pPr>
      <w:r>
        <w:rPr>
          <w:rFonts w:hint="eastAsia"/>
        </w:rPr>
        <w:t>如果细胞质量评价未能满足</w:t>
      </w:r>
      <w:r>
        <w:t>11.1</w:t>
      </w:r>
      <w:r>
        <w:rPr>
          <w:rFonts w:hint="eastAsia"/>
        </w:rPr>
        <w:t>的要求，则应视为不合格品，不可使用。不合格品的处理应符合医疗废弃物处理管理的相关规定，涉及传染性病原体阳性、致病性微生物阳性的不合格品应进行灭活处理。</w:t>
      </w:r>
    </w:p>
    <w:p w14:paraId="160CA723">
      <w:pPr>
        <w:pStyle w:val="165"/>
        <w:sectPr>
          <w:pgSz w:w="11906" w:h="16838"/>
          <w:pgMar w:top="1928" w:right="1134" w:bottom="1134" w:left="1134" w:header="1418" w:footer="1134" w:gutter="284"/>
          <w:pgNumType w:start="1"/>
          <w:cols w:space="425" w:num="1"/>
          <w:formProt w:val="0"/>
          <w:docGrid w:linePitch="312" w:charSpace="0"/>
        </w:sectPr>
      </w:pPr>
    </w:p>
    <w:bookmarkEnd w:id="22"/>
    <w:p w14:paraId="2960D707">
      <w:pPr>
        <w:pStyle w:val="198"/>
        <w:rPr>
          <w:vanish w:val="0"/>
        </w:rPr>
      </w:pPr>
      <w:bookmarkStart w:id="135" w:name="BookMark5"/>
    </w:p>
    <w:p w14:paraId="0325F506">
      <w:pPr>
        <w:pStyle w:val="199"/>
        <w:rPr>
          <w:vanish w:val="0"/>
        </w:rPr>
      </w:pPr>
    </w:p>
    <w:p w14:paraId="6235939C">
      <w:pPr>
        <w:pStyle w:val="76"/>
        <w:spacing w:after="120"/>
      </w:pPr>
      <w:r>
        <w:br w:type="textWrapping"/>
      </w:r>
      <w:bookmarkStart w:id="136" w:name="_Toc170228403"/>
      <w:bookmarkStart w:id="137" w:name="_Toc139526990"/>
      <w:bookmarkStart w:id="138" w:name="_Toc139436582"/>
      <w:r>
        <w:rPr>
          <w:rFonts w:hint="eastAsia"/>
        </w:rPr>
        <w:t>（资料性）</w:t>
      </w:r>
      <w:r>
        <w:br w:type="textWrapping"/>
      </w:r>
      <w:r>
        <w:rPr>
          <w:rFonts w:hint="eastAsia"/>
        </w:rPr>
        <w:t>人体肌肉干细胞质量控制检测表</w:t>
      </w:r>
      <w:bookmarkEnd w:id="136"/>
      <w:bookmarkEnd w:id="137"/>
      <w:bookmarkEnd w:id="138"/>
    </w:p>
    <w:tbl>
      <w:tblPr>
        <w:tblStyle w:val="2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50"/>
        <w:gridCol w:w="992"/>
        <w:gridCol w:w="3686"/>
        <w:gridCol w:w="709"/>
        <w:gridCol w:w="850"/>
        <w:gridCol w:w="702"/>
      </w:tblGrid>
      <w:tr w14:paraId="6AA4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C6CBCDD">
            <w:pPr>
              <w:spacing w:line="240" w:lineRule="auto"/>
              <w:jc w:val="center"/>
              <w:rPr>
                <w:rFonts w:ascii="宋体" w:hAnsi="宋体" w:cs="Calibri"/>
                <w:sz w:val="18"/>
                <w:szCs w:val="18"/>
              </w:rPr>
            </w:pPr>
            <w:r>
              <w:rPr>
                <w:rFonts w:hint="eastAsia" w:ascii="宋体" w:hAnsi="宋体" w:cs="Calibri"/>
                <w:sz w:val="18"/>
                <w:szCs w:val="18"/>
              </w:rPr>
              <w:t>检测项目</w:t>
            </w:r>
          </w:p>
        </w:tc>
        <w:tc>
          <w:tcPr>
            <w:tcW w:w="850" w:type="dxa"/>
            <w:vAlign w:val="center"/>
          </w:tcPr>
          <w:p w14:paraId="32963810">
            <w:pPr>
              <w:spacing w:line="240" w:lineRule="auto"/>
              <w:jc w:val="center"/>
              <w:rPr>
                <w:rFonts w:ascii="宋体" w:hAnsi="宋体" w:cs="Calibri"/>
                <w:sz w:val="18"/>
                <w:szCs w:val="18"/>
              </w:rPr>
            </w:pPr>
            <w:r>
              <w:rPr>
                <w:rFonts w:hint="eastAsia" w:ascii="宋体" w:hAnsi="宋体" w:cs="Calibri"/>
                <w:sz w:val="18"/>
                <w:szCs w:val="18"/>
              </w:rPr>
              <w:t>取样</w:t>
            </w:r>
          </w:p>
          <w:p w14:paraId="47F1861E">
            <w:pPr>
              <w:spacing w:line="240" w:lineRule="auto"/>
              <w:jc w:val="center"/>
              <w:rPr>
                <w:rFonts w:ascii="宋体" w:hAnsi="宋体" w:cs="Calibri"/>
                <w:sz w:val="18"/>
                <w:szCs w:val="18"/>
              </w:rPr>
            </w:pPr>
            <w:r>
              <w:rPr>
                <w:rFonts w:hint="eastAsia" w:ascii="宋体" w:hAnsi="宋体" w:cs="Calibri"/>
                <w:sz w:val="18"/>
                <w:szCs w:val="18"/>
              </w:rPr>
              <w:t>时间点</w:t>
            </w:r>
          </w:p>
        </w:tc>
        <w:tc>
          <w:tcPr>
            <w:tcW w:w="992" w:type="dxa"/>
            <w:vAlign w:val="center"/>
          </w:tcPr>
          <w:p w14:paraId="17B3119B">
            <w:pPr>
              <w:spacing w:line="240" w:lineRule="auto"/>
              <w:jc w:val="center"/>
              <w:rPr>
                <w:rFonts w:ascii="宋体" w:hAnsi="宋体" w:cs="Calibri"/>
                <w:sz w:val="18"/>
                <w:szCs w:val="18"/>
              </w:rPr>
            </w:pPr>
            <w:r>
              <w:rPr>
                <w:rFonts w:hint="eastAsia" w:ascii="宋体" w:hAnsi="宋体" w:cs="Calibri"/>
                <w:sz w:val="18"/>
                <w:szCs w:val="18"/>
              </w:rPr>
              <w:t>样品名称</w:t>
            </w:r>
          </w:p>
          <w:p w14:paraId="4BB71F94">
            <w:pPr>
              <w:spacing w:line="240" w:lineRule="auto"/>
              <w:jc w:val="center"/>
              <w:rPr>
                <w:rFonts w:ascii="宋体" w:hAnsi="宋体" w:cs="Calibri"/>
                <w:sz w:val="18"/>
                <w:szCs w:val="18"/>
              </w:rPr>
            </w:pPr>
            <w:r>
              <w:rPr>
                <w:rFonts w:hint="eastAsia" w:ascii="宋体" w:hAnsi="宋体" w:cs="Calibri"/>
                <w:sz w:val="18"/>
                <w:szCs w:val="18"/>
              </w:rPr>
              <w:t>及数量</w:t>
            </w:r>
          </w:p>
        </w:tc>
        <w:tc>
          <w:tcPr>
            <w:tcW w:w="3686" w:type="dxa"/>
            <w:vAlign w:val="center"/>
          </w:tcPr>
          <w:p w14:paraId="4B435A6A">
            <w:pPr>
              <w:spacing w:line="240" w:lineRule="auto"/>
              <w:jc w:val="center"/>
              <w:rPr>
                <w:rFonts w:ascii="宋体" w:hAnsi="宋体" w:cs="Calibri"/>
                <w:sz w:val="18"/>
                <w:szCs w:val="18"/>
              </w:rPr>
            </w:pPr>
            <w:r>
              <w:rPr>
                <w:rFonts w:hint="eastAsia" w:ascii="宋体" w:hAnsi="宋体" w:cs="Calibri"/>
                <w:sz w:val="18"/>
                <w:szCs w:val="18"/>
              </w:rPr>
              <w:t>检测内容</w:t>
            </w:r>
          </w:p>
        </w:tc>
        <w:tc>
          <w:tcPr>
            <w:tcW w:w="709" w:type="dxa"/>
            <w:vAlign w:val="center"/>
          </w:tcPr>
          <w:p w14:paraId="71F072B1">
            <w:pPr>
              <w:spacing w:line="240" w:lineRule="auto"/>
              <w:jc w:val="center"/>
              <w:rPr>
                <w:rFonts w:ascii="宋体" w:hAnsi="宋体" w:cs="Calibri"/>
                <w:sz w:val="18"/>
                <w:szCs w:val="18"/>
              </w:rPr>
            </w:pPr>
            <w:r>
              <w:rPr>
                <w:rFonts w:hint="eastAsia" w:ascii="宋体" w:hAnsi="宋体" w:cs="Calibri"/>
                <w:sz w:val="18"/>
                <w:szCs w:val="18"/>
              </w:rPr>
              <w:t>检测结果</w:t>
            </w:r>
          </w:p>
        </w:tc>
        <w:tc>
          <w:tcPr>
            <w:tcW w:w="850" w:type="dxa"/>
            <w:vAlign w:val="center"/>
          </w:tcPr>
          <w:p w14:paraId="306CD681">
            <w:pPr>
              <w:spacing w:line="240" w:lineRule="auto"/>
              <w:jc w:val="center"/>
              <w:rPr>
                <w:rFonts w:ascii="宋体" w:hAnsi="宋体" w:cs="Calibri"/>
                <w:sz w:val="18"/>
                <w:szCs w:val="18"/>
              </w:rPr>
            </w:pPr>
            <w:r>
              <w:rPr>
                <w:rFonts w:hint="eastAsia" w:ascii="宋体" w:hAnsi="宋体" w:cs="Calibri"/>
                <w:sz w:val="18"/>
                <w:szCs w:val="18"/>
              </w:rPr>
              <w:t>检测人</w:t>
            </w:r>
          </w:p>
          <w:p w14:paraId="5A6DE369">
            <w:pPr>
              <w:spacing w:line="240" w:lineRule="auto"/>
              <w:jc w:val="center"/>
              <w:rPr>
                <w:rFonts w:ascii="宋体" w:hAnsi="宋体" w:cs="Calibri"/>
                <w:sz w:val="18"/>
                <w:szCs w:val="18"/>
              </w:rPr>
            </w:pPr>
            <w:r>
              <w:rPr>
                <w:rFonts w:hint="eastAsia" w:ascii="宋体" w:hAnsi="宋体" w:cs="Calibri"/>
                <w:sz w:val="18"/>
                <w:szCs w:val="18"/>
              </w:rPr>
              <w:t>信息</w:t>
            </w:r>
          </w:p>
        </w:tc>
        <w:tc>
          <w:tcPr>
            <w:tcW w:w="702" w:type="dxa"/>
            <w:vAlign w:val="center"/>
          </w:tcPr>
          <w:p w14:paraId="44BA1719">
            <w:pPr>
              <w:spacing w:line="240" w:lineRule="auto"/>
              <w:jc w:val="center"/>
              <w:rPr>
                <w:rFonts w:ascii="宋体" w:hAnsi="宋体" w:cs="Calibri"/>
                <w:sz w:val="18"/>
                <w:szCs w:val="18"/>
              </w:rPr>
            </w:pPr>
            <w:r>
              <w:rPr>
                <w:rFonts w:hint="eastAsia" w:ascii="宋体" w:hAnsi="宋体" w:cs="Calibri"/>
                <w:sz w:val="18"/>
                <w:szCs w:val="18"/>
              </w:rPr>
              <w:t>备注</w:t>
            </w:r>
          </w:p>
          <w:p w14:paraId="3214FFC3">
            <w:pPr>
              <w:spacing w:line="240" w:lineRule="auto"/>
              <w:jc w:val="center"/>
              <w:rPr>
                <w:rFonts w:ascii="宋体" w:hAnsi="宋体" w:cs="Calibri"/>
                <w:sz w:val="18"/>
                <w:szCs w:val="18"/>
              </w:rPr>
            </w:pPr>
            <w:r>
              <w:rPr>
                <w:rFonts w:hint="eastAsia" w:ascii="宋体" w:hAnsi="宋体" w:cs="Calibri"/>
                <w:sz w:val="18"/>
                <w:szCs w:val="18"/>
              </w:rPr>
              <w:t>信息</w:t>
            </w:r>
          </w:p>
        </w:tc>
      </w:tr>
      <w:tr w14:paraId="2CF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8E6A7E5">
            <w:pPr>
              <w:spacing w:line="240" w:lineRule="auto"/>
              <w:jc w:val="center"/>
              <w:rPr>
                <w:rFonts w:ascii="宋体" w:hAnsi="宋体" w:cs="Calibri"/>
                <w:sz w:val="18"/>
                <w:szCs w:val="18"/>
              </w:rPr>
            </w:pPr>
            <w:r>
              <w:rPr>
                <w:rFonts w:hint="eastAsia" w:ascii="宋体" w:hAnsi="宋体" w:cs="Calibri"/>
                <w:sz w:val="18"/>
                <w:szCs w:val="18"/>
              </w:rPr>
              <w:t>细胞形态</w:t>
            </w:r>
          </w:p>
        </w:tc>
        <w:tc>
          <w:tcPr>
            <w:tcW w:w="850" w:type="dxa"/>
            <w:vAlign w:val="center"/>
          </w:tcPr>
          <w:p w14:paraId="53C3DF3F">
            <w:pPr>
              <w:spacing w:line="240" w:lineRule="auto"/>
              <w:jc w:val="center"/>
              <w:rPr>
                <w:rFonts w:ascii="宋体" w:hAnsi="宋体" w:cs="Calibri"/>
                <w:sz w:val="18"/>
                <w:szCs w:val="18"/>
              </w:rPr>
            </w:pPr>
          </w:p>
        </w:tc>
        <w:tc>
          <w:tcPr>
            <w:tcW w:w="992" w:type="dxa"/>
            <w:vAlign w:val="center"/>
          </w:tcPr>
          <w:p w14:paraId="1C5852AC">
            <w:pPr>
              <w:spacing w:line="240" w:lineRule="auto"/>
              <w:jc w:val="center"/>
              <w:rPr>
                <w:rFonts w:ascii="宋体" w:hAnsi="宋体" w:cs="Calibri"/>
                <w:sz w:val="18"/>
                <w:szCs w:val="18"/>
              </w:rPr>
            </w:pPr>
          </w:p>
        </w:tc>
        <w:tc>
          <w:tcPr>
            <w:tcW w:w="3686" w:type="dxa"/>
            <w:vAlign w:val="center"/>
          </w:tcPr>
          <w:p w14:paraId="036861B6">
            <w:pPr>
              <w:spacing w:line="240" w:lineRule="auto"/>
              <w:jc w:val="center"/>
              <w:rPr>
                <w:rFonts w:ascii="宋体" w:hAnsi="宋体" w:cs="Calibri"/>
                <w:sz w:val="18"/>
                <w:szCs w:val="18"/>
              </w:rPr>
            </w:pPr>
            <w:r>
              <w:rPr>
                <w:rFonts w:hint="eastAsia" w:ascii="宋体" w:hAnsi="宋体" w:cs="Calibri"/>
                <w:sz w:val="18"/>
                <w:szCs w:val="18"/>
              </w:rPr>
              <w:t>采用显微镜进行镜检</w:t>
            </w:r>
          </w:p>
        </w:tc>
        <w:tc>
          <w:tcPr>
            <w:tcW w:w="709" w:type="dxa"/>
            <w:vAlign w:val="center"/>
          </w:tcPr>
          <w:p w14:paraId="567932B2">
            <w:pPr>
              <w:spacing w:line="240" w:lineRule="auto"/>
              <w:jc w:val="center"/>
              <w:rPr>
                <w:rFonts w:ascii="宋体" w:hAnsi="宋体" w:cs="Calibri"/>
                <w:sz w:val="18"/>
                <w:szCs w:val="18"/>
              </w:rPr>
            </w:pPr>
          </w:p>
        </w:tc>
        <w:tc>
          <w:tcPr>
            <w:tcW w:w="850" w:type="dxa"/>
            <w:vAlign w:val="center"/>
          </w:tcPr>
          <w:p w14:paraId="029ABD9F">
            <w:pPr>
              <w:spacing w:line="240" w:lineRule="auto"/>
              <w:jc w:val="center"/>
              <w:rPr>
                <w:rFonts w:ascii="宋体" w:hAnsi="宋体" w:cs="Calibri"/>
                <w:sz w:val="18"/>
                <w:szCs w:val="18"/>
              </w:rPr>
            </w:pPr>
          </w:p>
        </w:tc>
        <w:tc>
          <w:tcPr>
            <w:tcW w:w="702" w:type="dxa"/>
            <w:vAlign w:val="center"/>
          </w:tcPr>
          <w:p w14:paraId="05691FE8">
            <w:pPr>
              <w:spacing w:line="240" w:lineRule="auto"/>
              <w:jc w:val="center"/>
              <w:rPr>
                <w:rFonts w:ascii="宋体" w:hAnsi="宋体" w:cs="Calibri"/>
                <w:sz w:val="18"/>
                <w:szCs w:val="18"/>
              </w:rPr>
            </w:pPr>
          </w:p>
        </w:tc>
      </w:tr>
      <w:tr w14:paraId="7710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495609A">
            <w:pPr>
              <w:spacing w:line="240" w:lineRule="auto"/>
              <w:jc w:val="center"/>
              <w:rPr>
                <w:rFonts w:ascii="宋体" w:hAnsi="宋体" w:cs="Calibri"/>
                <w:sz w:val="18"/>
                <w:szCs w:val="18"/>
              </w:rPr>
            </w:pPr>
            <w:r>
              <w:rPr>
                <w:rFonts w:hint="eastAsia" w:ascii="宋体" w:hAnsi="宋体" w:cs="Calibri"/>
                <w:sz w:val="18"/>
                <w:szCs w:val="18"/>
              </w:rPr>
              <w:t>细胞鉴别</w:t>
            </w:r>
          </w:p>
        </w:tc>
        <w:tc>
          <w:tcPr>
            <w:tcW w:w="850" w:type="dxa"/>
            <w:vAlign w:val="center"/>
          </w:tcPr>
          <w:p w14:paraId="71A7A4E9">
            <w:pPr>
              <w:spacing w:line="240" w:lineRule="auto"/>
              <w:jc w:val="center"/>
              <w:rPr>
                <w:rFonts w:ascii="宋体" w:hAnsi="宋体" w:cs="Calibri"/>
                <w:sz w:val="18"/>
                <w:szCs w:val="18"/>
              </w:rPr>
            </w:pPr>
          </w:p>
        </w:tc>
        <w:tc>
          <w:tcPr>
            <w:tcW w:w="992" w:type="dxa"/>
            <w:vAlign w:val="center"/>
          </w:tcPr>
          <w:p w14:paraId="476E603D">
            <w:pPr>
              <w:spacing w:line="240" w:lineRule="auto"/>
              <w:jc w:val="center"/>
              <w:rPr>
                <w:rFonts w:ascii="宋体" w:hAnsi="宋体" w:cs="Calibri"/>
                <w:sz w:val="18"/>
                <w:szCs w:val="18"/>
              </w:rPr>
            </w:pPr>
          </w:p>
        </w:tc>
        <w:tc>
          <w:tcPr>
            <w:tcW w:w="3686" w:type="dxa"/>
            <w:vAlign w:val="center"/>
          </w:tcPr>
          <w:p w14:paraId="706EE171">
            <w:pPr>
              <w:spacing w:line="240" w:lineRule="auto"/>
              <w:jc w:val="center"/>
              <w:rPr>
                <w:rFonts w:ascii="宋体" w:hAnsi="宋体" w:cs="Calibri"/>
                <w:sz w:val="18"/>
                <w:szCs w:val="18"/>
              </w:rPr>
            </w:pPr>
            <w:r>
              <w:rPr>
                <w:rFonts w:hint="eastAsia" w:ascii="宋体" w:hAnsi="宋体" w:cs="Calibri"/>
                <w:sz w:val="18"/>
                <w:szCs w:val="18"/>
              </w:rPr>
              <w:t>采用流式细胞术检测细胞表面标志物</w:t>
            </w:r>
          </w:p>
        </w:tc>
        <w:tc>
          <w:tcPr>
            <w:tcW w:w="709" w:type="dxa"/>
            <w:vAlign w:val="center"/>
          </w:tcPr>
          <w:p w14:paraId="68CBB1B8">
            <w:pPr>
              <w:spacing w:line="240" w:lineRule="auto"/>
              <w:jc w:val="center"/>
              <w:rPr>
                <w:rFonts w:ascii="宋体" w:hAnsi="宋体" w:cs="Calibri"/>
                <w:sz w:val="18"/>
                <w:szCs w:val="18"/>
              </w:rPr>
            </w:pPr>
          </w:p>
        </w:tc>
        <w:tc>
          <w:tcPr>
            <w:tcW w:w="850" w:type="dxa"/>
            <w:vAlign w:val="center"/>
          </w:tcPr>
          <w:p w14:paraId="696DE1D8">
            <w:pPr>
              <w:spacing w:line="240" w:lineRule="auto"/>
              <w:jc w:val="center"/>
              <w:rPr>
                <w:rFonts w:ascii="宋体" w:hAnsi="宋体" w:cs="Calibri"/>
                <w:sz w:val="18"/>
                <w:szCs w:val="18"/>
              </w:rPr>
            </w:pPr>
          </w:p>
        </w:tc>
        <w:tc>
          <w:tcPr>
            <w:tcW w:w="702" w:type="dxa"/>
            <w:vAlign w:val="center"/>
          </w:tcPr>
          <w:p w14:paraId="377DFAEE">
            <w:pPr>
              <w:spacing w:line="240" w:lineRule="auto"/>
              <w:jc w:val="center"/>
              <w:rPr>
                <w:rFonts w:ascii="宋体" w:hAnsi="宋体" w:cs="Calibri"/>
                <w:sz w:val="18"/>
                <w:szCs w:val="18"/>
              </w:rPr>
            </w:pPr>
          </w:p>
        </w:tc>
      </w:tr>
      <w:tr w14:paraId="2E4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56780B3">
            <w:pPr>
              <w:spacing w:line="240" w:lineRule="auto"/>
              <w:jc w:val="center"/>
              <w:rPr>
                <w:rFonts w:ascii="宋体" w:hAnsi="宋体" w:cs="Calibri"/>
                <w:sz w:val="18"/>
                <w:szCs w:val="18"/>
              </w:rPr>
            </w:pPr>
            <w:r>
              <w:rPr>
                <w:rFonts w:hint="eastAsia" w:ascii="宋体" w:hAnsi="宋体" w:cs="Calibri"/>
                <w:sz w:val="18"/>
                <w:szCs w:val="18"/>
              </w:rPr>
              <w:t>细胞活率</w:t>
            </w:r>
          </w:p>
        </w:tc>
        <w:tc>
          <w:tcPr>
            <w:tcW w:w="850" w:type="dxa"/>
            <w:vAlign w:val="center"/>
          </w:tcPr>
          <w:p w14:paraId="2EC13D5A">
            <w:pPr>
              <w:spacing w:line="240" w:lineRule="auto"/>
              <w:jc w:val="center"/>
              <w:rPr>
                <w:rFonts w:ascii="宋体" w:hAnsi="宋体" w:cs="Calibri"/>
                <w:sz w:val="18"/>
                <w:szCs w:val="18"/>
              </w:rPr>
            </w:pPr>
          </w:p>
        </w:tc>
        <w:tc>
          <w:tcPr>
            <w:tcW w:w="992" w:type="dxa"/>
            <w:vAlign w:val="center"/>
          </w:tcPr>
          <w:p w14:paraId="465B75DE">
            <w:pPr>
              <w:spacing w:line="240" w:lineRule="auto"/>
              <w:jc w:val="center"/>
              <w:rPr>
                <w:rFonts w:ascii="宋体" w:hAnsi="宋体" w:cs="Calibri"/>
                <w:sz w:val="18"/>
                <w:szCs w:val="18"/>
              </w:rPr>
            </w:pPr>
          </w:p>
        </w:tc>
        <w:tc>
          <w:tcPr>
            <w:tcW w:w="3686" w:type="dxa"/>
            <w:vAlign w:val="center"/>
          </w:tcPr>
          <w:p w14:paraId="3DC5AD20">
            <w:pPr>
              <w:spacing w:line="240" w:lineRule="auto"/>
              <w:jc w:val="center"/>
              <w:rPr>
                <w:rFonts w:ascii="宋体" w:hAnsi="宋体" w:cs="Calibri"/>
                <w:sz w:val="18"/>
                <w:szCs w:val="18"/>
              </w:rPr>
            </w:pPr>
            <w:r>
              <w:rPr>
                <w:rFonts w:hint="eastAsia" w:ascii="宋体" w:hAnsi="宋体" w:cs="Calibri"/>
                <w:sz w:val="18"/>
                <w:szCs w:val="18"/>
              </w:rPr>
              <w:t>台盼蓝拒染法检测</w:t>
            </w:r>
          </w:p>
        </w:tc>
        <w:tc>
          <w:tcPr>
            <w:tcW w:w="709" w:type="dxa"/>
            <w:vAlign w:val="center"/>
          </w:tcPr>
          <w:p w14:paraId="638F788B">
            <w:pPr>
              <w:spacing w:line="240" w:lineRule="auto"/>
              <w:jc w:val="center"/>
              <w:rPr>
                <w:rFonts w:ascii="宋体" w:hAnsi="宋体" w:cs="Calibri"/>
                <w:sz w:val="18"/>
                <w:szCs w:val="18"/>
              </w:rPr>
            </w:pPr>
          </w:p>
        </w:tc>
        <w:tc>
          <w:tcPr>
            <w:tcW w:w="850" w:type="dxa"/>
            <w:vAlign w:val="center"/>
          </w:tcPr>
          <w:p w14:paraId="1210571F">
            <w:pPr>
              <w:spacing w:line="240" w:lineRule="auto"/>
              <w:jc w:val="center"/>
              <w:rPr>
                <w:rFonts w:ascii="宋体" w:hAnsi="宋体" w:cs="Calibri"/>
                <w:sz w:val="18"/>
                <w:szCs w:val="18"/>
              </w:rPr>
            </w:pPr>
          </w:p>
        </w:tc>
        <w:tc>
          <w:tcPr>
            <w:tcW w:w="702" w:type="dxa"/>
            <w:vAlign w:val="center"/>
          </w:tcPr>
          <w:p w14:paraId="17EB05F3">
            <w:pPr>
              <w:spacing w:line="240" w:lineRule="auto"/>
              <w:jc w:val="center"/>
              <w:rPr>
                <w:rFonts w:ascii="宋体" w:hAnsi="宋体" w:cs="Calibri"/>
                <w:sz w:val="18"/>
                <w:szCs w:val="18"/>
              </w:rPr>
            </w:pPr>
          </w:p>
        </w:tc>
      </w:tr>
      <w:tr w14:paraId="4214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19F8B3">
            <w:pPr>
              <w:spacing w:line="240" w:lineRule="auto"/>
              <w:jc w:val="center"/>
              <w:rPr>
                <w:rFonts w:ascii="宋体" w:hAnsi="宋体" w:cs="Calibri"/>
                <w:sz w:val="18"/>
                <w:szCs w:val="18"/>
              </w:rPr>
            </w:pPr>
            <w:r>
              <w:rPr>
                <w:rFonts w:hint="eastAsia" w:ascii="宋体" w:hAnsi="宋体" w:cs="Calibri"/>
                <w:sz w:val="18"/>
                <w:szCs w:val="18"/>
              </w:rPr>
              <w:t>生长活性</w:t>
            </w:r>
          </w:p>
        </w:tc>
        <w:tc>
          <w:tcPr>
            <w:tcW w:w="850" w:type="dxa"/>
            <w:vAlign w:val="center"/>
          </w:tcPr>
          <w:p w14:paraId="3E66C790">
            <w:pPr>
              <w:spacing w:line="240" w:lineRule="auto"/>
              <w:jc w:val="center"/>
              <w:rPr>
                <w:rFonts w:ascii="宋体" w:hAnsi="宋体" w:cs="Calibri"/>
                <w:sz w:val="18"/>
                <w:szCs w:val="18"/>
              </w:rPr>
            </w:pPr>
          </w:p>
        </w:tc>
        <w:tc>
          <w:tcPr>
            <w:tcW w:w="992" w:type="dxa"/>
            <w:vAlign w:val="center"/>
          </w:tcPr>
          <w:p w14:paraId="0802C5AB">
            <w:pPr>
              <w:spacing w:line="240" w:lineRule="auto"/>
              <w:jc w:val="center"/>
              <w:rPr>
                <w:rFonts w:ascii="宋体" w:hAnsi="宋体" w:cs="Calibri"/>
                <w:sz w:val="18"/>
                <w:szCs w:val="18"/>
              </w:rPr>
            </w:pPr>
          </w:p>
        </w:tc>
        <w:tc>
          <w:tcPr>
            <w:tcW w:w="3686" w:type="dxa"/>
            <w:vAlign w:val="center"/>
          </w:tcPr>
          <w:p w14:paraId="6D65E93D">
            <w:pPr>
              <w:spacing w:line="240" w:lineRule="auto"/>
              <w:jc w:val="center"/>
              <w:rPr>
                <w:rFonts w:ascii="宋体" w:hAnsi="宋体" w:cs="Calibri"/>
                <w:sz w:val="18"/>
                <w:szCs w:val="18"/>
              </w:rPr>
            </w:pPr>
            <w:r>
              <w:rPr>
                <w:rFonts w:hint="eastAsia" w:ascii="宋体" w:hAnsi="宋体" w:cs="Calibri"/>
                <w:sz w:val="18"/>
                <w:szCs w:val="18"/>
              </w:rPr>
              <w:t>采用细胞计数、流式细胞术和端粒酶酶活试剂盒检测细胞倍增时间、克隆形成率、细胞周期和端粒酶活性</w:t>
            </w:r>
          </w:p>
        </w:tc>
        <w:tc>
          <w:tcPr>
            <w:tcW w:w="709" w:type="dxa"/>
            <w:vAlign w:val="center"/>
          </w:tcPr>
          <w:p w14:paraId="79B1CB3C">
            <w:pPr>
              <w:spacing w:line="240" w:lineRule="auto"/>
              <w:jc w:val="center"/>
              <w:rPr>
                <w:rFonts w:ascii="宋体" w:hAnsi="宋体" w:cs="Calibri"/>
                <w:sz w:val="18"/>
                <w:szCs w:val="18"/>
              </w:rPr>
            </w:pPr>
          </w:p>
        </w:tc>
        <w:tc>
          <w:tcPr>
            <w:tcW w:w="850" w:type="dxa"/>
            <w:vAlign w:val="center"/>
          </w:tcPr>
          <w:p w14:paraId="34CEA33A">
            <w:pPr>
              <w:spacing w:line="240" w:lineRule="auto"/>
              <w:jc w:val="center"/>
              <w:rPr>
                <w:rFonts w:ascii="宋体" w:hAnsi="宋体" w:cs="Calibri"/>
                <w:sz w:val="18"/>
                <w:szCs w:val="18"/>
              </w:rPr>
            </w:pPr>
          </w:p>
        </w:tc>
        <w:tc>
          <w:tcPr>
            <w:tcW w:w="702" w:type="dxa"/>
            <w:vAlign w:val="center"/>
          </w:tcPr>
          <w:p w14:paraId="7658A73B">
            <w:pPr>
              <w:spacing w:line="240" w:lineRule="auto"/>
              <w:jc w:val="center"/>
              <w:rPr>
                <w:rFonts w:ascii="宋体" w:hAnsi="宋体" w:cs="Calibri"/>
                <w:sz w:val="18"/>
                <w:szCs w:val="18"/>
              </w:rPr>
            </w:pPr>
          </w:p>
        </w:tc>
      </w:tr>
      <w:tr w14:paraId="07D1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89990E4">
            <w:pPr>
              <w:spacing w:line="240" w:lineRule="auto"/>
              <w:jc w:val="center"/>
              <w:rPr>
                <w:rFonts w:ascii="宋体" w:hAnsi="宋体" w:cs="Calibri"/>
                <w:sz w:val="18"/>
                <w:szCs w:val="18"/>
              </w:rPr>
            </w:pPr>
            <w:r>
              <w:rPr>
                <w:rFonts w:hint="eastAsia" w:ascii="宋体" w:hAnsi="宋体" w:cs="Calibri"/>
                <w:sz w:val="18"/>
                <w:szCs w:val="18"/>
              </w:rPr>
              <w:t>染色体核型</w:t>
            </w:r>
          </w:p>
        </w:tc>
        <w:tc>
          <w:tcPr>
            <w:tcW w:w="850" w:type="dxa"/>
            <w:vAlign w:val="center"/>
          </w:tcPr>
          <w:p w14:paraId="265844B6">
            <w:pPr>
              <w:spacing w:line="240" w:lineRule="auto"/>
              <w:jc w:val="center"/>
              <w:rPr>
                <w:rFonts w:ascii="宋体" w:hAnsi="宋体" w:cs="Calibri"/>
                <w:sz w:val="18"/>
                <w:szCs w:val="18"/>
              </w:rPr>
            </w:pPr>
          </w:p>
        </w:tc>
        <w:tc>
          <w:tcPr>
            <w:tcW w:w="992" w:type="dxa"/>
            <w:vAlign w:val="center"/>
          </w:tcPr>
          <w:p w14:paraId="2350B157">
            <w:pPr>
              <w:spacing w:line="240" w:lineRule="auto"/>
              <w:jc w:val="center"/>
              <w:rPr>
                <w:rFonts w:ascii="宋体" w:hAnsi="宋体" w:cs="Calibri"/>
                <w:sz w:val="18"/>
                <w:szCs w:val="18"/>
              </w:rPr>
            </w:pPr>
          </w:p>
        </w:tc>
        <w:tc>
          <w:tcPr>
            <w:tcW w:w="3686" w:type="dxa"/>
            <w:vAlign w:val="center"/>
          </w:tcPr>
          <w:p w14:paraId="69B02B6C">
            <w:pPr>
              <w:spacing w:line="240" w:lineRule="auto"/>
              <w:jc w:val="center"/>
              <w:rPr>
                <w:rFonts w:ascii="宋体" w:hAnsi="宋体" w:cs="Calibri"/>
                <w:sz w:val="18"/>
                <w:szCs w:val="18"/>
              </w:rPr>
            </w:pPr>
            <w:r>
              <w:rPr>
                <w:rFonts w:hint="eastAsia" w:ascii="宋体" w:hAnsi="宋体" w:cs="Calibri"/>
                <w:sz w:val="18"/>
                <w:szCs w:val="18"/>
              </w:rPr>
              <w:t>采用G带分析法进行测定</w:t>
            </w:r>
          </w:p>
        </w:tc>
        <w:tc>
          <w:tcPr>
            <w:tcW w:w="709" w:type="dxa"/>
            <w:vAlign w:val="center"/>
          </w:tcPr>
          <w:p w14:paraId="267EBFC1">
            <w:pPr>
              <w:spacing w:line="240" w:lineRule="auto"/>
              <w:jc w:val="center"/>
              <w:rPr>
                <w:rFonts w:ascii="宋体" w:hAnsi="宋体" w:cs="Calibri"/>
                <w:sz w:val="18"/>
                <w:szCs w:val="18"/>
              </w:rPr>
            </w:pPr>
          </w:p>
        </w:tc>
        <w:tc>
          <w:tcPr>
            <w:tcW w:w="850" w:type="dxa"/>
            <w:vAlign w:val="center"/>
          </w:tcPr>
          <w:p w14:paraId="678F09B5">
            <w:pPr>
              <w:spacing w:line="240" w:lineRule="auto"/>
              <w:jc w:val="center"/>
              <w:rPr>
                <w:rFonts w:ascii="宋体" w:hAnsi="宋体" w:cs="Calibri"/>
                <w:sz w:val="18"/>
                <w:szCs w:val="18"/>
              </w:rPr>
            </w:pPr>
          </w:p>
        </w:tc>
        <w:tc>
          <w:tcPr>
            <w:tcW w:w="702" w:type="dxa"/>
            <w:vAlign w:val="center"/>
          </w:tcPr>
          <w:p w14:paraId="7574403D">
            <w:pPr>
              <w:spacing w:line="240" w:lineRule="auto"/>
              <w:jc w:val="center"/>
              <w:rPr>
                <w:rFonts w:ascii="宋体" w:hAnsi="宋体" w:cs="Calibri"/>
                <w:sz w:val="18"/>
                <w:szCs w:val="18"/>
              </w:rPr>
            </w:pPr>
          </w:p>
        </w:tc>
      </w:tr>
      <w:tr w14:paraId="2317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5C503D1">
            <w:pPr>
              <w:spacing w:line="240" w:lineRule="auto"/>
              <w:jc w:val="center"/>
              <w:rPr>
                <w:rFonts w:ascii="宋体" w:hAnsi="宋体" w:cs="Calibri"/>
                <w:sz w:val="18"/>
                <w:szCs w:val="18"/>
              </w:rPr>
            </w:pPr>
            <w:r>
              <w:rPr>
                <w:rFonts w:hint="eastAsia" w:ascii="宋体" w:hAnsi="宋体" w:cs="Calibri"/>
                <w:sz w:val="18"/>
                <w:szCs w:val="18"/>
              </w:rPr>
              <w:t>纯度及均一性</w:t>
            </w:r>
          </w:p>
        </w:tc>
        <w:tc>
          <w:tcPr>
            <w:tcW w:w="850" w:type="dxa"/>
            <w:vAlign w:val="center"/>
          </w:tcPr>
          <w:p w14:paraId="72301907">
            <w:pPr>
              <w:spacing w:line="240" w:lineRule="auto"/>
              <w:jc w:val="center"/>
              <w:rPr>
                <w:rFonts w:ascii="宋体" w:hAnsi="宋体" w:cs="Calibri"/>
                <w:sz w:val="18"/>
                <w:szCs w:val="18"/>
              </w:rPr>
            </w:pPr>
          </w:p>
        </w:tc>
        <w:tc>
          <w:tcPr>
            <w:tcW w:w="992" w:type="dxa"/>
            <w:vAlign w:val="center"/>
          </w:tcPr>
          <w:p w14:paraId="3A3D12E9">
            <w:pPr>
              <w:spacing w:line="240" w:lineRule="auto"/>
              <w:jc w:val="center"/>
              <w:rPr>
                <w:rFonts w:ascii="宋体" w:hAnsi="宋体" w:cs="Calibri"/>
                <w:sz w:val="18"/>
                <w:szCs w:val="18"/>
              </w:rPr>
            </w:pPr>
          </w:p>
        </w:tc>
        <w:tc>
          <w:tcPr>
            <w:tcW w:w="3686" w:type="dxa"/>
            <w:vAlign w:val="center"/>
          </w:tcPr>
          <w:p w14:paraId="540B47BD">
            <w:pPr>
              <w:spacing w:line="240" w:lineRule="auto"/>
              <w:jc w:val="center"/>
              <w:rPr>
                <w:rFonts w:ascii="宋体" w:hAnsi="宋体" w:cs="Calibri"/>
                <w:sz w:val="18"/>
                <w:szCs w:val="18"/>
              </w:rPr>
            </w:pPr>
            <w:r>
              <w:rPr>
                <w:rFonts w:hint="eastAsia" w:ascii="宋体" w:hAnsi="宋体" w:cs="Calibri"/>
                <w:sz w:val="18"/>
                <w:szCs w:val="18"/>
              </w:rPr>
              <w:t>采用流式细胞术和基因组STR测序技术进行测定</w:t>
            </w:r>
          </w:p>
        </w:tc>
        <w:tc>
          <w:tcPr>
            <w:tcW w:w="709" w:type="dxa"/>
            <w:vAlign w:val="center"/>
          </w:tcPr>
          <w:p w14:paraId="4FCC085B">
            <w:pPr>
              <w:spacing w:line="240" w:lineRule="auto"/>
              <w:jc w:val="center"/>
              <w:rPr>
                <w:rFonts w:ascii="宋体" w:hAnsi="宋体" w:cs="Calibri"/>
                <w:sz w:val="18"/>
                <w:szCs w:val="18"/>
              </w:rPr>
            </w:pPr>
          </w:p>
        </w:tc>
        <w:tc>
          <w:tcPr>
            <w:tcW w:w="850" w:type="dxa"/>
            <w:vAlign w:val="center"/>
          </w:tcPr>
          <w:p w14:paraId="61697E12">
            <w:pPr>
              <w:spacing w:line="240" w:lineRule="auto"/>
              <w:jc w:val="center"/>
              <w:rPr>
                <w:rFonts w:ascii="宋体" w:hAnsi="宋体" w:cs="Calibri"/>
                <w:sz w:val="18"/>
                <w:szCs w:val="18"/>
              </w:rPr>
            </w:pPr>
          </w:p>
        </w:tc>
        <w:tc>
          <w:tcPr>
            <w:tcW w:w="702" w:type="dxa"/>
            <w:vAlign w:val="center"/>
          </w:tcPr>
          <w:p w14:paraId="271671C6">
            <w:pPr>
              <w:spacing w:line="240" w:lineRule="auto"/>
              <w:jc w:val="center"/>
              <w:rPr>
                <w:rFonts w:ascii="宋体" w:hAnsi="宋体" w:cs="Calibri"/>
                <w:sz w:val="18"/>
                <w:szCs w:val="18"/>
              </w:rPr>
            </w:pPr>
          </w:p>
        </w:tc>
      </w:tr>
      <w:tr w14:paraId="24E5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CB2838">
            <w:pPr>
              <w:spacing w:line="240" w:lineRule="auto"/>
              <w:jc w:val="center"/>
              <w:rPr>
                <w:rFonts w:ascii="宋体" w:hAnsi="宋体" w:cs="Calibri"/>
                <w:sz w:val="18"/>
                <w:szCs w:val="18"/>
              </w:rPr>
            </w:pPr>
            <w:r>
              <w:rPr>
                <w:rFonts w:hint="eastAsia" w:ascii="宋体" w:hAnsi="宋体" w:cs="Calibri"/>
                <w:sz w:val="18"/>
                <w:szCs w:val="18"/>
              </w:rPr>
              <w:t>无菌检测</w:t>
            </w:r>
          </w:p>
        </w:tc>
        <w:tc>
          <w:tcPr>
            <w:tcW w:w="850" w:type="dxa"/>
            <w:vAlign w:val="center"/>
          </w:tcPr>
          <w:p w14:paraId="61D2E474">
            <w:pPr>
              <w:spacing w:line="240" w:lineRule="auto"/>
              <w:jc w:val="center"/>
              <w:rPr>
                <w:rFonts w:ascii="宋体" w:hAnsi="宋体" w:cs="Calibri"/>
                <w:sz w:val="18"/>
                <w:szCs w:val="18"/>
              </w:rPr>
            </w:pPr>
          </w:p>
        </w:tc>
        <w:tc>
          <w:tcPr>
            <w:tcW w:w="992" w:type="dxa"/>
            <w:vAlign w:val="center"/>
          </w:tcPr>
          <w:p w14:paraId="7293167F">
            <w:pPr>
              <w:spacing w:line="240" w:lineRule="auto"/>
              <w:jc w:val="center"/>
              <w:rPr>
                <w:rFonts w:ascii="宋体" w:hAnsi="宋体" w:cs="Calibri"/>
                <w:sz w:val="18"/>
                <w:szCs w:val="18"/>
              </w:rPr>
            </w:pPr>
          </w:p>
        </w:tc>
        <w:tc>
          <w:tcPr>
            <w:tcW w:w="3686" w:type="dxa"/>
            <w:vAlign w:val="center"/>
          </w:tcPr>
          <w:p w14:paraId="0FD2F69B">
            <w:pPr>
              <w:spacing w:line="240" w:lineRule="auto"/>
              <w:jc w:val="center"/>
              <w:rPr>
                <w:rFonts w:ascii="宋体" w:hAnsi="宋体" w:cs="Calibri"/>
                <w:sz w:val="18"/>
                <w:szCs w:val="18"/>
              </w:rPr>
            </w:pPr>
            <w:r>
              <w:rPr>
                <w:rFonts w:hint="eastAsia" w:ascii="宋体" w:hAnsi="宋体" w:cs="Calibri"/>
                <w:sz w:val="18"/>
                <w:szCs w:val="18"/>
              </w:rPr>
              <w:t>细菌和真菌检测</w:t>
            </w:r>
          </w:p>
        </w:tc>
        <w:tc>
          <w:tcPr>
            <w:tcW w:w="709" w:type="dxa"/>
            <w:vAlign w:val="center"/>
          </w:tcPr>
          <w:p w14:paraId="2B4B6483">
            <w:pPr>
              <w:spacing w:line="240" w:lineRule="auto"/>
              <w:jc w:val="center"/>
              <w:rPr>
                <w:rFonts w:ascii="宋体" w:hAnsi="宋体" w:cs="Calibri"/>
                <w:sz w:val="18"/>
                <w:szCs w:val="18"/>
              </w:rPr>
            </w:pPr>
          </w:p>
        </w:tc>
        <w:tc>
          <w:tcPr>
            <w:tcW w:w="850" w:type="dxa"/>
            <w:vAlign w:val="center"/>
          </w:tcPr>
          <w:p w14:paraId="065BC505">
            <w:pPr>
              <w:spacing w:line="240" w:lineRule="auto"/>
              <w:jc w:val="center"/>
              <w:rPr>
                <w:rFonts w:ascii="宋体" w:hAnsi="宋体" w:cs="Calibri"/>
                <w:sz w:val="18"/>
                <w:szCs w:val="18"/>
              </w:rPr>
            </w:pPr>
          </w:p>
        </w:tc>
        <w:tc>
          <w:tcPr>
            <w:tcW w:w="702" w:type="dxa"/>
            <w:vAlign w:val="center"/>
          </w:tcPr>
          <w:p w14:paraId="09A1F29D">
            <w:pPr>
              <w:spacing w:line="240" w:lineRule="auto"/>
              <w:jc w:val="center"/>
              <w:rPr>
                <w:rFonts w:ascii="宋体" w:hAnsi="宋体" w:cs="Calibri"/>
                <w:sz w:val="18"/>
                <w:szCs w:val="18"/>
              </w:rPr>
            </w:pPr>
          </w:p>
        </w:tc>
      </w:tr>
      <w:tr w14:paraId="0EE5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540AC91">
            <w:pPr>
              <w:spacing w:line="240" w:lineRule="auto"/>
              <w:jc w:val="center"/>
              <w:rPr>
                <w:rFonts w:ascii="宋体" w:hAnsi="宋体" w:cs="Calibri"/>
                <w:sz w:val="18"/>
                <w:szCs w:val="18"/>
              </w:rPr>
            </w:pPr>
            <w:r>
              <w:rPr>
                <w:rFonts w:hint="eastAsia" w:ascii="宋体" w:hAnsi="宋体" w:cs="Calibri"/>
                <w:sz w:val="18"/>
                <w:szCs w:val="18"/>
              </w:rPr>
              <w:t>支原体检测</w:t>
            </w:r>
          </w:p>
        </w:tc>
        <w:tc>
          <w:tcPr>
            <w:tcW w:w="850" w:type="dxa"/>
            <w:vAlign w:val="center"/>
          </w:tcPr>
          <w:p w14:paraId="1D28F937">
            <w:pPr>
              <w:spacing w:line="240" w:lineRule="auto"/>
              <w:jc w:val="center"/>
              <w:rPr>
                <w:rFonts w:ascii="宋体" w:hAnsi="宋体" w:cs="Calibri"/>
                <w:sz w:val="18"/>
                <w:szCs w:val="18"/>
              </w:rPr>
            </w:pPr>
          </w:p>
        </w:tc>
        <w:tc>
          <w:tcPr>
            <w:tcW w:w="992" w:type="dxa"/>
            <w:vAlign w:val="center"/>
          </w:tcPr>
          <w:p w14:paraId="47ED71D8">
            <w:pPr>
              <w:spacing w:line="240" w:lineRule="auto"/>
              <w:jc w:val="center"/>
              <w:rPr>
                <w:rFonts w:ascii="宋体" w:hAnsi="宋体" w:cs="Calibri"/>
                <w:sz w:val="18"/>
                <w:szCs w:val="18"/>
              </w:rPr>
            </w:pPr>
          </w:p>
        </w:tc>
        <w:tc>
          <w:tcPr>
            <w:tcW w:w="3686" w:type="dxa"/>
            <w:vAlign w:val="center"/>
          </w:tcPr>
          <w:p w14:paraId="7B355484">
            <w:pPr>
              <w:spacing w:line="240" w:lineRule="auto"/>
              <w:jc w:val="center"/>
              <w:rPr>
                <w:rFonts w:ascii="宋体" w:hAnsi="宋体" w:cs="Calibri"/>
                <w:sz w:val="18"/>
                <w:szCs w:val="18"/>
              </w:rPr>
            </w:pPr>
            <w:r>
              <w:rPr>
                <w:rFonts w:hint="eastAsia" w:ascii="宋体" w:hAnsi="宋体" w:cs="Calibri"/>
                <w:sz w:val="18"/>
                <w:szCs w:val="18"/>
              </w:rPr>
              <w:t>支原体检测</w:t>
            </w:r>
          </w:p>
        </w:tc>
        <w:tc>
          <w:tcPr>
            <w:tcW w:w="709" w:type="dxa"/>
            <w:vAlign w:val="center"/>
          </w:tcPr>
          <w:p w14:paraId="47F83F1E">
            <w:pPr>
              <w:spacing w:line="240" w:lineRule="auto"/>
              <w:jc w:val="center"/>
              <w:rPr>
                <w:rFonts w:ascii="宋体" w:hAnsi="宋体" w:cs="Calibri"/>
                <w:sz w:val="18"/>
                <w:szCs w:val="18"/>
              </w:rPr>
            </w:pPr>
          </w:p>
        </w:tc>
        <w:tc>
          <w:tcPr>
            <w:tcW w:w="850" w:type="dxa"/>
            <w:vAlign w:val="center"/>
          </w:tcPr>
          <w:p w14:paraId="199A42C9">
            <w:pPr>
              <w:spacing w:line="240" w:lineRule="auto"/>
              <w:jc w:val="center"/>
              <w:rPr>
                <w:rFonts w:ascii="宋体" w:hAnsi="宋体" w:cs="Calibri"/>
                <w:sz w:val="18"/>
                <w:szCs w:val="18"/>
              </w:rPr>
            </w:pPr>
          </w:p>
        </w:tc>
        <w:tc>
          <w:tcPr>
            <w:tcW w:w="702" w:type="dxa"/>
            <w:vAlign w:val="center"/>
          </w:tcPr>
          <w:p w14:paraId="4E00C72D">
            <w:pPr>
              <w:spacing w:line="240" w:lineRule="auto"/>
              <w:jc w:val="center"/>
              <w:rPr>
                <w:rFonts w:ascii="宋体" w:hAnsi="宋体" w:cs="Calibri"/>
                <w:sz w:val="18"/>
                <w:szCs w:val="18"/>
              </w:rPr>
            </w:pPr>
          </w:p>
        </w:tc>
      </w:tr>
      <w:tr w14:paraId="7A1D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A8815B">
            <w:pPr>
              <w:spacing w:line="240" w:lineRule="auto"/>
              <w:jc w:val="center"/>
              <w:rPr>
                <w:rFonts w:ascii="宋体" w:hAnsi="宋体" w:cs="Calibri"/>
                <w:sz w:val="18"/>
                <w:szCs w:val="18"/>
              </w:rPr>
            </w:pPr>
            <w:r>
              <w:rPr>
                <w:rFonts w:hint="eastAsia" w:ascii="宋体" w:hAnsi="宋体" w:cs="Calibri"/>
                <w:sz w:val="18"/>
                <w:szCs w:val="18"/>
              </w:rPr>
              <w:t>细胞内外源致病因子检测</w:t>
            </w:r>
          </w:p>
        </w:tc>
        <w:tc>
          <w:tcPr>
            <w:tcW w:w="850" w:type="dxa"/>
            <w:vAlign w:val="center"/>
          </w:tcPr>
          <w:p w14:paraId="127733B0">
            <w:pPr>
              <w:spacing w:line="240" w:lineRule="auto"/>
              <w:jc w:val="center"/>
              <w:rPr>
                <w:rFonts w:ascii="宋体" w:hAnsi="宋体" w:cs="Calibri"/>
                <w:sz w:val="18"/>
                <w:szCs w:val="18"/>
              </w:rPr>
            </w:pPr>
          </w:p>
        </w:tc>
        <w:tc>
          <w:tcPr>
            <w:tcW w:w="992" w:type="dxa"/>
            <w:vAlign w:val="center"/>
          </w:tcPr>
          <w:p w14:paraId="0206A030">
            <w:pPr>
              <w:spacing w:line="240" w:lineRule="auto"/>
              <w:jc w:val="center"/>
              <w:rPr>
                <w:rFonts w:ascii="宋体" w:hAnsi="宋体" w:cs="Calibri"/>
                <w:sz w:val="18"/>
                <w:szCs w:val="18"/>
              </w:rPr>
            </w:pPr>
          </w:p>
        </w:tc>
        <w:tc>
          <w:tcPr>
            <w:tcW w:w="3686" w:type="dxa"/>
            <w:vAlign w:val="center"/>
          </w:tcPr>
          <w:p w14:paraId="533BFC39">
            <w:pPr>
              <w:spacing w:line="240" w:lineRule="auto"/>
              <w:jc w:val="center"/>
              <w:rPr>
                <w:rFonts w:ascii="宋体" w:hAnsi="宋体" w:cs="Calibri"/>
                <w:sz w:val="18"/>
                <w:szCs w:val="18"/>
              </w:rPr>
            </w:pPr>
            <w:r>
              <w:rPr>
                <w:rFonts w:hint="eastAsia" w:ascii="宋体" w:hAnsi="宋体" w:cs="Calibri"/>
                <w:sz w:val="18"/>
                <w:szCs w:val="18"/>
              </w:rPr>
              <w:t>HIV 抗体、HBsAg、HCV抗体、TP抗体、CMV-IgM、HTLV抗体、HPV抗体、EBV抗体检测:HCV、HBV、HIV病毒核酸检测</w:t>
            </w:r>
          </w:p>
        </w:tc>
        <w:tc>
          <w:tcPr>
            <w:tcW w:w="709" w:type="dxa"/>
            <w:vAlign w:val="center"/>
          </w:tcPr>
          <w:p w14:paraId="3F47E5AF">
            <w:pPr>
              <w:spacing w:line="240" w:lineRule="auto"/>
              <w:jc w:val="center"/>
              <w:rPr>
                <w:rFonts w:ascii="宋体" w:hAnsi="宋体" w:cs="Calibri"/>
                <w:sz w:val="18"/>
                <w:szCs w:val="18"/>
              </w:rPr>
            </w:pPr>
          </w:p>
        </w:tc>
        <w:tc>
          <w:tcPr>
            <w:tcW w:w="850" w:type="dxa"/>
            <w:vAlign w:val="center"/>
          </w:tcPr>
          <w:p w14:paraId="44434649">
            <w:pPr>
              <w:spacing w:line="240" w:lineRule="auto"/>
              <w:jc w:val="center"/>
              <w:rPr>
                <w:rFonts w:ascii="宋体" w:hAnsi="宋体" w:cs="Calibri"/>
                <w:sz w:val="18"/>
                <w:szCs w:val="18"/>
              </w:rPr>
            </w:pPr>
          </w:p>
        </w:tc>
        <w:tc>
          <w:tcPr>
            <w:tcW w:w="702" w:type="dxa"/>
            <w:vAlign w:val="center"/>
          </w:tcPr>
          <w:p w14:paraId="63EC44F2">
            <w:pPr>
              <w:spacing w:line="240" w:lineRule="auto"/>
              <w:jc w:val="center"/>
              <w:rPr>
                <w:rFonts w:ascii="宋体" w:hAnsi="宋体" w:cs="Calibri"/>
                <w:sz w:val="18"/>
                <w:szCs w:val="18"/>
              </w:rPr>
            </w:pPr>
          </w:p>
        </w:tc>
      </w:tr>
      <w:tr w14:paraId="5BC6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6C236BD">
            <w:pPr>
              <w:spacing w:line="240" w:lineRule="auto"/>
              <w:jc w:val="center"/>
              <w:rPr>
                <w:rFonts w:ascii="宋体" w:hAnsi="宋体" w:cs="Calibri"/>
                <w:sz w:val="18"/>
                <w:szCs w:val="18"/>
              </w:rPr>
            </w:pPr>
            <w:r>
              <w:rPr>
                <w:rFonts w:hint="eastAsia" w:ascii="宋体" w:hAnsi="宋体" w:cs="Calibri"/>
                <w:sz w:val="18"/>
                <w:szCs w:val="18"/>
              </w:rPr>
              <w:t>内毒素检测</w:t>
            </w:r>
          </w:p>
        </w:tc>
        <w:tc>
          <w:tcPr>
            <w:tcW w:w="850" w:type="dxa"/>
            <w:vAlign w:val="center"/>
          </w:tcPr>
          <w:p w14:paraId="43BAD789">
            <w:pPr>
              <w:spacing w:line="240" w:lineRule="auto"/>
              <w:jc w:val="center"/>
              <w:rPr>
                <w:rFonts w:ascii="宋体" w:hAnsi="宋体" w:cs="Calibri"/>
                <w:sz w:val="18"/>
                <w:szCs w:val="18"/>
              </w:rPr>
            </w:pPr>
          </w:p>
        </w:tc>
        <w:tc>
          <w:tcPr>
            <w:tcW w:w="992" w:type="dxa"/>
            <w:vAlign w:val="center"/>
          </w:tcPr>
          <w:p w14:paraId="71EB8BAB">
            <w:pPr>
              <w:spacing w:line="240" w:lineRule="auto"/>
              <w:jc w:val="center"/>
              <w:rPr>
                <w:rFonts w:ascii="宋体" w:hAnsi="宋体" w:cs="Calibri"/>
                <w:sz w:val="18"/>
                <w:szCs w:val="18"/>
              </w:rPr>
            </w:pPr>
          </w:p>
        </w:tc>
        <w:tc>
          <w:tcPr>
            <w:tcW w:w="3686" w:type="dxa"/>
            <w:vAlign w:val="center"/>
          </w:tcPr>
          <w:p w14:paraId="745A0459">
            <w:pPr>
              <w:spacing w:line="240" w:lineRule="auto"/>
              <w:jc w:val="center"/>
              <w:rPr>
                <w:rFonts w:ascii="宋体" w:hAnsi="宋体" w:cs="Calibri"/>
                <w:sz w:val="18"/>
                <w:szCs w:val="18"/>
              </w:rPr>
            </w:pPr>
            <w:r>
              <w:rPr>
                <w:rFonts w:hint="eastAsia" w:ascii="宋体" w:hAnsi="宋体" w:cs="Calibri"/>
                <w:sz w:val="18"/>
                <w:szCs w:val="18"/>
              </w:rPr>
              <w:t>采用鲎试剂盒检测法进行检定</w:t>
            </w:r>
          </w:p>
        </w:tc>
        <w:tc>
          <w:tcPr>
            <w:tcW w:w="709" w:type="dxa"/>
            <w:vAlign w:val="center"/>
          </w:tcPr>
          <w:p w14:paraId="3C65B375">
            <w:pPr>
              <w:spacing w:line="240" w:lineRule="auto"/>
              <w:jc w:val="center"/>
              <w:rPr>
                <w:rFonts w:ascii="宋体" w:hAnsi="宋体" w:cs="Calibri"/>
                <w:sz w:val="18"/>
                <w:szCs w:val="18"/>
              </w:rPr>
            </w:pPr>
          </w:p>
        </w:tc>
        <w:tc>
          <w:tcPr>
            <w:tcW w:w="850" w:type="dxa"/>
            <w:vAlign w:val="center"/>
          </w:tcPr>
          <w:p w14:paraId="24A2635A">
            <w:pPr>
              <w:spacing w:line="240" w:lineRule="auto"/>
              <w:jc w:val="center"/>
              <w:rPr>
                <w:rFonts w:ascii="宋体" w:hAnsi="宋体" w:cs="Calibri"/>
                <w:sz w:val="18"/>
                <w:szCs w:val="18"/>
              </w:rPr>
            </w:pPr>
          </w:p>
        </w:tc>
        <w:tc>
          <w:tcPr>
            <w:tcW w:w="702" w:type="dxa"/>
            <w:vAlign w:val="center"/>
          </w:tcPr>
          <w:p w14:paraId="04CA30FE">
            <w:pPr>
              <w:spacing w:line="240" w:lineRule="auto"/>
              <w:jc w:val="center"/>
              <w:rPr>
                <w:rFonts w:ascii="宋体" w:hAnsi="宋体" w:cs="Calibri"/>
                <w:sz w:val="18"/>
                <w:szCs w:val="18"/>
              </w:rPr>
            </w:pPr>
          </w:p>
        </w:tc>
      </w:tr>
      <w:tr w14:paraId="4173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B54FA19">
            <w:pPr>
              <w:spacing w:line="240" w:lineRule="auto"/>
              <w:jc w:val="center"/>
              <w:rPr>
                <w:rFonts w:ascii="宋体" w:hAnsi="宋体" w:cs="Calibri"/>
                <w:sz w:val="18"/>
                <w:szCs w:val="18"/>
              </w:rPr>
            </w:pPr>
            <w:r>
              <w:rPr>
                <w:rFonts w:hint="eastAsia" w:ascii="宋体" w:hAnsi="宋体" w:cs="Calibri"/>
                <w:sz w:val="18"/>
                <w:szCs w:val="18"/>
              </w:rPr>
              <w:t>培养基及其他添加成分残余量</w:t>
            </w:r>
          </w:p>
        </w:tc>
        <w:tc>
          <w:tcPr>
            <w:tcW w:w="850" w:type="dxa"/>
            <w:vAlign w:val="center"/>
          </w:tcPr>
          <w:p w14:paraId="660B6A05">
            <w:pPr>
              <w:spacing w:line="240" w:lineRule="auto"/>
              <w:jc w:val="center"/>
              <w:rPr>
                <w:rFonts w:ascii="宋体" w:hAnsi="宋体" w:cs="Calibri"/>
                <w:sz w:val="18"/>
                <w:szCs w:val="18"/>
              </w:rPr>
            </w:pPr>
          </w:p>
        </w:tc>
        <w:tc>
          <w:tcPr>
            <w:tcW w:w="992" w:type="dxa"/>
            <w:vAlign w:val="center"/>
          </w:tcPr>
          <w:p w14:paraId="5EEF32F5">
            <w:pPr>
              <w:spacing w:line="240" w:lineRule="auto"/>
              <w:jc w:val="center"/>
              <w:rPr>
                <w:rFonts w:ascii="宋体" w:hAnsi="宋体" w:cs="Calibri"/>
                <w:sz w:val="18"/>
                <w:szCs w:val="18"/>
              </w:rPr>
            </w:pPr>
          </w:p>
        </w:tc>
        <w:tc>
          <w:tcPr>
            <w:tcW w:w="3686" w:type="dxa"/>
            <w:vAlign w:val="center"/>
          </w:tcPr>
          <w:p w14:paraId="1982C57C">
            <w:pPr>
              <w:spacing w:line="240" w:lineRule="auto"/>
              <w:jc w:val="center"/>
              <w:rPr>
                <w:rFonts w:ascii="宋体" w:hAnsi="宋体" w:cs="Calibri"/>
                <w:sz w:val="18"/>
                <w:szCs w:val="18"/>
              </w:rPr>
            </w:pPr>
            <w:r>
              <w:rPr>
                <w:rFonts w:hint="eastAsia" w:ascii="宋体" w:hAnsi="宋体" w:cs="Calibri"/>
                <w:sz w:val="18"/>
                <w:szCs w:val="18"/>
              </w:rPr>
              <w:t>采用ELISA和试剂盒测定BSA及抗生素残留</w:t>
            </w:r>
          </w:p>
        </w:tc>
        <w:tc>
          <w:tcPr>
            <w:tcW w:w="709" w:type="dxa"/>
            <w:vAlign w:val="center"/>
          </w:tcPr>
          <w:p w14:paraId="48DEEFC7">
            <w:pPr>
              <w:spacing w:line="240" w:lineRule="auto"/>
              <w:jc w:val="center"/>
              <w:rPr>
                <w:rFonts w:ascii="宋体" w:hAnsi="宋体" w:cs="Calibri"/>
                <w:sz w:val="18"/>
                <w:szCs w:val="18"/>
              </w:rPr>
            </w:pPr>
          </w:p>
        </w:tc>
        <w:tc>
          <w:tcPr>
            <w:tcW w:w="850" w:type="dxa"/>
            <w:vAlign w:val="center"/>
          </w:tcPr>
          <w:p w14:paraId="2BA174F1">
            <w:pPr>
              <w:spacing w:line="240" w:lineRule="auto"/>
              <w:jc w:val="center"/>
              <w:rPr>
                <w:rFonts w:ascii="宋体" w:hAnsi="宋体" w:cs="Calibri"/>
                <w:sz w:val="18"/>
                <w:szCs w:val="18"/>
              </w:rPr>
            </w:pPr>
          </w:p>
        </w:tc>
        <w:tc>
          <w:tcPr>
            <w:tcW w:w="702" w:type="dxa"/>
            <w:vAlign w:val="center"/>
          </w:tcPr>
          <w:p w14:paraId="6C101E9C">
            <w:pPr>
              <w:spacing w:line="240" w:lineRule="auto"/>
              <w:jc w:val="center"/>
              <w:rPr>
                <w:rFonts w:ascii="宋体" w:hAnsi="宋体" w:cs="Calibri"/>
                <w:sz w:val="18"/>
                <w:szCs w:val="18"/>
              </w:rPr>
            </w:pPr>
          </w:p>
        </w:tc>
      </w:tr>
      <w:tr w14:paraId="3DCF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C22ABC2">
            <w:pPr>
              <w:spacing w:line="240" w:lineRule="auto"/>
              <w:jc w:val="center"/>
              <w:rPr>
                <w:rFonts w:ascii="宋体" w:hAnsi="宋体" w:cs="Calibri"/>
                <w:sz w:val="18"/>
                <w:szCs w:val="18"/>
              </w:rPr>
            </w:pPr>
            <w:r>
              <w:rPr>
                <w:rFonts w:hint="eastAsia" w:ascii="宋体" w:hAnsi="宋体" w:cs="Calibri"/>
                <w:sz w:val="18"/>
                <w:szCs w:val="18"/>
              </w:rPr>
              <w:t>异常免疫学反应</w:t>
            </w:r>
          </w:p>
        </w:tc>
        <w:tc>
          <w:tcPr>
            <w:tcW w:w="850" w:type="dxa"/>
            <w:vAlign w:val="center"/>
          </w:tcPr>
          <w:p w14:paraId="59243D24">
            <w:pPr>
              <w:spacing w:line="240" w:lineRule="auto"/>
              <w:jc w:val="center"/>
              <w:rPr>
                <w:rFonts w:ascii="宋体" w:hAnsi="宋体" w:cs="Calibri"/>
                <w:sz w:val="18"/>
                <w:szCs w:val="18"/>
              </w:rPr>
            </w:pPr>
          </w:p>
        </w:tc>
        <w:tc>
          <w:tcPr>
            <w:tcW w:w="992" w:type="dxa"/>
            <w:vAlign w:val="center"/>
          </w:tcPr>
          <w:p w14:paraId="5E4A7E18">
            <w:pPr>
              <w:spacing w:line="240" w:lineRule="auto"/>
              <w:jc w:val="center"/>
              <w:rPr>
                <w:rFonts w:ascii="宋体" w:hAnsi="宋体" w:cs="Calibri"/>
                <w:sz w:val="18"/>
                <w:szCs w:val="18"/>
              </w:rPr>
            </w:pPr>
          </w:p>
        </w:tc>
        <w:tc>
          <w:tcPr>
            <w:tcW w:w="3686" w:type="dxa"/>
            <w:vAlign w:val="center"/>
          </w:tcPr>
          <w:p w14:paraId="6AD44DC3">
            <w:pPr>
              <w:spacing w:line="240" w:lineRule="auto"/>
              <w:jc w:val="center"/>
              <w:rPr>
                <w:rFonts w:ascii="宋体" w:hAnsi="宋体" w:cs="Calibri"/>
                <w:sz w:val="18"/>
                <w:szCs w:val="18"/>
              </w:rPr>
            </w:pPr>
            <w:r>
              <w:rPr>
                <w:rFonts w:hint="eastAsia" w:ascii="宋体" w:hAnsi="宋体" w:cs="Calibri"/>
                <w:sz w:val="18"/>
                <w:szCs w:val="18"/>
              </w:rPr>
              <w:t>采用流式细胞术以及ELISA技术进行测定对人淋巴细胞增殖及因子表达影响</w:t>
            </w:r>
          </w:p>
        </w:tc>
        <w:tc>
          <w:tcPr>
            <w:tcW w:w="709" w:type="dxa"/>
            <w:vAlign w:val="center"/>
          </w:tcPr>
          <w:p w14:paraId="6DB81305">
            <w:pPr>
              <w:spacing w:line="240" w:lineRule="auto"/>
              <w:jc w:val="center"/>
              <w:rPr>
                <w:rFonts w:ascii="宋体" w:hAnsi="宋体" w:cs="Calibri"/>
                <w:sz w:val="18"/>
                <w:szCs w:val="18"/>
              </w:rPr>
            </w:pPr>
          </w:p>
        </w:tc>
        <w:tc>
          <w:tcPr>
            <w:tcW w:w="850" w:type="dxa"/>
            <w:vAlign w:val="center"/>
          </w:tcPr>
          <w:p w14:paraId="49BE9749">
            <w:pPr>
              <w:spacing w:line="240" w:lineRule="auto"/>
              <w:jc w:val="center"/>
              <w:rPr>
                <w:rFonts w:ascii="宋体" w:hAnsi="宋体" w:cs="Calibri"/>
                <w:sz w:val="18"/>
                <w:szCs w:val="18"/>
              </w:rPr>
            </w:pPr>
          </w:p>
        </w:tc>
        <w:tc>
          <w:tcPr>
            <w:tcW w:w="702" w:type="dxa"/>
            <w:vAlign w:val="center"/>
          </w:tcPr>
          <w:p w14:paraId="2FBE97B9">
            <w:pPr>
              <w:spacing w:line="240" w:lineRule="auto"/>
              <w:jc w:val="center"/>
              <w:rPr>
                <w:rFonts w:ascii="宋体" w:hAnsi="宋体" w:cs="Calibri"/>
                <w:sz w:val="18"/>
                <w:szCs w:val="18"/>
              </w:rPr>
            </w:pPr>
          </w:p>
        </w:tc>
      </w:tr>
      <w:tr w14:paraId="54B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82E0602">
            <w:pPr>
              <w:spacing w:line="240" w:lineRule="auto"/>
              <w:jc w:val="center"/>
              <w:rPr>
                <w:rFonts w:ascii="宋体" w:hAnsi="宋体" w:cs="Calibri"/>
                <w:sz w:val="18"/>
                <w:szCs w:val="18"/>
              </w:rPr>
            </w:pPr>
            <w:r>
              <w:rPr>
                <w:rFonts w:hint="eastAsia" w:ascii="宋体" w:hAnsi="宋体" w:cs="Calibri"/>
                <w:sz w:val="18"/>
                <w:szCs w:val="18"/>
              </w:rPr>
              <w:t>致瘤性检测</w:t>
            </w:r>
          </w:p>
        </w:tc>
        <w:tc>
          <w:tcPr>
            <w:tcW w:w="850" w:type="dxa"/>
            <w:vAlign w:val="center"/>
          </w:tcPr>
          <w:p w14:paraId="78A9517E">
            <w:pPr>
              <w:spacing w:line="240" w:lineRule="auto"/>
              <w:jc w:val="center"/>
              <w:rPr>
                <w:rFonts w:ascii="宋体" w:hAnsi="宋体" w:cs="Calibri"/>
                <w:sz w:val="18"/>
                <w:szCs w:val="18"/>
              </w:rPr>
            </w:pPr>
          </w:p>
        </w:tc>
        <w:tc>
          <w:tcPr>
            <w:tcW w:w="992" w:type="dxa"/>
            <w:vAlign w:val="center"/>
          </w:tcPr>
          <w:p w14:paraId="12A835A7">
            <w:pPr>
              <w:spacing w:line="240" w:lineRule="auto"/>
              <w:jc w:val="center"/>
              <w:rPr>
                <w:rFonts w:ascii="宋体" w:hAnsi="宋体" w:cs="Calibri"/>
                <w:sz w:val="18"/>
                <w:szCs w:val="18"/>
              </w:rPr>
            </w:pPr>
          </w:p>
        </w:tc>
        <w:tc>
          <w:tcPr>
            <w:tcW w:w="3686" w:type="dxa"/>
            <w:vAlign w:val="center"/>
          </w:tcPr>
          <w:p w14:paraId="5A1F0A47">
            <w:pPr>
              <w:spacing w:line="240" w:lineRule="auto"/>
              <w:jc w:val="center"/>
              <w:rPr>
                <w:rFonts w:ascii="宋体" w:hAnsi="宋体" w:cs="Calibri"/>
                <w:sz w:val="18"/>
                <w:szCs w:val="18"/>
              </w:rPr>
            </w:pPr>
            <w:r>
              <w:rPr>
                <w:rFonts w:hint="eastAsia" w:ascii="宋体" w:hAnsi="宋体" w:cs="Calibri"/>
                <w:sz w:val="18"/>
                <w:szCs w:val="18"/>
              </w:rPr>
              <w:t>裸鼠或SCID鼠体内致瘤性试验</w:t>
            </w:r>
          </w:p>
        </w:tc>
        <w:tc>
          <w:tcPr>
            <w:tcW w:w="709" w:type="dxa"/>
            <w:vAlign w:val="center"/>
          </w:tcPr>
          <w:p w14:paraId="73DA31FD">
            <w:pPr>
              <w:spacing w:line="240" w:lineRule="auto"/>
              <w:jc w:val="center"/>
              <w:rPr>
                <w:rFonts w:ascii="宋体" w:hAnsi="宋体" w:cs="Calibri"/>
                <w:sz w:val="18"/>
                <w:szCs w:val="18"/>
              </w:rPr>
            </w:pPr>
          </w:p>
        </w:tc>
        <w:tc>
          <w:tcPr>
            <w:tcW w:w="850" w:type="dxa"/>
            <w:vAlign w:val="center"/>
          </w:tcPr>
          <w:p w14:paraId="14BC9BD7">
            <w:pPr>
              <w:spacing w:line="240" w:lineRule="auto"/>
              <w:jc w:val="center"/>
              <w:rPr>
                <w:rFonts w:ascii="宋体" w:hAnsi="宋体" w:cs="Calibri"/>
                <w:sz w:val="18"/>
                <w:szCs w:val="18"/>
              </w:rPr>
            </w:pPr>
          </w:p>
        </w:tc>
        <w:tc>
          <w:tcPr>
            <w:tcW w:w="702" w:type="dxa"/>
            <w:vAlign w:val="center"/>
          </w:tcPr>
          <w:p w14:paraId="22B3545C">
            <w:pPr>
              <w:spacing w:line="240" w:lineRule="auto"/>
              <w:jc w:val="center"/>
              <w:rPr>
                <w:rFonts w:ascii="宋体" w:hAnsi="宋体" w:cs="Calibri"/>
                <w:sz w:val="18"/>
                <w:szCs w:val="18"/>
              </w:rPr>
            </w:pPr>
          </w:p>
        </w:tc>
      </w:tr>
      <w:tr w14:paraId="5AEC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14:paraId="3396D740">
            <w:pPr>
              <w:spacing w:line="240" w:lineRule="auto"/>
              <w:jc w:val="center"/>
              <w:rPr>
                <w:rFonts w:ascii="宋体" w:hAnsi="宋体" w:cs="Calibri"/>
                <w:sz w:val="18"/>
                <w:szCs w:val="18"/>
              </w:rPr>
            </w:pPr>
            <w:r>
              <w:rPr>
                <w:rFonts w:hint="eastAsia" w:ascii="宋体" w:hAnsi="宋体" w:cs="Calibri"/>
                <w:sz w:val="18"/>
                <w:szCs w:val="18"/>
              </w:rPr>
              <w:t>分化潜能检测</w:t>
            </w:r>
          </w:p>
        </w:tc>
        <w:tc>
          <w:tcPr>
            <w:tcW w:w="850" w:type="dxa"/>
            <w:vAlign w:val="center"/>
          </w:tcPr>
          <w:p w14:paraId="3CCC8E43">
            <w:pPr>
              <w:spacing w:line="240" w:lineRule="auto"/>
              <w:jc w:val="center"/>
              <w:rPr>
                <w:rFonts w:ascii="宋体" w:hAnsi="宋体" w:cs="Calibri"/>
                <w:sz w:val="18"/>
                <w:szCs w:val="18"/>
              </w:rPr>
            </w:pPr>
          </w:p>
        </w:tc>
        <w:tc>
          <w:tcPr>
            <w:tcW w:w="992" w:type="dxa"/>
            <w:vAlign w:val="center"/>
          </w:tcPr>
          <w:p w14:paraId="0E7A7C48">
            <w:pPr>
              <w:spacing w:line="240" w:lineRule="auto"/>
              <w:jc w:val="center"/>
              <w:rPr>
                <w:rFonts w:ascii="宋体" w:hAnsi="宋体" w:cs="Calibri"/>
                <w:sz w:val="18"/>
                <w:szCs w:val="18"/>
              </w:rPr>
            </w:pPr>
          </w:p>
        </w:tc>
        <w:tc>
          <w:tcPr>
            <w:tcW w:w="3686" w:type="dxa"/>
            <w:vAlign w:val="center"/>
          </w:tcPr>
          <w:p w14:paraId="0BFE84C4">
            <w:pPr>
              <w:spacing w:line="240" w:lineRule="auto"/>
              <w:jc w:val="center"/>
              <w:rPr>
                <w:rFonts w:ascii="宋体" w:hAnsi="宋体" w:cs="Calibri"/>
                <w:sz w:val="18"/>
                <w:szCs w:val="18"/>
              </w:rPr>
            </w:pPr>
            <w:r>
              <w:rPr>
                <w:rFonts w:hint="eastAsia" w:ascii="宋体" w:hAnsi="宋体" w:cs="Calibri"/>
                <w:sz w:val="18"/>
                <w:szCs w:val="18"/>
              </w:rPr>
              <w:t>成肌、成脂、成骨、成软骨四向分化试验</w:t>
            </w:r>
          </w:p>
        </w:tc>
        <w:tc>
          <w:tcPr>
            <w:tcW w:w="709" w:type="dxa"/>
            <w:vAlign w:val="center"/>
          </w:tcPr>
          <w:p w14:paraId="3E3805EE">
            <w:pPr>
              <w:spacing w:line="240" w:lineRule="auto"/>
              <w:jc w:val="center"/>
              <w:rPr>
                <w:rFonts w:ascii="宋体" w:hAnsi="宋体" w:cs="Calibri"/>
                <w:sz w:val="18"/>
                <w:szCs w:val="18"/>
              </w:rPr>
            </w:pPr>
          </w:p>
        </w:tc>
        <w:tc>
          <w:tcPr>
            <w:tcW w:w="850" w:type="dxa"/>
            <w:vAlign w:val="center"/>
          </w:tcPr>
          <w:p w14:paraId="0648542E">
            <w:pPr>
              <w:spacing w:line="240" w:lineRule="auto"/>
              <w:jc w:val="center"/>
              <w:rPr>
                <w:rFonts w:ascii="宋体" w:hAnsi="宋体" w:cs="Calibri"/>
                <w:sz w:val="18"/>
                <w:szCs w:val="18"/>
              </w:rPr>
            </w:pPr>
          </w:p>
        </w:tc>
        <w:tc>
          <w:tcPr>
            <w:tcW w:w="702" w:type="dxa"/>
            <w:vAlign w:val="center"/>
          </w:tcPr>
          <w:p w14:paraId="1FD21E96">
            <w:pPr>
              <w:spacing w:line="240" w:lineRule="auto"/>
              <w:jc w:val="center"/>
              <w:rPr>
                <w:rFonts w:ascii="宋体" w:hAnsi="宋体" w:cs="Calibri"/>
                <w:sz w:val="18"/>
                <w:szCs w:val="18"/>
              </w:rPr>
            </w:pPr>
          </w:p>
        </w:tc>
      </w:tr>
      <w:tr w14:paraId="566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1395B10">
            <w:pPr>
              <w:spacing w:line="240" w:lineRule="auto"/>
              <w:jc w:val="center"/>
              <w:rPr>
                <w:rFonts w:ascii="宋体" w:hAnsi="宋体" w:cs="Calibri"/>
                <w:sz w:val="18"/>
                <w:szCs w:val="18"/>
              </w:rPr>
            </w:pPr>
            <w:r>
              <w:rPr>
                <w:rFonts w:hint="eastAsia" w:ascii="宋体" w:hAnsi="宋体" w:cs="Calibri"/>
                <w:sz w:val="18"/>
                <w:szCs w:val="18"/>
              </w:rPr>
              <w:t>免疫调节能力</w:t>
            </w:r>
          </w:p>
        </w:tc>
        <w:tc>
          <w:tcPr>
            <w:tcW w:w="850" w:type="dxa"/>
            <w:vAlign w:val="center"/>
          </w:tcPr>
          <w:p w14:paraId="00674F08">
            <w:pPr>
              <w:spacing w:line="240" w:lineRule="auto"/>
              <w:jc w:val="center"/>
              <w:rPr>
                <w:rFonts w:ascii="宋体" w:hAnsi="宋体" w:cs="Calibri"/>
                <w:sz w:val="18"/>
                <w:szCs w:val="18"/>
              </w:rPr>
            </w:pPr>
          </w:p>
        </w:tc>
        <w:tc>
          <w:tcPr>
            <w:tcW w:w="992" w:type="dxa"/>
            <w:vAlign w:val="center"/>
          </w:tcPr>
          <w:p w14:paraId="164F8DB2">
            <w:pPr>
              <w:spacing w:line="240" w:lineRule="auto"/>
              <w:jc w:val="center"/>
              <w:rPr>
                <w:rFonts w:ascii="宋体" w:hAnsi="宋体" w:cs="Calibri"/>
                <w:sz w:val="18"/>
                <w:szCs w:val="18"/>
              </w:rPr>
            </w:pPr>
          </w:p>
        </w:tc>
        <w:tc>
          <w:tcPr>
            <w:tcW w:w="3686" w:type="dxa"/>
            <w:vAlign w:val="center"/>
          </w:tcPr>
          <w:p w14:paraId="04FBAA74">
            <w:pPr>
              <w:spacing w:line="240" w:lineRule="auto"/>
              <w:jc w:val="center"/>
              <w:rPr>
                <w:rFonts w:ascii="宋体" w:hAnsi="宋体" w:cs="Calibri"/>
                <w:sz w:val="18"/>
                <w:szCs w:val="18"/>
              </w:rPr>
            </w:pPr>
            <w:r>
              <w:rPr>
                <w:rFonts w:hint="eastAsia" w:ascii="宋体" w:hAnsi="宋体" w:cs="Calibri"/>
                <w:sz w:val="18"/>
                <w:szCs w:val="18"/>
              </w:rPr>
              <w:t>采用ELISA技术和流式细胞术进行测定IDO表达及对人淋巴细胞增殖的调节作用</w:t>
            </w:r>
          </w:p>
        </w:tc>
        <w:tc>
          <w:tcPr>
            <w:tcW w:w="709" w:type="dxa"/>
            <w:vAlign w:val="center"/>
          </w:tcPr>
          <w:p w14:paraId="45C6DC3E">
            <w:pPr>
              <w:spacing w:line="240" w:lineRule="auto"/>
              <w:jc w:val="center"/>
              <w:rPr>
                <w:rFonts w:ascii="宋体" w:hAnsi="宋体" w:cs="Calibri"/>
                <w:sz w:val="18"/>
                <w:szCs w:val="18"/>
              </w:rPr>
            </w:pPr>
          </w:p>
        </w:tc>
        <w:tc>
          <w:tcPr>
            <w:tcW w:w="850" w:type="dxa"/>
            <w:vAlign w:val="center"/>
          </w:tcPr>
          <w:p w14:paraId="78FC1A15">
            <w:pPr>
              <w:spacing w:line="240" w:lineRule="auto"/>
              <w:jc w:val="center"/>
              <w:rPr>
                <w:rFonts w:ascii="宋体" w:hAnsi="宋体" w:cs="Calibri"/>
                <w:sz w:val="18"/>
                <w:szCs w:val="18"/>
              </w:rPr>
            </w:pPr>
          </w:p>
        </w:tc>
        <w:tc>
          <w:tcPr>
            <w:tcW w:w="702" w:type="dxa"/>
            <w:vAlign w:val="center"/>
          </w:tcPr>
          <w:p w14:paraId="7A8188B1">
            <w:pPr>
              <w:spacing w:line="240" w:lineRule="auto"/>
              <w:jc w:val="center"/>
              <w:rPr>
                <w:rFonts w:ascii="宋体" w:hAnsi="宋体" w:cs="Calibri"/>
                <w:sz w:val="18"/>
                <w:szCs w:val="18"/>
              </w:rPr>
            </w:pPr>
          </w:p>
        </w:tc>
      </w:tr>
    </w:tbl>
    <w:p w14:paraId="200B5625">
      <w:pPr>
        <w:pStyle w:val="56"/>
        <w:ind w:firstLine="420"/>
      </w:pPr>
    </w:p>
    <w:bookmarkEnd w:id="135"/>
    <w:p w14:paraId="21DFCBC6">
      <w:pPr>
        <w:pStyle w:val="56"/>
        <w:ind w:firstLine="420"/>
        <w:sectPr>
          <w:pgSz w:w="11906" w:h="16838"/>
          <w:pgMar w:top="1928" w:right="1134" w:bottom="1134" w:left="1134" w:header="1418" w:footer="1134" w:gutter="284"/>
          <w:cols w:space="425" w:num="1"/>
          <w:formProt w:val="0"/>
          <w:docGrid w:linePitch="312" w:charSpace="0"/>
        </w:sectPr>
      </w:pPr>
      <w:bookmarkStart w:id="139" w:name="BookMark6"/>
    </w:p>
    <w:p w14:paraId="5C00C026">
      <w:pPr>
        <w:pStyle w:val="63"/>
        <w:spacing w:after="120"/>
      </w:pPr>
      <w:bookmarkStart w:id="140" w:name="_Toc139526991"/>
      <w:bookmarkStart w:id="141" w:name="_Toc170228404"/>
      <w:r>
        <w:rPr>
          <w:rFonts w:hint="eastAsia"/>
          <w:spacing w:val="105"/>
        </w:rPr>
        <w:t>参考文</w:t>
      </w:r>
      <w:r>
        <w:rPr>
          <w:rFonts w:hint="eastAsia"/>
        </w:rPr>
        <w:t>献</w:t>
      </w:r>
      <w:bookmarkEnd w:id="140"/>
      <w:bookmarkEnd w:id="141"/>
    </w:p>
    <w:p w14:paraId="23D84DBE">
      <w:pPr>
        <w:pStyle w:val="56"/>
        <w:ind w:firstLine="420"/>
      </w:pPr>
      <w:r>
        <w:rPr>
          <w:rFonts w:hint="eastAsia"/>
        </w:rPr>
        <w:t>[</w:t>
      </w:r>
      <w:r>
        <w:t>1]  T/CSCB 0001</w:t>
      </w:r>
      <w:r>
        <w:rPr>
          <w:rFonts w:hint="eastAsia"/>
        </w:rPr>
        <w:t>—</w:t>
      </w:r>
      <w:r>
        <w:t xml:space="preserve">2020  </w:t>
      </w:r>
      <w:r>
        <w:rPr>
          <w:rFonts w:hint="eastAsia"/>
        </w:rPr>
        <w:t>干细胞通用要求</w:t>
      </w:r>
    </w:p>
    <w:p w14:paraId="3C2B46FE">
      <w:pPr>
        <w:pStyle w:val="56"/>
        <w:ind w:firstLine="420"/>
      </w:pPr>
      <w:r>
        <w:rPr>
          <w:rFonts w:hint="eastAsia"/>
        </w:rPr>
        <w:t>[</w:t>
      </w:r>
      <w:r>
        <w:t xml:space="preserve">2]  </w:t>
      </w:r>
      <w:r>
        <w:rPr>
          <w:rFonts w:hint="eastAsia"/>
        </w:rPr>
        <w:t>干细胞制剂质量控制及临床前研究指导原则（试行）（国卫办科教发〔2015〕46号）</w:t>
      </w:r>
    </w:p>
    <w:p w14:paraId="634F575D">
      <w:pPr>
        <w:pStyle w:val="56"/>
        <w:ind w:firstLine="420"/>
      </w:pPr>
      <w:r>
        <w:rPr>
          <w:rFonts w:hint="eastAsia"/>
        </w:rPr>
        <w:t>[</w:t>
      </w:r>
      <w:r>
        <w:t>3]</w:t>
      </w:r>
      <w:r>
        <w:rPr>
          <w:rFonts w:hint="eastAsia"/>
        </w:rPr>
        <w:t xml:space="preserve"> </w:t>
      </w:r>
      <w:r>
        <w:t xml:space="preserve"> </w:t>
      </w:r>
      <w:r>
        <w:rPr>
          <w:rFonts w:hint="eastAsia"/>
        </w:rPr>
        <w:t>WHO 实验室生物安全手册(第三版)</w:t>
      </w:r>
    </w:p>
    <w:p w14:paraId="75D7637F">
      <w:pPr>
        <w:pStyle w:val="56"/>
        <w:ind w:firstLine="420"/>
      </w:pPr>
      <w:r>
        <w:rPr>
          <w:rFonts w:hint="eastAsia"/>
        </w:rPr>
        <w:t>[</w:t>
      </w:r>
      <w:r>
        <w:t xml:space="preserve">4]  </w:t>
      </w:r>
      <w:r>
        <w:rPr>
          <w:rFonts w:hint="eastAsia"/>
        </w:rPr>
        <w:t>药品生产质量管理规范（卫生部令第79号）</w:t>
      </w:r>
    </w:p>
    <w:p w14:paraId="631101BC">
      <w:pPr>
        <w:pStyle w:val="56"/>
        <w:ind w:firstLine="420"/>
      </w:pPr>
      <w:r>
        <w:rPr>
          <w:rFonts w:hint="eastAsia"/>
        </w:rPr>
        <w:t>[</w:t>
      </w:r>
      <w:r>
        <w:t xml:space="preserve">5]  </w:t>
      </w:r>
      <w:r>
        <w:rPr>
          <w:rFonts w:hint="eastAsia"/>
        </w:rPr>
        <w:t>中华人民共和国药典（2020年版）</w:t>
      </w:r>
    </w:p>
    <w:bookmarkEnd w:id="139"/>
    <w:p w14:paraId="1E7C7A37">
      <w:pPr>
        <w:pStyle w:val="56"/>
        <w:ind w:firstLine="0" w:firstLineChars="0"/>
        <w:jc w:val="center"/>
      </w:pPr>
      <w:bookmarkStart w:id="142" w:name="BookMark8"/>
      <w:r>
        <w:drawing>
          <wp:inline distT="0" distB="0" distL="0" distR="0">
            <wp:extent cx="1485900" cy="317500"/>
            <wp:effectExtent l="0" t="0" r="0" b="6350"/>
            <wp:docPr id="1517929735" name="图片 2"/>
            <wp:cNvGraphicFramePr/>
            <a:graphic xmlns:a="http://schemas.openxmlformats.org/drawingml/2006/main">
              <a:graphicData uri="http://schemas.openxmlformats.org/drawingml/2006/picture">
                <pic:pic xmlns:pic="http://schemas.openxmlformats.org/drawingml/2006/picture">
                  <pic:nvPicPr>
                    <pic:cNvPr id="1517929735"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5BF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B3A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43A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ACF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F82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FC2D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E10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D379B">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1E3B">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33"/>
      <w:lvlText w:val="%3."/>
      <w:lvlJc w:val="right"/>
      <w:pPr>
        <w:tabs>
          <w:tab w:val="left" w:pos="2258"/>
        </w:tabs>
        <w:ind w:left="2258" w:hanging="420"/>
      </w:pPr>
    </w:lvl>
    <w:lvl w:ilvl="3" w:tentative="0">
      <w:start w:val="1"/>
      <w:numFmt w:val="decimal"/>
      <w:pStyle w:val="236"/>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hAns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YTg5MTkxNGY2YmEyY2ZkZmQ4YmRiMmM1MGQxNjkifQ=="/>
  </w:docVars>
  <w:rsids>
    <w:rsidRoot w:val="00CE37C7"/>
    <w:rsid w:val="0000040A"/>
    <w:rsid w:val="00000A94"/>
    <w:rsid w:val="00001972"/>
    <w:rsid w:val="00001D9A"/>
    <w:rsid w:val="00005920"/>
    <w:rsid w:val="00007B3A"/>
    <w:rsid w:val="000107E0"/>
    <w:rsid w:val="00011FDE"/>
    <w:rsid w:val="00012FFD"/>
    <w:rsid w:val="00014162"/>
    <w:rsid w:val="00014340"/>
    <w:rsid w:val="00016A9C"/>
    <w:rsid w:val="00022184"/>
    <w:rsid w:val="00022762"/>
    <w:rsid w:val="000238E0"/>
    <w:rsid w:val="000249DB"/>
    <w:rsid w:val="0002595E"/>
    <w:rsid w:val="000303B3"/>
    <w:rsid w:val="000303C3"/>
    <w:rsid w:val="000331D3"/>
    <w:rsid w:val="000346A5"/>
    <w:rsid w:val="000359C3"/>
    <w:rsid w:val="00035A7D"/>
    <w:rsid w:val="000365ED"/>
    <w:rsid w:val="00037868"/>
    <w:rsid w:val="0004249A"/>
    <w:rsid w:val="00043282"/>
    <w:rsid w:val="00044286"/>
    <w:rsid w:val="0004765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A18"/>
    <w:rsid w:val="00071CC0"/>
    <w:rsid w:val="00071CFC"/>
    <w:rsid w:val="00073C8C"/>
    <w:rsid w:val="00077B64"/>
    <w:rsid w:val="00080A1C"/>
    <w:rsid w:val="00081D34"/>
    <w:rsid w:val="00082317"/>
    <w:rsid w:val="00083D2C"/>
    <w:rsid w:val="00085DAE"/>
    <w:rsid w:val="00086AA1"/>
    <w:rsid w:val="00087A77"/>
    <w:rsid w:val="00090CA6"/>
    <w:rsid w:val="00092B8A"/>
    <w:rsid w:val="00092FB0"/>
    <w:rsid w:val="000934C5"/>
    <w:rsid w:val="00093D25"/>
    <w:rsid w:val="00093DAB"/>
    <w:rsid w:val="00094D73"/>
    <w:rsid w:val="00096D63"/>
    <w:rsid w:val="000A0B2A"/>
    <w:rsid w:val="000A0B60"/>
    <w:rsid w:val="000A0EB8"/>
    <w:rsid w:val="000A19FC"/>
    <w:rsid w:val="000A296B"/>
    <w:rsid w:val="000A7311"/>
    <w:rsid w:val="000B060F"/>
    <w:rsid w:val="000B1592"/>
    <w:rsid w:val="000B1FF2"/>
    <w:rsid w:val="000B3CDA"/>
    <w:rsid w:val="000B402C"/>
    <w:rsid w:val="000B6A0B"/>
    <w:rsid w:val="000C0F6C"/>
    <w:rsid w:val="000C11DB"/>
    <w:rsid w:val="000C1492"/>
    <w:rsid w:val="000C2FBD"/>
    <w:rsid w:val="000C4B41"/>
    <w:rsid w:val="000C57D6"/>
    <w:rsid w:val="000C6362"/>
    <w:rsid w:val="000C69C5"/>
    <w:rsid w:val="000C7666"/>
    <w:rsid w:val="000D0A9C"/>
    <w:rsid w:val="000D1795"/>
    <w:rsid w:val="000D329A"/>
    <w:rsid w:val="000D4B9C"/>
    <w:rsid w:val="000D4EB6"/>
    <w:rsid w:val="000D753B"/>
    <w:rsid w:val="000E4C9E"/>
    <w:rsid w:val="000E5548"/>
    <w:rsid w:val="000E6FD7"/>
    <w:rsid w:val="000E7144"/>
    <w:rsid w:val="000F06E1"/>
    <w:rsid w:val="000F0E3C"/>
    <w:rsid w:val="000F19D5"/>
    <w:rsid w:val="000F4050"/>
    <w:rsid w:val="000F4AEA"/>
    <w:rsid w:val="000F67E9"/>
    <w:rsid w:val="00100056"/>
    <w:rsid w:val="001024F5"/>
    <w:rsid w:val="00104926"/>
    <w:rsid w:val="00106E42"/>
    <w:rsid w:val="001076F2"/>
    <w:rsid w:val="00111A93"/>
    <w:rsid w:val="00113B1E"/>
    <w:rsid w:val="00115578"/>
    <w:rsid w:val="0011711C"/>
    <w:rsid w:val="00124E4F"/>
    <w:rsid w:val="00125EA3"/>
    <w:rsid w:val="001260B7"/>
    <w:rsid w:val="001265CB"/>
    <w:rsid w:val="001321C6"/>
    <w:rsid w:val="001325C4"/>
    <w:rsid w:val="00133010"/>
    <w:rsid w:val="001330C3"/>
    <w:rsid w:val="001338EE"/>
    <w:rsid w:val="00133AAE"/>
    <w:rsid w:val="00135323"/>
    <w:rsid w:val="001356C4"/>
    <w:rsid w:val="00137565"/>
    <w:rsid w:val="0013799B"/>
    <w:rsid w:val="00141114"/>
    <w:rsid w:val="00142969"/>
    <w:rsid w:val="001446C2"/>
    <w:rsid w:val="001457E7"/>
    <w:rsid w:val="00145D9D"/>
    <w:rsid w:val="00146388"/>
    <w:rsid w:val="00152297"/>
    <w:rsid w:val="001529E5"/>
    <w:rsid w:val="00152FB3"/>
    <w:rsid w:val="00153C7E"/>
    <w:rsid w:val="00156B25"/>
    <w:rsid w:val="00156E1A"/>
    <w:rsid w:val="00157894"/>
    <w:rsid w:val="00157B55"/>
    <w:rsid w:val="001607E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4EE3"/>
    <w:rsid w:val="00195C34"/>
    <w:rsid w:val="00196EF5"/>
    <w:rsid w:val="001A1A53"/>
    <w:rsid w:val="001A234A"/>
    <w:rsid w:val="001A4C0E"/>
    <w:rsid w:val="001A4CF3"/>
    <w:rsid w:val="001A6696"/>
    <w:rsid w:val="001B06E8"/>
    <w:rsid w:val="001B3267"/>
    <w:rsid w:val="001B71D0"/>
    <w:rsid w:val="001B71EE"/>
    <w:rsid w:val="001C04A8"/>
    <w:rsid w:val="001C196E"/>
    <w:rsid w:val="001C2C03"/>
    <w:rsid w:val="001C42F7"/>
    <w:rsid w:val="001C49E5"/>
    <w:rsid w:val="001C680C"/>
    <w:rsid w:val="001C7FEA"/>
    <w:rsid w:val="001D0499"/>
    <w:rsid w:val="001D0B84"/>
    <w:rsid w:val="001D0BBE"/>
    <w:rsid w:val="001D0ED4"/>
    <w:rsid w:val="001D1D56"/>
    <w:rsid w:val="001D212F"/>
    <w:rsid w:val="001D29D7"/>
    <w:rsid w:val="001D2DE7"/>
    <w:rsid w:val="001D411C"/>
    <w:rsid w:val="001E1B6A"/>
    <w:rsid w:val="001E2484"/>
    <w:rsid w:val="001E3CC4"/>
    <w:rsid w:val="001E4882"/>
    <w:rsid w:val="001E73AB"/>
    <w:rsid w:val="001F092D"/>
    <w:rsid w:val="001F143A"/>
    <w:rsid w:val="001F1605"/>
    <w:rsid w:val="001F2508"/>
    <w:rsid w:val="001F359F"/>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144"/>
    <w:rsid w:val="0022794E"/>
    <w:rsid w:val="00233D64"/>
    <w:rsid w:val="0023482A"/>
    <w:rsid w:val="002359CB"/>
    <w:rsid w:val="002411CD"/>
    <w:rsid w:val="00243540"/>
    <w:rsid w:val="0024497B"/>
    <w:rsid w:val="0024515B"/>
    <w:rsid w:val="00246021"/>
    <w:rsid w:val="0024666E"/>
    <w:rsid w:val="00247F52"/>
    <w:rsid w:val="00250B25"/>
    <w:rsid w:val="00250BBE"/>
    <w:rsid w:val="002515C2"/>
    <w:rsid w:val="0025194F"/>
    <w:rsid w:val="00256361"/>
    <w:rsid w:val="0026148A"/>
    <w:rsid w:val="00262696"/>
    <w:rsid w:val="00263D25"/>
    <w:rsid w:val="002643C3"/>
    <w:rsid w:val="00264A0C"/>
    <w:rsid w:val="00266EEB"/>
    <w:rsid w:val="00267EF4"/>
    <w:rsid w:val="00270CB8"/>
    <w:rsid w:val="00272B08"/>
    <w:rsid w:val="00280F9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D12"/>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6DE"/>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743"/>
    <w:rsid w:val="00313B85"/>
    <w:rsid w:val="0031756B"/>
    <w:rsid w:val="00317988"/>
    <w:rsid w:val="003221B4"/>
    <w:rsid w:val="0032258D"/>
    <w:rsid w:val="00322E62"/>
    <w:rsid w:val="00324D13"/>
    <w:rsid w:val="00324EDD"/>
    <w:rsid w:val="003331E4"/>
    <w:rsid w:val="00336C64"/>
    <w:rsid w:val="00337162"/>
    <w:rsid w:val="0034194F"/>
    <w:rsid w:val="00344605"/>
    <w:rsid w:val="00346AB0"/>
    <w:rsid w:val="003474AA"/>
    <w:rsid w:val="00350D1D"/>
    <w:rsid w:val="00352C83"/>
    <w:rsid w:val="00352F1A"/>
    <w:rsid w:val="00354CE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88D"/>
    <w:rsid w:val="003B5BF0"/>
    <w:rsid w:val="003B60BF"/>
    <w:rsid w:val="003B6BE3"/>
    <w:rsid w:val="003C010C"/>
    <w:rsid w:val="003C0A6C"/>
    <w:rsid w:val="003C14F8"/>
    <w:rsid w:val="003C5A43"/>
    <w:rsid w:val="003D0519"/>
    <w:rsid w:val="003D0FF6"/>
    <w:rsid w:val="003D262C"/>
    <w:rsid w:val="003D32EE"/>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1B1"/>
    <w:rsid w:val="00404869"/>
    <w:rsid w:val="00405884"/>
    <w:rsid w:val="00407D39"/>
    <w:rsid w:val="00410876"/>
    <w:rsid w:val="0041477A"/>
    <w:rsid w:val="00416328"/>
    <w:rsid w:val="004167A3"/>
    <w:rsid w:val="00432DAA"/>
    <w:rsid w:val="00434305"/>
    <w:rsid w:val="00435DF7"/>
    <w:rsid w:val="0044083F"/>
    <w:rsid w:val="00441AE7"/>
    <w:rsid w:val="0044335F"/>
    <w:rsid w:val="00445574"/>
    <w:rsid w:val="004467FB"/>
    <w:rsid w:val="00452D6B"/>
    <w:rsid w:val="00452E24"/>
    <w:rsid w:val="00454484"/>
    <w:rsid w:val="0045517B"/>
    <w:rsid w:val="004605B1"/>
    <w:rsid w:val="00463B77"/>
    <w:rsid w:val="00463C7B"/>
    <w:rsid w:val="004644A6"/>
    <w:rsid w:val="004659BD"/>
    <w:rsid w:val="00470775"/>
    <w:rsid w:val="00472E5F"/>
    <w:rsid w:val="004746B1"/>
    <w:rsid w:val="0047583F"/>
    <w:rsid w:val="00475DE8"/>
    <w:rsid w:val="00481C44"/>
    <w:rsid w:val="00484936"/>
    <w:rsid w:val="00485C89"/>
    <w:rsid w:val="00486BE3"/>
    <w:rsid w:val="004905E4"/>
    <w:rsid w:val="00490A89"/>
    <w:rsid w:val="00490AB4"/>
    <w:rsid w:val="00491DDA"/>
    <w:rsid w:val="00492F02"/>
    <w:rsid w:val="00493786"/>
    <w:rsid w:val="004939AE"/>
    <w:rsid w:val="004A12DF"/>
    <w:rsid w:val="004A1BA8"/>
    <w:rsid w:val="004A2BE0"/>
    <w:rsid w:val="004A4351"/>
    <w:rsid w:val="004A4B57"/>
    <w:rsid w:val="004A63FA"/>
    <w:rsid w:val="004A6A3D"/>
    <w:rsid w:val="004A71C5"/>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5E7"/>
    <w:rsid w:val="004D7C42"/>
    <w:rsid w:val="004E0465"/>
    <w:rsid w:val="004E0C5E"/>
    <w:rsid w:val="004E127B"/>
    <w:rsid w:val="004E1C0A"/>
    <w:rsid w:val="004E2305"/>
    <w:rsid w:val="004E30C5"/>
    <w:rsid w:val="004E4AA5"/>
    <w:rsid w:val="004E4AEE"/>
    <w:rsid w:val="004E59E3"/>
    <w:rsid w:val="004E666D"/>
    <w:rsid w:val="004E67C0"/>
    <w:rsid w:val="004F16F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057"/>
    <w:rsid w:val="005220EC"/>
    <w:rsid w:val="00523F95"/>
    <w:rsid w:val="00524D65"/>
    <w:rsid w:val="00525B16"/>
    <w:rsid w:val="00533D04"/>
    <w:rsid w:val="00534804"/>
    <w:rsid w:val="00534BDF"/>
    <w:rsid w:val="005354EA"/>
    <w:rsid w:val="0053585F"/>
    <w:rsid w:val="00535EC4"/>
    <w:rsid w:val="00535ED9"/>
    <w:rsid w:val="0053692B"/>
    <w:rsid w:val="005377E3"/>
    <w:rsid w:val="00541853"/>
    <w:rsid w:val="00542BF8"/>
    <w:rsid w:val="00543BDA"/>
    <w:rsid w:val="005441CC"/>
    <w:rsid w:val="005479DA"/>
    <w:rsid w:val="00547BCC"/>
    <w:rsid w:val="0055013B"/>
    <w:rsid w:val="00551F6F"/>
    <w:rsid w:val="00555044"/>
    <w:rsid w:val="00556BE1"/>
    <w:rsid w:val="00561475"/>
    <w:rsid w:val="00562308"/>
    <w:rsid w:val="0056487B"/>
    <w:rsid w:val="00564FB9"/>
    <w:rsid w:val="00573D9E"/>
    <w:rsid w:val="005801E3"/>
    <w:rsid w:val="00580750"/>
    <w:rsid w:val="00581802"/>
    <w:rsid w:val="005836A8"/>
    <w:rsid w:val="0058409C"/>
    <w:rsid w:val="00584262"/>
    <w:rsid w:val="00586630"/>
    <w:rsid w:val="00587ADD"/>
    <w:rsid w:val="00591C8D"/>
    <w:rsid w:val="0059261A"/>
    <w:rsid w:val="00593A49"/>
    <w:rsid w:val="00596160"/>
    <w:rsid w:val="005966E2"/>
    <w:rsid w:val="00597007"/>
    <w:rsid w:val="005A0966"/>
    <w:rsid w:val="005A11B7"/>
    <w:rsid w:val="005A164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18"/>
    <w:rsid w:val="005D6D9C"/>
    <w:rsid w:val="005E2335"/>
    <w:rsid w:val="005E34CA"/>
    <w:rsid w:val="005E3C18"/>
    <w:rsid w:val="005E4250"/>
    <w:rsid w:val="005E6812"/>
    <w:rsid w:val="005E7881"/>
    <w:rsid w:val="005E78E0"/>
    <w:rsid w:val="005F0D9C"/>
    <w:rsid w:val="005F284E"/>
    <w:rsid w:val="005F5E81"/>
    <w:rsid w:val="006015CE"/>
    <w:rsid w:val="00601D61"/>
    <w:rsid w:val="00604784"/>
    <w:rsid w:val="00606072"/>
    <w:rsid w:val="00606419"/>
    <w:rsid w:val="00607D29"/>
    <w:rsid w:val="00612952"/>
    <w:rsid w:val="00614CC1"/>
    <w:rsid w:val="00615A9D"/>
    <w:rsid w:val="00617387"/>
    <w:rsid w:val="006205D6"/>
    <w:rsid w:val="006211ED"/>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A56"/>
    <w:rsid w:val="006640E5"/>
    <w:rsid w:val="006646F1"/>
    <w:rsid w:val="00664929"/>
    <w:rsid w:val="00664F62"/>
    <w:rsid w:val="006655E1"/>
    <w:rsid w:val="006701E0"/>
    <w:rsid w:val="00672060"/>
    <w:rsid w:val="00672BFD"/>
    <w:rsid w:val="0067471B"/>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CE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4BD"/>
    <w:rsid w:val="006F03A8"/>
    <w:rsid w:val="006F2ACA"/>
    <w:rsid w:val="006F2ADC"/>
    <w:rsid w:val="006F2BFE"/>
    <w:rsid w:val="006F31E9"/>
    <w:rsid w:val="006F58E6"/>
    <w:rsid w:val="006F6284"/>
    <w:rsid w:val="007002C5"/>
    <w:rsid w:val="007006E5"/>
    <w:rsid w:val="00704387"/>
    <w:rsid w:val="00707669"/>
    <w:rsid w:val="00711CBA"/>
    <w:rsid w:val="00711FB5"/>
    <w:rsid w:val="00712A01"/>
    <w:rsid w:val="00712CAD"/>
    <w:rsid w:val="00714F58"/>
    <w:rsid w:val="00722FBF"/>
    <w:rsid w:val="00722FC2"/>
    <w:rsid w:val="00724AF8"/>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F6A"/>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13B"/>
    <w:rsid w:val="007959E8"/>
    <w:rsid w:val="00795E9C"/>
    <w:rsid w:val="007A0521"/>
    <w:rsid w:val="007A2E12"/>
    <w:rsid w:val="007A3475"/>
    <w:rsid w:val="007A41C8"/>
    <w:rsid w:val="007A54CE"/>
    <w:rsid w:val="007A5D3A"/>
    <w:rsid w:val="007A68EA"/>
    <w:rsid w:val="007A6FD9"/>
    <w:rsid w:val="007A7FFA"/>
    <w:rsid w:val="007B04EB"/>
    <w:rsid w:val="007B0D4F"/>
    <w:rsid w:val="007B19F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8A3"/>
    <w:rsid w:val="007E1DFD"/>
    <w:rsid w:val="007F0ED8"/>
    <w:rsid w:val="007F0F63"/>
    <w:rsid w:val="007F1892"/>
    <w:rsid w:val="007F21A0"/>
    <w:rsid w:val="007F75CE"/>
    <w:rsid w:val="008013A4"/>
    <w:rsid w:val="008027CE"/>
    <w:rsid w:val="00802F42"/>
    <w:rsid w:val="00804383"/>
    <w:rsid w:val="00804BB7"/>
    <w:rsid w:val="00804D41"/>
    <w:rsid w:val="00806578"/>
    <w:rsid w:val="00810257"/>
    <w:rsid w:val="008104F5"/>
    <w:rsid w:val="00811072"/>
    <w:rsid w:val="00811369"/>
    <w:rsid w:val="00815419"/>
    <w:rsid w:val="008163C8"/>
    <w:rsid w:val="008164A1"/>
    <w:rsid w:val="00816C9B"/>
    <w:rsid w:val="00817325"/>
    <w:rsid w:val="008209E6"/>
    <w:rsid w:val="00821D19"/>
    <w:rsid w:val="00823303"/>
    <w:rsid w:val="008233B2"/>
    <w:rsid w:val="00823A9F"/>
    <w:rsid w:val="00823C85"/>
    <w:rsid w:val="00825138"/>
    <w:rsid w:val="008269DD"/>
    <w:rsid w:val="00830621"/>
    <w:rsid w:val="0083348C"/>
    <w:rsid w:val="0083591C"/>
    <w:rsid w:val="008373D3"/>
    <w:rsid w:val="00840617"/>
    <w:rsid w:val="00840F84"/>
    <w:rsid w:val="00842A47"/>
    <w:rsid w:val="00843C13"/>
    <w:rsid w:val="00843DEF"/>
    <w:rsid w:val="008454F8"/>
    <w:rsid w:val="0085173A"/>
    <w:rsid w:val="0085407D"/>
    <w:rsid w:val="008543E2"/>
    <w:rsid w:val="008603CE"/>
    <w:rsid w:val="008620FC"/>
    <w:rsid w:val="008627A5"/>
    <w:rsid w:val="00863E05"/>
    <w:rsid w:val="00865ACA"/>
    <w:rsid w:val="00865D28"/>
    <w:rsid w:val="00865F85"/>
    <w:rsid w:val="00867C10"/>
    <w:rsid w:val="00870439"/>
    <w:rsid w:val="00870DA1"/>
    <w:rsid w:val="008744F7"/>
    <w:rsid w:val="00880C8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15E"/>
    <w:rsid w:val="008A57E6"/>
    <w:rsid w:val="008A6F81"/>
    <w:rsid w:val="008A769A"/>
    <w:rsid w:val="008B0C9C"/>
    <w:rsid w:val="008B166D"/>
    <w:rsid w:val="008B17F4"/>
    <w:rsid w:val="008B1DFF"/>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6D"/>
    <w:rsid w:val="008E4BB6"/>
    <w:rsid w:val="008E5518"/>
    <w:rsid w:val="008E6A84"/>
    <w:rsid w:val="008E73DC"/>
    <w:rsid w:val="008F0CDC"/>
    <w:rsid w:val="008F17A3"/>
    <w:rsid w:val="008F1ED3"/>
    <w:rsid w:val="008F4C29"/>
    <w:rsid w:val="008F70BD"/>
    <w:rsid w:val="008F788F"/>
    <w:rsid w:val="008F7EA2"/>
    <w:rsid w:val="00902722"/>
    <w:rsid w:val="009027BC"/>
    <w:rsid w:val="00904F1A"/>
    <w:rsid w:val="00905723"/>
    <w:rsid w:val="009062E6"/>
    <w:rsid w:val="00911BE5"/>
    <w:rsid w:val="00913CA9"/>
    <w:rsid w:val="009145AE"/>
    <w:rsid w:val="009146CE"/>
    <w:rsid w:val="00914CA7"/>
    <w:rsid w:val="00915C3E"/>
    <w:rsid w:val="009161A8"/>
    <w:rsid w:val="009245AE"/>
    <w:rsid w:val="009245F5"/>
    <w:rsid w:val="009249EC"/>
    <w:rsid w:val="009273B3"/>
    <w:rsid w:val="0093035B"/>
    <w:rsid w:val="009305B5"/>
    <w:rsid w:val="00933A8F"/>
    <w:rsid w:val="009378DD"/>
    <w:rsid w:val="009429D5"/>
    <w:rsid w:val="00942BF1"/>
    <w:rsid w:val="00945180"/>
    <w:rsid w:val="00945428"/>
    <w:rsid w:val="0094607B"/>
    <w:rsid w:val="009502AC"/>
    <w:rsid w:val="0095047E"/>
    <w:rsid w:val="00953604"/>
    <w:rsid w:val="0095496B"/>
    <w:rsid w:val="00960F1E"/>
    <w:rsid w:val="009610DC"/>
    <w:rsid w:val="00961490"/>
    <w:rsid w:val="0096381A"/>
    <w:rsid w:val="00965E04"/>
    <w:rsid w:val="009674AD"/>
    <w:rsid w:val="00970CDC"/>
    <w:rsid w:val="009717CB"/>
    <w:rsid w:val="00975727"/>
    <w:rsid w:val="009759A9"/>
    <w:rsid w:val="00977010"/>
    <w:rsid w:val="00977D02"/>
    <w:rsid w:val="00977FF9"/>
    <w:rsid w:val="009809BB"/>
    <w:rsid w:val="00980E29"/>
    <w:rsid w:val="0098364B"/>
    <w:rsid w:val="009908A3"/>
    <w:rsid w:val="009911AF"/>
    <w:rsid w:val="00991577"/>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9C7"/>
    <w:rsid w:val="009B6029"/>
    <w:rsid w:val="009B6971"/>
    <w:rsid w:val="009C27F1"/>
    <w:rsid w:val="009C3152"/>
    <w:rsid w:val="009C3257"/>
    <w:rsid w:val="009C36FA"/>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DEA"/>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63F"/>
    <w:rsid w:val="00A520A5"/>
    <w:rsid w:val="00A54B7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58F"/>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45F"/>
    <w:rsid w:val="00AE37E5"/>
    <w:rsid w:val="00AE5EB4"/>
    <w:rsid w:val="00AF0C18"/>
    <w:rsid w:val="00AF47C5"/>
    <w:rsid w:val="00AF5398"/>
    <w:rsid w:val="00B0291C"/>
    <w:rsid w:val="00B049AF"/>
    <w:rsid w:val="00B055DE"/>
    <w:rsid w:val="00B07242"/>
    <w:rsid w:val="00B10534"/>
    <w:rsid w:val="00B1127E"/>
    <w:rsid w:val="00B113DB"/>
    <w:rsid w:val="00B11D8A"/>
    <w:rsid w:val="00B12981"/>
    <w:rsid w:val="00B147DD"/>
    <w:rsid w:val="00B156FD"/>
    <w:rsid w:val="00B21F61"/>
    <w:rsid w:val="00B261F1"/>
    <w:rsid w:val="00B265BC"/>
    <w:rsid w:val="00B27C6E"/>
    <w:rsid w:val="00B31FB1"/>
    <w:rsid w:val="00B33952"/>
    <w:rsid w:val="00B33C5E"/>
    <w:rsid w:val="00B342F4"/>
    <w:rsid w:val="00B34369"/>
    <w:rsid w:val="00B34DC2"/>
    <w:rsid w:val="00B35F43"/>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BCF"/>
    <w:rsid w:val="00B72880"/>
    <w:rsid w:val="00B7469B"/>
    <w:rsid w:val="00B758BF"/>
    <w:rsid w:val="00B763E6"/>
    <w:rsid w:val="00B77EC8"/>
    <w:rsid w:val="00B827A6"/>
    <w:rsid w:val="00B831CE"/>
    <w:rsid w:val="00B86677"/>
    <w:rsid w:val="00B87131"/>
    <w:rsid w:val="00B939B1"/>
    <w:rsid w:val="00B96D40"/>
    <w:rsid w:val="00B97386"/>
    <w:rsid w:val="00B977CE"/>
    <w:rsid w:val="00B97EC3"/>
    <w:rsid w:val="00BA263B"/>
    <w:rsid w:val="00BA42B2"/>
    <w:rsid w:val="00BA58D4"/>
    <w:rsid w:val="00BA5B9E"/>
    <w:rsid w:val="00BA6CB9"/>
    <w:rsid w:val="00BA7C9A"/>
    <w:rsid w:val="00BB5F8F"/>
    <w:rsid w:val="00BB657A"/>
    <w:rsid w:val="00BB7119"/>
    <w:rsid w:val="00BC1A4E"/>
    <w:rsid w:val="00BC1E73"/>
    <w:rsid w:val="00BC5247"/>
    <w:rsid w:val="00BC5DC7"/>
    <w:rsid w:val="00BC6B8B"/>
    <w:rsid w:val="00BC73D8"/>
    <w:rsid w:val="00BD52D7"/>
    <w:rsid w:val="00BD5AD2"/>
    <w:rsid w:val="00BE22F3"/>
    <w:rsid w:val="00BE5B52"/>
    <w:rsid w:val="00BE7B8D"/>
    <w:rsid w:val="00BF0993"/>
    <w:rsid w:val="00BF10A9"/>
    <w:rsid w:val="00BF1703"/>
    <w:rsid w:val="00BF231C"/>
    <w:rsid w:val="00BF4DDA"/>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2DA"/>
    <w:rsid w:val="00C279B2"/>
    <w:rsid w:val="00C33E50"/>
    <w:rsid w:val="00C344B1"/>
    <w:rsid w:val="00C34C20"/>
    <w:rsid w:val="00C35A3E"/>
    <w:rsid w:val="00C42130"/>
    <w:rsid w:val="00C423A4"/>
    <w:rsid w:val="00C423E3"/>
    <w:rsid w:val="00C44BF5"/>
    <w:rsid w:val="00C5108C"/>
    <w:rsid w:val="00C51999"/>
    <w:rsid w:val="00C521D6"/>
    <w:rsid w:val="00C53028"/>
    <w:rsid w:val="00C55232"/>
    <w:rsid w:val="00C553A4"/>
    <w:rsid w:val="00C55A06"/>
    <w:rsid w:val="00C55D03"/>
    <w:rsid w:val="00C601BC"/>
    <w:rsid w:val="00C6329F"/>
    <w:rsid w:val="00C63340"/>
    <w:rsid w:val="00C643F9"/>
    <w:rsid w:val="00C64E95"/>
    <w:rsid w:val="00C71372"/>
    <w:rsid w:val="00C72410"/>
    <w:rsid w:val="00C7287F"/>
    <w:rsid w:val="00C80CB8"/>
    <w:rsid w:val="00C8156C"/>
    <w:rsid w:val="00C819F8"/>
    <w:rsid w:val="00C8248C"/>
    <w:rsid w:val="00C84E33"/>
    <w:rsid w:val="00C86D6F"/>
    <w:rsid w:val="00C905FC"/>
    <w:rsid w:val="00C92D03"/>
    <w:rsid w:val="00C9319C"/>
    <w:rsid w:val="00C9435D"/>
    <w:rsid w:val="00C94DF2"/>
    <w:rsid w:val="00C96060"/>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8E2"/>
    <w:rsid w:val="00CD3650"/>
    <w:rsid w:val="00CD4092"/>
    <w:rsid w:val="00CD4A20"/>
    <w:rsid w:val="00CD50A1"/>
    <w:rsid w:val="00CD519E"/>
    <w:rsid w:val="00CE0C4F"/>
    <w:rsid w:val="00CE30EA"/>
    <w:rsid w:val="00CE37C7"/>
    <w:rsid w:val="00CF0329"/>
    <w:rsid w:val="00CF048A"/>
    <w:rsid w:val="00CF0DE5"/>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C9F"/>
    <w:rsid w:val="00D1489E"/>
    <w:rsid w:val="00D20737"/>
    <w:rsid w:val="00D21C0F"/>
    <w:rsid w:val="00D21E81"/>
    <w:rsid w:val="00D223DE"/>
    <w:rsid w:val="00D25E37"/>
    <w:rsid w:val="00D2661A"/>
    <w:rsid w:val="00D27582"/>
    <w:rsid w:val="00D27EC4"/>
    <w:rsid w:val="00D32719"/>
    <w:rsid w:val="00D33333"/>
    <w:rsid w:val="00D352A2"/>
    <w:rsid w:val="00D4162B"/>
    <w:rsid w:val="00D41EA8"/>
    <w:rsid w:val="00D4514F"/>
    <w:rsid w:val="00D451E2"/>
    <w:rsid w:val="00D45E89"/>
    <w:rsid w:val="00D45E8D"/>
    <w:rsid w:val="00D466AE"/>
    <w:rsid w:val="00D4734F"/>
    <w:rsid w:val="00D51BF3"/>
    <w:rsid w:val="00D61D4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93E"/>
    <w:rsid w:val="00DB38EE"/>
    <w:rsid w:val="00DB498B"/>
    <w:rsid w:val="00DB4CC6"/>
    <w:rsid w:val="00DB5C9B"/>
    <w:rsid w:val="00DB66CA"/>
    <w:rsid w:val="00DB6BCA"/>
    <w:rsid w:val="00DB6F54"/>
    <w:rsid w:val="00DB6FE2"/>
    <w:rsid w:val="00DB73F7"/>
    <w:rsid w:val="00DC0321"/>
    <w:rsid w:val="00DC3067"/>
    <w:rsid w:val="00DC370B"/>
    <w:rsid w:val="00DC5B90"/>
    <w:rsid w:val="00DC68CA"/>
    <w:rsid w:val="00DD00FF"/>
    <w:rsid w:val="00DD0619"/>
    <w:rsid w:val="00DD07FB"/>
    <w:rsid w:val="00DD25C6"/>
    <w:rsid w:val="00DD265B"/>
    <w:rsid w:val="00DD4FE5"/>
    <w:rsid w:val="00DD54B0"/>
    <w:rsid w:val="00DD57EE"/>
    <w:rsid w:val="00DD6BCC"/>
    <w:rsid w:val="00DE0A4B"/>
    <w:rsid w:val="00DE1CBF"/>
    <w:rsid w:val="00DE2410"/>
    <w:rsid w:val="00DE2939"/>
    <w:rsid w:val="00DE6E81"/>
    <w:rsid w:val="00DE703F"/>
    <w:rsid w:val="00DE7595"/>
    <w:rsid w:val="00DF1961"/>
    <w:rsid w:val="00DF3299"/>
    <w:rsid w:val="00DF44DE"/>
    <w:rsid w:val="00DF6149"/>
    <w:rsid w:val="00DF7F5C"/>
    <w:rsid w:val="00E01138"/>
    <w:rsid w:val="00E02DFB"/>
    <w:rsid w:val="00E030F9"/>
    <w:rsid w:val="00E0311A"/>
    <w:rsid w:val="00E03138"/>
    <w:rsid w:val="00E06404"/>
    <w:rsid w:val="00E11A85"/>
    <w:rsid w:val="00E12426"/>
    <w:rsid w:val="00E12495"/>
    <w:rsid w:val="00E15CCD"/>
    <w:rsid w:val="00E202EF"/>
    <w:rsid w:val="00E210B5"/>
    <w:rsid w:val="00E2364D"/>
    <w:rsid w:val="00E2552F"/>
    <w:rsid w:val="00E3137A"/>
    <w:rsid w:val="00E32CCF"/>
    <w:rsid w:val="00E34A98"/>
    <w:rsid w:val="00E35D1E"/>
    <w:rsid w:val="00E364F9"/>
    <w:rsid w:val="00E365FA"/>
    <w:rsid w:val="00E36789"/>
    <w:rsid w:val="00E446E0"/>
    <w:rsid w:val="00E44A83"/>
    <w:rsid w:val="00E502C1"/>
    <w:rsid w:val="00E502DD"/>
    <w:rsid w:val="00E50C71"/>
    <w:rsid w:val="00E50D3A"/>
    <w:rsid w:val="00E51387"/>
    <w:rsid w:val="00E51E68"/>
    <w:rsid w:val="00E52EFD"/>
    <w:rsid w:val="00E5408A"/>
    <w:rsid w:val="00E56800"/>
    <w:rsid w:val="00E60C63"/>
    <w:rsid w:val="00E62FF9"/>
    <w:rsid w:val="00E635D6"/>
    <w:rsid w:val="00E639BC"/>
    <w:rsid w:val="00E664CC"/>
    <w:rsid w:val="00E66972"/>
    <w:rsid w:val="00E70388"/>
    <w:rsid w:val="00E70F92"/>
    <w:rsid w:val="00E70FE8"/>
    <w:rsid w:val="00E74313"/>
    <w:rsid w:val="00E74C54"/>
    <w:rsid w:val="00E76171"/>
    <w:rsid w:val="00E76F30"/>
    <w:rsid w:val="00E77A03"/>
    <w:rsid w:val="00E822E8"/>
    <w:rsid w:val="00E82554"/>
    <w:rsid w:val="00E82606"/>
    <w:rsid w:val="00E831C1"/>
    <w:rsid w:val="00E840D7"/>
    <w:rsid w:val="00E846C8"/>
    <w:rsid w:val="00E84957"/>
    <w:rsid w:val="00E84A55"/>
    <w:rsid w:val="00E85BFF"/>
    <w:rsid w:val="00E90391"/>
    <w:rsid w:val="00E906C2"/>
    <w:rsid w:val="00E9311F"/>
    <w:rsid w:val="00E934D1"/>
    <w:rsid w:val="00E93772"/>
    <w:rsid w:val="00E94AF0"/>
    <w:rsid w:val="00E95D13"/>
    <w:rsid w:val="00E95DD3"/>
    <w:rsid w:val="00E969D5"/>
    <w:rsid w:val="00E9736C"/>
    <w:rsid w:val="00EA02D1"/>
    <w:rsid w:val="00EA3DE5"/>
    <w:rsid w:val="00EA3E2F"/>
    <w:rsid w:val="00EA58D1"/>
    <w:rsid w:val="00EA61BC"/>
    <w:rsid w:val="00EA681A"/>
    <w:rsid w:val="00EA735B"/>
    <w:rsid w:val="00EB1E69"/>
    <w:rsid w:val="00EB2086"/>
    <w:rsid w:val="00EB31ED"/>
    <w:rsid w:val="00EB5EDF"/>
    <w:rsid w:val="00EB60FE"/>
    <w:rsid w:val="00EB74DB"/>
    <w:rsid w:val="00EC5359"/>
    <w:rsid w:val="00EC562A"/>
    <w:rsid w:val="00ED067A"/>
    <w:rsid w:val="00ED113C"/>
    <w:rsid w:val="00ED2B50"/>
    <w:rsid w:val="00ED6ABF"/>
    <w:rsid w:val="00EE0350"/>
    <w:rsid w:val="00EE0719"/>
    <w:rsid w:val="00EE0E80"/>
    <w:rsid w:val="00EE613F"/>
    <w:rsid w:val="00EE7295"/>
    <w:rsid w:val="00EE7869"/>
    <w:rsid w:val="00EF054A"/>
    <w:rsid w:val="00EF2B9A"/>
    <w:rsid w:val="00EF3235"/>
    <w:rsid w:val="00EF7E72"/>
    <w:rsid w:val="00F06D37"/>
    <w:rsid w:val="00F07B9D"/>
    <w:rsid w:val="00F114F6"/>
    <w:rsid w:val="00F11586"/>
    <w:rsid w:val="00F1183B"/>
    <w:rsid w:val="00F11C9F"/>
    <w:rsid w:val="00F12263"/>
    <w:rsid w:val="00F1409D"/>
    <w:rsid w:val="00F14214"/>
    <w:rsid w:val="00F157A9"/>
    <w:rsid w:val="00F16F00"/>
    <w:rsid w:val="00F25BB6"/>
    <w:rsid w:val="00F26B7E"/>
    <w:rsid w:val="00F27A3B"/>
    <w:rsid w:val="00F32780"/>
    <w:rsid w:val="00F33817"/>
    <w:rsid w:val="00F33871"/>
    <w:rsid w:val="00F33A4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67D"/>
    <w:rsid w:val="00F95248"/>
    <w:rsid w:val="00F956A9"/>
    <w:rsid w:val="00F963ED"/>
    <w:rsid w:val="00F966CF"/>
    <w:rsid w:val="00F96CAE"/>
    <w:rsid w:val="00F97C99"/>
    <w:rsid w:val="00FA662D"/>
    <w:rsid w:val="00FA73B1"/>
    <w:rsid w:val="00FB0CB9"/>
    <w:rsid w:val="00FB21A2"/>
    <w:rsid w:val="00FB231D"/>
    <w:rsid w:val="00FB332E"/>
    <w:rsid w:val="00FB45F1"/>
    <w:rsid w:val="00FB4A72"/>
    <w:rsid w:val="00FB54E8"/>
    <w:rsid w:val="00FB7054"/>
    <w:rsid w:val="00FC17B7"/>
    <w:rsid w:val="00FC2CB7"/>
    <w:rsid w:val="00FC4090"/>
    <w:rsid w:val="00FC55B4"/>
    <w:rsid w:val="00FD00E6"/>
    <w:rsid w:val="00FD09A1"/>
    <w:rsid w:val="00FD2A7C"/>
    <w:rsid w:val="00FD346C"/>
    <w:rsid w:val="00FD59EB"/>
    <w:rsid w:val="00FD7299"/>
    <w:rsid w:val="00FE1545"/>
    <w:rsid w:val="00FE1FBE"/>
    <w:rsid w:val="00FE3901"/>
    <w:rsid w:val="00FE39D3"/>
    <w:rsid w:val="00FE4BCE"/>
    <w:rsid w:val="00FE4E64"/>
    <w:rsid w:val="00FE54AE"/>
    <w:rsid w:val="00FE576A"/>
    <w:rsid w:val="00FE5B56"/>
    <w:rsid w:val="00FE7E79"/>
    <w:rsid w:val="00FF3E7D"/>
    <w:rsid w:val="00FF5B99"/>
    <w:rsid w:val="00FF730C"/>
    <w:rsid w:val="00FF73F4"/>
    <w:rsid w:val="00FF7CE4"/>
    <w:rsid w:val="00FF7E39"/>
    <w:rsid w:val="0335259B"/>
    <w:rsid w:val="0A5E508E"/>
    <w:rsid w:val="18784D42"/>
    <w:rsid w:val="1EF40D4B"/>
    <w:rsid w:val="23E822B1"/>
    <w:rsid w:val="26231307"/>
    <w:rsid w:val="27084B0C"/>
    <w:rsid w:val="2A6523DC"/>
    <w:rsid w:val="2ABE6412"/>
    <w:rsid w:val="3FBB6674"/>
    <w:rsid w:val="40BF1154"/>
    <w:rsid w:val="414175DC"/>
    <w:rsid w:val="4A4F6337"/>
    <w:rsid w:val="4C05418D"/>
    <w:rsid w:val="507C64A1"/>
    <w:rsid w:val="532272D6"/>
    <w:rsid w:val="53D133FC"/>
    <w:rsid w:val="5E702CD8"/>
    <w:rsid w:val="60092117"/>
    <w:rsid w:val="64735C16"/>
    <w:rsid w:val="695E1D5C"/>
    <w:rsid w:val="71CA25C3"/>
    <w:rsid w:val="7522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99"/>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99"/>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99"/>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99"/>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99"/>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章标题"/>
    <w:basedOn w:val="1"/>
    <w:next w:val="231"/>
    <w:link w:val="234"/>
    <w:qFormat/>
    <w:uiPriority w:val="0"/>
    <w:pPr>
      <w:widowControl/>
      <w:adjustRightInd/>
      <w:spacing w:before="312" w:beforeLines="100" w:after="312" w:afterLines="100" w:line="240" w:lineRule="auto"/>
      <w:outlineLvl w:val="0"/>
    </w:pPr>
    <w:rPr>
      <w:rFonts w:ascii="Times New Roman" w:hAnsi="Times New Roman" w:eastAsia="黑体" w:cs="黑体"/>
      <w:kern w:val="0"/>
    </w:rPr>
  </w:style>
  <w:style w:type="paragraph" w:customStyle="1" w:styleId="231">
    <w:name w:val="段"/>
    <w:basedOn w:val="1"/>
    <w:link w:val="232"/>
    <w:qFormat/>
    <w:uiPriority w:val="0"/>
    <w:pPr>
      <w:spacing w:line="240" w:lineRule="auto"/>
      <w:ind w:firstLine="420" w:firstLineChars="200"/>
    </w:pPr>
    <w:rPr>
      <w:rFonts w:ascii="Times New Roman" w:hAnsi="Times New Roman" w:cs="Calibri"/>
    </w:rPr>
  </w:style>
  <w:style w:type="character" w:customStyle="1" w:styleId="232">
    <w:name w:val="段 字符"/>
    <w:basedOn w:val="28"/>
    <w:link w:val="231"/>
    <w:qFormat/>
    <w:uiPriority w:val="0"/>
    <w:rPr>
      <w:rFonts w:ascii="Times New Roman" w:hAnsi="Times New Roman" w:cs="Calibri"/>
      <w:kern w:val="2"/>
      <w:sz w:val="21"/>
      <w:szCs w:val="21"/>
    </w:rPr>
  </w:style>
  <w:style w:type="paragraph" w:customStyle="1" w:styleId="233">
    <w:name w:val="一级条标题"/>
    <w:basedOn w:val="105"/>
    <w:next w:val="231"/>
    <w:link w:val="235"/>
    <w:qFormat/>
    <w:uiPriority w:val="0"/>
    <w:pPr>
      <w:numPr>
        <w:numId w:val="1"/>
      </w:numPr>
      <w:tabs>
        <w:tab w:val="left" w:pos="2258"/>
      </w:tabs>
      <w:spacing w:before="156" w:after="156"/>
      <w:ind w:left="0" w:firstLine="0"/>
    </w:pPr>
    <w:rPr>
      <w:rFonts w:ascii="Times New Roman"/>
    </w:rPr>
  </w:style>
  <w:style w:type="character" w:customStyle="1" w:styleId="234">
    <w:name w:val="章标题 字符"/>
    <w:basedOn w:val="28"/>
    <w:link w:val="230"/>
    <w:qFormat/>
    <w:uiPriority w:val="0"/>
    <w:rPr>
      <w:rFonts w:ascii="Times New Roman" w:hAnsi="Times New Roman" w:eastAsia="黑体" w:cs="黑体"/>
      <w:sz w:val="21"/>
      <w:szCs w:val="21"/>
    </w:rPr>
  </w:style>
  <w:style w:type="character" w:customStyle="1" w:styleId="235">
    <w:name w:val="一级条标题 字符"/>
    <w:basedOn w:val="28"/>
    <w:link w:val="233"/>
    <w:qFormat/>
    <w:uiPriority w:val="0"/>
    <w:rPr>
      <w:rFonts w:ascii="Times New Roman" w:hAnsi="Times New Roman" w:eastAsia="黑体"/>
      <w:sz w:val="21"/>
    </w:rPr>
  </w:style>
  <w:style w:type="paragraph" w:customStyle="1" w:styleId="236">
    <w:name w:val="二级条标题"/>
    <w:basedOn w:val="65"/>
    <w:next w:val="231"/>
    <w:link w:val="237"/>
    <w:qFormat/>
    <w:uiPriority w:val="0"/>
    <w:pPr>
      <w:numPr>
        <w:numId w:val="1"/>
      </w:numPr>
      <w:tabs>
        <w:tab w:val="left" w:pos="2678"/>
      </w:tabs>
      <w:ind w:left="0" w:firstLine="0"/>
    </w:pPr>
    <w:rPr>
      <w:rFonts w:ascii="Times New Roman" w:cs="黑体"/>
      <w:szCs w:val="21"/>
    </w:rPr>
  </w:style>
  <w:style w:type="character" w:customStyle="1" w:styleId="237">
    <w:name w:val="二级条标题 字符"/>
    <w:basedOn w:val="28"/>
    <w:link w:val="236"/>
    <w:qFormat/>
    <w:uiPriority w:val="0"/>
    <w:rPr>
      <w:rFonts w:ascii="Times New Roman" w:hAnsi="Times New Roman" w:eastAsia="黑体" w:cs="黑体"/>
      <w:sz w:val="21"/>
      <w:szCs w:val="21"/>
    </w:rPr>
  </w:style>
  <w:style w:type="table" w:customStyle="1" w:styleId="238">
    <w:name w:val="网格型1"/>
    <w:basedOn w:val="2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787C93782EF4B09B1CDC2153F13753B"/>
        <w:style w:val=""/>
        <w:category>
          <w:name w:val="常规"/>
          <w:gallery w:val="placeholder"/>
        </w:category>
        <w:types>
          <w:type w:val="bbPlcHdr"/>
        </w:types>
        <w:behaviors>
          <w:behavior w:val="content"/>
        </w:behaviors>
        <w:description w:val=""/>
        <w:guid w:val="{6C8C09F3-2C1B-4543-8719-F4E03BBE4B8A}"/>
      </w:docPartPr>
      <w:docPartBody>
        <w:p w14:paraId="6751255F">
          <w:pPr>
            <w:pStyle w:val="5"/>
          </w:pPr>
          <w:r>
            <w:rPr>
              <w:rStyle w:val="4"/>
              <w:rFonts w:hint="eastAsia"/>
            </w:rPr>
            <w:t>单击或点击此处输入文字。</w:t>
          </w:r>
        </w:p>
      </w:docPartBody>
    </w:docPart>
    <w:docPart>
      <w:docPartPr>
        <w:name w:val="4F33301FC7AF409C8DED287A201F8A00"/>
        <w:style w:val=""/>
        <w:category>
          <w:name w:val="常规"/>
          <w:gallery w:val="placeholder"/>
        </w:category>
        <w:types>
          <w:type w:val="bbPlcHdr"/>
        </w:types>
        <w:behaviors>
          <w:behavior w:val="content"/>
        </w:behaviors>
        <w:description w:val=""/>
        <w:guid w:val="{DF7FD504-5F1D-40C2-8F89-899872FD66E3}"/>
      </w:docPartPr>
      <w:docPartBody>
        <w:p w14:paraId="4A54113D">
          <w:pPr>
            <w:pStyle w:val="6"/>
          </w:pPr>
          <w:r>
            <w:rPr>
              <w:rStyle w:val="4"/>
              <w:rFonts w:hint="eastAsia"/>
            </w:rPr>
            <w:t>选择一项。</w:t>
          </w:r>
        </w:p>
      </w:docPartBody>
    </w:docPart>
    <w:docPart>
      <w:docPartPr>
        <w:name w:val="99F26CEBBD0C4F5E83493DA76BB6B2B5"/>
        <w:style w:val=""/>
        <w:category>
          <w:name w:val="常规"/>
          <w:gallery w:val="placeholder"/>
        </w:category>
        <w:types>
          <w:type w:val="bbPlcHdr"/>
        </w:types>
        <w:behaviors>
          <w:behavior w:val="content"/>
        </w:behaviors>
        <w:description w:val=""/>
        <w:guid w:val="{A7E21F99-879A-4ADD-8D62-ED59CD65CF3B}"/>
      </w:docPartPr>
      <w:docPartBody>
        <w:p w14:paraId="0D35E13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54"/>
    <w:rsid w:val="00100056"/>
    <w:rsid w:val="001E5319"/>
    <w:rsid w:val="00223A9E"/>
    <w:rsid w:val="00253853"/>
    <w:rsid w:val="0034485F"/>
    <w:rsid w:val="0041602E"/>
    <w:rsid w:val="005377E3"/>
    <w:rsid w:val="007778C3"/>
    <w:rsid w:val="00803617"/>
    <w:rsid w:val="00844305"/>
    <w:rsid w:val="009634BF"/>
    <w:rsid w:val="00A85245"/>
    <w:rsid w:val="00C87454"/>
    <w:rsid w:val="00CE5B49"/>
    <w:rsid w:val="00D87978"/>
    <w:rsid w:val="00DD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787C93782EF4B09B1CDC2153F13753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4F33301FC7AF409C8DED287A201F8A0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9F26CEBBD0C4F5E83493DA76BB6B2B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9175</Words>
  <Characters>9899</Characters>
  <Lines>82</Lines>
  <Paragraphs>23</Paragraphs>
  <TotalTime>0</TotalTime>
  <ScaleCrop>false</ScaleCrop>
  <LinksUpToDate>false</LinksUpToDate>
  <CharactersWithSpaces>10062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2023-06-23T10:39:00Z</dcterms:created>
  <dc:creator>为人民服务</dc:creator>
  <dc:description>&lt;config cover="true" show_menu="true" version="1.0.0" doctype="SDKXY"&gt;_x000d_
&lt;/config&gt;</dc:description>
  <cp:lastModifiedBy>YouknowwhatI</cp:lastModifiedBy>
  <cp:lastPrinted>2021-02-02T08:22:00Z</cp:lastPrinted>
  <dcterms:modified xsi:type="dcterms:W3CDTF">2024-09-13T08:48:02Z</dcterms:modified>
  <dc:title>团体标准</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2052-12.1.0.17150</vt:lpwstr>
  </property>
  <property fmtid="{D5CDD505-2E9C-101B-9397-08002B2CF9AE}" pid="15" name="ICV">
    <vt:lpwstr>D080F4C219B343C8B3CD8C6958166683_13</vt:lpwstr>
  </property>
</Properties>
</file>