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0B448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《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福鼎白茶 调味茶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》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团体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标准</w:t>
      </w:r>
    </w:p>
    <w:p w14:paraId="17687DD9">
      <w:pPr>
        <w:jc w:val="center"/>
        <w:rPr>
          <w:rFonts w:hint="eastAsia" w:ascii="宋体" w:hAnsi="宋体" w:eastAsia="宋体"/>
          <w:b/>
          <w:bCs/>
          <w:sz w:val="44"/>
          <w:szCs w:val="44"/>
          <w:lang w:val="zh-CN" w:eastAsia="zh-CN"/>
        </w:rPr>
      </w:pPr>
      <w:bookmarkStart w:id="9" w:name="_GoBack"/>
      <w:bookmarkEnd w:id="9"/>
      <w:r>
        <w:rPr>
          <w:rFonts w:hint="eastAsia" w:ascii="宋体" w:hAnsi="宋体" w:eastAsia="宋体" w:cs="宋体"/>
          <w:b/>
          <w:bCs/>
          <w:sz w:val="44"/>
          <w:szCs w:val="44"/>
        </w:rPr>
        <w:t>编制说明</w:t>
      </w:r>
    </w:p>
    <w:p w14:paraId="6081F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61" w:beforeLines="50" w:after="161" w:afterLines="50" w:line="50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 任务来源</w:t>
      </w:r>
    </w:p>
    <w:p w14:paraId="5DFE73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《福鼎白茶 调味茶》团体标准由福鼎市茶业协会归口，福鼎市茶业协会、福建省标院信息技术有限公司等单位共同起草与编制。</w:t>
      </w:r>
    </w:p>
    <w:p w14:paraId="3A9C7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61" w:beforeLines="50" w:after="161" w:afterLines="50" w:line="50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 编制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zh-CN" w:eastAsia="zh-CN"/>
        </w:rPr>
        <w:t>原则和依据</w:t>
      </w:r>
    </w:p>
    <w:p w14:paraId="7FCA29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/>
        <w:textAlignment w:val="auto"/>
        <w:outlineLvl w:val="9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2.1 编制原则</w:t>
      </w:r>
    </w:p>
    <w:p w14:paraId="1E8004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本文件按照GB/T 1.1—2020《标准化工作导则 第1部分：标准化文件的结构和起草规则》和《团体标准管理规定》(国标委联〔2019〕1号)的规定起草。</w:t>
      </w:r>
    </w:p>
    <w:p w14:paraId="1392B6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/>
        <w:textAlignment w:val="auto"/>
        <w:outlineLvl w:val="9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2.2 编制依据</w:t>
      </w:r>
    </w:p>
    <w:p w14:paraId="4C30B8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GB/T 191  包装储运图示标志</w:t>
      </w:r>
    </w:p>
    <w:p w14:paraId="0145F7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GB 2760  食品安全国家标准  食品添加剂使用标准</w:t>
      </w:r>
    </w:p>
    <w:p w14:paraId="31D77A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GB 2762  食品安全国家标准  食品中污染物限量</w:t>
      </w:r>
    </w:p>
    <w:p w14:paraId="702FED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GB 2763  食品安全国家标准  食品中农药最大残留限量</w:t>
      </w:r>
    </w:p>
    <w:p w14:paraId="59B754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GB 2763.1  食品安全国家标准  食品中 2,4-滴丁酸钠盐等 112 种农药最大残留限量</w:t>
      </w:r>
    </w:p>
    <w:p w14:paraId="4141F6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GB 5009.3  食品安全国家标准  食品中水分的测定</w:t>
      </w:r>
    </w:p>
    <w:p w14:paraId="551143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GB 5009.4</w:t>
      </w:r>
      <w:bookmarkStart w:id="0" w:name="_Hlk60696343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食品安全国家标准  食品中灰分的测定</w:t>
      </w:r>
      <w:bookmarkEnd w:id="0"/>
    </w:p>
    <w:p w14:paraId="12EB86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GB 5009.12  食品安全国家标准  食品中铅的测定</w:t>
      </w:r>
    </w:p>
    <w:p w14:paraId="435D63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GB 7718  食品安全国家标准  预包装食品标签通则</w:t>
      </w:r>
    </w:p>
    <w:p w14:paraId="720CCA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GB/T 8302  茶  取样</w:t>
      </w:r>
    </w:p>
    <w:p w14:paraId="720218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GB/T 8303  茶  磨碎试样的制备及其干物质含量测定</w:t>
      </w:r>
    </w:p>
    <w:p w14:paraId="62D4A8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instrText xml:space="preserve"> HYPERLINK "http://www.tc339.com/uploads/files/2017_12_26_%E8%8C%B6%E5%8F%B6%E6%84%9F%E5%AE%98%E5%AE%A1%E8%AF%84%E6%9C%AF%E8%AF%AD.pdf" \t "_blank" </w:instrTex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GB/T 14487  茶叶感官审评术语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end"/>
      </w:r>
    </w:p>
    <w:p w14:paraId="0EA1A7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GB/T 22291  白茶</w:t>
      </w:r>
    </w:p>
    <w:p w14:paraId="5FE93F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GB 23350  限制商品过度包装要求  食品和化妆品</w:t>
      </w:r>
    </w:p>
    <w:p w14:paraId="2A09DB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GB/T 23776  茶叶感官审评方法</w:t>
      </w:r>
    </w:p>
    <w:p w14:paraId="390817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GB/T 30375  茶叶贮存</w:t>
      </w:r>
    </w:p>
    <w:p w14:paraId="3570A9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GB/T 31751  紧压白茶</w:t>
      </w:r>
    </w:p>
    <w:p w14:paraId="60ACFB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GH/T 1070  茶叶包装通则</w:t>
      </w:r>
    </w:p>
    <w:p w14:paraId="4F8D17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GH/T 1247  调味茶</w:t>
      </w:r>
    </w:p>
    <w:p w14:paraId="2B062F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JJF 1070  定量包装商品净含量计量检验规则</w:t>
      </w:r>
    </w:p>
    <w:p w14:paraId="7B9371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DB35/T 1076 地理标志产品 福鼎白茶</w:t>
      </w:r>
    </w:p>
    <w:p w14:paraId="3CFEF8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T/FDSCX 002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福鼎白茶</w:t>
      </w:r>
    </w:p>
    <w:p w14:paraId="3E1D4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61" w:beforeLines="50" w:after="161" w:afterLines="50" w:line="50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 主要编制过程</w:t>
      </w:r>
    </w:p>
    <w:p w14:paraId="7DEA1A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/>
        <w:textAlignment w:val="auto"/>
        <w:outlineLvl w:val="9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3.1 前期准备</w:t>
      </w:r>
    </w:p>
    <w:p w14:paraId="6E2749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2024年7月，福鼎市茶业协会根据福鼎白茶调味茶的规范化的需要，与福建省标院信息技术有限公司共同组建了团体标准研制工作组。工作组深入实地考察调研，开展团体标准研制座谈会，确定标准名称，基本内容、立项协会等内容。</w:t>
      </w:r>
    </w:p>
    <w:p w14:paraId="5EB465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3.2 申请立项</w:t>
      </w:r>
    </w:p>
    <w:p w14:paraId="5D22B6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2024年8月，工作组完成《福鼎白茶 调味茶》团体标准立项的申报材料，并向福鼎市茶业协会提出团体标准立项申请，于2024年9月5日获准立项。</w:t>
      </w:r>
    </w:p>
    <w:p w14:paraId="3AF939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3.3 编写起草</w:t>
      </w:r>
    </w:p>
    <w:p w14:paraId="563BB6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立项文件下达后，</w:t>
      </w:r>
      <w:r>
        <w:rPr>
          <w:rFonts w:hint="eastAsia" w:ascii="仿宋" w:hAnsi="仿宋" w:eastAsia="仿宋" w:cs="仿宋"/>
          <w:sz w:val="30"/>
          <w:szCs w:val="30"/>
          <w:lang w:val="zh-CN" w:eastAsia="zh-CN"/>
        </w:rPr>
        <w:t>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更好完成</w:t>
      </w:r>
      <w:r>
        <w:rPr>
          <w:rFonts w:hint="eastAsia" w:ascii="仿宋" w:hAnsi="仿宋" w:eastAsia="仿宋" w:cs="仿宋"/>
          <w:sz w:val="30"/>
          <w:szCs w:val="30"/>
          <w:lang w:val="zh-CN" w:eastAsia="zh-CN"/>
        </w:rPr>
        <w:t>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福鼎白茶 调味茶</w:t>
      </w:r>
      <w:r>
        <w:rPr>
          <w:rFonts w:hint="eastAsia" w:ascii="仿宋" w:hAnsi="仿宋" w:eastAsia="仿宋" w:cs="仿宋"/>
          <w:color w:val="000000"/>
          <w:sz w:val="30"/>
          <w:szCs w:val="30"/>
          <w:lang w:val="zh-CN" w:eastAsia="zh-CN"/>
        </w:rPr>
        <w:t>》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团体标准编制</w:t>
      </w:r>
      <w:r>
        <w:rPr>
          <w:rFonts w:hint="eastAsia" w:ascii="仿宋" w:hAnsi="仿宋" w:eastAsia="仿宋" w:cs="仿宋"/>
          <w:color w:val="000000"/>
          <w:sz w:val="30"/>
          <w:szCs w:val="30"/>
          <w:lang w:val="zh-CN" w:eastAsia="zh-CN"/>
        </w:rPr>
        <w:t>工作，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提高标准的质量和可操作性，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工作组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制订了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标准编制计划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工作方案，明确目标要求、工作思路、人员分工和工作进度等。</w:t>
      </w:r>
    </w:p>
    <w:p w14:paraId="68DD7A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zh-CN" w:eastAsia="zh-CN"/>
        </w:rPr>
      </w:pPr>
      <w:r>
        <w:rPr>
          <w:rFonts w:hint="eastAsia" w:ascii="仿宋" w:hAnsi="仿宋" w:eastAsia="仿宋" w:cs="仿宋"/>
          <w:sz w:val="30"/>
          <w:szCs w:val="30"/>
          <w:lang w:val="zh-CN" w:eastAsia="zh-CN"/>
        </w:rPr>
        <w:t>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sz w:val="30"/>
          <w:szCs w:val="30"/>
          <w:lang w:val="zh-CN"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  <w:highlight w:val="none"/>
          <w:lang w:val="zh-CN"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上旬</w:t>
      </w:r>
      <w:r>
        <w:rPr>
          <w:rFonts w:hint="eastAsia" w:ascii="仿宋" w:hAnsi="仿宋" w:eastAsia="仿宋" w:cs="仿宋"/>
          <w:sz w:val="30"/>
          <w:szCs w:val="30"/>
          <w:lang w:val="zh-CN" w:eastAsia="zh-CN"/>
        </w:rPr>
        <w:t xml:space="preserve">,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工作组</w:t>
      </w:r>
      <w:r>
        <w:rPr>
          <w:rFonts w:hint="eastAsia" w:ascii="仿宋" w:hAnsi="仿宋" w:eastAsia="仿宋" w:cs="仿宋"/>
          <w:sz w:val="30"/>
          <w:szCs w:val="30"/>
          <w:lang w:val="zh-CN" w:eastAsia="zh-CN"/>
        </w:rPr>
        <w:t>对标准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制定</w:t>
      </w:r>
      <w:r>
        <w:rPr>
          <w:rFonts w:hint="eastAsia" w:ascii="仿宋" w:hAnsi="仿宋" w:eastAsia="仿宋" w:cs="仿宋"/>
          <w:sz w:val="30"/>
          <w:szCs w:val="30"/>
          <w:lang w:val="zh-CN" w:eastAsia="zh-CN"/>
        </w:rPr>
        <w:t>工作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再次</w:t>
      </w:r>
      <w:r>
        <w:rPr>
          <w:rFonts w:hint="eastAsia" w:ascii="仿宋" w:hAnsi="仿宋" w:eastAsia="仿宋" w:cs="仿宋"/>
          <w:sz w:val="30"/>
          <w:szCs w:val="30"/>
          <w:lang w:val="zh-CN" w:eastAsia="zh-CN"/>
        </w:rPr>
        <w:t>展开调研，收集现有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福鼎白茶调味茶</w:t>
      </w:r>
      <w:r>
        <w:rPr>
          <w:rFonts w:hint="eastAsia" w:ascii="仿宋" w:hAnsi="仿宋" w:eastAsia="仿宋" w:cs="仿宋"/>
          <w:sz w:val="30"/>
          <w:szCs w:val="30"/>
          <w:lang w:val="zh-CN" w:eastAsia="zh-CN"/>
        </w:rPr>
        <w:t>各种学术领域的论文、技术标准、涉及茶叶的技术法规，进行资料汇总。</w:t>
      </w:r>
    </w:p>
    <w:p w14:paraId="042590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  <w:lang w:val="zh-CN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工作组编制了标准基本框架，同时组织内部开展多次标准研讨，对标准的内容、工作重点、编制依据和编制原则等形成了基本意见，并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对标准草案稿进行进一步修改完善，于2024年9月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中旬</w:t>
      </w:r>
      <w:r>
        <w:rPr>
          <w:rFonts w:hint="eastAsia" w:ascii="仿宋" w:hAnsi="仿宋" w:eastAsia="仿宋" w:cs="仿宋"/>
          <w:sz w:val="30"/>
          <w:szCs w:val="30"/>
        </w:rPr>
        <w:t>形成标准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讨论稿</w:t>
      </w:r>
      <w:r>
        <w:rPr>
          <w:rFonts w:hint="eastAsia" w:ascii="仿宋" w:hAnsi="仿宋" w:eastAsia="仿宋" w:cs="仿宋"/>
          <w:color w:val="000000"/>
          <w:sz w:val="30"/>
          <w:szCs w:val="30"/>
          <w:lang w:val="zh-CN" w:eastAsia="zh-CN"/>
        </w:rPr>
        <w:t>。</w:t>
      </w:r>
    </w:p>
    <w:p w14:paraId="360992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3.4 征求意见</w:t>
      </w:r>
    </w:p>
    <w:p w14:paraId="2083E4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2024年9月20日，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标准起草组经一再推敲、修改部分细节，形成了标准征求意见稿，并通过“线上+线下”的方式公开向社会及各有关单位、专家广泛征求意见，征求意见时间1个月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。</w:t>
      </w:r>
    </w:p>
    <w:p w14:paraId="49E36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61" w:beforeLines="50" w:after="161" w:afterLines="50" w:line="500" w:lineRule="exact"/>
        <w:ind w:right="0" w:rightChars="0"/>
        <w:textAlignment w:val="auto"/>
        <w:outlineLvl w:val="9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4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zh-CN" w:eastAsia="zh-CN"/>
        </w:rPr>
        <w:t>编制目的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和意义</w:t>
      </w:r>
    </w:p>
    <w:p w14:paraId="3829A0A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根据《中共福建省委、福建人民政府关于实施乡村振兴战略的实施意见》（闽委发〔2018〕1号）、《福建省人民政府关于提升现代茶产业发展水平六条措施的通知》（闽政〔2014〕45号）以及2021年3月，习近平在福建考察调研期间的文件精神，要求全面提升我省茶产业发展水平，完善闽茶生产的技术质量标准体系，把茶文化、茶产业、茶科技统筹起来，提升闽茶的品牌。</w:t>
      </w:r>
    </w:p>
    <w:p w14:paraId="6D3EDF0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得益于原产地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福鼎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优越的自然生态环境，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福鼎白茶调味茶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深受广大消费者喜爱。其成品福鼎白茶系列产品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为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基本原料，加入叶、花、果（实）、根茎等药食两用的原料或适量其他食品香料、食品香精等添加剂，按本地域内茶叶加工技术规程的要求加工而成，具有特定优质品质特征，与市场上其他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调味茶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品类有所区分，应重视明确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福鼎白茶调味茶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的茶品分类和产品指征。</w:t>
      </w:r>
    </w:p>
    <w:p w14:paraId="0219644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研究和制定《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福鼎白茶 调味茶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》团体标准，目的是规范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福鼎白茶调味茶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的品种定义、分级和检测指标，以便于推广。该标准的研制是响应“质量兴农”号召、完善闽茶生产技术质量标准体系的关键一环、实施茶业生产标准化战略的有效探索；有助于进一步规范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福鼎白茶调味茶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茶业市场，使茶企在生产经营过程中有标准可依，有规范可循。从而利用品种源产地优势打响地方知名度，打造区域公共品牌，跻身全国茶业市场一席之地。</w:t>
      </w:r>
    </w:p>
    <w:p w14:paraId="28281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61" w:beforeLines="50" w:after="161" w:afterLines="50" w:line="50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5 主要条款的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zh-CN" w:eastAsia="zh-CN"/>
        </w:rPr>
        <w:t>说明</w:t>
      </w:r>
    </w:p>
    <w:p w14:paraId="1C31C98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5.1 第1章 范围</w:t>
      </w:r>
    </w:p>
    <w:p w14:paraId="7D7B8E7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本文件规定了福鼎白茶调味茶的产品分类、要求、试验方法、检验规则、标志标签及包装、运输、贮存和保质期。</w:t>
      </w:r>
    </w:p>
    <w:p w14:paraId="3FF968A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本文件适用于以福鼎白茶为主要原料的调味茶产品。</w:t>
      </w:r>
    </w:p>
    <w:p w14:paraId="18091FF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5.2 第3章 术语和定义</w:t>
      </w:r>
    </w:p>
    <w:p w14:paraId="24CB3FE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right="0" w:rightChars="0"/>
        <w:textAlignment w:val="auto"/>
        <w:outlineLvl w:val="9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 xml:space="preserve">    为便于对标准的理解与执行，本章给出了“福鼎白茶 调味茶”“加料调味茶”“加香调味茶”“混合调味茶”“紧压调味茶”“袋泡调味茶”的术语和定义。</w:t>
      </w:r>
    </w:p>
    <w:p w14:paraId="666AA57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 xml:space="preserve">5.3 第4章 </w:t>
      </w:r>
      <w:bookmarkStart w:id="1" w:name="_Toc11017"/>
      <w:bookmarkStart w:id="2" w:name="_Toc16862"/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产品分类</w:t>
      </w:r>
      <w:bookmarkEnd w:id="1"/>
      <w:bookmarkEnd w:id="2"/>
    </w:p>
    <w:p w14:paraId="083C325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本章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对福鼎白茶调味茶的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产品分类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进行规定。</w:t>
      </w:r>
    </w:p>
    <w:p w14:paraId="436C7E1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5.4 第5章 要求</w:t>
      </w:r>
    </w:p>
    <w:p w14:paraId="02CCD296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left="0" w:leftChars="0" w:right="0" w:rightChars="0" w:firstLine="639" w:firstLineChars="213"/>
        <w:textAlignment w:val="auto"/>
        <w:outlineLvl w:val="9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本章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对福鼎白茶调味茶提出要求，包括原辅料要求、感官品质、理化指标、质量安全指标、净含量。</w:t>
      </w:r>
    </w:p>
    <w:p w14:paraId="06720899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right="0" w:rightChars="0"/>
        <w:textAlignment w:val="auto"/>
        <w:outlineLvl w:val="9"/>
        <w:rPr>
          <w:rFonts w:hint="default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 xml:space="preserve">5.5 第6章 </w:t>
      </w:r>
      <w:bookmarkStart w:id="3" w:name="_Toc466638527"/>
      <w:bookmarkStart w:id="4" w:name="_Toc11171"/>
      <w:bookmarkStart w:id="5" w:name="_Toc462757834"/>
      <w:bookmarkStart w:id="6" w:name="_Toc466638205"/>
      <w:bookmarkStart w:id="7" w:name="_Toc466638459"/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试验方法</w:t>
      </w:r>
    </w:p>
    <w:bookmarkEnd w:id="3"/>
    <w:bookmarkEnd w:id="4"/>
    <w:bookmarkEnd w:id="5"/>
    <w:bookmarkEnd w:id="6"/>
    <w:bookmarkEnd w:id="7"/>
    <w:p w14:paraId="624E275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本章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对福鼎白茶调味茶的取样、感官品质、理化指标、质量安全指标、净含量等试验方法进行规定。</w:t>
      </w:r>
    </w:p>
    <w:p w14:paraId="4A9346DD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right="0" w:rightChars="0"/>
        <w:textAlignment w:val="auto"/>
        <w:outlineLvl w:val="9"/>
        <w:rPr>
          <w:rFonts w:hint="default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5.6 第7章 检验规则</w:t>
      </w:r>
    </w:p>
    <w:p w14:paraId="3E39543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本章对福鼎白茶调味茶的取样、检验、判定规则、</w:t>
      </w:r>
      <w:bookmarkStart w:id="8" w:name="_Toc30433"/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复检</w:t>
      </w:r>
      <w:bookmarkEnd w:id="8"/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进行规定。</w:t>
      </w:r>
    </w:p>
    <w:p w14:paraId="56674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61" w:beforeLines="50" w:after="161" w:afterLines="50" w:line="500" w:lineRule="exact"/>
        <w:ind w:right="0" w:rightChars="0"/>
        <w:textAlignment w:val="auto"/>
        <w:outlineLvl w:val="9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6 贯彻标准的要求、措施和建议</w:t>
      </w:r>
    </w:p>
    <w:p w14:paraId="06A65EA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为了使该标准的制定能尽快服务于福鼎白茶调味茶，推动福鼎白茶调味茶合理创新、有序健康发展，建议标准发布后，要做好宣传培训、加大贯彻实施和建立检查监督机制等工作。具体来说：（1）加大宣贯力度。一是利用报纸、电视、互联网、手机等各种新闻载体，大力宣传，为标准的实施营造良好的社会氛围。二是由相关职能部门组织对相关人员进行培训学习。（2）加强标准实施评价。对在标准实施过程中发现的问题及提出的意见，要进行深入探讨和研究，做好标准的修订和完善工作。</w:t>
      </w:r>
    </w:p>
    <w:p w14:paraId="162A631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</w:p>
    <w:p w14:paraId="5B50F47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right="0" w:rightChars="0"/>
        <w:jc w:val="right"/>
        <w:textAlignment w:val="auto"/>
        <w:outlineLvl w:val="9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</w:p>
    <w:p w14:paraId="77D1182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right="0" w:rightChars="0"/>
        <w:jc w:val="right"/>
        <w:textAlignment w:val="auto"/>
        <w:outlineLvl w:val="9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</w:p>
    <w:p w14:paraId="5A20D06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right="0" w:rightChars="0"/>
        <w:jc w:val="right"/>
        <w:textAlignment w:val="auto"/>
        <w:outlineLvl w:val="9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《福鼎白茶 调味茶》团体标准起草组</w:t>
      </w:r>
    </w:p>
    <w:p w14:paraId="007A95F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right="0" w:rightChars="0"/>
        <w:jc w:val="right"/>
        <w:textAlignment w:val="auto"/>
        <w:outlineLvl w:val="9"/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2024年9月20日</w:t>
      </w:r>
    </w:p>
    <w:p w14:paraId="3B69F89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right="0" w:rightChars="0"/>
        <w:jc w:val="right"/>
        <w:textAlignment w:val="auto"/>
        <w:outlineLvl w:val="9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</w:p>
    <w:p w14:paraId="6CC2C5F5">
      <w:pPr>
        <w:adjustRightInd w:val="0"/>
        <w:snapToGrid w:val="0"/>
        <w:spacing w:line="360" w:lineRule="auto"/>
        <w:ind w:right="272"/>
        <w:jc w:val="right"/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</w:pPr>
    </w:p>
    <w:p w14:paraId="6988E7F3"/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8"/>
      <w:suff w:val="nothing"/>
      <w:lvlText w:val="%1.%2　"/>
      <w:lvlJc w:val="left"/>
      <w:pPr>
        <w:ind w:left="142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color w:val="auto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2694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NzA3YzA1YTEwMTc4MmZiZGM4NmM1NjQ4MWRhYjYifQ=="/>
  </w:docVars>
  <w:rsids>
    <w:rsidRoot w:val="4AFF3813"/>
    <w:rsid w:val="00022464"/>
    <w:rsid w:val="00B44725"/>
    <w:rsid w:val="011347C0"/>
    <w:rsid w:val="01EE2E82"/>
    <w:rsid w:val="0203417D"/>
    <w:rsid w:val="025F3BFA"/>
    <w:rsid w:val="039833E5"/>
    <w:rsid w:val="045F66F8"/>
    <w:rsid w:val="048B17A1"/>
    <w:rsid w:val="048D6C72"/>
    <w:rsid w:val="05DF0386"/>
    <w:rsid w:val="064415F4"/>
    <w:rsid w:val="064C61F2"/>
    <w:rsid w:val="0A4C7942"/>
    <w:rsid w:val="0D705975"/>
    <w:rsid w:val="0DA017CC"/>
    <w:rsid w:val="0DAE641D"/>
    <w:rsid w:val="0E4E4176"/>
    <w:rsid w:val="0F5F37AE"/>
    <w:rsid w:val="0F945EF3"/>
    <w:rsid w:val="105E27BB"/>
    <w:rsid w:val="106E40FA"/>
    <w:rsid w:val="10D675D1"/>
    <w:rsid w:val="151C65EF"/>
    <w:rsid w:val="171B7AD0"/>
    <w:rsid w:val="1798573E"/>
    <w:rsid w:val="1B9118D8"/>
    <w:rsid w:val="1CD80A75"/>
    <w:rsid w:val="1DA12237"/>
    <w:rsid w:val="1F186C84"/>
    <w:rsid w:val="1F395263"/>
    <w:rsid w:val="1FCD5C45"/>
    <w:rsid w:val="201B761F"/>
    <w:rsid w:val="21200794"/>
    <w:rsid w:val="244349E5"/>
    <w:rsid w:val="24B5212C"/>
    <w:rsid w:val="25BC0290"/>
    <w:rsid w:val="265B13C7"/>
    <w:rsid w:val="26DE6231"/>
    <w:rsid w:val="2AEF15F0"/>
    <w:rsid w:val="2BA552B9"/>
    <w:rsid w:val="2CFD15BD"/>
    <w:rsid w:val="2F5A0FDE"/>
    <w:rsid w:val="31AB7F38"/>
    <w:rsid w:val="31F31B05"/>
    <w:rsid w:val="3213380F"/>
    <w:rsid w:val="34102548"/>
    <w:rsid w:val="345D0164"/>
    <w:rsid w:val="358C1965"/>
    <w:rsid w:val="36D265A8"/>
    <w:rsid w:val="3AC40B6D"/>
    <w:rsid w:val="3DBA4C63"/>
    <w:rsid w:val="3F2F7405"/>
    <w:rsid w:val="412261B5"/>
    <w:rsid w:val="41434422"/>
    <w:rsid w:val="41866527"/>
    <w:rsid w:val="43142363"/>
    <w:rsid w:val="43663180"/>
    <w:rsid w:val="43721740"/>
    <w:rsid w:val="439F18AF"/>
    <w:rsid w:val="45500E7B"/>
    <w:rsid w:val="47F26AD6"/>
    <w:rsid w:val="48AC3CBF"/>
    <w:rsid w:val="48B269E2"/>
    <w:rsid w:val="4AFF3813"/>
    <w:rsid w:val="4B851D5D"/>
    <w:rsid w:val="4BA874FD"/>
    <w:rsid w:val="4BC46A3F"/>
    <w:rsid w:val="4C7510EB"/>
    <w:rsid w:val="4CC13663"/>
    <w:rsid w:val="4E05760A"/>
    <w:rsid w:val="51A4132D"/>
    <w:rsid w:val="52543C4D"/>
    <w:rsid w:val="53BE4AF2"/>
    <w:rsid w:val="542B02CA"/>
    <w:rsid w:val="56371AD4"/>
    <w:rsid w:val="58403C46"/>
    <w:rsid w:val="58B63A89"/>
    <w:rsid w:val="5A6A46B9"/>
    <w:rsid w:val="5ACD1752"/>
    <w:rsid w:val="5B2953E8"/>
    <w:rsid w:val="5B95143A"/>
    <w:rsid w:val="5D92677B"/>
    <w:rsid w:val="608019AA"/>
    <w:rsid w:val="60FE2FE9"/>
    <w:rsid w:val="613839F8"/>
    <w:rsid w:val="6230232C"/>
    <w:rsid w:val="636B1FDC"/>
    <w:rsid w:val="6716400D"/>
    <w:rsid w:val="673E37E2"/>
    <w:rsid w:val="67577278"/>
    <w:rsid w:val="68622A07"/>
    <w:rsid w:val="6EC4456F"/>
    <w:rsid w:val="6F1C74FE"/>
    <w:rsid w:val="6F9002F6"/>
    <w:rsid w:val="716E1E0F"/>
    <w:rsid w:val="736F7322"/>
    <w:rsid w:val="7482230A"/>
    <w:rsid w:val="74C711D8"/>
    <w:rsid w:val="76B9264F"/>
    <w:rsid w:val="78877151"/>
    <w:rsid w:val="78DB16E8"/>
    <w:rsid w:val="7B280554"/>
    <w:rsid w:val="7B7A118C"/>
    <w:rsid w:val="7D9F135D"/>
    <w:rsid w:val="7F940465"/>
    <w:rsid w:val="7FE6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Plain Text"/>
    <w:basedOn w:val="1"/>
    <w:qFormat/>
    <w:uiPriority w:val="0"/>
    <w:pPr>
      <w:jc w:val="both"/>
    </w:pPr>
    <w:rPr>
      <w:rFonts w:ascii="宋体" w:hAnsi="Courier New" w:eastAsia="宋体"/>
      <w:sz w:val="21"/>
      <w:szCs w:val="20"/>
      <w:lang w:eastAsia="zh-CN"/>
    </w:rPr>
  </w:style>
  <w:style w:type="paragraph" w:styleId="4">
    <w:name w:val="Balloon Text"/>
    <w:basedOn w:val="1"/>
    <w:next w:val="1"/>
    <w:unhideWhenUsed/>
    <w:qFormat/>
    <w:uiPriority w:val="99"/>
    <w:rPr>
      <w:sz w:val="18"/>
      <w:szCs w:val="18"/>
    </w:rPr>
  </w:style>
  <w:style w:type="paragraph" w:customStyle="1" w:styleId="7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">
    <w:name w:val="一级条标题"/>
    <w:next w:val="7"/>
    <w:qFormat/>
    <w:uiPriority w:val="0"/>
    <w:pPr>
      <w:numPr>
        <w:ilvl w:val="1"/>
        <w:numId w:val="1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9">
    <w:name w:val="标准文件_段"/>
    <w:qFormat/>
    <w:uiPriority w:val="0"/>
    <w:pPr>
      <w:ind w:firstLine="420" w:firstLineChars="200"/>
      <w:jc w:val="both"/>
    </w:pPr>
    <w:rPr>
      <w:rFonts w:hint="eastAsia" w:ascii="宋体" w:hAnsi="Times New Roman" w:eastAsia="宋体" w:cs="宋体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2080</Words>
  <Characters>2284</Characters>
  <Lines>0</Lines>
  <Paragraphs>0</Paragraphs>
  <TotalTime>0</TotalTime>
  <ScaleCrop>false</ScaleCrop>
  <LinksUpToDate>false</LinksUpToDate>
  <CharactersWithSpaces>2413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2022-07-25T01:16:00Z</dcterms:created>
  <dc:creator>北在北边</dc:creator>
  <cp:lastModifiedBy>木子李</cp:lastModifiedBy>
  <dcterms:modified xsi:type="dcterms:W3CDTF">2024-09-18T07:16:33Z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C9A09625450F4DD989055299BA7586C0</vt:lpwstr>
  </property>
</Properties>
</file>