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11955" w14:textId="77777777" w:rsidR="004E27A4" w:rsidRDefault="00000000">
      <w:pPr>
        <w:jc w:val="center"/>
        <w:rPr>
          <w:rFonts w:asciiTheme="majorEastAsia" w:eastAsiaTheme="majorEastAsia" w:hAnsiTheme="majorEastAsia" w:cstheme="majorEastAsia" w:hint="eastAsia"/>
          <w:b/>
          <w:bCs/>
          <w:sz w:val="36"/>
          <w:szCs w:val="36"/>
        </w:rPr>
      </w:pPr>
      <w:r>
        <w:rPr>
          <w:rFonts w:asciiTheme="majorEastAsia" w:eastAsiaTheme="majorEastAsia" w:hAnsiTheme="majorEastAsia" w:cstheme="majorEastAsia" w:hint="eastAsia"/>
          <w:b/>
          <w:bCs/>
          <w:sz w:val="36"/>
          <w:szCs w:val="36"/>
        </w:rPr>
        <w:t>中老年富含乳清蛋白专属配方调制乳粉团体标准</w:t>
      </w:r>
    </w:p>
    <w:p w14:paraId="5EA78D4C" w14:textId="19645B21" w:rsidR="004E27A4" w:rsidRDefault="007F3351">
      <w:pPr>
        <w:jc w:val="center"/>
        <w:rPr>
          <w:rFonts w:asciiTheme="majorEastAsia" w:eastAsiaTheme="majorEastAsia" w:hAnsiTheme="majorEastAsia" w:cstheme="majorEastAsia" w:hint="eastAsia"/>
          <w:b/>
          <w:bCs/>
          <w:sz w:val="36"/>
          <w:szCs w:val="36"/>
        </w:rPr>
      </w:pPr>
      <w:r>
        <w:rPr>
          <w:rFonts w:asciiTheme="majorEastAsia" w:eastAsiaTheme="majorEastAsia" w:hAnsiTheme="majorEastAsia" w:cstheme="majorEastAsia" w:hint="eastAsia"/>
          <w:b/>
          <w:bCs/>
          <w:sz w:val="36"/>
          <w:szCs w:val="36"/>
        </w:rPr>
        <w:t>编制说明</w:t>
      </w:r>
    </w:p>
    <w:p w14:paraId="185A015C" w14:textId="77777777" w:rsidR="004E27A4" w:rsidRDefault="004E27A4">
      <w:pPr>
        <w:spacing w:line="360" w:lineRule="auto"/>
        <w:ind w:firstLineChars="200" w:firstLine="420"/>
        <w:rPr>
          <w:rFonts w:ascii="黑体" w:eastAsia="黑体" w:hAnsi="黑体" w:cs="黑体" w:hint="eastAsia"/>
          <w:szCs w:val="21"/>
        </w:rPr>
      </w:pPr>
    </w:p>
    <w:p w14:paraId="1C2F515E" w14:textId="77777777" w:rsidR="004E27A4" w:rsidRDefault="00000000">
      <w:pPr>
        <w:spacing w:line="360" w:lineRule="auto"/>
        <w:ind w:firstLineChars="200" w:firstLine="420"/>
        <w:rPr>
          <w:rFonts w:ascii="黑体" w:eastAsia="黑体" w:hAnsi="黑体" w:cs="黑体" w:hint="eastAsia"/>
          <w:szCs w:val="21"/>
        </w:rPr>
      </w:pPr>
      <w:r>
        <w:rPr>
          <w:rFonts w:ascii="黑体" w:eastAsia="黑体" w:hAnsi="黑体" w:cs="黑体" w:hint="eastAsia"/>
          <w:szCs w:val="21"/>
        </w:rPr>
        <w:t>一、标准起草的基本情况</w:t>
      </w:r>
    </w:p>
    <w:p w14:paraId="4560D208" w14:textId="77777777" w:rsidR="004E27A4" w:rsidRDefault="00000000">
      <w:pPr>
        <w:spacing w:line="360" w:lineRule="auto"/>
        <w:ind w:firstLineChars="200" w:firstLine="420"/>
        <w:rPr>
          <w:rFonts w:ascii="宋体" w:eastAsia="宋体" w:hAnsi="宋体" w:cs="宋体" w:hint="eastAsia"/>
          <w:szCs w:val="21"/>
        </w:rPr>
      </w:pPr>
      <w:r>
        <w:rPr>
          <w:rFonts w:ascii="宋体" w:eastAsia="宋体" w:hAnsi="宋体" w:cs="宋体" w:hint="eastAsia"/>
          <w:szCs w:val="21"/>
        </w:rPr>
        <w:t>本标准于2024年7月立项，项目承担单位为</w:t>
      </w:r>
      <w:r>
        <w:rPr>
          <w:rFonts w:ascii="Times New Roman" w:eastAsia="宋体" w:hAnsi="Times New Roman" w:cs="宋体" w:hint="eastAsia"/>
          <w:szCs w:val="21"/>
        </w:rPr>
        <w:t>XXXXXXXXXXXXX</w:t>
      </w:r>
      <w:r>
        <w:rPr>
          <w:rFonts w:ascii="宋体" w:eastAsia="宋体" w:hAnsi="宋体" w:cs="宋体" w:hint="eastAsia"/>
          <w:szCs w:val="21"/>
        </w:rPr>
        <w:t>。20</w:t>
      </w:r>
      <w:r>
        <w:rPr>
          <w:rFonts w:ascii="Times New Roman" w:eastAsia="宋体" w:hAnsi="Times New Roman" w:cs="宋体" w:hint="eastAsia"/>
          <w:szCs w:val="21"/>
        </w:rPr>
        <w:t>XX</w:t>
      </w:r>
      <w:r>
        <w:rPr>
          <w:rFonts w:ascii="宋体" w:eastAsia="宋体" w:hAnsi="宋体" w:cs="宋体" w:hint="eastAsia"/>
          <w:szCs w:val="21"/>
        </w:rPr>
        <w:t>年</w:t>
      </w:r>
      <w:r>
        <w:rPr>
          <w:rFonts w:ascii="Times New Roman" w:eastAsia="宋体" w:hAnsi="Times New Roman" w:cs="宋体" w:hint="eastAsia"/>
          <w:szCs w:val="21"/>
        </w:rPr>
        <w:t>X</w:t>
      </w:r>
      <w:r>
        <w:rPr>
          <w:rFonts w:ascii="宋体" w:eastAsia="宋体" w:hAnsi="宋体" w:cs="宋体" w:hint="eastAsia"/>
          <w:szCs w:val="21"/>
        </w:rPr>
        <w:t>月</w:t>
      </w:r>
      <w:r>
        <w:rPr>
          <w:rFonts w:ascii="Times New Roman" w:eastAsia="宋体" w:hAnsi="Times New Roman" w:cs="宋体" w:hint="eastAsia"/>
          <w:szCs w:val="21"/>
        </w:rPr>
        <w:t>X</w:t>
      </w:r>
      <w:r>
        <w:rPr>
          <w:rFonts w:ascii="宋体" w:eastAsia="宋体" w:hAnsi="宋体" w:cs="宋体" w:hint="eastAsia"/>
          <w:szCs w:val="21"/>
        </w:rPr>
        <w:t>日正式启动，20</w:t>
      </w:r>
      <w:r>
        <w:rPr>
          <w:rFonts w:ascii="Times New Roman" w:eastAsia="宋体" w:hAnsi="Times New Roman" w:cs="宋体" w:hint="eastAsia"/>
          <w:szCs w:val="21"/>
        </w:rPr>
        <w:t>XX</w:t>
      </w:r>
      <w:r>
        <w:rPr>
          <w:rFonts w:ascii="宋体" w:eastAsia="宋体" w:hAnsi="宋体" w:cs="宋体" w:hint="eastAsia"/>
          <w:szCs w:val="21"/>
        </w:rPr>
        <w:t>年</w:t>
      </w:r>
      <w:r>
        <w:rPr>
          <w:rFonts w:ascii="Times New Roman" w:eastAsia="宋体" w:hAnsi="Times New Roman" w:cs="宋体" w:hint="eastAsia"/>
          <w:szCs w:val="21"/>
        </w:rPr>
        <w:t>X</w:t>
      </w:r>
      <w:r>
        <w:rPr>
          <w:rFonts w:ascii="宋体" w:eastAsia="宋体" w:hAnsi="宋体" w:cs="宋体" w:hint="eastAsia"/>
          <w:szCs w:val="21"/>
        </w:rPr>
        <w:t>月</w:t>
      </w:r>
      <w:r>
        <w:rPr>
          <w:rFonts w:ascii="Times New Roman" w:eastAsia="宋体" w:hAnsi="Times New Roman" w:cs="宋体" w:hint="eastAsia"/>
          <w:szCs w:val="21"/>
        </w:rPr>
        <w:t>X</w:t>
      </w:r>
      <w:r>
        <w:rPr>
          <w:rFonts w:ascii="宋体" w:eastAsia="宋体" w:hAnsi="宋体" w:cs="宋体" w:hint="eastAsia"/>
          <w:szCs w:val="21"/>
        </w:rPr>
        <w:t>日召开</w:t>
      </w:r>
      <w:r>
        <w:rPr>
          <w:rFonts w:ascii="Times New Roman" w:eastAsia="宋体" w:hAnsi="Times New Roman" w:cs="宋体" w:hint="eastAsia"/>
          <w:szCs w:val="21"/>
        </w:rPr>
        <w:t>XXXXXXX</w:t>
      </w:r>
      <w:r>
        <w:rPr>
          <w:rFonts w:ascii="宋体" w:eastAsia="宋体" w:hAnsi="宋体" w:cs="宋体" w:hint="eastAsia"/>
          <w:szCs w:val="21"/>
        </w:rPr>
        <w:t>，20</w:t>
      </w:r>
      <w:r>
        <w:rPr>
          <w:rFonts w:ascii="Times New Roman" w:eastAsia="宋体" w:hAnsi="Times New Roman" w:cs="宋体" w:hint="eastAsia"/>
          <w:szCs w:val="21"/>
        </w:rPr>
        <w:t>XX</w:t>
      </w:r>
      <w:r>
        <w:rPr>
          <w:rFonts w:ascii="宋体" w:eastAsia="宋体" w:hAnsi="宋体" w:cs="宋体" w:hint="eastAsia"/>
          <w:szCs w:val="21"/>
        </w:rPr>
        <w:t>年</w:t>
      </w:r>
      <w:r>
        <w:rPr>
          <w:rFonts w:ascii="Times New Roman" w:eastAsia="宋体" w:hAnsi="Times New Roman" w:cs="宋体" w:hint="eastAsia"/>
          <w:szCs w:val="21"/>
        </w:rPr>
        <w:t>X</w:t>
      </w:r>
      <w:r>
        <w:rPr>
          <w:rFonts w:ascii="宋体" w:eastAsia="宋体" w:hAnsi="宋体" w:cs="宋体" w:hint="eastAsia"/>
          <w:szCs w:val="21"/>
        </w:rPr>
        <w:t>月</w:t>
      </w:r>
      <w:r>
        <w:rPr>
          <w:rFonts w:ascii="Times New Roman" w:eastAsia="宋体" w:hAnsi="Times New Roman" w:cs="宋体" w:hint="eastAsia"/>
          <w:szCs w:val="21"/>
        </w:rPr>
        <w:t>X</w:t>
      </w:r>
      <w:r>
        <w:rPr>
          <w:rFonts w:ascii="宋体" w:eastAsia="宋体" w:hAnsi="宋体" w:cs="宋体" w:hint="eastAsia"/>
          <w:szCs w:val="21"/>
        </w:rPr>
        <w:t>日至</w:t>
      </w:r>
      <w:r>
        <w:rPr>
          <w:rFonts w:ascii="Times New Roman" w:eastAsia="宋体" w:hAnsi="Times New Roman" w:cs="宋体" w:hint="eastAsia"/>
          <w:szCs w:val="21"/>
        </w:rPr>
        <w:t>X</w:t>
      </w:r>
      <w:r>
        <w:rPr>
          <w:rFonts w:ascii="宋体" w:eastAsia="宋体" w:hAnsi="宋体" w:cs="宋体" w:hint="eastAsia"/>
          <w:szCs w:val="21"/>
        </w:rPr>
        <w:t>月</w:t>
      </w:r>
      <w:r>
        <w:rPr>
          <w:rFonts w:ascii="Times New Roman" w:eastAsia="宋体" w:hAnsi="Times New Roman" w:cs="宋体" w:hint="eastAsia"/>
          <w:szCs w:val="21"/>
        </w:rPr>
        <w:t>X</w:t>
      </w:r>
      <w:r>
        <w:rPr>
          <w:rFonts w:ascii="宋体" w:eastAsia="宋体" w:hAnsi="宋体" w:cs="宋体" w:hint="eastAsia"/>
          <w:szCs w:val="21"/>
        </w:rPr>
        <w:t>日开展</w:t>
      </w:r>
      <w:r>
        <w:rPr>
          <w:rFonts w:ascii="Times New Roman" w:eastAsia="宋体" w:hAnsi="Times New Roman" w:cs="宋体" w:hint="eastAsia"/>
          <w:szCs w:val="21"/>
        </w:rPr>
        <w:t>XXXXXXX</w:t>
      </w:r>
      <w:r>
        <w:rPr>
          <w:rFonts w:ascii="宋体" w:eastAsia="宋体" w:hAnsi="宋体" w:cs="宋体" w:hint="eastAsia"/>
          <w:szCs w:val="21"/>
        </w:rPr>
        <w:t>，20</w:t>
      </w:r>
      <w:r>
        <w:rPr>
          <w:rFonts w:ascii="Times New Roman" w:eastAsia="宋体" w:hAnsi="Times New Roman" w:cs="宋体" w:hint="eastAsia"/>
          <w:szCs w:val="21"/>
        </w:rPr>
        <w:t>XX</w:t>
      </w:r>
      <w:r>
        <w:rPr>
          <w:rFonts w:ascii="宋体" w:eastAsia="宋体" w:hAnsi="宋体" w:cs="宋体" w:hint="eastAsia"/>
          <w:szCs w:val="21"/>
        </w:rPr>
        <w:t>年</w:t>
      </w:r>
      <w:r>
        <w:rPr>
          <w:rFonts w:ascii="Times New Roman" w:eastAsia="宋体" w:hAnsi="Times New Roman" w:cs="宋体" w:hint="eastAsia"/>
          <w:szCs w:val="21"/>
        </w:rPr>
        <w:t>X</w:t>
      </w:r>
      <w:r>
        <w:rPr>
          <w:rFonts w:ascii="宋体" w:eastAsia="宋体" w:hAnsi="宋体" w:cs="宋体" w:hint="eastAsia"/>
          <w:szCs w:val="21"/>
        </w:rPr>
        <w:t>月</w:t>
      </w:r>
      <w:r>
        <w:rPr>
          <w:rFonts w:ascii="Times New Roman" w:eastAsia="宋体" w:hAnsi="Times New Roman" w:cs="宋体" w:hint="eastAsia"/>
          <w:szCs w:val="21"/>
        </w:rPr>
        <w:t>X</w:t>
      </w:r>
      <w:r>
        <w:rPr>
          <w:rFonts w:ascii="宋体" w:eastAsia="宋体" w:hAnsi="宋体" w:cs="宋体" w:hint="eastAsia"/>
          <w:szCs w:val="21"/>
        </w:rPr>
        <w:t>日形成草案，20</w:t>
      </w:r>
      <w:r>
        <w:rPr>
          <w:rFonts w:ascii="Times New Roman" w:eastAsia="宋体" w:hAnsi="Times New Roman" w:cs="宋体" w:hint="eastAsia"/>
          <w:szCs w:val="21"/>
        </w:rPr>
        <w:t>XX</w:t>
      </w:r>
      <w:r>
        <w:rPr>
          <w:rFonts w:ascii="宋体" w:eastAsia="宋体" w:hAnsi="宋体" w:cs="宋体" w:hint="eastAsia"/>
          <w:szCs w:val="21"/>
        </w:rPr>
        <w:t>年</w:t>
      </w:r>
      <w:r>
        <w:rPr>
          <w:rFonts w:ascii="Times New Roman" w:eastAsia="宋体" w:hAnsi="Times New Roman" w:cs="宋体" w:hint="eastAsia"/>
          <w:szCs w:val="21"/>
        </w:rPr>
        <w:t>X</w:t>
      </w:r>
      <w:r>
        <w:rPr>
          <w:rFonts w:ascii="宋体" w:eastAsia="宋体" w:hAnsi="宋体" w:cs="宋体" w:hint="eastAsia"/>
          <w:szCs w:val="21"/>
        </w:rPr>
        <w:t>月</w:t>
      </w:r>
      <w:r>
        <w:rPr>
          <w:rFonts w:ascii="Times New Roman" w:eastAsia="宋体" w:hAnsi="Times New Roman" w:cs="宋体" w:hint="eastAsia"/>
          <w:szCs w:val="21"/>
        </w:rPr>
        <w:t>X</w:t>
      </w:r>
      <w:r>
        <w:rPr>
          <w:rFonts w:ascii="宋体" w:eastAsia="宋体" w:hAnsi="宋体" w:cs="宋体" w:hint="eastAsia"/>
          <w:szCs w:val="21"/>
        </w:rPr>
        <w:t>日至</w:t>
      </w:r>
      <w:r>
        <w:rPr>
          <w:rFonts w:ascii="Times New Roman" w:eastAsia="宋体" w:hAnsi="Times New Roman" w:cs="宋体" w:hint="eastAsia"/>
          <w:szCs w:val="21"/>
        </w:rPr>
        <w:t>X</w:t>
      </w:r>
      <w:r>
        <w:rPr>
          <w:rFonts w:ascii="宋体" w:eastAsia="宋体" w:hAnsi="宋体" w:cs="宋体" w:hint="eastAsia"/>
          <w:szCs w:val="21"/>
        </w:rPr>
        <w:t>月</w:t>
      </w:r>
      <w:r>
        <w:rPr>
          <w:rFonts w:ascii="Times New Roman" w:eastAsia="宋体" w:hAnsi="Times New Roman" w:cs="宋体" w:hint="eastAsia"/>
          <w:szCs w:val="21"/>
        </w:rPr>
        <w:t>X</w:t>
      </w:r>
      <w:r>
        <w:rPr>
          <w:rFonts w:ascii="宋体" w:eastAsia="宋体" w:hAnsi="宋体" w:cs="宋体" w:hint="eastAsia"/>
          <w:szCs w:val="21"/>
        </w:rPr>
        <w:t>日进行行业内征求意见（可对行业征求意见基本情况进行简要介绍），20</w:t>
      </w:r>
      <w:r>
        <w:rPr>
          <w:rFonts w:ascii="Times New Roman" w:eastAsia="宋体" w:hAnsi="Times New Roman" w:cs="宋体" w:hint="eastAsia"/>
          <w:szCs w:val="21"/>
        </w:rPr>
        <w:t>XX</w:t>
      </w:r>
      <w:r>
        <w:rPr>
          <w:rFonts w:ascii="宋体" w:eastAsia="宋体" w:hAnsi="宋体" w:cs="宋体" w:hint="eastAsia"/>
          <w:szCs w:val="21"/>
        </w:rPr>
        <w:t>年</w:t>
      </w:r>
      <w:r>
        <w:rPr>
          <w:rFonts w:ascii="Times New Roman" w:eastAsia="宋体" w:hAnsi="Times New Roman" w:cs="宋体" w:hint="eastAsia"/>
          <w:szCs w:val="21"/>
        </w:rPr>
        <w:t>X</w:t>
      </w:r>
      <w:r>
        <w:rPr>
          <w:rFonts w:ascii="宋体" w:eastAsia="宋体" w:hAnsi="宋体" w:cs="宋体" w:hint="eastAsia"/>
          <w:szCs w:val="21"/>
        </w:rPr>
        <w:t>月</w:t>
      </w:r>
      <w:r>
        <w:rPr>
          <w:rFonts w:ascii="Times New Roman" w:eastAsia="宋体" w:hAnsi="Times New Roman" w:cs="宋体" w:hint="eastAsia"/>
          <w:szCs w:val="21"/>
        </w:rPr>
        <w:t>X</w:t>
      </w:r>
      <w:r>
        <w:rPr>
          <w:rFonts w:ascii="宋体" w:eastAsia="宋体" w:hAnsi="宋体" w:cs="宋体" w:hint="eastAsia"/>
          <w:szCs w:val="21"/>
        </w:rPr>
        <w:t>日形成《中老年富含乳清蛋白专属配方调制乳粉》送审稿。</w:t>
      </w:r>
    </w:p>
    <w:p w14:paraId="5E143417" w14:textId="77777777" w:rsidR="004E27A4" w:rsidRDefault="00000000">
      <w:pPr>
        <w:pStyle w:val="-11"/>
        <w:tabs>
          <w:tab w:val="left" w:pos="851"/>
        </w:tabs>
        <w:spacing w:line="360" w:lineRule="auto"/>
        <w:rPr>
          <w:rFonts w:ascii="黑体" w:eastAsia="黑体" w:hAnsi="宋体" w:cs="Arial" w:hint="eastAsia"/>
          <w:color w:val="000000" w:themeColor="text1"/>
          <w:szCs w:val="21"/>
        </w:rPr>
      </w:pPr>
      <w:r>
        <w:rPr>
          <w:rFonts w:ascii="黑体" w:eastAsia="黑体" w:hAnsi="宋体" w:cs="Arial" w:hint="eastAsia"/>
          <w:color w:val="000000" w:themeColor="text1"/>
          <w:szCs w:val="21"/>
        </w:rPr>
        <w:t>二、国内外相关法规标准情况</w:t>
      </w:r>
    </w:p>
    <w:p w14:paraId="75C09C72" w14:textId="77777777" w:rsidR="004E27A4" w:rsidRDefault="00000000">
      <w:pPr>
        <w:pStyle w:val="af0"/>
        <w:spacing w:line="360" w:lineRule="auto"/>
        <w:rPr>
          <w:rFonts w:ascii="Times New Roman" w:eastAsia="宋体" w:hAnsi="Times New Roman" w:cs="Times New Roman"/>
          <w:szCs w:val="21"/>
        </w:rPr>
      </w:pPr>
      <w:r>
        <w:rPr>
          <w:rFonts w:ascii="Times New Roman" w:eastAsia="宋体" w:hAnsi="Times New Roman" w:cs="Times New Roman" w:hint="eastAsia"/>
          <w:color w:val="000000" w:themeColor="text1"/>
          <w:szCs w:val="21"/>
        </w:rPr>
        <w:t>本标准的制订符合我国法律法规的规定，同时在标准的制订过程中主要参考了</w:t>
      </w:r>
      <w:r>
        <w:rPr>
          <w:rFonts w:ascii="Times New Roman" w:eastAsia="宋体" w:hAnsi="Times New Roman" w:cs="Times New Roman" w:hint="eastAsia"/>
          <w:color w:val="000000" w:themeColor="text1"/>
          <w:szCs w:val="21"/>
        </w:rPr>
        <w:t>GB 19644</w:t>
      </w:r>
      <w:r>
        <w:rPr>
          <w:rFonts w:ascii="Times New Roman" w:eastAsia="宋体" w:hAnsi="Times New Roman" w:cs="Times New Roman" w:hint="eastAsia"/>
          <w:color w:val="000000" w:themeColor="text1"/>
          <w:szCs w:val="21"/>
        </w:rPr>
        <w:t>《食品安全国家标准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hint="eastAsia"/>
          <w:color w:val="000000" w:themeColor="text1"/>
          <w:szCs w:val="21"/>
        </w:rPr>
        <w:t>乳粉和调制乳粉》、</w:t>
      </w:r>
      <w:r>
        <w:rPr>
          <w:rFonts w:ascii="Times New Roman" w:eastAsia="宋体" w:hAnsi="Times New Roman" w:cs="Times New Roman"/>
          <w:color w:val="000000" w:themeColor="text1"/>
          <w:szCs w:val="21"/>
        </w:rPr>
        <w:t>T/CGSS 004-2019</w:t>
      </w:r>
      <w:r>
        <w:rPr>
          <w:rFonts w:ascii="Times New Roman" w:eastAsia="宋体" w:hAnsi="Times New Roman" w:cs="Times New Roman"/>
          <w:color w:val="000000" w:themeColor="text1"/>
          <w:szCs w:val="21"/>
        </w:rPr>
        <w:t>《适老营养配方食品通则》</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T/JXSYYXH 0005-2023</w:t>
      </w:r>
      <w:r>
        <w:rPr>
          <w:rFonts w:ascii="Times New Roman" w:eastAsia="宋体" w:hAnsi="Times New Roman" w:cs="Times New Roman"/>
          <w:color w:val="000000" w:themeColor="text1"/>
          <w:szCs w:val="21"/>
        </w:rPr>
        <w:t>《老年营养食品》</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GB14880</w:t>
      </w:r>
      <w:r>
        <w:rPr>
          <w:rFonts w:ascii="Times New Roman" w:eastAsia="宋体" w:hAnsi="Times New Roman" w:cs="Times New Roman" w:hint="eastAsia"/>
          <w:color w:val="000000" w:themeColor="text1"/>
          <w:szCs w:val="21"/>
        </w:rPr>
        <w:t>《食品安全国家标准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hint="eastAsia"/>
          <w:color w:val="000000" w:themeColor="text1"/>
          <w:szCs w:val="21"/>
        </w:rPr>
        <w:t>食品营养强化剂使用标准》等标准的内容，同时保持与参考标准的协调性。</w:t>
      </w:r>
    </w:p>
    <w:p w14:paraId="765BB75E" w14:textId="77777777" w:rsidR="004E27A4" w:rsidRDefault="00000000">
      <w:pPr>
        <w:spacing w:line="360" w:lineRule="auto"/>
        <w:ind w:firstLineChars="200" w:firstLine="420"/>
        <w:rPr>
          <w:rFonts w:ascii="黑体" w:eastAsia="黑体" w:hAnsi="黑体" w:cs="黑体" w:hint="eastAsia"/>
          <w:szCs w:val="21"/>
        </w:rPr>
      </w:pPr>
      <w:r w:rsidRPr="00C4225A">
        <w:rPr>
          <w:rFonts w:ascii="Times New Roman" w:eastAsia="宋体" w:hAnsi="Times New Roman" w:cs="Times New Roman" w:hint="eastAsia"/>
          <w:szCs w:val="21"/>
        </w:rPr>
        <w:t>国外没有相关参考标准。</w:t>
      </w:r>
    </w:p>
    <w:p w14:paraId="55E45E42" w14:textId="77777777" w:rsidR="004E27A4" w:rsidRDefault="00000000">
      <w:pPr>
        <w:spacing w:line="360" w:lineRule="auto"/>
        <w:ind w:firstLineChars="200" w:firstLine="420"/>
        <w:rPr>
          <w:rFonts w:ascii="黑体" w:eastAsia="黑体" w:hAnsi="黑体" w:cs="黑体" w:hint="eastAsia"/>
          <w:szCs w:val="21"/>
        </w:rPr>
      </w:pPr>
      <w:r>
        <w:rPr>
          <w:rFonts w:ascii="黑体" w:eastAsia="黑体" w:hAnsi="黑体" w:cs="黑体" w:hint="eastAsia"/>
          <w:szCs w:val="21"/>
        </w:rPr>
        <w:t>三、标准的制定原则</w:t>
      </w:r>
    </w:p>
    <w:p w14:paraId="2A3ED855" w14:textId="77777777" w:rsidR="004E27A4" w:rsidRDefault="00000000">
      <w:pPr>
        <w:spacing w:line="36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本标准的编制遵从以下原则：</w:t>
      </w:r>
    </w:p>
    <w:p w14:paraId="4D6D29C8" w14:textId="77777777" w:rsidR="004E27A4" w:rsidRDefault="00000000">
      <w:pPr>
        <w:spacing w:line="36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 xml:space="preserve">1. </w:t>
      </w:r>
      <w:r>
        <w:rPr>
          <w:rFonts w:ascii="Times New Roman" w:eastAsia="宋体" w:hAnsi="Times New Roman" w:cs="Times New Roman" w:hint="eastAsia"/>
          <w:color w:val="000000" w:themeColor="text1"/>
          <w:szCs w:val="21"/>
        </w:rPr>
        <w:t>协调性：标准的制定充分考虑了与通用标准的协调衔接；</w:t>
      </w:r>
    </w:p>
    <w:p w14:paraId="27461FCA" w14:textId="77777777" w:rsidR="004E27A4" w:rsidRDefault="00000000">
      <w:pPr>
        <w:spacing w:line="36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 xml:space="preserve">2. </w:t>
      </w:r>
      <w:r>
        <w:rPr>
          <w:rFonts w:ascii="Times New Roman" w:eastAsia="宋体" w:hAnsi="Times New Roman" w:cs="Times New Roman" w:hint="eastAsia"/>
          <w:color w:val="000000" w:themeColor="text1"/>
          <w:szCs w:val="21"/>
        </w:rPr>
        <w:t>科学性：以国内外主要法规标准及科学文献为参考，充分结合企业实际生产现状，充分征求行业及专家意见；</w:t>
      </w:r>
    </w:p>
    <w:p w14:paraId="46E1A8A9" w14:textId="77777777" w:rsidR="004E27A4" w:rsidRDefault="00000000">
      <w:pPr>
        <w:spacing w:line="360" w:lineRule="auto"/>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 xml:space="preserve">3. </w:t>
      </w:r>
      <w:r>
        <w:rPr>
          <w:rFonts w:ascii="Times New Roman" w:eastAsia="宋体" w:hAnsi="Times New Roman" w:cs="Times New Roman" w:hint="eastAsia"/>
          <w:color w:val="000000" w:themeColor="text1"/>
          <w:szCs w:val="21"/>
        </w:rPr>
        <w:t>实用性：本标准按照食品安全国家标准起草的原则，优化调整相关表述，充分考虑行业实际使用。</w:t>
      </w:r>
    </w:p>
    <w:p w14:paraId="6CD95645" w14:textId="77777777" w:rsidR="004E27A4" w:rsidRDefault="00000000">
      <w:pPr>
        <w:spacing w:line="360" w:lineRule="auto"/>
        <w:ind w:firstLineChars="200" w:firstLine="420"/>
        <w:rPr>
          <w:rFonts w:ascii="黑体" w:eastAsia="黑体" w:hAnsi="黑体" w:cs="黑体" w:hint="eastAsia"/>
          <w:szCs w:val="21"/>
        </w:rPr>
      </w:pPr>
      <w:r>
        <w:rPr>
          <w:rFonts w:ascii="黑体" w:eastAsia="黑体" w:hAnsi="黑体" w:cs="黑体" w:hint="eastAsia"/>
          <w:szCs w:val="21"/>
        </w:rPr>
        <w:t>四、标准的主要内容</w:t>
      </w:r>
    </w:p>
    <w:p w14:paraId="41929A0B" w14:textId="77777777" w:rsidR="004E27A4" w:rsidRDefault="00000000">
      <w:pPr>
        <w:pStyle w:val="-11"/>
        <w:numPr>
          <w:ilvl w:val="0"/>
          <w:numId w:val="2"/>
        </w:numPr>
        <w:tabs>
          <w:tab w:val="left" w:pos="851"/>
        </w:tabs>
        <w:spacing w:line="360" w:lineRule="auto"/>
        <w:ind w:left="0" w:firstLine="420"/>
        <w:rPr>
          <w:rFonts w:ascii="宋体" w:eastAsia="宋体" w:hAnsi="宋体" w:cs="宋体" w:hint="eastAsia"/>
          <w:color w:val="000000" w:themeColor="text1"/>
          <w:szCs w:val="21"/>
        </w:rPr>
      </w:pPr>
      <w:r>
        <w:rPr>
          <w:rFonts w:ascii="宋体" w:eastAsia="宋体" w:hAnsi="宋体" w:cs="宋体" w:hint="eastAsia"/>
          <w:color w:val="000000" w:themeColor="text1"/>
          <w:szCs w:val="21"/>
        </w:rPr>
        <w:t>范围</w:t>
      </w:r>
    </w:p>
    <w:p w14:paraId="7B2A3E50" w14:textId="77777777" w:rsidR="004E27A4" w:rsidRDefault="00000000">
      <w:pPr>
        <w:pStyle w:val="af1"/>
        <w:spacing w:line="360" w:lineRule="auto"/>
        <w:ind w:firstLine="420"/>
        <w:rPr>
          <w:rFonts w:hAnsi="宋体" w:cs="宋体" w:hint="eastAsia"/>
          <w:color w:val="000000" w:themeColor="text1"/>
          <w:szCs w:val="21"/>
        </w:rPr>
      </w:pPr>
      <w:r>
        <w:rPr>
          <w:rFonts w:hint="eastAsia"/>
          <w:szCs w:val="21"/>
        </w:rPr>
        <w:t>本标准规定了中老年富含乳清蛋白专属配方调制乳粉的术语</w:t>
      </w:r>
      <w:r>
        <w:rPr>
          <w:rFonts w:hint="eastAsia"/>
          <w:color w:val="000000"/>
          <w:szCs w:val="21"/>
        </w:rPr>
        <w:t>和定义、技术要求、生产加工过程要求、</w:t>
      </w:r>
      <w:r>
        <w:rPr>
          <w:rFonts w:ascii="Times New Roman"/>
          <w:color w:val="000000"/>
          <w:szCs w:val="21"/>
        </w:rPr>
        <w:t>标签</w:t>
      </w:r>
      <w:r>
        <w:rPr>
          <w:rFonts w:ascii="Times New Roman"/>
          <w:szCs w:val="21"/>
        </w:rPr>
        <w:t>、包装、运输、贮存</w:t>
      </w:r>
      <w:r>
        <w:rPr>
          <w:rFonts w:ascii="Times New Roman" w:hint="eastAsia"/>
          <w:szCs w:val="21"/>
        </w:rPr>
        <w:t>。</w:t>
      </w:r>
    </w:p>
    <w:p w14:paraId="4CF6FEC9" w14:textId="77777777" w:rsidR="004E27A4" w:rsidRDefault="00000000">
      <w:pPr>
        <w:pStyle w:val="-11"/>
        <w:numPr>
          <w:ilvl w:val="0"/>
          <w:numId w:val="2"/>
        </w:numPr>
        <w:tabs>
          <w:tab w:val="left" w:pos="851"/>
        </w:tabs>
        <w:spacing w:line="360" w:lineRule="auto"/>
        <w:ind w:left="0" w:firstLine="420"/>
        <w:rPr>
          <w:rFonts w:ascii="宋体" w:eastAsia="宋体" w:hAnsi="宋体" w:cs="宋体" w:hint="eastAsia"/>
          <w:color w:val="000000" w:themeColor="text1"/>
          <w:szCs w:val="21"/>
        </w:rPr>
      </w:pPr>
      <w:r>
        <w:rPr>
          <w:rFonts w:ascii="宋体" w:eastAsia="宋体" w:hAnsi="宋体" w:cs="宋体" w:hint="eastAsia"/>
          <w:color w:val="000000" w:themeColor="text1"/>
          <w:szCs w:val="21"/>
        </w:rPr>
        <w:t>术语和定义</w:t>
      </w:r>
    </w:p>
    <w:p w14:paraId="7AE7A47F" w14:textId="77777777" w:rsidR="004E27A4" w:rsidRDefault="00000000">
      <w:pPr>
        <w:pStyle w:val="a0"/>
        <w:numPr>
          <w:ilvl w:val="2"/>
          <w:numId w:val="0"/>
        </w:numPr>
        <w:spacing w:beforeLines="0" w:afterLines="0" w:line="360" w:lineRule="auto"/>
        <w:ind w:firstLineChars="200" w:firstLine="420"/>
        <w:rPr>
          <w:rFonts w:ascii="宋体" w:eastAsia="宋体" w:hAnsi="宋体" w:cs="宋体" w:hint="eastAsia"/>
          <w:szCs w:val="21"/>
        </w:rPr>
      </w:pPr>
      <w:r>
        <w:rPr>
          <w:rFonts w:ascii="宋体" w:eastAsia="宋体" w:hAnsi="宋体" w:cs="宋体" w:hint="eastAsia"/>
          <w:szCs w:val="21"/>
        </w:rPr>
        <w:t>本标准明确了“中老年”定义为“50周岁及以上的人群”</w:t>
      </w:r>
      <w:r>
        <w:rPr>
          <w:rFonts w:ascii="宋体" w:eastAsia="宋体" w:hint="eastAsia"/>
          <w:szCs w:val="21"/>
        </w:rPr>
        <w:t>。关于中老年的年龄定义，主要考虑两个层面，首先从营养需求的划分，参考《中国居民膳食营养素参考摄入量2023版》，</w:t>
      </w:r>
      <w:r>
        <w:rPr>
          <w:rFonts w:ascii="宋体" w:eastAsia="宋体" w:hint="eastAsia"/>
          <w:szCs w:val="21"/>
        </w:rPr>
        <w:lastRenderedPageBreak/>
        <w:t>本书中关于年龄的分组：成人分为18岁～、30岁～、50岁～、65岁～、75岁～。老年人年龄划分为65岁～和75岁～。老年是从65岁开始，而成年人中，50岁作为一般成人中的一个年龄分界点，因此我们定义中老年人从50岁开始。其次，考虑人群的生理变化，对于健康中国男性骨生化指标与年龄的关系，50-59岁年龄段指标最低；而女性在绝经后由于雌激素水平下降，会经历一个快速的骨量丢失期，该期约维持5-10年（大约50-59岁）。从生理变化到营养需求，50岁都作为一个节点，因此我们定义中老年为50岁及以上人群。</w:t>
      </w:r>
    </w:p>
    <w:p w14:paraId="1D8B1C89" w14:textId="77777777" w:rsidR="004E27A4" w:rsidRDefault="00000000">
      <w:pPr>
        <w:pStyle w:val="a0"/>
        <w:numPr>
          <w:ilvl w:val="2"/>
          <w:numId w:val="0"/>
        </w:numPr>
        <w:spacing w:beforeLines="0" w:afterLines="0" w:line="360" w:lineRule="auto"/>
        <w:ind w:firstLineChars="200" w:firstLine="420"/>
        <w:rPr>
          <w:rFonts w:ascii="宋体" w:eastAsia="宋体" w:hAnsi="宋体" w:cs="宋体" w:hint="eastAsia"/>
          <w:szCs w:val="21"/>
        </w:rPr>
      </w:pPr>
      <w:r>
        <w:rPr>
          <w:rFonts w:ascii="宋体" w:eastAsia="宋体" w:hAnsi="宋体" w:cs="宋体" w:hint="eastAsia"/>
          <w:szCs w:val="21"/>
        </w:rPr>
        <w:t>“中老年营养专属配方”的定义为“专门针对中老年人生理变化及营养需求，以改善中老年人营养摄入不足状况，维护中老年人身体功能、保持身心健康状态为目的而设计的营养专属配方”。</w:t>
      </w:r>
    </w:p>
    <w:p w14:paraId="27DFE6B5" w14:textId="77777777" w:rsidR="004E27A4" w:rsidRDefault="00000000">
      <w:pPr>
        <w:pStyle w:val="af1"/>
        <w:spacing w:line="360" w:lineRule="auto"/>
        <w:ind w:firstLine="420"/>
        <w:rPr>
          <w:rFonts w:hAnsi="宋体" w:cs="宋体" w:hint="eastAsia"/>
          <w:szCs w:val="21"/>
        </w:rPr>
      </w:pPr>
      <w:r>
        <w:rPr>
          <w:rFonts w:ascii="Times New Roman"/>
        </w:rPr>
        <w:t>衰老</w:t>
      </w:r>
      <w:r>
        <w:rPr>
          <w:rFonts w:ascii="Times New Roman" w:hint="eastAsia"/>
        </w:rPr>
        <w:t>是生命的自然进程，</w:t>
      </w:r>
      <w:r>
        <w:rPr>
          <w:rFonts w:ascii="Times New Roman" w:hint="eastAsia"/>
          <w:color w:val="2A2B2E"/>
        </w:rPr>
        <w:t>不仅引起老年人生理机能的退变，同时带来营养和健康问题</w:t>
      </w:r>
      <w:r>
        <w:rPr>
          <w:rFonts w:ascii="Times New Roman" w:hint="eastAsia"/>
        </w:rPr>
        <w:t>。与一般成年人相比，老年的营养需求增加，但我国老年人食物结构不合理、营养素摄入不足的现象普遍存在，</w:t>
      </w:r>
      <w:r>
        <w:rPr>
          <w:rFonts w:ascii="Times New Roman" w:hint="eastAsia"/>
          <w:color w:val="2A2B2E"/>
        </w:rPr>
        <w:t>营养干预</w:t>
      </w:r>
      <w:r>
        <w:rPr>
          <w:rFonts w:ascii="Times New Roman"/>
          <w:color w:val="2A2B2E"/>
        </w:rPr>
        <w:t>可以</w:t>
      </w:r>
      <w:r>
        <w:rPr>
          <w:rFonts w:ascii="Times New Roman" w:hint="eastAsia"/>
          <w:color w:val="2A2B2E"/>
        </w:rPr>
        <w:t>通过合理的营养补充，调整营养摄入，满足老年人的生理需求并改善老年人营养健康状况，从而提高老年人生活质量，延缓衰老过程。因此我们定义</w:t>
      </w:r>
      <w:r>
        <w:rPr>
          <w:rFonts w:hAnsi="宋体" w:cs="宋体" w:hint="eastAsia"/>
          <w:szCs w:val="21"/>
        </w:rPr>
        <w:t>“中老年人营养专属配方，专门针对中老年人生理变化及营养需求，以改善中老年人营养摄入不足状况，维护中老年人身体功能、保持身心健康状态为目的而设计的营养配方”。</w:t>
      </w:r>
    </w:p>
    <w:p w14:paraId="391BE55D" w14:textId="77777777" w:rsidR="004E27A4" w:rsidRDefault="00000000">
      <w:pPr>
        <w:pStyle w:val="af1"/>
        <w:spacing w:line="360" w:lineRule="auto"/>
        <w:ind w:firstLine="420"/>
        <w:rPr>
          <w:rFonts w:hAnsi="宋体" w:cs="宋体" w:hint="eastAsia"/>
          <w:szCs w:val="21"/>
        </w:rPr>
      </w:pPr>
      <w:r>
        <w:rPr>
          <w:rFonts w:hAnsi="宋体" w:cs="宋体" w:hint="eastAsia"/>
          <w:szCs w:val="21"/>
        </w:rPr>
        <w:t>“富含乳清蛋白专属配方调制乳粉”定义为“单一品种的生乳和(或)其全乳(或脱脂及部分脱脂)加工制品为主要原料（乳固体含量不低于70%），适当添加脱盐乳清粉、浓缩乳清蛋白粉等乳清蛋白含量较高的原料和其他原料(不包括其他品种的全乳、脱脂及部分脱脂乳)、食品添加剂、营养强化剂中的一种或多种，经加工制成的符合中老年营养专属配方技术要求的调制乳粉。”</w:t>
      </w:r>
    </w:p>
    <w:p w14:paraId="3A6DD456" w14:textId="77777777" w:rsidR="004E27A4" w:rsidRDefault="00000000">
      <w:pPr>
        <w:pStyle w:val="ac"/>
        <w:spacing w:line="360" w:lineRule="auto"/>
        <w:ind w:firstLineChars="200" w:firstLine="420"/>
        <w:rPr>
          <w:rFonts w:ascii="宋体" w:eastAsia="宋体" w:hAnsi="宋体" w:cs="宋体" w:hint="eastAsia"/>
          <w:szCs w:val="21"/>
        </w:rPr>
      </w:pPr>
      <w:r>
        <w:rPr>
          <w:rFonts w:eastAsia="宋体"/>
          <w:sz w:val="21"/>
        </w:rPr>
        <w:t>添加糖</w:t>
      </w:r>
      <w:r>
        <w:rPr>
          <w:rFonts w:eastAsia="宋体"/>
          <w:color w:val="000000"/>
          <w:sz w:val="21"/>
        </w:rPr>
        <w:t>定义为在食品配料中含有的蔗糖、果糖、葡萄糖、淀粉水解物（葡萄糖浆、高果糖糖浆）、其他糖等，该定义</w:t>
      </w:r>
      <w:proofErr w:type="gramStart"/>
      <w:r>
        <w:rPr>
          <w:rFonts w:eastAsia="宋体"/>
          <w:color w:val="000000"/>
          <w:sz w:val="21"/>
        </w:rPr>
        <w:t>参考团标</w:t>
      </w:r>
      <w:proofErr w:type="gramEnd"/>
      <w:r>
        <w:rPr>
          <w:rFonts w:eastAsia="宋体" w:hint="eastAsia"/>
          <w:sz w:val="21"/>
        </w:rPr>
        <w:t>《</w:t>
      </w:r>
      <w:r>
        <w:rPr>
          <w:rFonts w:eastAsia="宋体"/>
          <w:color w:val="000000"/>
          <w:sz w:val="21"/>
        </w:rPr>
        <w:t xml:space="preserve">T/CNSS 001-2018 </w:t>
      </w:r>
      <w:r>
        <w:rPr>
          <w:rFonts w:eastAsia="宋体"/>
          <w:color w:val="000000"/>
          <w:sz w:val="21"/>
        </w:rPr>
        <w:t>预包装食品</w:t>
      </w:r>
      <w:r>
        <w:rPr>
          <w:rFonts w:eastAsia="宋体"/>
          <w:color w:val="000000"/>
          <w:sz w:val="21"/>
        </w:rPr>
        <w:t>“</w:t>
      </w:r>
      <w:r>
        <w:rPr>
          <w:rFonts w:eastAsia="宋体"/>
          <w:color w:val="000000"/>
          <w:sz w:val="21"/>
        </w:rPr>
        <w:t>健康选择</w:t>
      </w:r>
      <w:r>
        <w:rPr>
          <w:rFonts w:eastAsia="宋体"/>
          <w:color w:val="000000"/>
          <w:sz w:val="21"/>
        </w:rPr>
        <w:t>”</w:t>
      </w:r>
      <w:r>
        <w:rPr>
          <w:rFonts w:eastAsia="宋体"/>
          <w:color w:val="000000"/>
          <w:sz w:val="21"/>
        </w:rPr>
        <w:t>标识规范</w:t>
      </w:r>
      <w:r>
        <w:rPr>
          <w:rFonts w:eastAsia="宋体" w:hint="eastAsia"/>
          <w:sz w:val="21"/>
        </w:rPr>
        <w:t>》</w:t>
      </w:r>
      <w:r>
        <w:rPr>
          <w:rFonts w:eastAsia="宋体"/>
          <w:color w:val="000000"/>
          <w:kern w:val="0"/>
          <w:sz w:val="21"/>
          <w:szCs w:val="20"/>
        </w:rPr>
        <w:t>将其定义在食品加工过程中额外添加进去的糖，是一种行为导致的结果</w:t>
      </w:r>
      <w:r>
        <w:rPr>
          <w:rFonts w:eastAsia="宋体" w:hint="eastAsia"/>
          <w:kern w:val="0"/>
          <w:sz w:val="21"/>
          <w:szCs w:val="20"/>
        </w:rPr>
        <w:t>。</w:t>
      </w:r>
    </w:p>
    <w:p w14:paraId="25367FE4" w14:textId="77777777" w:rsidR="004E27A4" w:rsidRDefault="00000000">
      <w:pPr>
        <w:pStyle w:val="-11"/>
        <w:numPr>
          <w:ilvl w:val="0"/>
          <w:numId w:val="2"/>
        </w:numPr>
        <w:tabs>
          <w:tab w:val="left" w:pos="851"/>
        </w:tabs>
        <w:spacing w:line="360" w:lineRule="auto"/>
        <w:ind w:left="0" w:firstLine="420"/>
        <w:rPr>
          <w:rFonts w:ascii="宋体" w:eastAsia="宋体" w:hAnsi="宋体" w:cs="宋体" w:hint="eastAsia"/>
          <w:color w:val="000000" w:themeColor="text1"/>
          <w:szCs w:val="21"/>
        </w:rPr>
      </w:pPr>
      <w:r>
        <w:rPr>
          <w:rFonts w:ascii="宋体" w:eastAsia="宋体" w:hAnsi="宋体" w:cs="宋体" w:hint="eastAsia"/>
          <w:color w:val="000000" w:themeColor="text1"/>
          <w:szCs w:val="21"/>
        </w:rPr>
        <w:t>技术要求</w:t>
      </w:r>
    </w:p>
    <w:p w14:paraId="71E1D6B1" w14:textId="77777777" w:rsidR="004E27A4" w:rsidRDefault="00000000">
      <w:pPr>
        <w:pStyle w:val="-11"/>
        <w:numPr>
          <w:ilvl w:val="255"/>
          <w:numId w:val="0"/>
        </w:numPr>
        <w:tabs>
          <w:tab w:val="left" w:pos="851"/>
        </w:tabs>
        <w:spacing w:line="360" w:lineRule="auto"/>
        <w:ind w:leftChars="200" w:left="420"/>
        <w:rPr>
          <w:rFonts w:ascii="宋体" w:eastAsia="宋体" w:hAnsi="宋体" w:cs="宋体" w:hint="eastAsia"/>
          <w:color w:val="000000" w:themeColor="text1"/>
          <w:szCs w:val="21"/>
        </w:rPr>
      </w:pPr>
      <w:r>
        <w:rPr>
          <w:rFonts w:ascii="宋体" w:eastAsia="宋体" w:hAnsi="宋体" w:cs="宋体" w:hint="eastAsia"/>
          <w:color w:val="000000" w:themeColor="text1"/>
          <w:szCs w:val="21"/>
        </w:rPr>
        <w:t>3.1 原料要求</w:t>
      </w:r>
    </w:p>
    <w:p w14:paraId="2721932D" w14:textId="77777777" w:rsidR="004E27A4" w:rsidRDefault="00000000">
      <w:pPr>
        <w:widowControl/>
        <w:spacing w:line="360" w:lineRule="auto"/>
        <w:ind w:firstLineChars="200" w:firstLine="420"/>
        <w:jc w:val="left"/>
        <w:rPr>
          <w:rFonts w:ascii="Times New Roman" w:eastAsia="宋体" w:hAnsi="Times New Roman" w:cs="Times New Roman"/>
          <w:kern w:val="0"/>
        </w:rPr>
      </w:pP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产品中所使用的原料应符合相应的食品安全国家标准和（或）相关规定，不应使用可能危害中老年人健康的物质。</w:t>
      </w:r>
    </w:p>
    <w:p w14:paraId="3ADD6749" w14:textId="77777777" w:rsidR="004E27A4" w:rsidRDefault="00000000">
      <w:pPr>
        <w:pStyle w:val="af1"/>
        <w:spacing w:line="360" w:lineRule="auto"/>
        <w:ind w:firstLine="420"/>
        <w:rPr>
          <w:rFonts w:ascii="Times New Roman"/>
          <w:szCs w:val="21"/>
        </w:rPr>
      </w:pPr>
      <w:r>
        <w:rPr>
          <w:rFonts w:ascii="Times New Roman" w:hint="eastAsia"/>
          <w:szCs w:val="21"/>
        </w:rPr>
        <w:t>（</w:t>
      </w:r>
      <w:r>
        <w:rPr>
          <w:rFonts w:ascii="Times New Roman" w:hint="eastAsia"/>
          <w:szCs w:val="21"/>
        </w:rPr>
        <w:t>2</w:t>
      </w:r>
      <w:r>
        <w:rPr>
          <w:rFonts w:ascii="Times New Roman" w:hint="eastAsia"/>
          <w:szCs w:val="21"/>
        </w:rPr>
        <w:t>）应控制总脂肪含量，建议添加中长链脂肪酸食用油、富含Ω</w:t>
      </w:r>
      <w:r>
        <w:rPr>
          <w:rFonts w:ascii="Times New Roman" w:hint="eastAsia"/>
          <w:szCs w:val="21"/>
        </w:rPr>
        <w:t>-3</w:t>
      </w:r>
      <w:r>
        <w:rPr>
          <w:rFonts w:ascii="Times New Roman" w:hint="eastAsia"/>
          <w:szCs w:val="21"/>
        </w:rPr>
        <w:t>系列脂肪酸的健康油脂等，</w:t>
      </w:r>
      <w:r>
        <w:rPr>
          <w:rFonts w:ascii="Times New Roman"/>
          <w:szCs w:val="21"/>
        </w:rPr>
        <w:t>不应使用氢化油脂。</w:t>
      </w:r>
    </w:p>
    <w:p w14:paraId="50A71E26" w14:textId="77777777" w:rsidR="004E27A4" w:rsidRDefault="00000000">
      <w:pPr>
        <w:pStyle w:val="af1"/>
        <w:spacing w:line="360" w:lineRule="auto"/>
        <w:ind w:firstLine="420"/>
        <w:rPr>
          <w:rFonts w:ascii="Times New Roman"/>
          <w:szCs w:val="21"/>
        </w:rPr>
      </w:pPr>
      <w:r>
        <w:rPr>
          <w:rFonts w:ascii="Times New Roman" w:hint="eastAsia"/>
          <w:szCs w:val="21"/>
        </w:rPr>
        <w:lastRenderedPageBreak/>
        <w:t>（</w:t>
      </w:r>
      <w:r>
        <w:rPr>
          <w:rFonts w:ascii="Times New Roman" w:hint="eastAsia"/>
          <w:szCs w:val="21"/>
        </w:rPr>
        <w:t>3</w:t>
      </w:r>
      <w:r>
        <w:rPr>
          <w:rFonts w:ascii="Times New Roman" w:hint="eastAsia"/>
          <w:szCs w:val="21"/>
        </w:rPr>
        <w:t>）</w:t>
      </w:r>
      <w:r>
        <w:rPr>
          <w:rFonts w:ascii="Times New Roman"/>
          <w:szCs w:val="21"/>
        </w:rPr>
        <w:t>添加糖不超过</w:t>
      </w:r>
      <w:r>
        <w:rPr>
          <w:rFonts w:ascii="Times New Roman"/>
          <w:szCs w:val="21"/>
        </w:rPr>
        <w:t xml:space="preserve"> 20 g/100 g</w:t>
      </w:r>
      <w:r>
        <w:rPr>
          <w:rFonts w:ascii="Times New Roman"/>
          <w:szCs w:val="21"/>
        </w:rPr>
        <w:t>（不含乳糖），鼓励进一步降低添加糖的量。</w:t>
      </w:r>
    </w:p>
    <w:p w14:paraId="59A333BC" w14:textId="77777777" w:rsidR="004E27A4" w:rsidRDefault="00000000">
      <w:pPr>
        <w:pStyle w:val="af1"/>
        <w:spacing w:line="360" w:lineRule="auto"/>
        <w:ind w:firstLine="420"/>
        <w:rPr>
          <w:rFonts w:ascii="Times New Roman"/>
          <w:szCs w:val="21"/>
        </w:rPr>
      </w:pPr>
      <w:r>
        <w:rPr>
          <w:rFonts w:ascii="Times New Roman" w:hint="eastAsia"/>
          <w:szCs w:val="21"/>
        </w:rPr>
        <w:t>（</w:t>
      </w:r>
      <w:r>
        <w:rPr>
          <w:rFonts w:ascii="Times New Roman" w:hint="eastAsia"/>
          <w:szCs w:val="21"/>
        </w:rPr>
        <w:t>4</w:t>
      </w:r>
      <w:r>
        <w:rPr>
          <w:rFonts w:ascii="Times New Roman" w:hint="eastAsia"/>
          <w:szCs w:val="21"/>
        </w:rPr>
        <w:t>）</w:t>
      </w:r>
      <w:r>
        <w:rPr>
          <w:rFonts w:ascii="Times New Roman"/>
          <w:szCs w:val="21"/>
        </w:rPr>
        <w:t>不应添加食盐。</w:t>
      </w:r>
      <w:r>
        <w:rPr>
          <w:rFonts w:ascii="Times New Roman"/>
          <w:szCs w:val="21"/>
        </w:rPr>
        <w:t xml:space="preserve"> </w:t>
      </w:r>
    </w:p>
    <w:p w14:paraId="015B201D" w14:textId="77777777" w:rsidR="004E27A4" w:rsidRDefault="00000000">
      <w:pPr>
        <w:pStyle w:val="af1"/>
        <w:spacing w:line="360" w:lineRule="auto"/>
        <w:ind w:firstLine="420"/>
        <w:rPr>
          <w:rFonts w:ascii="Times New Roman"/>
          <w:szCs w:val="21"/>
        </w:rPr>
      </w:pPr>
      <w:r>
        <w:rPr>
          <w:rFonts w:ascii="Times New Roman" w:hint="eastAsia"/>
          <w:szCs w:val="21"/>
        </w:rPr>
        <w:t>（</w:t>
      </w:r>
      <w:r>
        <w:rPr>
          <w:rFonts w:ascii="Times New Roman" w:hint="eastAsia"/>
          <w:szCs w:val="21"/>
        </w:rPr>
        <w:t>5</w:t>
      </w:r>
      <w:r>
        <w:rPr>
          <w:rFonts w:ascii="Times New Roman" w:hint="eastAsia"/>
          <w:szCs w:val="21"/>
        </w:rPr>
        <w:t>）</w:t>
      </w:r>
      <w:r>
        <w:rPr>
          <w:rFonts w:ascii="Times New Roman"/>
          <w:szCs w:val="21"/>
        </w:rPr>
        <w:t>不应使用经辐照处理过的原料。</w:t>
      </w:r>
      <w:r>
        <w:rPr>
          <w:rFonts w:ascii="Times New Roman"/>
          <w:szCs w:val="21"/>
        </w:rPr>
        <w:t xml:space="preserve"> </w:t>
      </w:r>
    </w:p>
    <w:p w14:paraId="423A902D" w14:textId="77777777" w:rsidR="004E27A4" w:rsidRDefault="00000000">
      <w:pPr>
        <w:pStyle w:val="af1"/>
        <w:spacing w:line="360" w:lineRule="auto"/>
        <w:ind w:firstLine="420"/>
        <w:rPr>
          <w:rFonts w:ascii="Times New Roman"/>
          <w:color w:val="000000" w:themeColor="text1"/>
          <w:kern w:val="2"/>
          <w:szCs w:val="24"/>
        </w:rPr>
      </w:pPr>
      <w:r>
        <w:rPr>
          <w:rFonts w:ascii="Times New Roman"/>
          <w:kern w:val="2"/>
          <w:szCs w:val="24"/>
        </w:rPr>
        <w:t>根据《中国居民膳食指南》</w:t>
      </w:r>
      <w:r>
        <w:rPr>
          <w:rFonts w:ascii="Times New Roman"/>
          <w:kern w:val="2"/>
          <w:szCs w:val="24"/>
        </w:rPr>
        <w:t xml:space="preserve"> </w:t>
      </w:r>
      <w:r>
        <w:rPr>
          <w:rFonts w:ascii="Times New Roman"/>
          <w:kern w:val="2"/>
          <w:szCs w:val="24"/>
        </w:rPr>
        <w:t>的膳食准则</w:t>
      </w:r>
      <w:r>
        <w:rPr>
          <w:rFonts w:ascii="Times New Roman"/>
          <w:kern w:val="2"/>
          <w:szCs w:val="24"/>
        </w:rPr>
        <w:t>“</w:t>
      </w:r>
      <w:r>
        <w:rPr>
          <w:rFonts w:ascii="Times New Roman"/>
          <w:kern w:val="2"/>
          <w:szCs w:val="24"/>
        </w:rPr>
        <w:t>少盐少油，控糖限酒</w:t>
      </w:r>
      <w:r>
        <w:rPr>
          <w:rFonts w:ascii="Times New Roman"/>
          <w:kern w:val="2"/>
          <w:szCs w:val="24"/>
        </w:rPr>
        <w:t>”</w:t>
      </w:r>
      <w:r>
        <w:rPr>
          <w:rFonts w:ascii="Times New Roman"/>
          <w:kern w:val="2"/>
          <w:szCs w:val="24"/>
        </w:rPr>
        <w:t>中推荐成年人每天摄入食盐不超过</w:t>
      </w:r>
      <w:r>
        <w:rPr>
          <w:rFonts w:ascii="Times New Roman"/>
          <w:kern w:val="2"/>
          <w:szCs w:val="24"/>
        </w:rPr>
        <w:t>5g</w:t>
      </w:r>
      <w:r>
        <w:rPr>
          <w:rFonts w:ascii="Times New Roman"/>
          <w:kern w:val="2"/>
          <w:szCs w:val="24"/>
        </w:rPr>
        <w:t>，烹调油</w:t>
      </w:r>
      <w:r>
        <w:rPr>
          <w:rFonts w:ascii="Times New Roman"/>
          <w:kern w:val="2"/>
          <w:szCs w:val="24"/>
        </w:rPr>
        <w:t>25-30g</w:t>
      </w:r>
      <w:r>
        <w:rPr>
          <w:rFonts w:ascii="Times New Roman"/>
          <w:kern w:val="2"/>
          <w:szCs w:val="24"/>
        </w:rPr>
        <w:t>，避免过多动物性油脂和饱和脂肪酸的摄入，每天添加糖摄入不超过</w:t>
      </w:r>
      <w:r>
        <w:rPr>
          <w:rFonts w:ascii="Times New Roman"/>
          <w:kern w:val="2"/>
          <w:szCs w:val="24"/>
        </w:rPr>
        <w:t>50g</w:t>
      </w:r>
      <w:r>
        <w:rPr>
          <w:rFonts w:ascii="Times New Roman"/>
          <w:kern w:val="2"/>
          <w:szCs w:val="24"/>
        </w:rPr>
        <w:t>，最好不超过</w:t>
      </w:r>
      <w:r>
        <w:rPr>
          <w:rFonts w:ascii="Times New Roman"/>
          <w:kern w:val="2"/>
          <w:szCs w:val="24"/>
        </w:rPr>
        <w:t>25g</w:t>
      </w:r>
      <w:r>
        <w:rPr>
          <w:rFonts w:ascii="Times New Roman"/>
          <w:kern w:val="2"/>
          <w:szCs w:val="24"/>
        </w:rPr>
        <w:t>。调制乳粉本底钠含量代表值在</w:t>
      </w:r>
      <w:r>
        <w:rPr>
          <w:rFonts w:ascii="Times New Roman"/>
          <w:kern w:val="2"/>
          <w:szCs w:val="24"/>
        </w:rPr>
        <w:t>352mg</w:t>
      </w:r>
      <w:r>
        <w:rPr>
          <w:rFonts w:ascii="Times New Roman"/>
          <w:kern w:val="2"/>
          <w:szCs w:val="24"/>
        </w:rPr>
        <w:t>左右，随季节和奶源会有所差别，因此不在技术指标中</w:t>
      </w:r>
      <w:proofErr w:type="gramStart"/>
      <w:r>
        <w:rPr>
          <w:rFonts w:ascii="Times New Roman"/>
          <w:kern w:val="2"/>
          <w:szCs w:val="24"/>
        </w:rPr>
        <w:t>对钠做要求</w:t>
      </w:r>
      <w:proofErr w:type="gramEnd"/>
      <w:r>
        <w:rPr>
          <w:rFonts w:ascii="Times New Roman"/>
          <w:kern w:val="2"/>
          <w:szCs w:val="24"/>
        </w:rPr>
        <w:t>，但是要求产品不添加食盐。对于中老年调制乳粉，控制总脂肪的含量，建议添加中长链脂肪酸食用油、富含</w:t>
      </w:r>
      <w:r>
        <w:rPr>
          <w:rFonts w:ascii="Times New Roman"/>
          <w:kern w:val="2"/>
          <w:szCs w:val="24"/>
        </w:rPr>
        <w:t>Ω-3</w:t>
      </w:r>
      <w:r>
        <w:rPr>
          <w:rFonts w:ascii="Times New Roman"/>
          <w:kern w:val="2"/>
          <w:szCs w:val="24"/>
        </w:rPr>
        <w:t>系列脂肪酸的健康油脂等，不应使用氢化油脂。调制乳粉中添加糖含量控制在</w:t>
      </w:r>
      <w:r>
        <w:rPr>
          <w:rFonts w:ascii="Times New Roman"/>
          <w:kern w:val="2"/>
          <w:szCs w:val="24"/>
        </w:rPr>
        <w:t>20g</w:t>
      </w:r>
      <w:r>
        <w:rPr>
          <w:rFonts w:ascii="Times New Roman"/>
          <w:kern w:val="2"/>
          <w:szCs w:val="24"/>
        </w:rPr>
        <w:t>以下，按照每天摄入</w:t>
      </w:r>
      <w:r>
        <w:rPr>
          <w:rFonts w:ascii="Times New Roman"/>
          <w:kern w:val="2"/>
          <w:szCs w:val="24"/>
        </w:rPr>
        <w:t>50g</w:t>
      </w:r>
      <w:r>
        <w:rPr>
          <w:rFonts w:ascii="Times New Roman"/>
          <w:kern w:val="2"/>
          <w:szCs w:val="24"/>
        </w:rPr>
        <w:t>调制乳粉算，每天从调制乳粉中摄入的添加糖在</w:t>
      </w:r>
      <w:r>
        <w:rPr>
          <w:rFonts w:ascii="Times New Roman"/>
          <w:kern w:val="2"/>
          <w:szCs w:val="24"/>
        </w:rPr>
        <w:t>10g</w:t>
      </w:r>
      <w:r>
        <w:rPr>
          <w:rFonts w:ascii="Times New Roman"/>
          <w:kern w:val="2"/>
          <w:szCs w:val="24"/>
        </w:rPr>
        <w:t>以下，也是一个合理的量，因此建议添加糖不超过</w:t>
      </w:r>
      <w:r>
        <w:rPr>
          <w:rFonts w:ascii="Times New Roman"/>
          <w:kern w:val="2"/>
          <w:szCs w:val="24"/>
        </w:rPr>
        <w:t>20g/100g</w:t>
      </w:r>
      <w:r>
        <w:rPr>
          <w:rFonts w:ascii="Times New Roman"/>
          <w:kern w:val="2"/>
          <w:szCs w:val="24"/>
        </w:rPr>
        <w:t>。</w:t>
      </w:r>
    </w:p>
    <w:p w14:paraId="03239885" w14:textId="77777777" w:rsidR="004E27A4" w:rsidRDefault="00000000">
      <w:pPr>
        <w:pStyle w:val="-11"/>
        <w:numPr>
          <w:ilvl w:val="255"/>
          <w:numId w:val="0"/>
        </w:numPr>
        <w:tabs>
          <w:tab w:val="left" w:pos="851"/>
        </w:tabs>
        <w:spacing w:line="360" w:lineRule="auto"/>
        <w:ind w:leftChars="200" w:left="420"/>
        <w:rPr>
          <w:rFonts w:ascii="宋体" w:eastAsia="宋体" w:hAnsi="宋体" w:cs="宋体" w:hint="eastAsia"/>
          <w:color w:val="000000" w:themeColor="text1"/>
          <w:szCs w:val="21"/>
        </w:rPr>
      </w:pPr>
      <w:r>
        <w:rPr>
          <w:rFonts w:ascii="宋体" w:eastAsia="宋体" w:hAnsi="宋体" w:cs="宋体" w:hint="eastAsia"/>
          <w:color w:val="000000" w:themeColor="text1"/>
          <w:szCs w:val="21"/>
        </w:rPr>
        <w:t>3.2 感官要求</w:t>
      </w:r>
    </w:p>
    <w:p w14:paraId="09558E43" w14:textId="77777777" w:rsidR="004E27A4" w:rsidRDefault="00000000">
      <w:pPr>
        <w:pStyle w:val="-11"/>
        <w:tabs>
          <w:tab w:val="left" w:pos="851"/>
        </w:tabs>
        <w:spacing w:line="360" w:lineRule="auto"/>
        <w:rPr>
          <w:rFonts w:ascii="宋体" w:eastAsia="宋体" w:hAnsi="宋体" w:cs="宋体" w:hint="eastAsia"/>
          <w:color w:val="000000" w:themeColor="text1"/>
          <w:szCs w:val="21"/>
        </w:rPr>
      </w:pPr>
      <w:r>
        <w:rPr>
          <w:rFonts w:ascii="宋体" w:eastAsia="宋体" w:hAnsi="宋体" w:cs="宋体" w:hint="eastAsia"/>
          <w:color w:val="000000" w:themeColor="text1"/>
          <w:szCs w:val="21"/>
        </w:rPr>
        <w:t>根据</w:t>
      </w:r>
      <w:r>
        <w:rPr>
          <w:rFonts w:ascii="Times New Roman" w:eastAsia="宋体" w:hAnsi="Times New Roman" w:cs="宋体" w:hint="eastAsia"/>
          <w:color w:val="000000" w:themeColor="text1"/>
          <w:szCs w:val="21"/>
        </w:rPr>
        <w:t>GB</w:t>
      </w:r>
      <w:r>
        <w:rPr>
          <w:rFonts w:ascii="宋体" w:eastAsia="宋体" w:hAnsi="宋体" w:cs="宋体" w:hint="eastAsia"/>
          <w:color w:val="000000" w:themeColor="text1"/>
          <w:szCs w:val="21"/>
        </w:rPr>
        <w:t xml:space="preserve"> 19644要求规定了中老年人富含乳清蛋白专属配方调制乳粉的感官要求。</w:t>
      </w:r>
    </w:p>
    <w:p w14:paraId="5DABF544" w14:textId="77777777" w:rsidR="004E27A4" w:rsidRDefault="00000000">
      <w:pPr>
        <w:pStyle w:val="-11"/>
        <w:numPr>
          <w:ilvl w:val="255"/>
          <w:numId w:val="0"/>
        </w:numPr>
        <w:tabs>
          <w:tab w:val="left" w:pos="851"/>
        </w:tabs>
        <w:spacing w:line="360" w:lineRule="auto"/>
        <w:ind w:leftChars="200" w:left="420"/>
        <w:rPr>
          <w:rFonts w:ascii="宋体" w:eastAsia="宋体" w:hAnsi="宋体" w:cs="宋体" w:hint="eastAsia"/>
          <w:color w:val="000000" w:themeColor="text1"/>
          <w:szCs w:val="21"/>
        </w:rPr>
      </w:pPr>
      <w:r>
        <w:rPr>
          <w:rFonts w:ascii="宋体" w:eastAsia="宋体" w:hAnsi="宋体" w:cs="宋体" w:hint="eastAsia"/>
          <w:color w:val="000000" w:themeColor="text1"/>
          <w:szCs w:val="21"/>
        </w:rPr>
        <w:t>3.3 理化要求</w:t>
      </w:r>
    </w:p>
    <w:p w14:paraId="6753D100" w14:textId="77777777" w:rsidR="004E27A4" w:rsidRDefault="00000000">
      <w:pPr>
        <w:pStyle w:val="-11"/>
        <w:numPr>
          <w:ilvl w:val="255"/>
          <w:numId w:val="0"/>
        </w:numPr>
        <w:tabs>
          <w:tab w:val="left" w:pos="851"/>
        </w:tabs>
        <w:spacing w:line="360" w:lineRule="auto"/>
        <w:ind w:leftChars="200" w:left="420"/>
        <w:rPr>
          <w:rFonts w:ascii="宋体" w:eastAsia="宋体" w:hAnsi="宋体" w:cs="宋体" w:hint="eastAsia"/>
          <w:color w:val="000000" w:themeColor="text1"/>
          <w:szCs w:val="21"/>
        </w:rPr>
      </w:pPr>
      <w:r>
        <w:rPr>
          <w:rFonts w:ascii="宋体" w:eastAsia="宋体" w:hAnsi="宋体" w:cs="宋体" w:hint="eastAsia"/>
          <w:color w:val="E54C5E" w:themeColor="accent6"/>
          <w:szCs w:val="21"/>
        </w:rPr>
        <w:t>3.3.1</w:t>
      </w:r>
      <w:r>
        <w:rPr>
          <w:rFonts w:ascii="宋体" w:eastAsia="宋体" w:hAnsi="宋体" w:cs="宋体" w:hint="eastAsia"/>
          <w:color w:val="000000" w:themeColor="text1"/>
          <w:szCs w:val="21"/>
        </w:rPr>
        <w:t xml:space="preserve"> 必需成分</w:t>
      </w:r>
    </w:p>
    <w:p w14:paraId="007037E9" w14:textId="77777777" w:rsidR="004E27A4" w:rsidRDefault="00000000">
      <w:pPr>
        <w:pStyle w:val="-11"/>
        <w:numPr>
          <w:ilvl w:val="255"/>
          <w:numId w:val="0"/>
        </w:numPr>
        <w:tabs>
          <w:tab w:val="left" w:pos="851"/>
        </w:tabs>
        <w:spacing w:line="360" w:lineRule="auto"/>
        <w:ind w:firstLineChars="200" w:firstLine="420"/>
        <w:rPr>
          <w:rFonts w:ascii="宋体" w:eastAsia="宋体" w:hAnsi="宋体" w:cs="宋体" w:hint="eastAsia"/>
          <w:szCs w:val="21"/>
        </w:rPr>
      </w:pPr>
      <w:r>
        <w:rPr>
          <w:rFonts w:ascii="宋体" w:eastAsia="宋体" w:hAnsi="宋体" w:cs="宋体" w:hint="eastAsia"/>
          <w:szCs w:val="21"/>
        </w:rPr>
        <w:t>本标准基础指标和必需成分的制定围绕中老年人基础营养需求及调制乳粉产品的营养特性以及相关国家标准的要求展开。</w:t>
      </w:r>
    </w:p>
    <w:p w14:paraId="598ACDE5" w14:textId="77777777" w:rsidR="004E27A4" w:rsidRDefault="00000000">
      <w:pPr>
        <w:pStyle w:val="-11"/>
        <w:numPr>
          <w:ilvl w:val="255"/>
          <w:numId w:val="0"/>
        </w:numPr>
        <w:tabs>
          <w:tab w:val="left" w:pos="851"/>
        </w:tabs>
        <w:spacing w:line="360" w:lineRule="auto"/>
        <w:ind w:firstLineChars="200" w:firstLine="420"/>
        <w:rPr>
          <w:rFonts w:ascii="宋体" w:eastAsia="宋体" w:hAnsi="宋体" w:cs="宋体" w:hint="eastAsia"/>
          <w:szCs w:val="21"/>
        </w:rPr>
      </w:pPr>
      <w:r>
        <w:rPr>
          <w:rFonts w:ascii="宋体" w:eastAsia="宋体" w:hAnsi="宋体" w:cs="宋体"/>
          <w:szCs w:val="21"/>
        </w:rPr>
        <w:t>老年人基础代谢率随年龄的增长而降低，新陈代谢同化作用下降，异化作用增加。从《中国居民膳食营养素参考摄入量2023年版》（以下称DRIs）中可见，与一般成年人相比，老年人能量的参考摄入量降低，蛋白质和维生素D的参考摄入量增加，钠参考摄入量降低，其它微量营养素的参考摄入量与一般成年人的差异不明显。</w:t>
      </w:r>
    </w:p>
    <w:p w14:paraId="3D09A18F" w14:textId="77777777" w:rsidR="004E27A4" w:rsidRDefault="00000000">
      <w:pPr>
        <w:pStyle w:val="-11"/>
        <w:numPr>
          <w:ilvl w:val="255"/>
          <w:numId w:val="0"/>
        </w:numPr>
        <w:tabs>
          <w:tab w:val="left" w:pos="851"/>
        </w:tabs>
        <w:spacing w:line="360" w:lineRule="auto"/>
        <w:ind w:firstLine="420"/>
        <w:rPr>
          <w:rFonts w:ascii="宋体" w:eastAsia="宋体" w:hAnsi="宋体" w:cs="宋体" w:hint="eastAsia"/>
          <w:szCs w:val="21"/>
        </w:rPr>
      </w:pPr>
      <w:r>
        <w:rPr>
          <w:rFonts w:ascii="宋体" w:eastAsia="宋体" w:hAnsi="宋体" w:cs="宋体" w:hint="eastAsia"/>
          <w:szCs w:val="21"/>
        </w:rPr>
        <w:t>调制乳粉本身</w:t>
      </w:r>
      <w:r>
        <w:rPr>
          <w:rFonts w:ascii="宋体" w:eastAsia="宋体" w:hAnsi="宋体" w:cs="宋体"/>
          <w:szCs w:val="21"/>
        </w:rPr>
        <w:t>营养价值高，含有丰富的优质蛋白和钙等营养素，</w:t>
      </w:r>
      <w:r>
        <w:rPr>
          <w:rFonts w:ascii="宋体" w:eastAsia="宋体" w:hAnsi="宋体" w:cs="宋体" w:hint="eastAsia"/>
          <w:szCs w:val="21"/>
        </w:rPr>
        <w:t>且</w:t>
      </w:r>
      <w:r>
        <w:rPr>
          <w:rFonts w:ascii="宋体" w:eastAsia="宋体" w:hAnsi="宋体" w:cs="宋体"/>
          <w:szCs w:val="21"/>
        </w:rPr>
        <w:t>作为营养强化食品的常见载体，能承载多种营养物质。</w:t>
      </w:r>
      <w:r>
        <w:rPr>
          <w:rFonts w:ascii="宋体" w:eastAsia="宋体" w:hAnsi="宋体" w:cs="宋体" w:hint="eastAsia"/>
          <w:szCs w:val="21"/>
        </w:rPr>
        <w:t>现行《GB 14880-2012 食品安全国家标准 食品营养强化剂使用标准》中，调制乳粉允许添加的营养强化剂有</w:t>
      </w:r>
    </w:p>
    <w:p w14:paraId="3587BCD9" w14:textId="77777777" w:rsidR="004E27A4" w:rsidRDefault="00000000">
      <w:pPr>
        <w:pStyle w:val="-11"/>
        <w:numPr>
          <w:ilvl w:val="255"/>
          <w:numId w:val="0"/>
        </w:numPr>
        <w:tabs>
          <w:tab w:val="left" w:pos="851"/>
        </w:tabs>
        <w:spacing w:line="360" w:lineRule="auto"/>
        <w:ind w:firstLine="420"/>
        <w:rPr>
          <w:rFonts w:ascii="宋体" w:eastAsia="宋体" w:hAnsi="宋体" w:cs="宋体" w:hint="eastAsia"/>
          <w:szCs w:val="21"/>
        </w:rPr>
      </w:pPr>
      <w:r>
        <w:rPr>
          <w:rFonts w:ascii="宋体" w:eastAsia="宋体" w:hAnsi="宋体" w:cs="宋体" w:hint="eastAsia"/>
          <w:szCs w:val="21"/>
        </w:rPr>
        <w:t>基于此，本标准规定产品的基础指标和必需成分包括蛋白质、乳清蛋白、总脂肪、维生素D、维生素A、维生素C、钙、镁、硒。</w:t>
      </w:r>
      <w:r>
        <w:rPr>
          <w:rFonts w:ascii="宋体" w:eastAsia="宋体" w:hAnsi="宋体" w:cs="宋体"/>
          <w:szCs w:val="21"/>
        </w:rPr>
        <w:t xml:space="preserve"> </w:t>
      </w:r>
    </w:p>
    <w:p w14:paraId="6C6E8655" w14:textId="77777777" w:rsidR="004E27A4" w:rsidRDefault="004E27A4">
      <w:pPr>
        <w:pStyle w:val="-11"/>
        <w:numPr>
          <w:ilvl w:val="255"/>
          <w:numId w:val="0"/>
        </w:numPr>
        <w:tabs>
          <w:tab w:val="left" w:pos="851"/>
        </w:tabs>
        <w:spacing w:line="360" w:lineRule="auto"/>
        <w:ind w:firstLine="420"/>
        <w:rPr>
          <w:rFonts w:ascii="宋体" w:eastAsia="宋体" w:hAnsi="宋体" w:cs="宋体" w:hint="eastAsia"/>
          <w:szCs w:val="21"/>
        </w:rPr>
        <w:sectPr w:rsidR="004E27A4">
          <w:pgSz w:w="11906" w:h="16838"/>
          <w:pgMar w:top="1440" w:right="1800" w:bottom="1440" w:left="1800" w:header="851" w:footer="992" w:gutter="0"/>
          <w:cols w:space="425"/>
          <w:docGrid w:type="lines" w:linePitch="312"/>
        </w:sectPr>
      </w:pPr>
    </w:p>
    <w:p w14:paraId="00EE71A7" w14:textId="77777777" w:rsidR="004E27A4" w:rsidRDefault="004E27A4">
      <w:pPr>
        <w:pStyle w:val="-11"/>
        <w:numPr>
          <w:ilvl w:val="255"/>
          <w:numId w:val="0"/>
        </w:numPr>
        <w:tabs>
          <w:tab w:val="left" w:pos="851"/>
        </w:tabs>
        <w:spacing w:line="360" w:lineRule="auto"/>
        <w:rPr>
          <w:rFonts w:ascii="宋体" w:eastAsia="宋体" w:hAnsi="宋体" w:cs="宋体" w:hint="eastAsia"/>
          <w:szCs w:val="21"/>
        </w:rPr>
      </w:pPr>
    </w:p>
    <w:p w14:paraId="7B6D647D" w14:textId="77777777" w:rsidR="004E27A4" w:rsidRDefault="00000000">
      <w:pPr>
        <w:pStyle w:val="a6"/>
        <w:jc w:val="center"/>
        <w:rPr>
          <w:rFonts w:eastAsia="宋体"/>
        </w:rPr>
      </w:pPr>
      <w:r>
        <w:t>表</w:t>
      </w:r>
      <w:r>
        <w:t xml:space="preserve"> </w:t>
      </w:r>
      <w:r>
        <w:fldChar w:fldCharType="begin"/>
      </w:r>
      <w:r>
        <w:instrText xml:space="preserve"> SEQ </w:instrText>
      </w:r>
      <w:r>
        <w:instrText>表</w:instrText>
      </w:r>
      <w:r>
        <w:instrText xml:space="preserve"> \* ARABIC </w:instrText>
      </w:r>
      <w:r>
        <w:fldChar w:fldCharType="separate"/>
      </w:r>
      <w:r>
        <w:t>1</w:t>
      </w:r>
      <w:r>
        <w:fldChar w:fldCharType="end"/>
      </w:r>
      <w:r>
        <w:rPr>
          <w:rFonts w:hint="eastAsia"/>
        </w:rPr>
        <w:t xml:space="preserve"> </w:t>
      </w:r>
      <w:r>
        <w:rPr>
          <w:rFonts w:hint="eastAsia"/>
        </w:rPr>
        <w:t>指标设置依据</w:t>
      </w:r>
    </w:p>
    <w:tbl>
      <w:tblPr>
        <w:tblStyle w:val="ad"/>
        <w:tblW w:w="0" w:type="auto"/>
        <w:tblLook w:val="04A0" w:firstRow="1" w:lastRow="0" w:firstColumn="1" w:lastColumn="0" w:noHBand="0" w:noVBand="1"/>
      </w:tblPr>
      <w:tblGrid>
        <w:gridCol w:w="2466"/>
        <w:gridCol w:w="1846"/>
        <w:gridCol w:w="9323"/>
      </w:tblGrid>
      <w:tr w:rsidR="004E27A4" w14:paraId="4B20A838" w14:textId="77777777">
        <w:tc>
          <w:tcPr>
            <w:tcW w:w="2466" w:type="dxa"/>
            <w:vAlign w:val="center"/>
          </w:tcPr>
          <w:p w14:paraId="2BC00511" w14:textId="77777777" w:rsidR="004E27A4" w:rsidRDefault="00000000">
            <w:pPr>
              <w:pStyle w:val="-11"/>
              <w:numPr>
                <w:ilvl w:val="255"/>
                <w:numId w:val="0"/>
              </w:numPr>
              <w:tabs>
                <w:tab w:val="left" w:pos="851"/>
              </w:tabs>
              <w:spacing w:line="360" w:lineRule="auto"/>
              <w:jc w:val="center"/>
              <w:rPr>
                <w:rFonts w:ascii="宋体" w:eastAsia="宋体" w:hAnsi="宋体" w:cs="宋体" w:hint="eastAsia"/>
                <w:b/>
                <w:bCs/>
                <w:szCs w:val="21"/>
              </w:rPr>
            </w:pPr>
            <w:bookmarkStart w:id="0" w:name="_Hlk175732755"/>
            <w:r>
              <w:rPr>
                <w:rFonts w:ascii="宋体" w:eastAsia="宋体" w:hAnsi="宋体" w:cs="宋体" w:hint="eastAsia"/>
                <w:b/>
                <w:bCs/>
                <w:szCs w:val="21"/>
              </w:rPr>
              <w:t>项目</w:t>
            </w:r>
          </w:p>
        </w:tc>
        <w:tc>
          <w:tcPr>
            <w:tcW w:w="1846" w:type="dxa"/>
            <w:vAlign w:val="center"/>
          </w:tcPr>
          <w:p w14:paraId="06FDC2C8" w14:textId="77777777" w:rsidR="004E27A4" w:rsidRDefault="00000000">
            <w:pPr>
              <w:pStyle w:val="-11"/>
              <w:numPr>
                <w:ilvl w:val="255"/>
                <w:numId w:val="0"/>
              </w:numPr>
              <w:tabs>
                <w:tab w:val="left" w:pos="851"/>
              </w:tabs>
              <w:spacing w:line="360" w:lineRule="auto"/>
              <w:jc w:val="center"/>
              <w:rPr>
                <w:rFonts w:ascii="宋体" w:eastAsia="宋体" w:hAnsi="宋体" w:cs="宋体" w:hint="eastAsia"/>
                <w:b/>
                <w:bCs/>
                <w:szCs w:val="21"/>
              </w:rPr>
            </w:pPr>
            <w:r>
              <w:rPr>
                <w:rFonts w:ascii="宋体" w:eastAsia="宋体" w:hAnsi="宋体" w:cs="宋体" w:hint="eastAsia"/>
                <w:b/>
                <w:bCs/>
                <w:szCs w:val="21"/>
              </w:rPr>
              <w:t>指标</w:t>
            </w:r>
          </w:p>
        </w:tc>
        <w:tc>
          <w:tcPr>
            <w:tcW w:w="9323" w:type="dxa"/>
          </w:tcPr>
          <w:p w14:paraId="6A4EE5F6" w14:textId="77777777" w:rsidR="004E27A4" w:rsidRDefault="00000000">
            <w:pPr>
              <w:pStyle w:val="-11"/>
              <w:numPr>
                <w:ilvl w:val="255"/>
                <w:numId w:val="0"/>
              </w:numPr>
              <w:tabs>
                <w:tab w:val="left" w:pos="851"/>
              </w:tabs>
              <w:spacing w:line="360" w:lineRule="auto"/>
              <w:jc w:val="center"/>
              <w:rPr>
                <w:rFonts w:ascii="宋体" w:eastAsia="宋体" w:hAnsi="宋体" w:cs="宋体" w:hint="eastAsia"/>
                <w:b/>
                <w:bCs/>
                <w:szCs w:val="21"/>
              </w:rPr>
            </w:pPr>
            <w:r>
              <w:rPr>
                <w:rFonts w:ascii="宋体" w:eastAsia="宋体" w:hAnsi="宋体" w:cs="宋体" w:hint="eastAsia"/>
                <w:b/>
                <w:bCs/>
                <w:szCs w:val="21"/>
              </w:rPr>
              <w:t>依据</w:t>
            </w:r>
          </w:p>
        </w:tc>
      </w:tr>
      <w:bookmarkEnd w:id="0"/>
      <w:tr w:rsidR="004E27A4" w14:paraId="56D6B83A" w14:textId="77777777">
        <w:tc>
          <w:tcPr>
            <w:tcW w:w="2466" w:type="dxa"/>
            <w:vAlign w:val="center"/>
          </w:tcPr>
          <w:p w14:paraId="1A42D536"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蛋白质（g/100g）</w:t>
            </w:r>
          </w:p>
        </w:tc>
        <w:tc>
          <w:tcPr>
            <w:tcW w:w="1846" w:type="dxa"/>
            <w:vAlign w:val="center"/>
          </w:tcPr>
          <w:p w14:paraId="3C306F5C"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≥23.0</w:t>
            </w:r>
          </w:p>
        </w:tc>
        <w:tc>
          <w:tcPr>
            <w:tcW w:w="9323" w:type="dxa"/>
          </w:tcPr>
          <w:p w14:paraId="085D994B" w14:textId="77777777" w:rsidR="004E27A4" w:rsidRDefault="00000000">
            <w:pPr>
              <w:pStyle w:val="ac"/>
              <w:spacing w:line="360" w:lineRule="auto"/>
              <w:jc w:val="left"/>
              <w:rPr>
                <w:color w:val="000000"/>
                <w:sz w:val="21"/>
                <w:szCs w:val="21"/>
              </w:rPr>
            </w:pPr>
            <w:r>
              <w:rPr>
                <w:rFonts w:ascii="宋体" w:eastAsia="宋体" w:hAnsi="宋体" w:cs="宋体" w:hint="eastAsia"/>
                <w:szCs w:val="21"/>
              </w:rPr>
              <w:t xml:space="preserve">①《GB </w:t>
            </w:r>
            <w:r>
              <w:rPr>
                <w:rFonts w:hint="eastAsia"/>
                <w:color w:val="000000"/>
                <w:sz w:val="21"/>
                <w:szCs w:val="21"/>
              </w:rPr>
              <w:t xml:space="preserve">19644 </w:t>
            </w:r>
            <w:r>
              <w:rPr>
                <w:rFonts w:hint="eastAsia"/>
                <w:color w:val="000000"/>
                <w:sz w:val="21"/>
                <w:szCs w:val="21"/>
              </w:rPr>
              <w:t>食品安全国家标准</w:t>
            </w:r>
            <w:r>
              <w:rPr>
                <w:rFonts w:hint="eastAsia"/>
                <w:color w:val="000000"/>
                <w:sz w:val="21"/>
                <w:szCs w:val="21"/>
              </w:rPr>
              <w:t xml:space="preserve"> </w:t>
            </w:r>
            <w:r>
              <w:rPr>
                <w:rFonts w:hint="eastAsia"/>
                <w:color w:val="000000"/>
                <w:sz w:val="21"/>
                <w:szCs w:val="21"/>
              </w:rPr>
              <w:t>乳粉和调制乳粉》蛋白质（</w:t>
            </w:r>
            <w:r>
              <w:rPr>
                <w:rFonts w:hint="eastAsia"/>
                <w:color w:val="000000"/>
                <w:sz w:val="21"/>
                <w:szCs w:val="21"/>
              </w:rPr>
              <w:t>g/100g</w:t>
            </w:r>
            <w:r>
              <w:rPr>
                <w:rFonts w:hint="eastAsia"/>
                <w:color w:val="000000"/>
                <w:sz w:val="21"/>
                <w:szCs w:val="21"/>
              </w:rPr>
              <w:t>）≥</w:t>
            </w:r>
            <w:r>
              <w:rPr>
                <w:rFonts w:hint="eastAsia"/>
                <w:color w:val="000000"/>
                <w:sz w:val="21"/>
                <w:szCs w:val="21"/>
              </w:rPr>
              <w:t>16.5g</w:t>
            </w:r>
            <w:r>
              <w:rPr>
                <w:rFonts w:hint="eastAsia"/>
                <w:color w:val="000000"/>
                <w:sz w:val="21"/>
                <w:szCs w:val="21"/>
              </w:rPr>
              <w:t>；</w:t>
            </w:r>
          </w:p>
          <w:p w14:paraId="01831A42" w14:textId="77777777" w:rsidR="004E27A4" w:rsidRDefault="00000000">
            <w:pPr>
              <w:pStyle w:val="ac"/>
              <w:spacing w:line="360" w:lineRule="auto"/>
              <w:jc w:val="left"/>
              <w:rPr>
                <w:color w:val="000000"/>
                <w:sz w:val="21"/>
                <w:szCs w:val="21"/>
              </w:rPr>
            </w:pPr>
            <w:r>
              <w:rPr>
                <w:rFonts w:hint="eastAsia"/>
                <w:color w:val="000000"/>
                <w:sz w:val="21"/>
                <w:szCs w:val="21"/>
              </w:rPr>
              <w:t>②《中国食物成分表</w:t>
            </w:r>
            <w:r>
              <w:rPr>
                <w:rFonts w:hint="eastAsia"/>
                <w:color w:val="000000"/>
                <w:sz w:val="21"/>
                <w:szCs w:val="21"/>
              </w:rPr>
              <w:t xml:space="preserve"> </w:t>
            </w:r>
            <w:r>
              <w:rPr>
                <w:rFonts w:hint="eastAsia"/>
                <w:color w:val="000000"/>
                <w:sz w:val="21"/>
                <w:szCs w:val="21"/>
              </w:rPr>
              <w:t>第六版》中老年配方奶粉（代表值）蛋白质含量：</w:t>
            </w:r>
            <w:r>
              <w:rPr>
                <w:rFonts w:hint="eastAsia"/>
                <w:color w:val="000000"/>
                <w:sz w:val="21"/>
                <w:szCs w:val="21"/>
              </w:rPr>
              <w:t>21.8g</w:t>
            </w:r>
            <w:r>
              <w:rPr>
                <w:rFonts w:hint="eastAsia"/>
                <w:color w:val="000000"/>
                <w:sz w:val="21"/>
                <w:szCs w:val="21"/>
              </w:rPr>
              <w:t>；</w:t>
            </w:r>
          </w:p>
          <w:p w14:paraId="660E86D6" w14:textId="77777777" w:rsidR="004E27A4" w:rsidRDefault="00000000">
            <w:pPr>
              <w:pStyle w:val="ac"/>
              <w:spacing w:line="360" w:lineRule="auto"/>
              <w:jc w:val="left"/>
              <w:rPr>
                <w:rFonts w:ascii="宋体" w:eastAsia="宋体" w:hAnsi="宋体" w:cs="宋体" w:hint="eastAsia"/>
                <w:szCs w:val="21"/>
              </w:rPr>
            </w:pPr>
            <w:r>
              <w:rPr>
                <w:rFonts w:hint="eastAsia"/>
                <w:color w:val="000000"/>
                <w:sz w:val="21"/>
                <w:szCs w:val="21"/>
              </w:rPr>
              <w:t>③基于乳清蛋白较高的生物利用率、较高的支链氨基酸水平、含硫氨基酸组成等特点，额外增加乳清蛋白的含量，因此本标准的蛋白质含量要高于一般中老年配方奶粉的含量，考虑到乳清蛋白的来源一般是脱盐乳清粉、浓缩乳清蛋白粉等原料，设定蛋白质含量为≥</w:t>
            </w:r>
            <w:r>
              <w:rPr>
                <w:rFonts w:hint="eastAsia"/>
                <w:color w:val="000000"/>
                <w:sz w:val="21"/>
                <w:szCs w:val="21"/>
              </w:rPr>
              <w:t>23.0g/100g</w:t>
            </w:r>
            <w:r>
              <w:rPr>
                <w:rFonts w:hint="eastAsia"/>
                <w:color w:val="000000"/>
                <w:sz w:val="21"/>
                <w:szCs w:val="21"/>
              </w:rPr>
              <w:t>。</w:t>
            </w:r>
          </w:p>
        </w:tc>
      </w:tr>
      <w:tr w:rsidR="004E27A4" w14:paraId="3E7874E3" w14:textId="77777777">
        <w:tc>
          <w:tcPr>
            <w:tcW w:w="2466" w:type="dxa"/>
            <w:vAlign w:val="center"/>
          </w:tcPr>
          <w:p w14:paraId="4CA9FA09"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乳清蛋白（g/100g）</w:t>
            </w:r>
          </w:p>
        </w:tc>
        <w:tc>
          <w:tcPr>
            <w:tcW w:w="1846" w:type="dxa"/>
            <w:vAlign w:val="center"/>
          </w:tcPr>
          <w:p w14:paraId="09F88855" w14:textId="77777777" w:rsidR="004E27A4" w:rsidRDefault="00000000">
            <w:pPr>
              <w:pStyle w:val="af1"/>
              <w:tabs>
                <w:tab w:val="center" w:pos="921"/>
                <w:tab w:val="right" w:pos="1722"/>
              </w:tabs>
              <w:spacing w:line="360" w:lineRule="auto"/>
              <w:ind w:firstLineChars="0" w:firstLine="0"/>
              <w:jc w:val="center"/>
              <w:rPr>
                <w:rFonts w:hAnsi="宋体" w:cs="宋体" w:hint="eastAsia"/>
                <w:color w:val="000000"/>
                <w:szCs w:val="21"/>
              </w:rPr>
            </w:pPr>
            <w:r>
              <w:rPr>
                <w:rFonts w:hAnsi="宋体" w:cs="宋体" w:hint="eastAsia"/>
                <w:color w:val="000000"/>
                <w:szCs w:val="21"/>
              </w:rPr>
              <w:t>≥6.0</w:t>
            </w:r>
          </w:p>
          <w:p w14:paraId="76AABE03"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color w:val="000000"/>
                <w:szCs w:val="21"/>
              </w:rPr>
              <w:t>≥总蛋白含量25%</w:t>
            </w:r>
          </w:p>
        </w:tc>
        <w:tc>
          <w:tcPr>
            <w:tcW w:w="9323" w:type="dxa"/>
          </w:tcPr>
          <w:p w14:paraId="3EB5C91B" w14:textId="77777777" w:rsidR="004E27A4" w:rsidRDefault="00000000">
            <w:pPr>
              <w:pStyle w:val="-11"/>
              <w:numPr>
                <w:ilvl w:val="0"/>
                <w:numId w:val="3"/>
              </w:numPr>
              <w:tabs>
                <w:tab w:val="left" w:pos="851"/>
              </w:tabs>
              <w:spacing w:line="360" w:lineRule="auto"/>
              <w:ind w:firstLineChars="0" w:firstLine="0"/>
              <w:jc w:val="left"/>
              <w:rPr>
                <w:rFonts w:cs="Times New Roman"/>
                <w:color w:val="000000"/>
                <w:szCs w:val="21"/>
              </w:rPr>
            </w:pPr>
            <w:r>
              <w:rPr>
                <w:rFonts w:cs="Times New Roman" w:hint="eastAsia"/>
                <w:color w:val="000000"/>
                <w:szCs w:val="21"/>
              </w:rPr>
              <w:t>中老年配方奶粉（代表值）蛋白质含量：</w:t>
            </w:r>
            <w:r>
              <w:rPr>
                <w:rFonts w:cs="Times New Roman" w:hint="eastAsia"/>
                <w:color w:val="000000"/>
                <w:szCs w:val="21"/>
              </w:rPr>
              <w:t>21.8g</w:t>
            </w:r>
            <w:r>
              <w:rPr>
                <w:rFonts w:cs="Times New Roman" w:hint="eastAsia"/>
                <w:color w:val="000000"/>
                <w:szCs w:val="21"/>
              </w:rPr>
              <w:t>，乳清蛋白在乳蛋白中的比例一般为</w:t>
            </w:r>
            <w:r>
              <w:rPr>
                <w:rFonts w:cs="Times New Roman" w:hint="eastAsia"/>
                <w:color w:val="000000"/>
                <w:szCs w:val="21"/>
              </w:rPr>
              <w:t>20%</w:t>
            </w:r>
            <w:r>
              <w:rPr>
                <w:rFonts w:cs="Times New Roman" w:hint="eastAsia"/>
                <w:color w:val="000000"/>
                <w:szCs w:val="21"/>
              </w:rPr>
              <w:t>，所以乳清蛋白的代表值一般为</w:t>
            </w:r>
            <w:r>
              <w:rPr>
                <w:rFonts w:cs="Times New Roman" w:hint="eastAsia"/>
                <w:color w:val="000000"/>
                <w:szCs w:val="21"/>
              </w:rPr>
              <w:t>4.36g</w:t>
            </w:r>
            <w:r>
              <w:rPr>
                <w:rFonts w:cs="Times New Roman" w:hint="eastAsia"/>
                <w:color w:val="000000"/>
                <w:szCs w:val="21"/>
              </w:rPr>
              <w:t>；</w:t>
            </w:r>
          </w:p>
          <w:p w14:paraId="4B6E22AD" w14:textId="77777777" w:rsidR="004E27A4" w:rsidRDefault="00000000">
            <w:pPr>
              <w:pStyle w:val="-11"/>
              <w:numPr>
                <w:ilvl w:val="0"/>
                <w:numId w:val="3"/>
              </w:numPr>
              <w:tabs>
                <w:tab w:val="left" w:pos="851"/>
              </w:tabs>
              <w:spacing w:line="360" w:lineRule="auto"/>
              <w:ind w:firstLineChars="0" w:firstLine="0"/>
              <w:jc w:val="left"/>
              <w:rPr>
                <w:rFonts w:cs="Times New Roman"/>
                <w:color w:val="000000"/>
                <w:szCs w:val="21"/>
              </w:rPr>
            </w:pPr>
            <w:r>
              <w:rPr>
                <w:rFonts w:cs="Times New Roman" w:hint="eastAsia"/>
                <w:color w:val="000000"/>
                <w:szCs w:val="21"/>
              </w:rPr>
              <w:t>乳清蛋白没有</w:t>
            </w:r>
            <w:r>
              <w:rPr>
                <w:rFonts w:cs="Times New Roman" w:hint="eastAsia"/>
                <w:color w:val="000000"/>
                <w:szCs w:val="21"/>
              </w:rPr>
              <w:t>NRV</w:t>
            </w:r>
            <w:r>
              <w:rPr>
                <w:rFonts w:cs="Times New Roman" w:hint="eastAsia"/>
                <w:color w:val="000000"/>
                <w:szCs w:val="21"/>
              </w:rPr>
              <w:t>值可以参考，参考《</w:t>
            </w:r>
            <w:r>
              <w:rPr>
                <w:rFonts w:cs="Times New Roman" w:hint="eastAsia"/>
                <w:color w:val="000000"/>
                <w:szCs w:val="21"/>
              </w:rPr>
              <w:t>GB 28050</w:t>
            </w:r>
            <w:r>
              <w:rPr>
                <w:rFonts w:cs="Times New Roman" w:hint="eastAsia"/>
                <w:color w:val="000000"/>
                <w:szCs w:val="21"/>
              </w:rPr>
              <w:t>食品安全国家标准</w:t>
            </w:r>
            <w:r>
              <w:rPr>
                <w:rFonts w:cs="Times New Roman" w:hint="eastAsia"/>
                <w:color w:val="000000"/>
                <w:szCs w:val="21"/>
              </w:rPr>
              <w:t xml:space="preserve"> </w:t>
            </w:r>
            <w:r>
              <w:rPr>
                <w:rFonts w:cs="Times New Roman" w:hint="eastAsia"/>
                <w:color w:val="000000"/>
                <w:szCs w:val="21"/>
              </w:rPr>
              <w:t>预包装食品营养标签通则》“比较声称的要求和条件”，与参考食品相比，增加</w:t>
            </w:r>
            <w:r>
              <w:rPr>
                <w:rFonts w:cs="Times New Roman" w:hint="eastAsia"/>
                <w:color w:val="000000"/>
                <w:szCs w:val="21"/>
              </w:rPr>
              <w:t>25%</w:t>
            </w:r>
            <w:r>
              <w:rPr>
                <w:rFonts w:cs="Times New Roman" w:hint="eastAsia"/>
                <w:color w:val="000000"/>
                <w:szCs w:val="21"/>
              </w:rPr>
              <w:t>以上，在①的基础上不管是总蛋白的比例还是乳清蛋白含量绝对值还是占总蛋白的比例，均增加</w:t>
            </w:r>
            <w:r>
              <w:rPr>
                <w:rFonts w:cs="Times New Roman" w:hint="eastAsia"/>
                <w:color w:val="000000"/>
                <w:szCs w:val="21"/>
              </w:rPr>
              <w:t>25%</w:t>
            </w:r>
            <w:r>
              <w:rPr>
                <w:rFonts w:cs="Times New Roman" w:hint="eastAsia"/>
                <w:color w:val="000000"/>
                <w:szCs w:val="21"/>
              </w:rPr>
              <w:t>以上，因此设定乳清蛋白≥</w:t>
            </w:r>
            <w:r>
              <w:rPr>
                <w:rFonts w:cs="Times New Roman" w:hint="eastAsia"/>
                <w:color w:val="000000"/>
                <w:szCs w:val="21"/>
              </w:rPr>
              <w:t>6.0g/100g</w:t>
            </w:r>
            <w:r>
              <w:rPr>
                <w:rFonts w:cs="Times New Roman" w:hint="eastAsia"/>
                <w:color w:val="000000"/>
                <w:szCs w:val="21"/>
              </w:rPr>
              <w:t>，≥总蛋白含量</w:t>
            </w:r>
            <w:r>
              <w:rPr>
                <w:rFonts w:cs="Times New Roman" w:hint="eastAsia"/>
                <w:color w:val="000000"/>
                <w:szCs w:val="21"/>
              </w:rPr>
              <w:t>25%</w:t>
            </w:r>
            <w:r>
              <w:rPr>
                <w:rFonts w:cs="Times New Roman" w:hint="eastAsia"/>
                <w:color w:val="000000"/>
                <w:szCs w:val="21"/>
              </w:rPr>
              <w:t>。</w:t>
            </w:r>
          </w:p>
        </w:tc>
      </w:tr>
      <w:tr w:rsidR="004E27A4" w14:paraId="4CC05FE5" w14:textId="77777777">
        <w:tc>
          <w:tcPr>
            <w:tcW w:w="2466" w:type="dxa"/>
            <w:vAlign w:val="center"/>
          </w:tcPr>
          <w:p w14:paraId="411DF7E4"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总脂肪（g/100g）</w:t>
            </w:r>
          </w:p>
        </w:tc>
        <w:tc>
          <w:tcPr>
            <w:tcW w:w="1846" w:type="dxa"/>
            <w:vAlign w:val="center"/>
          </w:tcPr>
          <w:p w14:paraId="1B925B70"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≤15.0</w:t>
            </w:r>
          </w:p>
        </w:tc>
        <w:tc>
          <w:tcPr>
            <w:tcW w:w="9323" w:type="dxa"/>
          </w:tcPr>
          <w:p w14:paraId="581222A4" w14:textId="77777777" w:rsidR="004E27A4" w:rsidRDefault="00000000">
            <w:pPr>
              <w:pStyle w:val="-11"/>
              <w:numPr>
                <w:ilvl w:val="255"/>
                <w:numId w:val="0"/>
              </w:numPr>
              <w:tabs>
                <w:tab w:val="left" w:pos="851"/>
              </w:tabs>
              <w:spacing w:line="360" w:lineRule="auto"/>
              <w:jc w:val="left"/>
              <w:rPr>
                <w:rFonts w:cs="Times New Roman"/>
                <w:color w:val="000000"/>
                <w:szCs w:val="21"/>
              </w:rPr>
            </w:pPr>
            <w:r>
              <w:rPr>
                <w:rFonts w:ascii="宋体" w:eastAsia="宋体" w:hAnsi="宋体" w:cs="宋体" w:hint="eastAsia"/>
                <w:szCs w:val="21"/>
              </w:rPr>
              <w:t>① 中老年人群普遍存在脂肪摄入过量的现状，因此对脂肪含量进行控制，</w:t>
            </w:r>
            <w:r>
              <w:rPr>
                <w:rFonts w:cs="Times New Roman" w:hint="eastAsia"/>
                <w:color w:val="000000"/>
                <w:szCs w:val="21"/>
              </w:rPr>
              <w:t>《中国食物成分表</w:t>
            </w:r>
            <w:r>
              <w:rPr>
                <w:rFonts w:cs="Times New Roman" w:hint="eastAsia"/>
                <w:color w:val="000000"/>
                <w:szCs w:val="21"/>
              </w:rPr>
              <w:t xml:space="preserve"> </w:t>
            </w:r>
            <w:r>
              <w:rPr>
                <w:rFonts w:cs="Times New Roman" w:hint="eastAsia"/>
                <w:color w:val="000000"/>
                <w:szCs w:val="21"/>
              </w:rPr>
              <w:t>第六版》全脂奶粉（代表值）脂肪含量：</w:t>
            </w:r>
            <w:r>
              <w:rPr>
                <w:rFonts w:cs="Times New Roman" w:hint="eastAsia"/>
                <w:color w:val="000000"/>
                <w:szCs w:val="21"/>
              </w:rPr>
              <w:t>22.3g</w:t>
            </w:r>
            <w:r>
              <w:rPr>
                <w:rFonts w:cs="Times New Roman" w:hint="eastAsia"/>
                <w:color w:val="000000"/>
                <w:szCs w:val="21"/>
              </w:rPr>
              <w:t>，在</w:t>
            </w:r>
            <w:proofErr w:type="gramStart"/>
            <w:r>
              <w:rPr>
                <w:rFonts w:cs="Times New Roman" w:hint="eastAsia"/>
                <w:color w:val="000000"/>
                <w:szCs w:val="21"/>
              </w:rPr>
              <w:t>该基础</w:t>
            </w:r>
            <w:proofErr w:type="gramEnd"/>
            <w:r>
              <w:rPr>
                <w:rFonts w:cs="Times New Roman" w:hint="eastAsia"/>
                <w:color w:val="000000"/>
                <w:szCs w:val="21"/>
              </w:rPr>
              <w:t>上减少</w:t>
            </w:r>
            <w:r>
              <w:rPr>
                <w:rFonts w:cs="Times New Roman" w:hint="eastAsia"/>
                <w:color w:val="000000"/>
                <w:szCs w:val="21"/>
              </w:rPr>
              <w:t>25%</w:t>
            </w:r>
            <w:r>
              <w:rPr>
                <w:rFonts w:cs="Times New Roman" w:hint="eastAsia"/>
                <w:color w:val="000000"/>
                <w:szCs w:val="21"/>
              </w:rPr>
              <w:t>，为</w:t>
            </w:r>
            <w:r>
              <w:rPr>
                <w:rFonts w:cs="Times New Roman" w:hint="eastAsia"/>
                <w:color w:val="000000"/>
                <w:szCs w:val="21"/>
              </w:rPr>
              <w:t>16.725g</w:t>
            </w:r>
            <w:r>
              <w:rPr>
                <w:rFonts w:cs="Times New Roman" w:hint="eastAsia"/>
                <w:color w:val="000000"/>
                <w:szCs w:val="21"/>
              </w:rPr>
              <w:t>；</w:t>
            </w:r>
          </w:p>
          <w:p w14:paraId="741951FA" w14:textId="77777777" w:rsidR="004E27A4" w:rsidRDefault="00000000">
            <w:pPr>
              <w:pStyle w:val="-11"/>
              <w:numPr>
                <w:ilvl w:val="255"/>
                <w:numId w:val="0"/>
              </w:numPr>
              <w:tabs>
                <w:tab w:val="left" w:pos="851"/>
              </w:tabs>
              <w:spacing w:line="360" w:lineRule="auto"/>
              <w:jc w:val="left"/>
              <w:rPr>
                <w:rFonts w:cs="Times New Roman"/>
                <w:color w:val="000000"/>
                <w:szCs w:val="21"/>
              </w:rPr>
            </w:pPr>
            <w:r>
              <w:rPr>
                <w:rFonts w:cs="Times New Roman" w:hint="eastAsia"/>
                <w:color w:val="000000"/>
                <w:szCs w:val="21"/>
              </w:rPr>
              <w:t>②</w:t>
            </w:r>
            <w:r>
              <w:rPr>
                <w:rFonts w:cs="Times New Roman" w:hint="eastAsia"/>
                <w:color w:val="000000"/>
                <w:szCs w:val="21"/>
              </w:rPr>
              <w:t xml:space="preserve"> </w:t>
            </w:r>
            <w:r>
              <w:rPr>
                <w:rFonts w:cs="Times New Roman" w:hint="eastAsia"/>
                <w:color w:val="000000"/>
                <w:szCs w:val="21"/>
              </w:rPr>
              <w:t>对于</w:t>
            </w:r>
            <w:r>
              <w:rPr>
                <w:rFonts w:cs="Times New Roman" w:hint="eastAsia"/>
                <w:color w:val="000000"/>
                <w:szCs w:val="21"/>
              </w:rPr>
              <w:t>70</w:t>
            </w:r>
            <w:r>
              <w:rPr>
                <w:rFonts w:cs="Times New Roman" w:hint="eastAsia"/>
                <w:color w:val="000000"/>
                <w:szCs w:val="21"/>
              </w:rPr>
              <w:t>款市售中老年奶粉调研，总脂肪含量中位值为</w:t>
            </w:r>
            <w:r>
              <w:rPr>
                <w:rFonts w:cs="Times New Roman" w:hint="eastAsia"/>
                <w:color w:val="000000"/>
                <w:szCs w:val="21"/>
              </w:rPr>
              <w:t>11g</w:t>
            </w:r>
            <w:r>
              <w:rPr>
                <w:rFonts w:cs="Times New Roman" w:hint="eastAsia"/>
                <w:color w:val="000000"/>
                <w:szCs w:val="21"/>
              </w:rPr>
              <w:t>，多数产品都对脂肪含量进行了控制</w:t>
            </w:r>
          </w:p>
          <w:p w14:paraId="757617B3" w14:textId="77777777" w:rsidR="004E27A4" w:rsidRDefault="00000000">
            <w:pPr>
              <w:pStyle w:val="-11"/>
              <w:numPr>
                <w:ilvl w:val="255"/>
                <w:numId w:val="0"/>
              </w:numPr>
              <w:tabs>
                <w:tab w:val="left" w:pos="851"/>
              </w:tabs>
              <w:spacing w:line="360" w:lineRule="auto"/>
              <w:jc w:val="left"/>
              <w:rPr>
                <w:rFonts w:cs="Times New Roman"/>
                <w:color w:val="000000"/>
                <w:szCs w:val="21"/>
              </w:rPr>
            </w:pPr>
            <w:r>
              <w:rPr>
                <w:rFonts w:cs="Times New Roman" w:hint="eastAsia"/>
                <w:color w:val="000000"/>
                <w:szCs w:val="21"/>
              </w:rPr>
              <w:lastRenderedPageBreak/>
              <w:t>③</w:t>
            </w:r>
            <w:r>
              <w:rPr>
                <w:rFonts w:cs="Times New Roman" w:hint="eastAsia"/>
                <w:color w:val="000000"/>
                <w:szCs w:val="21"/>
              </w:rPr>
              <w:t xml:space="preserve"> </w:t>
            </w:r>
            <w:r>
              <w:rPr>
                <w:rFonts w:cs="Times New Roman" w:hint="eastAsia"/>
                <w:color w:val="000000"/>
                <w:szCs w:val="21"/>
              </w:rPr>
              <w:t>综合市售产品情况，本标准设定总脂肪含量为≤</w:t>
            </w:r>
            <w:r>
              <w:rPr>
                <w:rFonts w:cs="Times New Roman" w:hint="eastAsia"/>
                <w:color w:val="000000"/>
                <w:szCs w:val="21"/>
              </w:rPr>
              <w:t>15g/100g</w:t>
            </w:r>
            <w:r>
              <w:rPr>
                <w:rFonts w:cs="Times New Roman" w:hint="eastAsia"/>
                <w:color w:val="000000"/>
                <w:szCs w:val="21"/>
              </w:rPr>
              <w:t>。</w:t>
            </w:r>
          </w:p>
        </w:tc>
      </w:tr>
      <w:tr w:rsidR="004E27A4" w14:paraId="7A05E3B1" w14:textId="77777777">
        <w:tc>
          <w:tcPr>
            <w:tcW w:w="2466" w:type="dxa"/>
            <w:vAlign w:val="center"/>
          </w:tcPr>
          <w:p w14:paraId="1B7E55DF"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lastRenderedPageBreak/>
              <w:t>维生素D</w:t>
            </w:r>
            <w:r>
              <w:rPr>
                <w:rFonts w:ascii="Times New Roman" w:hint="eastAsia"/>
                <w:szCs w:val="21"/>
              </w:rPr>
              <w:t>（</w:t>
            </w:r>
            <w:proofErr w:type="spellStart"/>
            <w:r>
              <w:rPr>
                <w:rFonts w:ascii="Times New Roman"/>
                <w:szCs w:val="21"/>
              </w:rPr>
              <w:t>μ</w:t>
            </w:r>
            <w:r>
              <w:rPr>
                <w:rFonts w:ascii="Times New Roman"/>
                <w:szCs w:val="21"/>
              </w:rPr>
              <w:t>g</w:t>
            </w:r>
            <w:proofErr w:type="spellEnd"/>
            <w:r>
              <w:rPr>
                <w:rFonts w:ascii="Times New Roman"/>
                <w:color w:val="FF0000"/>
                <w:szCs w:val="21"/>
              </w:rPr>
              <w:t>/</w:t>
            </w:r>
            <w:r>
              <w:rPr>
                <w:rFonts w:ascii="Times New Roman"/>
                <w:color w:val="000000"/>
                <w:szCs w:val="21"/>
              </w:rPr>
              <w:t>100g</w:t>
            </w:r>
            <w:r>
              <w:rPr>
                <w:rFonts w:ascii="Times New Roman" w:hint="eastAsia"/>
                <w:color w:val="000000"/>
                <w:szCs w:val="21"/>
              </w:rPr>
              <w:t>）</w:t>
            </w:r>
          </w:p>
        </w:tc>
        <w:tc>
          <w:tcPr>
            <w:tcW w:w="1846" w:type="dxa"/>
            <w:vAlign w:val="center"/>
          </w:tcPr>
          <w:p w14:paraId="083EF274"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6.3-12.5</w:t>
            </w:r>
          </w:p>
        </w:tc>
        <w:tc>
          <w:tcPr>
            <w:tcW w:w="9323" w:type="dxa"/>
          </w:tcPr>
          <w:p w14:paraId="010EC97F" w14:textId="77777777" w:rsidR="004E27A4" w:rsidRDefault="00000000">
            <w:pPr>
              <w:pStyle w:val="-11"/>
              <w:numPr>
                <w:ilvl w:val="255"/>
                <w:numId w:val="0"/>
              </w:numPr>
              <w:tabs>
                <w:tab w:val="left" w:pos="851"/>
              </w:tabs>
              <w:spacing w:line="360" w:lineRule="auto"/>
              <w:jc w:val="left"/>
              <w:rPr>
                <w:rFonts w:ascii="宋体" w:eastAsia="宋体" w:hAnsi="宋体" w:cs="宋体" w:hint="eastAsia"/>
                <w:szCs w:val="21"/>
              </w:rPr>
            </w:pPr>
            <w:r>
              <w:rPr>
                <w:rFonts w:ascii="宋体" w:eastAsia="宋体" w:hAnsi="宋体" w:cs="宋体" w:hint="eastAsia"/>
                <w:szCs w:val="21"/>
              </w:rPr>
              <w:t>《GB 14880-2012 食品安全国家标准 食品营养强化剂使用标准》VD在调制乳粉中的添加量为6.3-12.5ug/100g；</w:t>
            </w:r>
          </w:p>
        </w:tc>
      </w:tr>
      <w:tr w:rsidR="004E27A4" w14:paraId="4075794D" w14:textId="77777777">
        <w:tc>
          <w:tcPr>
            <w:tcW w:w="2466" w:type="dxa"/>
            <w:vAlign w:val="center"/>
          </w:tcPr>
          <w:p w14:paraId="2B7C45F6"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维生素A</w:t>
            </w:r>
            <w:r>
              <w:rPr>
                <w:rFonts w:ascii="Times New Roman" w:hAnsi="Times New Roman" w:cs="Times New Roman" w:hint="eastAsia"/>
                <w:color w:val="FF0000"/>
                <w:szCs w:val="21"/>
              </w:rPr>
              <w:t>（</w:t>
            </w:r>
            <w:proofErr w:type="spellStart"/>
            <w:r>
              <w:rPr>
                <w:rFonts w:ascii="Times New Roman" w:hAnsi="Times New Roman" w:cs="Times New Roman"/>
                <w:color w:val="FF0000"/>
                <w:szCs w:val="21"/>
              </w:rPr>
              <w:t>μg</w:t>
            </w:r>
            <w:proofErr w:type="spellEnd"/>
            <w:r>
              <w:rPr>
                <w:rFonts w:ascii="Times New Roman" w:hAnsi="Times New Roman" w:cs="Times New Roman"/>
                <w:color w:val="FF0000"/>
                <w:szCs w:val="21"/>
              </w:rPr>
              <w:t xml:space="preserve"> RE/100g</w:t>
            </w:r>
            <w:r>
              <w:rPr>
                <w:rFonts w:ascii="Times New Roman" w:hAnsi="Times New Roman" w:cs="Times New Roman" w:hint="eastAsia"/>
                <w:color w:val="FF0000"/>
                <w:szCs w:val="21"/>
              </w:rPr>
              <w:t>）</w:t>
            </w:r>
          </w:p>
        </w:tc>
        <w:tc>
          <w:tcPr>
            <w:tcW w:w="1846" w:type="dxa"/>
            <w:vAlign w:val="center"/>
          </w:tcPr>
          <w:p w14:paraId="50B941A3"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400-900</w:t>
            </w:r>
          </w:p>
        </w:tc>
        <w:tc>
          <w:tcPr>
            <w:tcW w:w="9323" w:type="dxa"/>
          </w:tcPr>
          <w:p w14:paraId="37B048C0" w14:textId="77777777" w:rsidR="004E27A4" w:rsidRDefault="00000000">
            <w:pPr>
              <w:pStyle w:val="-11"/>
              <w:numPr>
                <w:ilvl w:val="255"/>
                <w:numId w:val="0"/>
              </w:numPr>
              <w:tabs>
                <w:tab w:val="left" w:pos="851"/>
              </w:tabs>
              <w:spacing w:line="360" w:lineRule="auto"/>
              <w:jc w:val="left"/>
              <w:rPr>
                <w:rFonts w:ascii="宋体" w:eastAsia="宋体" w:hAnsi="宋体" w:cs="宋体" w:hint="eastAsia"/>
                <w:szCs w:val="21"/>
              </w:rPr>
            </w:pPr>
            <w:r>
              <w:rPr>
                <w:rFonts w:ascii="宋体" w:eastAsia="宋体" w:hAnsi="宋体" w:cs="宋体" w:hint="eastAsia"/>
                <w:szCs w:val="21"/>
              </w:rPr>
              <w:t>①《GB 14880-2012 食品安全国家标准 食品营养强化剂使用标准》VA在调制乳粉中的添加量为300-900ug/100g；</w:t>
            </w:r>
          </w:p>
          <w:p w14:paraId="0878F21C" w14:textId="77777777" w:rsidR="004E27A4" w:rsidRDefault="00000000">
            <w:pPr>
              <w:pStyle w:val="-11"/>
              <w:numPr>
                <w:ilvl w:val="255"/>
                <w:numId w:val="0"/>
              </w:numPr>
              <w:tabs>
                <w:tab w:val="left" w:pos="851"/>
              </w:tabs>
              <w:spacing w:line="360" w:lineRule="auto"/>
              <w:jc w:val="left"/>
              <w:rPr>
                <w:rFonts w:ascii="宋体" w:eastAsia="宋体" w:hAnsi="宋体" w:cs="宋体" w:hint="eastAsia"/>
                <w:szCs w:val="21"/>
              </w:rPr>
            </w:pPr>
            <w:r>
              <w:rPr>
                <w:rFonts w:ascii="宋体" w:eastAsia="宋体" w:hAnsi="宋体" w:cs="宋体" w:hint="eastAsia"/>
                <w:szCs w:val="21"/>
              </w:rPr>
              <w:t>②</w:t>
            </w:r>
            <w:r>
              <w:rPr>
                <w:rFonts w:cs="Times New Roman" w:hint="eastAsia"/>
                <w:color w:val="000000"/>
                <w:szCs w:val="21"/>
              </w:rPr>
              <w:t>《</w:t>
            </w:r>
            <w:r>
              <w:rPr>
                <w:rFonts w:ascii="宋体" w:eastAsia="宋体" w:hAnsi="宋体" w:cs="宋体" w:hint="eastAsia"/>
                <w:szCs w:val="21"/>
              </w:rPr>
              <w:t>中国食物成分表 第六版》全脂奶粉（代表值）维生素A含量：380ug/100g；</w:t>
            </w:r>
          </w:p>
          <w:p w14:paraId="78969D71" w14:textId="77777777" w:rsidR="004E27A4" w:rsidRDefault="00000000">
            <w:pPr>
              <w:pStyle w:val="-11"/>
              <w:numPr>
                <w:ilvl w:val="255"/>
                <w:numId w:val="0"/>
              </w:numPr>
              <w:tabs>
                <w:tab w:val="left" w:pos="851"/>
              </w:tabs>
              <w:spacing w:line="360" w:lineRule="auto"/>
              <w:jc w:val="left"/>
              <w:rPr>
                <w:rFonts w:ascii="宋体" w:eastAsia="宋体" w:hAnsi="宋体" w:cs="宋体" w:hint="eastAsia"/>
                <w:szCs w:val="21"/>
              </w:rPr>
            </w:pPr>
            <w:r>
              <w:rPr>
                <w:rFonts w:ascii="宋体" w:eastAsia="宋体" w:hAnsi="宋体" w:cs="宋体" w:hint="eastAsia"/>
                <w:szCs w:val="21"/>
              </w:rPr>
              <w:t xml:space="preserve">③ </w:t>
            </w:r>
            <w:r>
              <w:rPr>
                <w:rFonts w:ascii="Times New Roman" w:hAnsi="Times New Roman" w:cs="Times New Roman"/>
                <w:color w:val="000000" w:themeColor="text1"/>
                <w:szCs w:val="21"/>
              </w:rPr>
              <w:t>GB 28050</w:t>
            </w:r>
            <w:r>
              <w:rPr>
                <w:rFonts w:ascii="Times New Roman" w:hAnsi="Times New Roman" w:cs="Times New Roman"/>
                <w:color w:val="000000" w:themeColor="text1"/>
                <w:szCs w:val="21"/>
              </w:rPr>
              <w:t>中维生素</w:t>
            </w:r>
            <w:r>
              <w:rPr>
                <w:rFonts w:ascii="Times New Roman" w:hAnsi="Times New Roman" w:cs="Times New Roman"/>
                <w:color w:val="000000" w:themeColor="text1"/>
                <w:szCs w:val="21"/>
              </w:rPr>
              <w:t>A</w:t>
            </w:r>
            <w:r>
              <w:rPr>
                <w:rFonts w:ascii="Times New Roman" w:hAnsi="Times New Roman" w:cs="Times New Roman"/>
                <w:color w:val="000000" w:themeColor="text1"/>
                <w:szCs w:val="21"/>
              </w:rPr>
              <w:t>的</w:t>
            </w:r>
            <w:r>
              <w:rPr>
                <w:rFonts w:ascii="Times New Roman" w:hAnsi="Times New Roman" w:cs="Times New Roman"/>
                <w:color w:val="000000" w:themeColor="text1"/>
                <w:szCs w:val="21"/>
              </w:rPr>
              <w:t>NRV</w:t>
            </w:r>
            <w:r>
              <w:rPr>
                <w:rFonts w:ascii="Times New Roman" w:hAnsi="Times New Roman" w:cs="Times New Roman"/>
                <w:color w:val="000000" w:themeColor="text1"/>
                <w:szCs w:val="21"/>
              </w:rPr>
              <w:t>为</w:t>
            </w:r>
            <w:r>
              <w:rPr>
                <w:rFonts w:ascii="Times New Roman" w:hAnsi="Times New Roman" w:cs="Times New Roman"/>
                <w:color w:val="000000" w:themeColor="text1"/>
                <w:szCs w:val="21"/>
              </w:rPr>
              <w:t>800µgRAE</w:t>
            </w:r>
            <w:r>
              <w:rPr>
                <w:rFonts w:ascii="Times New Roman" w:hAnsi="Times New Roman" w:cs="Times New Roman"/>
                <w:color w:val="000000" w:themeColor="text1"/>
                <w:szCs w:val="21"/>
              </w:rPr>
              <w:t>，我国老年人每日维生素</w:t>
            </w:r>
            <w:r>
              <w:rPr>
                <w:rFonts w:ascii="Times New Roman" w:hAnsi="Times New Roman" w:cs="Times New Roman"/>
                <w:color w:val="000000" w:themeColor="text1"/>
                <w:szCs w:val="21"/>
              </w:rPr>
              <w:t>A</w:t>
            </w:r>
            <w:r>
              <w:rPr>
                <w:rFonts w:ascii="Times New Roman" w:hAnsi="Times New Roman" w:cs="Times New Roman"/>
                <w:color w:val="000000" w:themeColor="text1"/>
                <w:szCs w:val="21"/>
              </w:rPr>
              <w:t>摄入与推荐差距约</w:t>
            </w:r>
            <w:r>
              <w:rPr>
                <w:rFonts w:ascii="Times New Roman" w:hAnsi="Times New Roman" w:cs="Times New Roman"/>
                <w:color w:val="000000" w:themeColor="text1"/>
                <w:szCs w:val="21"/>
              </w:rPr>
              <w:t>400µgRAE</w:t>
            </w:r>
            <w:r>
              <w:rPr>
                <w:rFonts w:ascii="Times New Roman" w:hAnsi="Times New Roman" w:cs="Times New Roman"/>
                <w:color w:val="000000" w:themeColor="text1"/>
                <w:szCs w:val="21"/>
              </w:rPr>
              <w:t>，假设老年人群每天（</w:t>
            </w:r>
            <w:r>
              <w:rPr>
                <w:rFonts w:ascii="Times New Roman" w:hAnsi="Times New Roman" w:cs="Times New Roman"/>
                <w:color w:val="000000" w:themeColor="text1"/>
                <w:szCs w:val="21"/>
              </w:rPr>
              <w:t>50g</w:t>
            </w:r>
            <w:r>
              <w:rPr>
                <w:rFonts w:ascii="Times New Roman" w:hAnsi="Times New Roman" w:cs="Times New Roman"/>
                <w:color w:val="000000" w:themeColor="text1"/>
                <w:szCs w:val="21"/>
              </w:rPr>
              <w:t>）的</w:t>
            </w:r>
            <w:r>
              <w:rPr>
                <w:rFonts w:ascii="Times New Roman" w:hAnsi="Times New Roman" w:cs="Times New Roman" w:hint="eastAsia"/>
                <w:color w:val="000000" w:themeColor="text1"/>
                <w:szCs w:val="21"/>
              </w:rPr>
              <w:t>调制乳粉</w:t>
            </w:r>
            <w:r>
              <w:rPr>
                <w:rFonts w:ascii="Times New Roman" w:hAnsi="Times New Roman" w:cs="Times New Roman"/>
                <w:color w:val="000000" w:themeColor="text1"/>
                <w:szCs w:val="21"/>
              </w:rPr>
              <w:t>中补充到差值的</w:t>
            </w:r>
            <w:r>
              <w:rPr>
                <w:rFonts w:ascii="Times New Roman" w:hAnsi="Times New Roman" w:cs="Times New Roman"/>
                <w:color w:val="000000" w:themeColor="text1"/>
                <w:szCs w:val="21"/>
              </w:rPr>
              <w:t>50%</w:t>
            </w:r>
            <w:r>
              <w:rPr>
                <w:rFonts w:ascii="Times New Roman" w:hAnsi="Times New Roman" w:cs="Times New Roman"/>
                <w:color w:val="000000" w:themeColor="text1"/>
                <w:szCs w:val="21"/>
              </w:rPr>
              <w:t>，则维生素</w:t>
            </w:r>
            <w:r>
              <w:rPr>
                <w:rFonts w:ascii="Times New Roman" w:hAnsi="Times New Roman" w:cs="Times New Roman"/>
                <w:color w:val="000000" w:themeColor="text1"/>
                <w:szCs w:val="21"/>
              </w:rPr>
              <w:t>A</w:t>
            </w:r>
            <w:r>
              <w:rPr>
                <w:rFonts w:ascii="Times New Roman" w:hAnsi="Times New Roman" w:cs="Times New Roman"/>
                <w:color w:val="000000" w:themeColor="text1"/>
                <w:szCs w:val="21"/>
              </w:rPr>
              <w:t>的添加量应为每</w:t>
            </w:r>
            <w:r>
              <w:rPr>
                <w:rFonts w:ascii="Times New Roman" w:hAnsi="Times New Roman" w:cs="Times New Roman"/>
                <w:color w:val="000000" w:themeColor="text1"/>
                <w:szCs w:val="21"/>
              </w:rPr>
              <w:t>100g</w:t>
            </w:r>
            <w:r>
              <w:rPr>
                <w:rFonts w:ascii="Times New Roman" w:hAnsi="Times New Roman" w:cs="Times New Roman"/>
                <w:color w:val="000000" w:themeColor="text1"/>
                <w:szCs w:val="21"/>
              </w:rPr>
              <w:t>添加</w:t>
            </w:r>
            <w:r>
              <w:rPr>
                <w:rFonts w:ascii="Times New Roman" w:hAnsi="Times New Roman" w:cs="Times New Roman"/>
                <w:color w:val="000000" w:themeColor="text1"/>
                <w:szCs w:val="21"/>
              </w:rPr>
              <w:t>400µgRAE</w:t>
            </w:r>
            <w:r>
              <w:rPr>
                <w:rFonts w:ascii="Times New Roman" w:hAnsi="Times New Roman" w:cs="Times New Roman"/>
                <w:color w:val="000000" w:themeColor="text1"/>
                <w:szCs w:val="21"/>
              </w:rPr>
              <w:t>维生素</w:t>
            </w:r>
            <w:r>
              <w:rPr>
                <w:rFonts w:ascii="Times New Roman" w:hAnsi="Times New Roman" w:cs="Times New Roman"/>
                <w:color w:val="000000" w:themeColor="text1"/>
                <w:szCs w:val="21"/>
              </w:rPr>
              <w:t>A</w:t>
            </w:r>
            <w:r>
              <w:rPr>
                <w:rFonts w:ascii="Times New Roman" w:hAnsi="Times New Roman" w:cs="Times New Roman"/>
                <w:color w:val="000000" w:themeColor="text1"/>
                <w:szCs w:val="21"/>
              </w:rPr>
              <w:t>。</w:t>
            </w:r>
          </w:p>
        </w:tc>
      </w:tr>
      <w:tr w:rsidR="004E27A4" w14:paraId="68516D6B" w14:textId="77777777">
        <w:tc>
          <w:tcPr>
            <w:tcW w:w="2466" w:type="dxa"/>
            <w:vAlign w:val="center"/>
          </w:tcPr>
          <w:p w14:paraId="025AF7EA"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维生素C</w:t>
            </w:r>
            <w:r>
              <w:rPr>
                <w:rFonts w:ascii="Times New Roman" w:hint="eastAsia"/>
                <w:color w:val="FF0000"/>
                <w:szCs w:val="21"/>
              </w:rPr>
              <w:t>（</w:t>
            </w:r>
            <w:r>
              <w:rPr>
                <w:rFonts w:ascii="Times New Roman"/>
                <w:color w:val="FF0000"/>
                <w:szCs w:val="21"/>
              </w:rPr>
              <w:t>mg/100g</w:t>
            </w:r>
            <w:r>
              <w:rPr>
                <w:rFonts w:ascii="Times New Roman" w:hint="eastAsia"/>
                <w:color w:val="FF0000"/>
                <w:szCs w:val="21"/>
              </w:rPr>
              <w:t>）</w:t>
            </w:r>
          </w:p>
        </w:tc>
        <w:tc>
          <w:tcPr>
            <w:tcW w:w="1846" w:type="dxa"/>
            <w:vAlign w:val="center"/>
          </w:tcPr>
          <w:p w14:paraId="6235B44C"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30-100</w:t>
            </w:r>
          </w:p>
        </w:tc>
        <w:tc>
          <w:tcPr>
            <w:tcW w:w="9323" w:type="dxa"/>
          </w:tcPr>
          <w:p w14:paraId="49CFBD97" w14:textId="77777777" w:rsidR="004E27A4" w:rsidRDefault="00000000">
            <w:pPr>
              <w:pStyle w:val="-11"/>
              <w:numPr>
                <w:ilvl w:val="255"/>
                <w:numId w:val="0"/>
              </w:numPr>
              <w:tabs>
                <w:tab w:val="left" w:pos="851"/>
              </w:tabs>
              <w:spacing w:line="360" w:lineRule="auto"/>
              <w:jc w:val="left"/>
              <w:rPr>
                <w:rFonts w:ascii="宋体" w:eastAsia="宋体" w:hAnsi="宋体" w:cs="宋体" w:hint="eastAsia"/>
                <w:szCs w:val="21"/>
              </w:rPr>
            </w:pPr>
            <w:r>
              <w:rPr>
                <w:rFonts w:ascii="宋体" w:eastAsia="宋体" w:hAnsi="宋体" w:cs="宋体" w:hint="eastAsia"/>
                <w:szCs w:val="21"/>
              </w:rPr>
              <w:t>①《GB 14880-2012 食品安全国家标准 食品营养强化剂使用标准》VC在调制乳粉中的添加量为30-100mg/100g；</w:t>
            </w:r>
          </w:p>
          <w:p w14:paraId="5BCB7517" w14:textId="77777777" w:rsidR="004E27A4" w:rsidRDefault="00000000">
            <w:pPr>
              <w:pStyle w:val="-11"/>
              <w:numPr>
                <w:ilvl w:val="255"/>
                <w:numId w:val="0"/>
              </w:numPr>
              <w:tabs>
                <w:tab w:val="left" w:pos="851"/>
              </w:tabs>
              <w:spacing w:line="360" w:lineRule="auto"/>
              <w:jc w:val="left"/>
              <w:rPr>
                <w:rFonts w:ascii="宋体" w:eastAsia="宋体" w:hAnsi="宋体" w:cs="宋体" w:hint="eastAsia"/>
                <w:szCs w:val="21"/>
              </w:rPr>
            </w:pPr>
            <w:r>
              <w:rPr>
                <w:rFonts w:ascii="宋体" w:eastAsia="宋体" w:hAnsi="宋体" w:cs="宋体" w:hint="eastAsia"/>
                <w:szCs w:val="21"/>
              </w:rPr>
              <w:t>②</w:t>
            </w:r>
            <w:r>
              <w:rPr>
                <w:rFonts w:cs="Times New Roman" w:hint="eastAsia"/>
                <w:color w:val="000000"/>
                <w:szCs w:val="21"/>
              </w:rPr>
              <w:t>《</w:t>
            </w:r>
            <w:r>
              <w:rPr>
                <w:rFonts w:ascii="宋体" w:eastAsia="宋体" w:hAnsi="宋体" w:cs="宋体" w:hint="eastAsia"/>
                <w:szCs w:val="21"/>
              </w:rPr>
              <w:t>中国食物成分表 第六版》全脂奶粉（代表值）维生素C含量：23.6mg/100g；</w:t>
            </w:r>
          </w:p>
          <w:p w14:paraId="4CEB8746" w14:textId="77777777" w:rsidR="004E27A4" w:rsidRDefault="00000000">
            <w:pPr>
              <w:pStyle w:val="-11"/>
              <w:numPr>
                <w:ilvl w:val="255"/>
                <w:numId w:val="0"/>
              </w:numPr>
              <w:tabs>
                <w:tab w:val="left" w:pos="851"/>
              </w:tabs>
              <w:spacing w:line="360" w:lineRule="auto"/>
              <w:jc w:val="left"/>
              <w:rPr>
                <w:rFonts w:ascii="宋体" w:hAnsi="宋体" w:cs="宋体" w:hint="eastAsia"/>
                <w:szCs w:val="21"/>
              </w:rPr>
            </w:pPr>
            <w:r>
              <w:rPr>
                <w:rFonts w:ascii="宋体" w:eastAsia="宋体" w:hAnsi="宋体" w:cs="宋体" w:hint="eastAsia"/>
                <w:szCs w:val="21"/>
              </w:rPr>
              <w:t xml:space="preserve">③ </w:t>
            </w:r>
            <w:r>
              <w:rPr>
                <w:rFonts w:ascii="Times New Roman" w:hAnsi="Times New Roman" w:cs="Times New Roman"/>
                <w:color w:val="000000" w:themeColor="text1"/>
                <w:szCs w:val="21"/>
              </w:rPr>
              <w:t>当前我国</w:t>
            </w:r>
            <w:r>
              <w:rPr>
                <w:rFonts w:ascii="Times New Roman" w:hAnsi="Times New Roman" w:cs="Times New Roman"/>
                <w:color w:val="000000" w:themeColor="text1"/>
                <w:szCs w:val="21"/>
              </w:rPr>
              <w:t>65</w:t>
            </w:r>
            <w:r>
              <w:rPr>
                <w:rFonts w:ascii="Times New Roman" w:hAnsi="Times New Roman" w:cs="Times New Roman"/>
                <w:color w:val="000000" w:themeColor="text1"/>
                <w:szCs w:val="21"/>
              </w:rPr>
              <w:t>岁以上老年人维生素</w:t>
            </w:r>
            <w:r>
              <w:rPr>
                <w:rFonts w:ascii="Times New Roman" w:hAnsi="Times New Roman" w:cs="Times New Roman"/>
                <w:color w:val="000000" w:themeColor="text1"/>
                <w:szCs w:val="21"/>
              </w:rPr>
              <w:t>C</w:t>
            </w:r>
            <w:r>
              <w:rPr>
                <w:rFonts w:ascii="Times New Roman" w:hAnsi="Times New Roman" w:cs="Times New Roman"/>
                <w:color w:val="000000" w:themeColor="text1"/>
                <w:szCs w:val="21"/>
              </w:rPr>
              <w:t>的</w:t>
            </w:r>
            <w:r>
              <w:rPr>
                <w:rFonts w:ascii="Times New Roman" w:hAnsi="Times New Roman" w:cs="Times New Roman"/>
                <w:color w:val="000000" w:themeColor="text1"/>
                <w:szCs w:val="21"/>
              </w:rPr>
              <w:t>RNI</w:t>
            </w:r>
            <w:r>
              <w:rPr>
                <w:rFonts w:ascii="Times New Roman" w:hAnsi="Times New Roman" w:cs="Times New Roman"/>
                <w:color w:val="000000" w:themeColor="text1"/>
                <w:szCs w:val="21"/>
              </w:rPr>
              <w:t>为</w:t>
            </w:r>
            <w:r>
              <w:rPr>
                <w:rFonts w:ascii="Times New Roman" w:hAnsi="Times New Roman" w:cs="Times New Roman"/>
                <w:color w:val="000000" w:themeColor="text1"/>
                <w:szCs w:val="21"/>
              </w:rPr>
              <w:t>100mg/d</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PI-NCD</w:t>
            </w:r>
            <w:r>
              <w:rPr>
                <w:rFonts w:ascii="Times New Roman" w:hAnsi="Times New Roman" w:cs="Times New Roman"/>
                <w:color w:val="000000" w:themeColor="text1"/>
                <w:szCs w:val="21"/>
              </w:rPr>
              <w:t>为</w:t>
            </w:r>
            <w:r>
              <w:rPr>
                <w:rFonts w:ascii="Times New Roman" w:hAnsi="Times New Roman" w:cs="Times New Roman"/>
                <w:color w:val="000000" w:themeColor="text1"/>
                <w:szCs w:val="21"/>
              </w:rPr>
              <w:t>200mg/d</w:t>
            </w:r>
            <w:r>
              <w:rPr>
                <w:rFonts w:ascii="Times New Roman" w:hAnsi="Times New Roman" w:cs="Times New Roman"/>
                <w:color w:val="000000" w:themeColor="text1"/>
                <w:szCs w:val="21"/>
              </w:rPr>
              <w:t>。而目前我国老年人群维生素</w:t>
            </w:r>
            <w:r>
              <w:rPr>
                <w:rFonts w:ascii="Times New Roman" w:hAnsi="Times New Roman" w:cs="Times New Roman"/>
                <w:color w:val="000000" w:themeColor="text1"/>
                <w:szCs w:val="21"/>
              </w:rPr>
              <w:t>C</w:t>
            </w:r>
            <w:r>
              <w:rPr>
                <w:rFonts w:ascii="Times New Roman" w:hAnsi="Times New Roman" w:cs="Times New Roman"/>
                <w:color w:val="000000" w:themeColor="text1"/>
                <w:szCs w:val="21"/>
              </w:rPr>
              <w:t>的摄入量为</w:t>
            </w:r>
            <w:r>
              <w:rPr>
                <w:rFonts w:ascii="Times New Roman" w:hAnsi="Times New Roman" w:cs="Times New Roman"/>
                <w:color w:val="000000" w:themeColor="text1"/>
                <w:szCs w:val="21"/>
              </w:rPr>
              <w:t>76.1mg/d</w:t>
            </w:r>
            <w:r>
              <w:rPr>
                <w:rFonts w:ascii="Times New Roman" w:hAnsi="Times New Roman" w:cs="Times New Roman"/>
                <w:color w:val="000000" w:themeColor="text1"/>
                <w:szCs w:val="21"/>
              </w:rPr>
              <w:t>，摄入存在不足。假设老年人群能从每天（</w:t>
            </w:r>
            <w:r>
              <w:rPr>
                <w:rFonts w:ascii="Times New Roman" w:hAnsi="Times New Roman" w:cs="Times New Roman"/>
                <w:color w:val="000000" w:themeColor="text1"/>
                <w:szCs w:val="21"/>
              </w:rPr>
              <w:t>50g</w:t>
            </w:r>
            <w:r>
              <w:rPr>
                <w:rFonts w:ascii="Times New Roman" w:hAnsi="Times New Roman" w:cs="Times New Roman"/>
                <w:color w:val="000000" w:themeColor="text1"/>
                <w:szCs w:val="21"/>
              </w:rPr>
              <w:t>）的</w:t>
            </w:r>
            <w:r>
              <w:rPr>
                <w:rFonts w:ascii="Times New Roman" w:hAnsi="Times New Roman" w:cs="Times New Roman" w:hint="eastAsia"/>
                <w:color w:val="000000" w:themeColor="text1"/>
                <w:szCs w:val="21"/>
              </w:rPr>
              <w:t>调制乳粉</w:t>
            </w:r>
            <w:r>
              <w:rPr>
                <w:rFonts w:ascii="Times New Roman" w:hAnsi="Times New Roman" w:cs="Times New Roman"/>
                <w:color w:val="000000" w:themeColor="text1"/>
                <w:szCs w:val="21"/>
              </w:rPr>
              <w:t>中补充到与推荐摄入量差值的</w:t>
            </w:r>
            <w:r>
              <w:rPr>
                <w:rFonts w:ascii="Times New Roman" w:hAnsi="Times New Roman" w:cs="Times New Roman"/>
                <w:color w:val="000000" w:themeColor="text1"/>
                <w:szCs w:val="21"/>
              </w:rPr>
              <w:t>50%</w:t>
            </w:r>
            <w:r>
              <w:rPr>
                <w:rFonts w:ascii="Times New Roman" w:hAnsi="Times New Roman" w:cs="Times New Roman"/>
                <w:color w:val="000000" w:themeColor="text1"/>
                <w:szCs w:val="21"/>
              </w:rPr>
              <w:t>，则其维生素</w:t>
            </w:r>
            <w:r>
              <w:rPr>
                <w:rFonts w:ascii="Times New Roman" w:hAnsi="Times New Roman" w:cs="Times New Roman"/>
                <w:color w:val="000000" w:themeColor="text1"/>
                <w:szCs w:val="21"/>
              </w:rPr>
              <w:t>C</w:t>
            </w:r>
            <w:r>
              <w:rPr>
                <w:rFonts w:ascii="Times New Roman" w:hAnsi="Times New Roman" w:cs="Times New Roman"/>
                <w:color w:val="000000" w:themeColor="text1"/>
                <w:szCs w:val="21"/>
              </w:rPr>
              <w:t>的含量应为</w:t>
            </w:r>
            <w:r>
              <w:rPr>
                <w:rFonts w:ascii="Times New Roman" w:hAnsi="Times New Roman" w:cs="Times New Roman"/>
                <w:color w:val="000000" w:themeColor="text1"/>
                <w:szCs w:val="21"/>
              </w:rPr>
              <w:t>25-150mg/100g</w:t>
            </w:r>
            <w:r>
              <w:rPr>
                <w:rFonts w:ascii="Times New Roman" w:hAnsi="Times New Roman" w:cs="Times New Roman" w:hint="eastAsia"/>
                <w:color w:val="000000" w:themeColor="text1"/>
                <w:szCs w:val="21"/>
              </w:rPr>
              <w:t>。</w:t>
            </w:r>
          </w:p>
        </w:tc>
      </w:tr>
      <w:tr w:rsidR="004E27A4" w14:paraId="638C7FBF" w14:textId="77777777">
        <w:tc>
          <w:tcPr>
            <w:tcW w:w="2466" w:type="dxa"/>
            <w:vAlign w:val="center"/>
          </w:tcPr>
          <w:p w14:paraId="012A6B56"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钙</w:t>
            </w:r>
            <w:r>
              <w:rPr>
                <w:rFonts w:ascii="Times New Roman" w:hint="eastAsia"/>
                <w:color w:val="FF0000"/>
                <w:szCs w:val="21"/>
              </w:rPr>
              <w:t>（</w:t>
            </w:r>
            <w:r>
              <w:rPr>
                <w:rFonts w:ascii="Times New Roman"/>
                <w:color w:val="FF0000"/>
                <w:szCs w:val="21"/>
              </w:rPr>
              <w:t>mg/100g</w:t>
            </w:r>
            <w:r>
              <w:rPr>
                <w:rFonts w:ascii="Times New Roman" w:hint="eastAsia"/>
                <w:color w:val="FF0000"/>
                <w:szCs w:val="21"/>
              </w:rPr>
              <w:t>）</w:t>
            </w:r>
          </w:p>
        </w:tc>
        <w:tc>
          <w:tcPr>
            <w:tcW w:w="1846" w:type="dxa"/>
            <w:vAlign w:val="center"/>
          </w:tcPr>
          <w:p w14:paraId="37A1520C"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1000-2000</w:t>
            </w:r>
          </w:p>
        </w:tc>
        <w:tc>
          <w:tcPr>
            <w:tcW w:w="9323" w:type="dxa"/>
          </w:tcPr>
          <w:p w14:paraId="7D7CEF83" w14:textId="77777777" w:rsidR="004E27A4" w:rsidRDefault="00000000">
            <w:pPr>
              <w:pStyle w:val="-11"/>
              <w:spacing w:line="360" w:lineRule="auto"/>
              <w:ind w:firstLineChars="0" w:firstLine="0"/>
              <w:jc w:val="left"/>
              <w:rPr>
                <w:rFonts w:ascii="宋体" w:eastAsia="宋体" w:hAnsi="宋体" w:cs="宋体" w:hint="eastAsia"/>
                <w:szCs w:val="21"/>
              </w:rPr>
            </w:pPr>
            <w:r>
              <w:rPr>
                <w:rFonts w:ascii="宋体" w:eastAsia="宋体" w:hAnsi="宋体" w:cs="宋体" w:hint="eastAsia"/>
                <w:szCs w:val="21"/>
              </w:rPr>
              <w:t>①《GB 14880-2012 食品安全国家标准 食品营养强化剂使用标准》钙在调制乳粉中的添加量为300-720mg/100g；</w:t>
            </w:r>
          </w:p>
          <w:p w14:paraId="51C6E4FB" w14:textId="77777777" w:rsidR="004E27A4" w:rsidRDefault="00000000">
            <w:pPr>
              <w:pStyle w:val="-11"/>
              <w:spacing w:line="360" w:lineRule="auto"/>
              <w:ind w:firstLineChars="0" w:firstLine="0"/>
              <w:jc w:val="left"/>
              <w:rPr>
                <w:rFonts w:ascii="宋体" w:eastAsia="宋体" w:hAnsi="宋体" w:cs="宋体" w:hint="eastAsia"/>
                <w:szCs w:val="21"/>
              </w:rPr>
            </w:pPr>
            <w:r>
              <w:rPr>
                <w:rFonts w:ascii="宋体" w:eastAsia="宋体" w:hAnsi="宋体" w:cs="宋体" w:hint="eastAsia"/>
                <w:szCs w:val="21"/>
              </w:rPr>
              <w:lastRenderedPageBreak/>
              <w:t>②《中国食物成分表 第六版》全脂奶粉（代表值）钙含量：928mg/100g；</w:t>
            </w:r>
          </w:p>
          <w:p w14:paraId="42CB6FBC" w14:textId="77777777" w:rsidR="004E27A4" w:rsidRDefault="00000000">
            <w:pPr>
              <w:pStyle w:val="-11"/>
              <w:spacing w:line="360" w:lineRule="auto"/>
              <w:ind w:firstLineChars="0" w:firstLine="0"/>
              <w:jc w:val="left"/>
              <w:rPr>
                <w:rFonts w:ascii="Times New Roman" w:hAnsi="Times New Roman" w:cs="Times New Roman"/>
                <w:color w:val="000000" w:themeColor="text1"/>
                <w:szCs w:val="21"/>
              </w:rPr>
            </w:pPr>
            <w:r>
              <w:rPr>
                <w:rFonts w:ascii="宋体" w:eastAsia="宋体" w:hAnsi="宋体" w:cs="宋体" w:hint="eastAsia"/>
                <w:szCs w:val="21"/>
              </w:rPr>
              <w:t>③ 当前我国65岁以上老年人钙的RNI为800mg/d。而目前我国老年人群钙的摄入量为333.2mg/d，摄入存在不足。假设老年人群能从每天（50g）的调制乳粉中补充到与推荐摄入量差值的50%，则其钙的含量应为900mg/100g；老年人膳食钙的UL值为2000mg/d，考虑产品加工工艺及钙源的利用率等，将调制乳粉中钙的最大值设为2000mg/100g。</w:t>
            </w:r>
          </w:p>
        </w:tc>
      </w:tr>
      <w:tr w:rsidR="004E27A4" w14:paraId="7C30F03E" w14:textId="77777777">
        <w:tc>
          <w:tcPr>
            <w:tcW w:w="2466" w:type="dxa"/>
            <w:vAlign w:val="center"/>
          </w:tcPr>
          <w:p w14:paraId="6D648AE7"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lastRenderedPageBreak/>
              <w:t>镁</w:t>
            </w:r>
            <w:r>
              <w:rPr>
                <w:rFonts w:ascii="Times New Roman" w:hint="eastAsia"/>
                <w:color w:val="FF0000"/>
                <w:szCs w:val="21"/>
              </w:rPr>
              <w:t>（</w:t>
            </w:r>
            <w:r>
              <w:rPr>
                <w:rFonts w:ascii="Times New Roman"/>
                <w:color w:val="FF0000"/>
                <w:szCs w:val="21"/>
              </w:rPr>
              <w:t>mg/100g</w:t>
            </w:r>
            <w:r>
              <w:rPr>
                <w:rFonts w:ascii="Times New Roman" w:hint="eastAsia"/>
                <w:color w:val="FF0000"/>
                <w:szCs w:val="21"/>
              </w:rPr>
              <w:t>）</w:t>
            </w:r>
          </w:p>
        </w:tc>
        <w:tc>
          <w:tcPr>
            <w:tcW w:w="1846" w:type="dxa"/>
            <w:vAlign w:val="center"/>
          </w:tcPr>
          <w:p w14:paraId="5FDCAFC1"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40-110</w:t>
            </w:r>
          </w:p>
        </w:tc>
        <w:tc>
          <w:tcPr>
            <w:tcW w:w="9323" w:type="dxa"/>
          </w:tcPr>
          <w:p w14:paraId="69C61ACA" w14:textId="77777777" w:rsidR="004E27A4" w:rsidRDefault="00000000">
            <w:pPr>
              <w:pStyle w:val="-11"/>
              <w:numPr>
                <w:ilvl w:val="255"/>
                <w:numId w:val="0"/>
              </w:numPr>
              <w:tabs>
                <w:tab w:val="left" w:pos="851"/>
              </w:tabs>
              <w:spacing w:line="360" w:lineRule="auto"/>
              <w:jc w:val="left"/>
              <w:rPr>
                <w:rFonts w:ascii="宋体" w:eastAsia="宋体" w:hAnsi="宋体" w:cs="宋体" w:hint="eastAsia"/>
                <w:szCs w:val="21"/>
              </w:rPr>
            </w:pPr>
            <w:r>
              <w:rPr>
                <w:rFonts w:ascii="宋体" w:eastAsia="宋体" w:hAnsi="宋体" w:cs="宋体" w:hint="eastAsia"/>
                <w:szCs w:val="21"/>
              </w:rPr>
              <w:t>①《GB 14880-2012 食品安全国家标准 食品营养强化剂使用标准》镁在调制乳粉中的添加量为30-110mg/100g；</w:t>
            </w:r>
          </w:p>
          <w:p w14:paraId="69FD49EF" w14:textId="77777777" w:rsidR="004E27A4" w:rsidRDefault="00000000">
            <w:pPr>
              <w:pStyle w:val="-11"/>
              <w:numPr>
                <w:ilvl w:val="255"/>
                <w:numId w:val="0"/>
              </w:numPr>
              <w:tabs>
                <w:tab w:val="left" w:pos="851"/>
              </w:tabs>
              <w:spacing w:line="360" w:lineRule="auto"/>
              <w:jc w:val="left"/>
              <w:rPr>
                <w:rFonts w:ascii="宋体" w:eastAsia="宋体" w:hAnsi="宋体" w:cs="宋体" w:hint="eastAsia"/>
                <w:szCs w:val="21"/>
              </w:rPr>
            </w:pPr>
            <w:r>
              <w:rPr>
                <w:rFonts w:ascii="宋体" w:eastAsia="宋体" w:hAnsi="宋体" w:cs="宋体" w:hint="eastAsia"/>
                <w:szCs w:val="21"/>
              </w:rPr>
              <w:t>②《中国食物成分表 第六版》全脂奶粉（代表值）镁含量：65mg/100g；</w:t>
            </w:r>
          </w:p>
          <w:p w14:paraId="06B3FA9D" w14:textId="77777777" w:rsidR="004E27A4" w:rsidRDefault="00000000">
            <w:pPr>
              <w:pStyle w:val="-11"/>
              <w:numPr>
                <w:ilvl w:val="255"/>
                <w:numId w:val="0"/>
              </w:numPr>
              <w:tabs>
                <w:tab w:val="left" w:pos="851"/>
              </w:tabs>
              <w:spacing w:line="360" w:lineRule="auto"/>
              <w:jc w:val="left"/>
              <w:rPr>
                <w:rFonts w:ascii="宋体" w:eastAsia="宋体" w:hAnsi="宋体" w:cs="宋体" w:hint="eastAsia"/>
                <w:szCs w:val="21"/>
              </w:rPr>
            </w:pPr>
            <w:r>
              <w:rPr>
                <w:rFonts w:ascii="宋体" w:eastAsia="宋体" w:hAnsi="宋体" w:cs="宋体" w:hint="eastAsia"/>
                <w:szCs w:val="21"/>
              </w:rPr>
              <w:t>③ 当前我国65岁以上老年人镁的RNI为310mg/d。而目前我国老年人群的摄入量为242.5mg/d，摄入存在不足。假设老年人群能从每天（50g）的调制乳粉中补充到与推荐摄入量差值的50%，则其镁的含量应为70mg/100g。</w:t>
            </w:r>
          </w:p>
        </w:tc>
      </w:tr>
      <w:tr w:rsidR="004E27A4" w14:paraId="36236AA9" w14:textId="77777777">
        <w:tc>
          <w:tcPr>
            <w:tcW w:w="2466" w:type="dxa"/>
            <w:vAlign w:val="center"/>
          </w:tcPr>
          <w:p w14:paraId="0CFA8AF0"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硒</w:t>
            </w:r>
            <w:r>
              <w:rPr>
                <w:rFonts w:ascii="Times New Roman" w:hint="eastAsia"/>
                <w:szCs w:val="21"/>
              </w:rPr>
              <w:t>（</w:t>
            </w:r>
            <w:proofErr w:type="spellStart"/>
            <w:r>
              <w:rPr>
                <w:rFonts w:ascii="Times New Roman"/>
                <w:szCs w:val="21"/>
              </w:rPr>
              <w:t>μ</w:t>
            </w:r>
            <w:r>
              <w:rPr>
                <w:rFonts w:ascii="Times New Roman"/>
                <w:szCs w:val="21"/>
              </w:rPr>
              <w:t>g</w:t>
            </w:r>
            <w:proofErr w:type="spellEnd"/>
            <w:r>
              <w:rPr>
                <w:rFonts w:ascii="Times New Roman"/>
                <w:color w:val="FF0000"/>
                <w:szCs w:val="21"/>
              </w:rPr>
              <w:t>/</w:t>
            </w:r>
            <w:r>
              <w:rPr>
                <w:rFonts w:ascii="Times New Roman"/>
                <w:color w:val="000000"/>
                <w:szCs w:val="21"/>
              </w:rPr>
              <w:t>100g</w:t>
            </w:r>
            <w:r>
              <w:rPr>
                <w:rFonts w:ascii="Times New Roman" w:hint="eastAsia"/>
                <w:color w:val="000000"/>
                <w:szCs w:val="21"/>
              </w:rPr>
              <w:t>）</w:t>
            </w:r>
          </w:p>
        </w:tc>
        <w:tc>
          <w:tcPr>
            <w:tcW w:w="1846" w:type="dxa"/>
            <w:vAlign w:val="center"/>
          </w:tcPr>
          <w:p w14:paraId="34062F6B" w14:textId="77777777" w:rsidR="004E27A4" w:rsidRDefault="00000000">
            <w:pPr>
              <w:pStyle w:val="-11"/>
              <w:numPr>
                <w:ilvl w:val="255"/>
                <w:numId w:val="0"/>
              </w:numPr>
              <w:tabs>
                <w:tab w:val="left" w:pos="851"/>
              </w:tabs>
              <w:spacing w:line="360" w:lineRule="auto"/>
              <w:jc w:val="center"/>
              <w:rPr>
                <w:rFonts w:ascii="宋体" w:eastAsia="宋体" w:hAnsi="宋体" w:cs="宋体" w:hint="eastAsia"/>
                <w:szCs w:val="21"/>
              </w:rPr>
            </w:pPr>
            <w:r>
              <w:rPr>
                <w:rFonts w:ascii="宋体" w:eastAsia="宋体" w:hAnsi="宋体" w:cs="宋体" w:hint="eastAsia"/>
                <w:szCs w:val="21"/>
              </w:rPr>
              <w:t>14-28</w:t>
            </w:r>
          </w:p>
        </w:tc>
        <w:tc>
          <w:tcPr>
            <w:tcW w:w="9323" w:type="dxa"/>
          </w:tcPr>
          <w:p w14:paraId="45701192" w14:textId="77777777" w:rsidR="004E27A4" w:rsidRDefault="00000000">
            <w:pPr>
              <w:pStyle w:val="-11"/>
              <w:numPr>
                <w:ilvl w:val="255"/>
                <w:numId w:val="0"/>
              </w:numPr>
              <w:tabs>
                <w:tab w:val="left" w:pos="851"/>
              </w:tabs>
              <w:spacing w:line="360" w:lineRule="auto"/>
              <w:jc w:val="left"/>
              <w:rPr>
                <w:rFonts w:ascii="宋体" w:eastAsia="宋体" w:hAnsi="宋体" w:cs="宋体" w:hint="eastAsia"/>
                <w:szCs w:val="21"/>
              </w:rPr>
            </w:pPr>
            <w:r>
              <w:rPr>
                <w:rFonts w:ascii="宋体" w:eastAsia="宋体" w:hAnsi="宋体" w:cs="宋体" w:hint="eastAsia"/>
                <w:szCs w:val="21"/>
              </w:rPr>
              <w:t>①《GB 14880-2012 食品安全国家标准 食品营养强化剂使用标准》硒在调制乳粉中的添加量为14-28ug/100g；</w:t>
            </w:r>
          </w:p>
          <w:p w14:paraId="33CFC77C" w14:textId="77777777" w:rsidR="004E27A4" w:rsidRDefault="00000000">
            <w:pPr>
              <w:pStyle w:val="-11"/>
              <w:numPr>
                <w:ilvl w:val="255"/>
                <w:numId w:val="0"/>
              </w:numPr>
              <w:tabs>
                <w:tab w:val="left" w:pos="851"/>
              </w:tabs>
              <w:spacing w:line="360" w:lineRule="auto"/>
              <w:jc w:val="left"/>
              <w:rPr>
                <w:rFonts w:ascii="宋体" w:eastAsia="宋体" w:hAnsi="宋体" w:cs="宋体" w:hint="eastAsia"/>
                <w:szCs w:val="21"/>
              </w:rPr>
            </w:pPr>
            <w:r>
              <w:rPr>
                <w:rFonts w:ascii="宋体" w:eastAsia="宋体" w:hAnsi="宋体" w:cs="宋体" w:hint="eastAsia"/>
                <w:szCs w:val="21"/>
              </w:rPr>
              <w:t>②《中国食物成分表 第六版》全脂奶粉（代表值）硒含量：12.09ug/100g；</w:t>
            </w:r>
          </w:p>
          <w:p w14:paraId="74137C6B" w14:textId="77777777" w:rsidR="004E27A4" w:rsidRDefault="00000000">
            <w:pPr>
              <w:pStyle w:val="-11"/>
              <w:numPr>
                <w:ilvl w:val="255"/>
                <w:numId w:val="0"/>
              </w:numPr>
              <w:tabs>
                <w:tab w:val="left" w:pos="851"/>
              </w:tabs>
              <w:spacing w:line="360" w:lineRule="auto"/>
              <w:jc w:val="left"/>
              <w:rPr>
                <w:rFonts w:ascii="宋体" w:eastAsia="宋体" w:hAnsi="宋体" w:cs="宋体" w:hint="eastAsia"/>
                <w:szCs w:val="21"/>
              </w:rPr>
            </w:pPr>
            <w:r>
              <w:rPr>
                <w:rFonts w:ascii="宋体" w:eastAsia="宋体" w:hAnsi="宋体" w:cs="宋体" w:hint="eastAsia"/>
                <w:szCs w:val="21"/>
              </w:rPr>
              <w:t>③ 当前我国65岁以上老年人硒的RNI为60ug/d。而目前我国老年人群的摄入量为35.8ug/d，摄入存在不足。假设老年人群能从每天（50g）的调制乳粉中补充到与推荐摄入量差值的50%，</w:t>
            </w:r>
            <w:proofErr w:type="gramStart"/>
            <w:r>
              <w:rPr>
                <w:rFonts w:ascii="宋体" w:eastAsia="宋体" w:hAnsi="宋体" w:cs="宋体" w:hint="eastAsia"/>
                <w:szCs w:val="21"/>
              </w:rPr>
              <w:t>则其硒的</w:t>
            </w:r>
            <w:proofErr w:type="gramEnd"/>
            <w:r>
              <w:rPr>
                <w:rFonts w:ascii="宋体" w:eastAsia="宋体" w:hAnsi="宋体" w:cs="宋体" w:hint="eastAsia"/>
                <w:szCs w:val="21"/>
              </w:rPr>
              <w:t>含量应为24.2ug/100g。</w:t>
            </w:r>
          </w:p>
        </w:tc>
      </w:tr>
    </w:tbl>
    <w:p w14:paraId="03D634DE" w14:textId="77777777" w:rsidR="004E27A4" w:rsidRDefault="004E27A4">
      <w:pPr>
        <w:pStyle w:val="-11"/>
        <w:numPr>
          <w:ilvl w:val="255"/>
          <w:numId w:val="0"/>
        </w:numPr>
        <w:tabs>
          <w:tab w:val="left" w:pos="851"/>
        </w:tabs>
        <w:spacing w:line="360" w:lineRule="auto"/>
        <w:ind w:firstLine="420"/>
        <w:rPr>
          <w:rFonts w:ascii="宋体" w:eastAsia="宋体" w:hAnsi="宋体" w:cs="宋体" w:hint="eastAsia"/>
          <w:szCs w:val="21"/>
        </w:rPr>
        <w:sectPr w:rsidR="004E27A4">
          <w:pgSz w:w="16838" w:h="11906" w:orient="landscape"/>
          <w:pgMar w:top="1800" w:right="1440" w:bottom="1800" w:left="1440" w:header="851" w:footer="992" w:gutter="0"/>
          <w:cols w:space="425"/>
          <w:docGrid w:type="lines" w:linePitch="312"/>
        </w:sectPr>
      </w:pPr>
    </w:p>
    <w:p w14:paraId="501DB5C1" w14:textId="77777777" w:rsidR="004E27A4" w:rsidRDefault="004E27A4">
      <w:pPr>
        <w:pStyle w:val="-11"/>
        <w:numPr>
          <w:ilvl w:val="255"/>
          <w:numId w:val="0"/>
        </w:numPr>
        <w:tabs>
          <w:tab w:val="left" w:pos="851"/>
        </w:tabs>
        <w:spacing w:line="360" w:lineRule="auto"/>
        <w:rPr>
          <w:rFonts w:ascii="宋体" w:eastAsia="宋体" w:hAnsi="宋体" w:cs="宋体" w:hint="eastAsia"/>
          <w:szCs w:val="21"/>
        </w:rPr>
      </w:pPr>
    </w:p>
    <w:p w14:paraId="318604FB" w14:textId="77777777" w:rsidR="004E27A4" w:rsidRDefault="00000000">
      <w:p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3.3.2 </w:t>
      </w:r>
      <w:r>
        <w:rPr>
          <w:rFonts w:ascii="Times New Roman" w:hAnsi="Times New Roman" w:cs="Times New Roman" w:hint="eastAsia"/>
          <w:color w:val="000000" w:themeColor="text1"/>
          <w:szCs w:val="21"/>
        </w:rPr>
        <w:t>可选择成分</w:t>
      </w:r>
    </w:p>
    <w:p w14:paraId="31749B2B" w14:textId="77777777" w:rsidR="004E27A4" w:rsidRDefault="00000000">
      <w:pPr>
        <w:pStyle w:val="af0"/>
        <w:spacing w:line="360" w:lineRule="auto"/>
        <w:rPr>
          <w:rFonts w:ascii="Times New Roman" w:hAnsi="Times New Roman" w:cs="Times New Roman"/>
          <w:color w:val="000000" w:themeColor="text1"/>
          <w:szCs w:val="21"/>
          <w:lang w:bidi="ar"/>
        </w:rPr>
      </w:pPr>
      <w:r>
        <w:rPr>
          <w:rFonts w:ascii="Times New Roman" w:hAnsi="Times New Roman" w:cs="Times New Roman"/>
          <w:color w:val="000000" w:themeColor="text1"/>
          <w:szCs w:val="21"/>
          <w:lang w:bidi="ar"/>
        </w:rPr>
        <w:t>本标准涵盖的产品适用于中老年人群补充基础营养</w:t>
      </w:r>
      <w:r>
        <w:rPr>
          <w:rFonts w:ascii="Times New Roman" w:hAnsi="Times New Roman" w:cs="Times New Roman" w:hint="eastAsia"/>
          <w:color w:val="000000" w:themeColor="text1"/>
          <w:szCs w:val="21"/>
          <w:lang w:bidi="ar"/>
        </w:rPr>
        <w:t>、</w:t>
      </w:r>
      <w:r>
        <w:rPr>
          <w:rFonts w:ascii="宋体" w:eastAsia="宋体" w:hAnsi="宋体" w:cs="宋体" w:hint="eastAsia"/>
          <w:szCs w:val="21"/>
        </w:rPr>
        <w:t>维护中老年人身体功能、保持身心健康状态</w:t>
      </w:r>
      <w:r>
        <w:rPr>
          <w:rFonts w:ascii="Times New Roman" w:hAnsi="Times New Roman" w:cs="Times New Roman"/>
          <w:color w:val="000000" w:themeColor="text1"/>
          <w:szCs w:val="21"/>
        </w:rPr>
        <w:t>，</w:t>
      </w:r>
      <w:r>
        <w:rPr>
          <w:rFonts w:ascii="Times New Roman" w:hAnsi="Times New Roman" w:cs="Times New Roman"/>
          <w:color w:val="000000" w:themeColor="text1"/>
          <w:szCs w:val="21"/>
          <w:lang w:bidi="ar"/>
        </w:rPr>
        <w:t>因此</w:t>
      </w:r>
      <w:r>
        <w:rPr>
          <w:rFonts w:ascii="Times New Roman" w:hAnsi="Times New Roman" w:cs="Times New Roman" w:hint="eastAsia"/>
          <w:color w:val="000000" w:themeColor="text1"/>
          <w:szCs w:val="21"/>
          <w:lang w:bidi="ar"/>
        </w:rPr>
        <w:t>除必需成分外，</w:t>
      </w:r>
      <w:r>
        <w:rPr>
          <w:rFonts w:ascii="Times New Roman" w:hAnsi="Times New Roman" w:cs="Times New Roman"/>
          <w:color w:val="000000" w:themeColor="text1"/>
          <w:szCs w:val="21"/>
          <w:lang w:bidi="ar"/>
        </w:rPr>
        <w:t>本标准亦选取了</w:t>
      </w:r>
      <w:r>
        <w:rPr>
          <w:rFonts w:ascii="Times New Roman" w:hAnsi="Times New Roman" w:cs="Times New Roman" w:hint="eastAsia"/>
          <w:color w:val="000000" w:themeColor="text1"/>
          <w:szCs w:val="21"/>
          <w:lang w:bidi="ar"/>
        </w:rPr>
        <w:t>其他允许在调制乳粉中添加的、对中老年人群有益的</w:t>
      </w:r>
      <w:r>
        <w:rPr>
          <w:rFonts w:ascii="Times New Roman" w:hAnsi="Times New Roman" w:cs="Times New Roman"/>
          <w:color w:val="000000" w:themeColor="text1"/>
          <w:szCs w:val="21"/>
          <w:lang w:bidi="ar"/>
        </w:rPr>
        <w:t>成分作为可选择成分添加</w:t>
      </w:r>
      <w:proofErr w:type="gramStart"/>
      <w:r>
        <w:rPr>
          <w:rFonts w:ascii="Times New Roman" w:hAnsi="Times New Roman" w:cs="Times New Roman"/>
          <w:color w:val="000000" w:themeColor="text1"/>
          <w:szCs w:val="21"/>
          <w:lang w:bidi="ar"/>
        </w:rPr>
        <w:t>至产品</w:t>
      </w:r>
      <w:proofErr w:type="gramEnd"/>
      <w:r>
        <w:rPr>
          <w:rFonts w:ascii="Times New Roman" w:hAnsi="Times New Roman" w:cs="Times New Roman"/>
          <w:color w:val="000000" w:themeColor="text1"/>
          <w:szCs w:val="21"/>
          <w:lang w:bidi="ar"/>
        </w:rPr>
        <w:t>中。选取维生素</w:t>
      </w:r>
      <w:r>
        <w:rPr>
          <w:rFonts w:ascii="Times New Roman" w:hAnsi="Times New Roman" w:cs="Times New Roman"/>
          <w:color w:val="000000" w:themeColor="text1"/>
          <w:szCs w:val="21"/>
          <w:lang w:bidi="ar"/>
        </w:rPr>
        <w:t>E</w:t>
      </w:r>
      <w:r>
        <w:rPr>
          <w:rFonts w:ascii="Times New Roman" w:hAnsi="Times New Roman" w:cs="Times New Roman"/>
          <w:color w:val="000000" w:themeColor="text1"/>
          <w:szCs w:val="21"/>
          <w:lang w:bidi="ar"/>
        </w:rPr>
        <w:t>、</w:t>
      </w:r>
      <w:r>
        <w:rPr>
          <w:rFonts w:ascii="Times New Roman" w:hAnsi="Times New Roman" w:cs="Times New Roman" w:hint="eastAsia"/>
          <w:color w:val="000000" w:themeColor="text1"/>
          <w:szCs w:val="21"/>
          <w:lang w:bidi="ar"/>
        </w:rPr>
        <w:t>维生素</w:t>
      </w:r>
      <w:r>
        <w:rPr>
          <w:rFonts w:ascii="Times New Roman" w:hAnsi="Times New Roman" w:cs="Times New Roman" w:hint="eastAsia"/>
          <w:color w:val="000000" w:themeColor="text1"/>
          <w:szCs w:val="21"/>
          <w:lang w:bidi="ar"/>
        </w:rPr>
        <w:t>B</w:t>
      </w:r>
      <w:r>
        <w:rPr>
          <w:rFonts w:ascii="Times New Roman" w:hAnsi="Times New Roman" w:cs="Times New Roman" w:hint="eastAsia"/>
          <w:color w:val="000000" w:themeColor="text1"/>
          <w:szCs w:val="21"/>
          <w:vertAlign w:val="subscript"/>
          <w:lang w:bidi="ar"/>
        </w:rPr>
        <w:t>6</w:t>
      </w:r>
      <w:r>
        <w:rPr>
          <w:rFonts w:ascii="Times New Roman" w:hAnsi="Times New Roman" w:cs="Times New Roman" w:hint="eastAsia"/>
          <w:color w:val="000000" w:themeColor="text1"/>
          <w:szCs w:val="21"/>
          <w:lang w:bidi="ar"/>
        </w:rPr>
        <w:t>、</w:t>
      </w:r>
      <w:r>
        <w:rPr>
          <w:rFonts w:ascii="Times New Roman" w:hAnsi="Times New Roman" w:cs="Times New Roman"/>
          <w:color w:val="000000" w:themeColor="text1"/>
          <w:szCs w:val="21"/>
          <w:lang w:bidi="ar"/>
        </w:rPr>
        <w:t>叶酸</w:t>
      </w:r>
      <w:r>
        <w:rPr>
          <w:rFonts w:ascii="Times New Roman" w:hAnsi="Times New Roman" w:cs="Times New Roman" w:hint="eastAsia"/>
          <w:color w:val="000000" w:themeColor="text1"/>
          <w:szCs w:val="21"/>
          <w:lang w:bidi="ar"/>
        </w:rPr>
        <w:t>、</w:t>
      </w:r>
      <w:r>
        <w:rPr>
          <w:rFonts w:ascii="Times New Roman" w:hAnsi="Times New Roman" w:cs="Times New Roman"/>
          <w:color w:val="000000" w:themeColor="text1"/>
          <w:szCs w:val="21"/>
          <w:lang w:bidi="ar"/>
        </w:rPr>
        <w:t>锌、</w:t>
      </w:r>
      <w:r>
        <w:rPr>
          <w:rFonts w:ascii="Times New Roman" w:hAnsi="Times New Roman" w:cs="Times New Roman" w:hint="eastAsia"/>
          <w:color w:val="000000" w:themeColor="text1"/>
          <w:szCs w:val="21"/>
          <w:lang w:bidi="ar"/>
        </w:rPr>
        <w:t>铁、铜、锰、膳食纤维、牛磺酸、左旋肉碱、乳铁蛋白、茶叶茶氨酸、</w:t>
      </w:r>
      <w:r>
        <w:rPr>
          <w:rFonts w:ascii="Times New Roman" w:hAnsi="Times New Roman" w:cs="Times New Roman"/>
          <w:color w:val="000000" w:themeColor="text1"/>
          <w:szCs w:val="21"/>
          <w:lang w:bidi="ar"/>
        </w:rPr>
        <w:t>透明质酸钠、</w:t>
      </w:r>
      <w:r>
        <w:rPr>
          <w:rFonts w:ascii="Times New Roman" w:hAnsi="Times New Roman" w:cs="Times New Roman"/>
          <w:color w:val="000000" w:themeColor="text1"/>
          <w:szCs w:val="21"/>
          <w:lang w:bidi="ar"/>
        </w:rPr>
        <w:t>β-</w:t>
      </w:r>
      <w:r>
        <w:rPr>
          <w:rFonts w:ascii="Times New Roman" w:hAnsi="Times New Roman" w:cs="Times New Roman"/>
          <w:color w:val="000000" w:themeColor="text1"/>
          <w:szCs w:val="21"/>
          <w:lang w:bidi="ar"/>
        </w:rPr>
        <w:t>羟基</w:t>
      </w:r>
      <w:r>
        <w:rPr>
          <w:rFonts w:ascii="Times New Roman" w:hAnsi="Times New Roman" w:cs="Times New Roman"/>
          <w:color w:val="000000" w:themeColor="text1"/>
          <w:szCs w:val="21"/>
          <w:lang w:bidi="ar"/>
        </w:rPr>
        <w:t>-β-</w:t>
      </w:r>
      <w:r>
        <w:rPr>
          <w:rFonts w:ascii="Times New Roman" w:hAnsi="Times New Roman" w:cs="Times New Roman"/>
          <w:color w:val="000000" w:themeColor="text1"/>
          <w:szCs w:val="21"/>
          <w:lang w:bidi="ar"/>
        </w:rPr>
        <w:t>甲基丁酸钙、初乳碱性蛋白、</w:t>
      </w:r>
      <w:r>
        <w:rPr>
          <w:rFonts w:ascii="Times New Roman" w:hAnsi="Times New Roman" w:cs="Times New Roman"/>
          <w:color w:val="000000" w:themeColor="text1"/>
          <w:szCs w:val="21"/>
          <w:lang w:bidi="ar"/>
        </w:rPr>
        <w:t>N-</w:t>
      </w:r>
      <w:r>
        <w:rPr>
          <w:rFonts w:ascii="Times New Roman" w:hAnsi="Times New Roman" w:cs="Times New Roman"/>
          <w:color w:val="000000" w:themeColor="text1"/>
          <w:szCs w:val="21"/>
          <w:lang w:bidi="ar"/>
        </w:rPr>
        <w:t>乙酰氨基葡萄糖、</w:t>
      </w:r>
      <w:r>
        <w:rPr>
          <w:rFonts w:ascii="Times New Roman" w:hAnsi="Times New Roman" w:cs="Times New Roman"/>
          <w:color w:val="000000" w:themeColor="text1"/>
          <w:szCs w:val="21"/>
          <w:lang w:bidi="ar"/>
        </w:rPr>
        <w:t>L-α-</w:t>
      </w:r>
      <w:r>
        <w:rPr>
          <w:rFonts w:ascii="Times New Roman" w:hAnsi="Times New Roman" w:cs="Times New Roman"/>
          <w:color w:val="000000" w:themeColor="text1"/>
          <w:szCs w:val="21"/>
          <w:lang w:bidi="ar"/>
        </w:rPr>
        <w:t>甘磷酸胆碱、</w:t>
      </w:r>
      <w:r>
        <w:rPr>
          <w:rFonts w:ascii="Times New Roman" w:hAnsi="Times New Roman" w:cs="Times New Roman"/>
          <w:color w:val="000000" w:themeColor="text1"/>
          <w:szCs w:val="21"/>
          <w:lang w:bidi="ar"/>
        </w:rPr>
        <w:t>N-</w:t>
      </w:r>
      <w:r>
        <w:rPr>
          <w:rFonts w:ascii="Times New Roman" w:hAnsi="Times New Roman" w:cs="Times New Roman"/>
          <w:color w:val="000000" w:themeColor="text1"/>
          <w:szCs w:val="21"/>
          <w:lang w:bidi="ar"/>
        </w:rPr>
        <w:t>乙酰神经氨酸、磷脂酰丝氨酸、植物甾醇酯、叶黄素</w:t>
      </w:r>
      <w:proofErr w:type="gramStart"/>
      <w:r>
        <w:rPr>
          <w:rFonts w:ascii="Times New Roman" w:hAnsi="Times New Roman" w:cs="Times New Roman"/>
          <w:color w:val="000000" w:themeColor="text1"/>
          <w:szCs w:val="21"/>
          <w:lang w:bidi="ar"/>
        </w:rPr>
        <w:t>酯</w:t>
      </w:r>
      <w:proofErr w:type="gramEnd"/>
      <w:r>
        <w:rPr>
          <w:rFonts w:ascii="Times New Roman" w:hAnsi="Times New Roman" w:cs="Times New Roman"/>
          <w:color w:val="000000" w:themeColor="text1"/>
          <w:szCs w:val="21"/>
          <w:lang w:bidi="ar"/>
        </w:rPr>
        <w:t>作为可选择成分。</w:t>
      </w:r>
    </w:p>
    <w:p w14:paraId="416B5615" w14:textId="77777777" w:rsidR="004E27A4" w:rsidRDefault="00000000">
      <w:pPr>
        <w:pStyle w:val="a6"/>
        <w:jc w:val="center"/>
        <w:rPr>
          <w:rFonts w:eastAsia="宋体"/>
          <w:color w:val="FF0000"/>
        </w:rPr>
      </w:pPr>
      <w:r>
        <w:rPr>
          <w:color w:val="FF0000"/>
        </w:rPr>
        <w:t>表</w:t>
      </w:r>
      <w:r>
        <w:rPr>
          <w:color w:val="FF0000"/>
        </w:rPr>
        <w:t xml:space="preserve"> </w:t>
      </w:r>
      <w:r>
        <w:rPr>
          <w:rFonts w:asciiTheme="majorEastAsia" w:eastAsiaTheme="majorEastAsia" w:hAnsiTheme="majorEastAsia" w:hint="eastAsia"/>
          <w:color w:val="FF0000"/>
        </w:rPr>
        <w:t>2</w:t>
      </w:r>
      <w:r>
        <w:rPr>
          <w:rFonts w:hint="eastAsia"/>
          <w:color w:val="FF0000"/>
        </w:rPr>
        <w:t xml:space="preserve"> </w:t>
      </w:r>
      <w:r>
        <w:rPr>
          <w:rFonts w:hint="eastAsia"/>
          <w:color w:val="FF0000"/>
        </w:rPr>
        <w:t>指标设置依据（部分可选择成分）</w:t>
      </w:r>
    </w:p>
    <w:tbl>
      <w:tblPr>
        <w:tblStyle w:val="ad"/>
        <w:tblW w:w="8500" w:type="dxa"/>
        <w:tblLook w:val="04A0" w:firstRow="1" w:lastRow="0" w:firstColumn="1" w:lastColumn="0" w:noHBand="0" w:noVBand="1"/>
      </w:tblPr>
      <w:tblGrid>
        <w:gridCol w:w="1919"/>
        <w:gridCol w:w="1186"/>
        <w:gridCol w:w="5395"/>
      </w:tblGrid>
      <w:tr w:rsidR="004E27A4" w14:paraId="21682741" w14:textId="77777777">
        <w:tc>
          <w:tcPr>
            <w:tcW w:w="1919" w:type="dxa"/>
            <w:vAlign w:val="center"/>
          </w:tcPr>
          <w:p w14:paraId="47C9E31E" w14:textId="77777777" w:rsidR="004E27A4" w:rsidRDefault="00000000">
            <w:pPr>
              <w:pStyle w:val="-11"/>
              <w:numPr>
                <w:ilvl w:val="255"/>
                <w:numId w:val="0"/>
              </w:numPr>
              <w:tabs>
                <w:tab w:val="left" w:pos="851"/>
              </w:tabs>
              <w:spacing w:line="360" w:lineRule="auto"/>
              <w:jc w:val="center"/>
              <w:rPr>
                <w:rFonts w:ascii="宋体" w:eastAsia="宋体" w:hAnsi="宋体" w:cs="宋体" w:hint="eastAsia"/>
                <w:b/>
                <w:bCs/>
                <w:szCs w:val="21"/>
              </w:rPr>
            </w:pPr>
            <w:r>
              <w:rPr>
                <w:rFonts w:ascii="宋体" w:eastAsia="宋体" w:hAnsi="宋体" w:cs="宋体" w:hint="eastAsia"/>
                <w:b/>
                <w:bCs/>
                <w:szCs w:val="21"/>
              </w:rPr>
              <w:t>项目</w:t>
            </w:r>
          </w:p>
        </w:tc>
        <w:tc>
          <w:tcPr>
            <w:tcW w:w="1186" w:type="dxa"/>
            <w:vAlign w:val="center"/>
          </w:tcPr>
          <w:p w14:paraId="271ACBD8" w14:textId="77777777" w:rsidR="004E27A4" w:rsidRDefault="00000000">
            <w:pPr>
              <w:pStyle w:val="-11"/>
              <w:numPr>
                <w:ilvl w:val="255"/>
                <w:numId w:val="0"/>
              </w:numPr>
              <w:tabs>
                <w:tab w:val="left" w:pos="851"/>
              </w:tabs>
              <w:spacing w:line="360" w:lineRule="auto"/>
              <w:jc w:val="center"/>
              <w:rPr>
                <w:rFonts w:ascii="宋体" w:eastAsia="宋体" w:hAnsi="宋体" w:cs="宋体" w:hint="eastAsia"/>
                <w:b/>
                <w:bCs/>
                <w:szCs w:val="21"/>
              </w:rPr>
            </w:pPr>
            <w:r>
              <w:rPr>
                <w:rFonts w:ascii="宋体" w:eastAsia="宋体" w:hAnsi="宋体" w:cs="宋体" w:hint="eastAsia"/>
                <w:b/>
                <w:bCs/>
                <w:szCs w:val="21"/>
              </w:rPr>
              <w:t>指标</w:t>
            </w:r>
          </w:p>
        </w:tc>
        <w:tc>
          <w:tcPr>
            <w:tcW w:w="5395" w:type="dxa"/>
          </w:tcPr>
          <w:p w14:paraId="4A0AF50F" w14:textId="77777777" w:rsidR="004E27A4" w:rsidRDefault="00000000">
            <w:pPr>
              <w:pStyle w:val="-11"/>
              <w:numPr>
                <w:ilvl w:val="255"/>
                <w:numId w:val="0"/>
              </w:numPr>
              <w:tabs>
                <w:tab w:val="left" w:pos="851"/>
              </w:tabs>
              <w:spacing w:line="360" w:lineRule="auto"/>
              <w:jc w:val="center"/>
              <w:rPr>
                <w:rFonts w:ascii="宋体" w:eastAsia="宋体" w:hAnsi="宋体" w:cs="宋体" w:hint="eastAsia"/>
                <w:b/>
                <w:bCs/>
                <w:szCs w:val="21"/>
              </w:rPr>
            </w:pPr>
            <w:r>
              <w:rPr>
                <w:rFonts w:ascii="宋体" w:eastAsia="宋体" w:hAnsi="宋体" w:cs="宋体" w:hint="eastAsia"/>
                <w:b/>
                <w:bCs/>
                <w:szCs w:val="21"/>
              </w:rPr>
              <w:t>依据</w:t>
            </w:r>
          </w:p>
        </w:tc>
      </w:tr>
      <w:tr w:rsidR="004E27A4" w14:paraId="5263C2BE" w14:textId="77777777">
        <w:tc>
          <w:tcPr>
            <w:tcW w:w="1919" w:type="dxa"/>
            <w:vAlign w:val="center"/>
          </w:tcPr>
          <w:p w14:paraId="50B3F312"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茶叶茶氨酸（</w:t>
            </w:r>
            <w:r>
              <w:rPr>
                <w:rFonts w:ascii="Times New Roman" w:hAnsi="Times New Roman" w:cs="Times New Roman" w:hint="eastAsia"/>
                <w:color w:val="000000" w:themeColor="text1"/>
                <w:szCs w:val="21"/>
                <w:lang w:bidi="ar"/>
                <w14:ligatures w14:val="none"/>
              </w:rPr>
              <w:t>mg/100g</w:t>
            </w:r>
            <w:r>
              <w:rPr>
                <w:rFonts w:ascii="Times New Roman" w:hAnsi="Times New Roman" w:cs="Times New Roman" w:hint="eastAsia"/>
                <w:color w:val="000000" w:themeColor="text1"/>
                <w:szCs w:val="21"/>
                <w:lang w:bidi="ar"/>
                <w14:ligatures w14:val="none"/>
              </w:rPr>
              <w:t>）</w:t>
            </w:r>
          </w:p>
        </w:tc>
        <w:tc>
          <w:tcPr>
            <w:tcW w:w="1186" w:type="dxa"/>
            <w:vAlign w:val="center"/>
          </w:tcPr>
          <w:p w14:paraId="2280DE8B"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400</w:t>
            </w:r>
          </w:p>
        </w:tc>
        <w:tc>
          <w:tcPr>
            <w:tcW w:w="5395" w:type="dxa"/>
          </w:tcPr>
          <w:p w14:paraId="17F1BE13" w14:textId="77777777" w:rsidR="004E27A4" w:rsidRDefault="00000000">
            <w:pPr>
              <w:pStyle w:val="-11"/>
              <w:numPr>
                <w:ilvl w:val="255"/>
                <w:numId w:val="0"/>
              </w:numPr>
              <w:tabs>
                <w:tab w:val="left" w:pos="851"/>
              </w:tabs>
              <w:spacing w:line="360" w:lineRule="auto"/>
              <w:jc w:val="left"/>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1.</w:t>
            </w:r>
            <w:r>
              <w:rPr>
                <w:rFonts w:ascii="Times New Roman" w:hAnsi="Times New Roman" w:cs="Times New Roman" w:hint="eastAsia"/>
                <w:color w:val="000000" w:themeColor="text1"/>
                <w:szCs w:val="21"/>
                <w:lang w:bidi="ar"/>
                <w14:ligatures w14:val="none"/>
              </w:rPr>
              <w:t>卫计委</w:t>
            </w:r>
            <w:r>
              <w:rPr>
                <w:rFonts w:ascii="Times New Roman" w:hAnsi="Times New Roman" w:cs="Times New Roman" w:hint="eastAsia"/>
                <w:color w:val="000000" w:themeColor="text1"/>
                <w:szCs w:val="21"/>
                <w:lang w:bidi="ar"/>
                <w14:ligatures w14:val="none"/>
              </w:rPr>
              <w:t>2014</w:t>
            </w:r>
            <w:r>
              <w:rPr>
                <w:rFonts w:ascii="Times New Roman" w:hAnsi="Times New Roman" w:cs="Times New Roman" w:hint="eastAsia"/>
                <w:color w:val="000000" w:themeColor="text1"/>
                <w:szCs w:val="21"/>
                <w:lang w:bidi="ar"/>
                <w14:ligatures w14:val="none"/>
              </w:rPr>
              <w:t>年第</w:t>
            </w:r>
            <w:r>
              <w:rPr>
                <w:rFonts w:ascii="Times New Roman" w:hAnsi="Times New Roman" w:cs="Times New Roman" w:hint="eastAsia"/>
                <w:color w:val="000000" w:themeColor="text1"/>
                <w:szCs w:val="21"/>
                <w:lang w:bidi="ar"/>
                <w14:ligatures w14:val="none"/>
              </w:rPr>
              <w:t>15</w:t>
            </w:r>
            <w:r>
              <w:rPr>
                <w:rFonts w:ascii="Times New Roman" w:hAnsi="Times New Roman" w:cs="Times New Roman" w:hint="eastAsia"/>
                <w:color w:val="000000" w:themeColor="text1"/>
                <w:szCs w:val="21"/>
                <w:lang w:bidi="ar"/>
                <w14:ligatures w14:val="none"/>
              </w:rPr>
              <w:t>号公告</w:t>
            </w:r>
          </w:p>
          <w:p w14:paraId="44E64EA4" w14:textId="77777777" w:rsidR="004E27A4" w:rsidRDefault="00000000">
            <w:pPr>
              <w:pStyle w:val="-11"/>
              <w:numPr>
                <w:ilvl w:val="255"/>
                <w:numId w:val="0"/>
              </w:numPr>
              <w:tabs>
                <w:tab w:val="left" w:pos="851"/>
              </w:tabs>
              <w:spacing w:line="360" w:lineRule="auto"/>
              <w:jc w:val="left"/>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2.</w:t>
            </w:r>
            <w:r>
              <w:rPr>
                <w:rFonts w:ascii="Times New Roman" w:hAnsi="Times New Roman" w:cs="Times New Roman" w:hint="eastAsia"/>
                <w:color w:val="000000" w:themeColor="text1"/>
                <w:szCs w:val="21"/>
                <w:lang w:bidi="ar"/>
                <w14:ligatures w14:val="none"/>
              </w:rPr>
              <w:t>临床研究：</w:t>
            </w:r>
            <w:r>
              <w:rPr>
                <w:rFonts w:ascii="Times New Roman" w:hAnsi="Times New Roman" w:cs="Times New Roman" w:hint="eastAsia"/>
                <w:color w:val="000000" w:themeColor="text1"/>
                <w:szCs w:val="21"/>
                <w:lang w:bidi="ar"/>
                <w14:ligatures w14:val="none"/>
              </w:rPr>
              <w:t>12</w:t>
            </w:r>
            <w:r>
              <w:rPr>
                <w:rFonts w:ascii="Times New Roman" w:hAnsi="Times New Roman" w:cs="Times New Roman" w:hint="eastAsia"/>
                <w:color w:val="000000" w:themeColor="text1"/>
                <w:szCs w:val="21"/>
                <w:lang w:bidi="ar"/>
                <w14:ligatures w14:val="none"/>
              </w:rPr>
              <w:t>周每天摄入</w:t>
            </w:r>
            <w:r>
              <w:rPr>
                <w:rFonts w:ascii="Times New Roman" w:hAnsi="Times New Roman" w:cs="Times New Roman"/>
                <w:color w:val="000000" w:themeColor="text1"/>
                <w:szCs w:val="21"/>
                <w:lang w:bidi="ar"/>
                <w14:ligatures w14:val="none"/>
              </w:rPr>
              <w:t>100.6mg</w:t>
            </w:r>
            <w:r>
              <w:rPr>
                <w:rFonts w:ascii="Times New Roman" w:hAnsi="Times New Roman" w:cs="Times New Roman" w:hint="eastAsia"/>
                <w:color w:val="000000" w:themeColor="text1"/>
                <w:szCs w:val="21"/>
                <w:lang w:bidi="ar"/>
                <w14:ligatures w14:val="none"/>
              </w:rPr>
              <w:t>茶氨酸可改善中老年人注意力，增强记忆力</w:t>
            </w:r>
            <w:r>
              <w:rPr>
                <w:rFonts w:ascii="Times New Roman" w:hAnsi="Times New Roman" w:cs="Times New Roman" w:hint="eastAsia"/>
                <w:color w:val="000000" w:themeColor="text1"/>
                <w:szCs w:val="21"/>
                <w:vertAlign w:val="superscript"/>
                <w:lang w:bidi="ar"/>
                <w14:ligatures w14:val="none"/>
              </w:rPr>
              <w:fldChar w:fldCharType="begin"/>
            </w:r>
            <w:r>
              <w:rPr>
                <w:rFonts w:ascii="Times New Roman" w:hAnsi="Times New Roman" w:cs="Times New Roman" w:hint="eastAsia"/>
                <w:color w:val="000000" w:themeColor="text1"/>
                <w:szCs w:val="21"/>
                <w:vertAlign w:val="superscript"/>
                <w:lang w:bidi="ar"/>
                <w14:ligatures w14:val="none"/>
              </w:rPr>
              <w:instrText xml:space="preserve"> ADDIN EN.CITE &lt;EndNote&gt;&lt;Cite&gt;&lt;Author&gt;Baba&lt;/Author&gt;&lt;Year&gt;2021&lt;/Year&gt;&lt;RecNum&gt;520&lt;/RecNum&gt;&lt;DisplayText&gt;[1]&lt;/DisplayText&gt;&lt;record&gt;&lt;rec-number&gt;520&lt;/rec-number&gt;&lt;foreign-keys&gt;&lt;key app="EN" db-id="atdw2tzampzp0wevsf3vswznrz25d52edar9" timestamp="1724812006"&gt;520&lt;/key&gt;&lt;/foreign-keys&gt;&lt;ref-type name="Journal Article"&gt;17&lt;/ref-type&gt;&lt;contributors&gt;&lt;authors&gt;&lt;author&gt;Baba, Yoshitake&lt;/author&gt;&lt;author&gt;Inagaki, Shun&lt;/author&gt;&lt;author&gt;Nakagawa, Sae&lt;/author&gt;&lt;author&gt;Kaneko, Toshiyuki&lt;/author&gt;&lt;author&gt;Kobayashi, Makoto&lt;/author&gt;&lt;author&gt;Takihara, Takanobu&lt;/author&gt;&lt;/authors&gt;&lt;/contributors&gt;&lt;titles&gt;&lt;title&gt;Effects of l-Theanine on Cognitive Function in Middle-Aged and Older Subjects: A Randomized Placebo-Controlled Study&lt;/title&gt;&lt;secondary-title&gt;Journal of Medicinal Food&lt;/secondary-title&gt;&lt;/titles&gt;&lt;periodical&gt;&lt;full-title&gt;Journal of Medicinal Food&lt;/full-title&gt;&lt;/periodical&gt;&lt;pages&gt;333-341&lt;/pages&gt;&lt;volume&gt;24&lt;/volume&gt;&lt;number&gt;4&lt;/number&gt;&lt;dates&gt;&lt;year&gt;2021&lt;/year&gt;&lt;pub-dates&gt;&lt;date&gt;Apr 1&lt;/date&gt;&lt;/pub-dates&gt;&lt;/dates&gt;&lt;isbn&gt;1096-620X&lt;/isbn&gt;&lt;accession-num&gt;WOS:000631703900001&lt;/accession-num&gt;&lt;work-type&gt;Article&lt;/work-type&gt;&lt;urls&gt;&lt;related-urls&gt;&lt;url&gt;&amp;lt;Go to ISI&amp;gt;://WOS:000631703900001&lt;/url&gt;&lt;/related-urls&gt;&lt;/urls&gt;&lt;electronic-resource-num&gt;10.1089/jmf.2020.4803&lt;/electronic-resource-num&gt;&lt;/record&gt;&lt;/Cite&gt;&lt;/EndNote&gt;</w:instrText>
            </w:r>
            <w:r>
              <w:rPr>
                <w:rFonts w:ascii="Times New Roman" w:hAnsi="Times New Roman" w:cs="Times New Roman" w:hint="eastAsia"/>
                <w:color w:val="000000" w:themeColor="text1"/>
                <w:szCs w:val="21"/>
                <w:vertAlign w:val="superscript"/>
                <w:lang w:bidi="ar"/>
                <w14:ligatures w14:val="none"/>
              </w:rPr>
              <w:fldChar w:fldCharType="separate"/>
            </w:r>
            <w:r>
              <w:rPr>
                <w:rFonts w:ascii="Times New Roman" w:hAnsi="Times New Roman" w:cs="Times New Roman" w:hint="eastAsia"/>
                <w:color w:val="000000" w:themeColor="text1"/>
                <w:szCs w:val="21"/>
                <w:vertAlign w:val="superscript"/>
                <w:lang w:bidi="ar"/>
                <w14:ligatures w14:val="none"/>
              </w:rPr>
              <w:t>[1]</w:t>
            </w:r>
            <w:r>
              <w:rPr>
                <w:rFonts w:ascii="Times New Roman" w:hAnsi="Times New Roman" w:cs="Times New Roman" w:hint="eastAsia"/>
                <w:color w:val="000000" w:themeColor="text1"/>
                <w:szCs w:val="21"/>
                <w:vertAlign w:val="superscript"/>
                <w:lang w:bidi="ar"/>
                <w14:ligatures w14:val="none"/>
              </w:rPr>
              <w:fldChar w:fldCharType="end"/>
            </w:r>
          </w:p>
        </w:tc>
      </w:tr>
      <w:tr w:rsidR="004E27A4" w14:paraId="1A6305C0" w14:textId="77777777">
        <w:tc>
          <w:tcPr>
            <w:tcW w:w="1919" w:type="dxa"/>
            <w:vAlign w:val="center"/>
          </w:tcPr>
          <w:p w14:paraId="6C24E7AC"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N-</w:t>
            </w:r>
            <w:r>
              <w:rPr>
                <w:rFonts w:ascii="Times New Roman" w:hAnsi="Times New Roman" w:cs="Times New Roman" w:hint="eastAsia"/>
                <w:color w:val="000000" w:themeColor="text1"/>
                <w:szCs w:val="21"/>
                <w:lang w:bidi="ar"/>
                <w14:ligatures w14:val="none"/>
              </w:rPr>
              <w:t>乙酰氨基葡萄糖</w:t>
            </w:r>
          </w:p>
          <w:p w14:paraId="769F53BB"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mg/100g</w:t>
            </w:r>
            <w:r>
              <w:rPr>
                <w:rFonts w:ascii="Times New Roman" w:hAnsi="Times New Roman" w:cs="Times New Roman" w:hint="eastAsia"/>
                <w:color w:val="000000" w:themeColor="text1"/>
                <w:szCs w:val="21"/>
                <w:lang w:bidi="ar"/>
                <w14:ligatures w14:val="none"/>
              </w:rPr>
              <w:t>）</w:t>
            </w:r>
          </w:p>
        </w:tc>
        <w:tc>
          <w:tcPr>
            <w:tcW w:w="1186" w:type="dxa"/>
            <w:vAlign w:val="center"/>
          </w:tcPr>
          <w:p w14:paraId="595C18E7"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400</w:t>
            </w:r>
          </w:p>
        </w:tc>
        <w:tc>
          <w:tcPr>
            <w:tcW w:w="5395" w:type="dxa"/>
          </w:tcPr>
          <w:p w14:paraId="26A8C2D8" w14:textId="77777777" w:rsidR="004E27A4" w:rsidRDefault="00000000">
            <w:pPr>
              <w:pStyle w:val="-11"/>
              <w:numPr>
                <w:ilvl w:val="0"/>
                <w:numId w:val="4"/>
              </w:numPr>
              <w:tabs>
                <w:tab w:val="left" w:pos="851"/>
              </w:tabs>
              <w:spacing w:line="360" w:lineRule="auto"/>
              <w:ind w:firstLineChars="0"/>
              <w:jc w:val="left"/>
              <w:rPr>
                <w:rFonts w:ascii="Times New Roman" w:hAnsi="Times New Roman" w:cs="Times New Roman"/>
                <w:color w:val="000000" w:themeColor="text1"/>
                <w:szCs w:val="21"/>
                <w:lang w:bidi="ar"/>
                <w14:ligatures w14:val="none"/>
              </w:rPr>
            </w:pPr>
            <w:proofErr w:type="gramStart"/>
            <w:r>
              <w:rPr>
                <w:rFonts w:ascii="Times New Roman" w:hAnsi="Times New Roman" w:cs="Times New Roman" w:hint="eastAsia"/>
                <w:color w:val="000000" w:themeColor="text1"/>
                <w:szCs w:val="21"/>
                <w:lang w:bidi="ar"/>
                <w14:ligatures w14:val="none"/>
              </w:rPr>
              <w:t>卫健委</w:t>
            </w:r>
            <w:r>
              <w:rPr>
                <w:rFonts w:ascii="Times New Roman" w:hAnsi="Times New Roman" w:cs="Times New Roman" w:hint="eastAsia"/>
                <w:color w:val="000000" w:themeColor="text1"/>
                <w:szCs w:val="21"/>
                <w:lang w:bidi="ar"/>
                <w14:ligatures w14:val="none"/>
              </w:rPr>
              <w:t>2024</w:t>
            </w:r>
            <w:r>
              <w:rPr>
                <w:rFonts w:ascii="Times New Roman" w:hAnsi="Times New Roman" w:cs="Times New Roman" w:hint="eastAsia"/>
                <w:color w:val="000000" w:themeColor="text1"/>
                <w:szCs w:val="21"/>
                <w:lang w:bidi="ar"/>
                <w14:ligatures w14:val="none"/>
              </w:rPr>
              <w:t>年</w:t>
            </w:r>
            <w:proofErr w:type="gramEnd"/>
            <w:r>
              <w:rPr>
                <w:rFonts w:ascii="Times New Roman" w:hAnsi="Times New Roman" w:cs="Times New Roman" w:hint="eastAsia"/>
                <w:color w:val="000000" w:themeColor="text1"/>
                <w:szCs w:val="21"/>
                <w:lang w:bidi="ar"/>
                <w14:ligatures w14:val="none"/>
              </w:rPr>
              <w:t>第</w:t>
            </w:r>
            <w:r>
              <w:rPr>
                <w:rFonts w:ascii="Times New Roman" w:hAnsi="Times New Roman" w:cs="Times New Roman" w:hint="eastAsia"/>
                <w:color w:val="000000" w:themeColor="text1"/>
                <w:szCs w:val="21"/>
                <w:lang w:bidi="ar"/>
                <w14:ligatures w14:val="none"/>
              </w:rPr>
              <w:t>3</w:t>
            </w:r>
            <w:r>
              <w:rPr>
                <w:rFonts w:ascii="Times New Roman" w:hAnsi="Times New Roman" w:cs="Times New Roman" w:hint="eastAsia"/>
                <w:color w:val="000000" w:themeColor="text1"/>
                <w:szCs w:val="21"/>
                <w:lang w:bidi="ar"/>
                <w14:ligatures w14:val="none"/>
              </w:rPr>
              <w:t>号公告</w:t>
            </w:r>
          </w:p>
          <w:p w14:paraId="3D344C61" w14:textId="77777777" w:rsidR="004E27A4" w:rsidRDefault="00000000">
            <w:pPr>
              <w:pStyle w:val="-11"/>
              <w:numPr>
                <w:ilvl w:val="0"/>
                <w:numId w:val="4"/>
              </w:numPr>
              <w:tabs>
                <w:tab w:val="left" w:pos="851"/>
              </w:tabs>
              <w:spacing w:line="360" w:lineRule="auto"/>
              <w:ind w:firstLineChars="0"/>
              <w:jc w:val="left"/>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临床研究：</w:t>
            </w:r>
            <w:r>
              <w:rPr>
                <w:rFonts w:ascii="Times New Roman" w:hAnsi="Times New Roman" w:cs="Times New Roman" w:hint="eastAsia"/>
                <w:color w:val="000000" w:themeColor="text1"/>
                <w:szCs w:val="21"/>
                <w:lang w:bidi="ar"/>
                <w14:ligatures w14:val="none"/>
              </w:rPr>
              <w:t>24</w:t>
            </w:r>
            <w:r>
              <w:rPr>
                <w:rFonts w:ascii="Times New Roman" w:hAnsi="Times New Roman" w:cs="Times New Roman" w:hint="eastAsia"/>
                <w:color w:val="000000" w:themeColor="text1"/>
                <w:szCs w:val="21"/>
                <w:lang w:bidi="ar"/>
                <w14:ligatures w14:val="none"/>
              </w:rPr>
              <w:t>周每天摄入</w:t>
            </w:r>
            <w:r>
              <w:rPr>
                <w:rFonts w:ascii="Times New Roman" w:hAnsi="Times New Roman" w:cs="Times New Roman" w:hint="eastAsia"/>
                <w:color w:val="000000" w:themeColor="text1"/>
                <w:szCs w:val="21"/>
                <w:lang w:bidi="ar"/>
                <w14:ligatures w14:val="none"/>
              </w:rPr>
              <w:t>100mg N-</w:t>
            </w:r>
            <w:r>
              <w:rPr>
                <w:rFonts w:ascii="Times New Roman" w:hAnsi="Times New Roman" w:cs="Times New Roman" w:hint="eastAsia"/>
                <w:color w:val="000000" w:themeColor="text1"/>
                <w:szCs w:val="21"/>
                <w:lang w:bidi="ar"/>
                <w14:ligatures w14:val="none"/>
              </w:rPr>
              <w:t>乙酰氨基葡萄糖以及</w:t>
            </w:r>
            <w:r>
              <w:rPr>
                <w:rFonts w:ascii="Times New Roman" w:hAnsi="Times New Roman" w:cs="Times New Roman" w:hint="eastAsia"/>
                <w:color w:val="000000" w:themeColor="text1"/>
                <w:szCs w:val="21"/>
                <w:lang w:bidi="ar"/>
                <w14:ligatures w14:val="none"/>
              </w:rPr>
              <w:t>180mg</w:t>
            </w:r>
            <w:r>
              <w:rPr>
                <w:rFonts w:ascii="Times New Roman" w:hAnsi="Times New Roman" w:cs="Times New Roman" w:hint="eastAsia"/>
                <w:color w:val="000000" w:themeColor="text1"/>
                <w:szCs w:val="21"/>
                <w:lang w:bidi="ar"/>
                <w14:ligatures w14:val="none"/>
              </w:rPr>
              <w:t>硫酸软骨素可以改善膝关节功能</w:t>
            </w:r>
            <w:r>
              <w:rPr>
                <w:rFonts w:ascii="Times New Roman" w:hAnsi="Times New Roman" w:cs="Times New Roman" w:hint="eastAsia"/>
                <w:color w:val="000000" w:themeColor="text1"/>
                <w:szCs w:val="21"/>
                <w:vertAlign w:val="superscript"/>
                <w:lang w:bidi="ar"/>
                <w14:ligatures w14:val="none"/>
              </w:rPr>
              <w:fldChar w:fldCharType="begin"/>
            </w:r>
            <w:r>
              <w:rPr>
                <w:rFonts w:ascii="Times New Roman" w:hAnsi="Times New Roman" w:cs="Times New Roman" w:hint="eastAsia"/>
                <w:color w:val="000000" w:themeColor="text1"/>
                <w:szCs w:val="21"/>
                <w:vertAlign w:val="superscript"/>
                <w:lang w:bidi="ar"/>
                <w14:ligatures w14:val="none"/>
              </w:rPr>
              <w:instrText xml:space="preserve"> ADDIN EN.CITE &lt;EndNote&gt;&lt;Cite&gt;&lt;Author&gt;Tsuji&lt;/Author&gt;&lt;Year&gt;2016&lt;/Year&gt;&lt;RecNum&gt;521&lt;/RecNum&gt;&lt;DisplayText&gt;[2]&lt;/DisplayText&gt;&lt;record&gt;&lt;rec-number&gt;521&lt;/rec-number&gt;&lt;foreign-keys&gt;&lt;key app="EN" db-id="atdw2tzampzp0wevsf3vswznrz25d52edar9" timestamp="1724812354"&gt;521&lt;/key&gt;&lt;/foreign-keys&gt;&lt;ref-type name="Journal Article"&gt;17&lt;/ref-type&gt;&lt;contributors&gt;&lt;authors&gt;&lt;author&gt;Tsuji, Taishi&lt;/author&gt;&lt;author&gt;Yoon, Jieun&lt;/author&gt;&lt;author&gt;Kitano, Naruki&lt;/author&gt;&lt;author&gt;Okura, Tomohiro&lt;/author&gt;&lt;author&gt;Tanaka, Kiyoji&lt;/author&gt;&lt;/authors&gt;&lt;/contributors&gt;&lt;titles&gt;&lt;title&gt;Effects of N-acetyl glucosamine and chondroitin sulfate supplementation on knee pain and self-reported knee function in middle-aged and older Japanese adults: a randomized, double-blind, placebo-controlled trial&lt;/title&gt;&lt;secondary-title&gt;Aging Clinical and Experimental Research&lt;/secondary-title&gt;&lt;/titles&gt;&lt;periodical&gt;&lt;full-title&gt;Aging Clinical and Experimental Research&lt;/full-title&gt;&lt;/periodical&gt;&lt;pages&gt;197-205&lt;/pages&gt;&lt;volume&gt;28&lt;/volume&gt;&lt;number&gt;2&lt;/number&gt;&lt;dates&gt;&lt;year&gt;2016&lt;/year&gt;&lt;pub-dates&gt;&lt;date&gt;Apr&lt;/date&gt;&lt;/pub-dates&gt;&lt;/dates&gt;&lt;isbn&gt;1594-0667&lt;/isbn&gt;&lt;accession-num&gt;WOS:000372884600004&lt;/accession-num&gt;&lt;work-type&gt;Article&lt;/work-type&gt;&lt;urls&gt;&lt;related-urls&gt;&lt;url&gt;&lt;style face="underline" font="default" size="100%"&gt;&amp;lt;Go to ISI&amp;gt;://WOS:000372884600004&lt;/style&gt;&lt;/url&gt;&lt;/related-urls&gt;&lt;/urls&gt;&lt;electronic-resource-num&gt;10.1007/s40520-015-0412-6&lt;/electronic-resource-num&gt;&lt;/record&gt;&lt;/Cite&gt;&lt;/EndNote&gt;</w:instrText>
            </w:r>
            <w:r>
              <w:rPr>
                <w:rFonts w:ascii="Times New Roman" w:hAnsi="Times New Roman" w:cs="Times New Roman" w:hint="eastAsia"/>
                <w:color w:val="000000" w:themeColor="text1"/>
                <w:szCs w:val="21"/>
                <w:vertAlign w:val="superscript"/>
                <w:lang w:bidi="ar"/>
                <w14:ligatures w14:val="none"/>
              </w:rPr>
              <w:fldChar w:fldCharType="separate"/>
            </w:r>
            <w:r>
              <w:rPr>
                <w:rFonts w:ascii="Times New Roman" w:hAnsi="Times New Roman" w:cs="Times New Roman" w:hint="eastAsia"/>
                <w:color w:val="000000" w:themeColor="text1"/>
                <w:szCs w:val="21"/>
                <w:vertAlign w:val="superscript"/>
                <w:lang w:bidi="ar"/>
                <w14:ligatures w14:val="none"/>
              </w:rPr>
              <w:t>[2]</w:t>
            </w:r>
            <w:r>
              <w:rPr>
                <w:rFonts w:ascii="Times New Roman" w:hAnsi="Times New Roman" w:cs="Times New Roman" w:hint="eastAsia"/>
                <w:color w:val="000000" w:themeColor="text1"/>
                <w:szCs w:val="21"/>
                <w:vertAlign w:val="superscript"/>
                <w:lang w:bidi="ar"/>
                <w14:ligatures w14:val="none"/>
              </w:rPr>
              <w:fldChar w:fldCharType="end"/>
            </w:r>
          </w:p>
        </w:tc>
      </w:tr>
      <w:tr w:rsidR="004E27A4" w14:paraId="67396433" w14:textId="77777777">
        <w:tc>
          <w:tcPr>
            <w:tcW w:w="1919" w:type="dxa"/>
            <w:vAlign w:val="center"/>
          </w:tcPr>
          <w:p w14:paraId="1A3279DF"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L-</w:t>
            </w:r>
            <w:r>
              <w:rPr>
                <w:rFonts w:ascii="Times New Roman" w:hAnsi="Times New Roman" w:cs="Times New Roman" w:hint="eastAsia"/>
                <w:color w:val="000000" w:themeColor="text1"/>
                <w:szCs w:val="21"/>
                <w:lang w:bidi="ar"/>
                <w14:ligatures w14:val="none"/>
              </w:rPr>
              <w:t>α</w:t>
            </w: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甘磷酸胆碱（</w:t>
            </w:r>
            <w:r>
              <w:rPr>
                <w:rFonts w:ascii="Times New Roman" w:hAnsi="Times New Roman" w:cs="Times New Roman" w:hint="eastAsia"/>
                <w:color w:val="000000" w:themeColor="text1"/>
                <w:szCs w:val="21"/>
                <w:lang w:bidi="ar"/>
                <w14:ligatures w14:val="none"/>
              </w:rPr>
              <w:t>mg/100g</w:t>
            </w:r>
            <w:r>
              <w:rPr>
                <w:rFonts w:ascii="Times New Roman" w:hAnsi="Times New Roman" w:cs="Times New Roman" w:hint="eastAsia"/>
                <w:color w:val="000000" w:themeColor="text1"/>
                <w:szCs w:val="21"/>
                <w:lang w:bidi="ar"/>
                <w14:ligatures w14:val="none"/>
              </w:rPr>
              <w:t>）</w:t>
            </w:r>
          </w:p>
        </w:tc>
        <w:tc>
          <w:tcPr>
            <w:tcW w:w="1186" w:type="dxa"/>
            <w:vAlign w:val="center"/>
          </w:tcPr>
          <w:p w14:paraId="1D7A0D32"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600</w:t>
            </w:r>
          </w:p>
        </w:tc>
        <w:tc>
          <w:tcPr>
            <w:tcW w:w="5395" w:type="dxa"/>
          </w:tcPr>
          <w:p w14:paraId="0B0B4F53" w14:textId="77777777" w:rsidR="004E27A4" w:rsidRDefault="00000000">
            <w:pPr>
              <w:pStyle w:val="-11"/>
              <w:numPr>
                <w:ilvl w:val="0"/>
                <w:numId w:val="5"/>
              </w:numPr>
              <w:tabs>
                <w:tab w:val="left" w:pos="851"/>
              </w:tabs>
              <w:spacing w:line="360" w:lineRule="auto"/>
              <w:ind w:firstLineChars="0"/>
              <w:jc w:val="left"/>
              <w:rPr>
                <w:rFonts w:ascii="Times New Roman" w:hAnsi="Times New Roman" w:cs="Times New Roman"/>
                <w:color w:val="000000" w:themeColor="text1"/>
                <w:szCs w:val="21"/>
                <w:lang w:bidi="ar"/>
                <w14:ligatures w14:val="none"/>
              </w:rPr>
            </w:pPr>
            <w:proofErr w:type="gramStart"/>
            <w:r>
              <w:rPr>
                <w:rFonts w:ascii="Times New Roman" w:hAnsi="Times New Roman" w:cs="Times New Roman" w:hint="eastAsia"/>
                <w:color w:val="000000" w:themeColor="text1"/>
                <w:szCs w:val="21"/>
                <w:lang w:bidi="ar"/>
                <w14:ligatures w14:val="none"/>
              </w:rPr>
              <w:t>卫健委</w:t>
            </w:r>
            <w:r>
              <w:rPr>
                <w:rFonts w:ascii="Times New Roman" w:hAnsi="Times New Roman" w:cs="Times New Roman" w:hint="eastAsia"/>
                <w:color w:val="000000" w:themeColor="text1"/>
                <w:szCs w:val="21"/>
                <w:lang w:bidi="ar"/>
                <w14:ligatures w14:val="none"/>
              </w:rPr>
              <w:t>2024</w:t>
            </w:r>
            <w:r>
              <w:rPr>
                <w:rFonts w:ascii="Times New Roman" w:hAnsi="Times New Roman" w:cs="Times New Roman" w:hint="eastAsia"/>
                <w:color w:val="000000" w:themeColor="text1"/>
                <w:szCs w:val="21"/>
                <w:lang w:bidi="ar"/>
                <w14:ligatures w14:val="none"/>
              </w:rPr>
              <w:t>年</w:t>
            </w:r>
            <w:proofErr w:type="gramEnd"/>
            <w:r>
              <w:rPr>
                <w:rFonts w:ascii="Times New Roman" w:hAnsi="Times New Roman" w:cs="Times New Roman" w:hint="eastAsia"/>
                <w:color w:val="000000" w:themeColor="text1"/>
                <w:szCs w:val="21"/>
                <w:lang w:bidi="ar"/>
                <w14:ligatures w14:val="none"/>
              </w:rPr>
              <w:t>第</w:t>
            </w:r>
            <w:r>
              <w:rPr>
                <w:rFonts w:ascii="Times New Roman" w:hAnsi="Times New Roman" w:cs="Times New Roman" w:hint="eastAsia"/>
                <w:color w:val="000000" w:themeColor="text1"/>
                <w:szCs w:val="21"/>
                <w:lang w:bidi="ar"/>
                <w14:ligatures w14:val="none"/>
              </w:rPr>
              <w:t>2</w:t>
            </w:r>
            <w:r>
              <w:rPr>
                <w:rFonts w:ascii="Times New Roman" w:hAnsi="Times New Roman" w:cs="Times New Roman" w:hint="eastAsia"/>
                <w:color w:val="000000" w:themeColor="text1"/>
                <w:szCs w:val="21"/>
                <w:lang w:bidi="ar"/>
                <w14:ligatures w14:val="none"/>
              </w:rPr>
              <w:t>号公告</w:t>
            </w:r>
          </w:p>
          <w:p w14:paraId="6E58FEF1" w14:textId="77777777" w:rsidR="004E27A4" w:rsidRDefault="00000000">
            <w:pPr>
              <w:pStyle w:val="-11"/>
              <w:numPr>
                <w:ilvl w:val="0"/>
                <w:numId w:val="5"/>
              </w:numPr>
              <w:tabs>
                <w:tab w:val="left" w:pos="851"/>
              </w:tabs>
              <w:spacing w:line="360" w:lineRule="auto"/>
              <w:ind w:firstLineChars="0"/>
              <w:jc w:val="left"/>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临床研究：三年每年</w:t>
            </w:r>
            <w:r>
              <w:rPr>
                <w:rFonts w:ascii="Times New Roman" w:hAnsi="Times New Roman" w:cs="Times New Roman" w:hint="eastAsia"/>
                <w:color w:val="000000" w:themeColor="text1"/>
                <w:szCs w:val="21"/>
                <w:lang w:bidi="ar"/>
                <w14:ligatures w14:val="none"/>
              </w:rPr>
              <w:t>20</w:t>
            </w:r>
            <w:r>
              <w:rPr>
                <w:rFonts w:ascii="Times New Roman" w:hAnsi="Times New Roman" w:cs="Times New Roman" w:hint="eastAsia"/>
                <w:color w:val="000000" w:themeColor="text1"/>
                <w:szCs w:val="21"/>
                <w:lang w:bidi="ar"/>
                <w14:ligatures w14:val="none"/>
              </w:rPr>
              <w:t>次静脉输注</w:t>
            </w:r>
            <w:r>
              <w:rPr>
                <w:rFonts w:ascii="Times New Roman" w:hAnsi="Times New Roman" w:cs="Times New Roman" w:hint="eastAsia"/>
                <w:color w:val="000000" w:themeColor="text1"/>
                <w:szCs w:val="21"/>
                <w:lang w:bidi="ar"/>
                <w14:ligatures w14:val="none"/>
              </w:rPr>
              <w:t xml:space="preserve"> 1000 mg L-</w:t>
            </w:r>
            <w:r>
              <w:rPr>
                <w:rFonts w:ascii="Times New Roman" w:hAnsi="Times New Roman" w:cs="Times New Roman" w:hint="eastAsia"/>
                <w:color w:val="000000" w:themeColor="text1"/>
                <w:szCs w:val="21"/>
                <w:lang w:bidi="ar"/>
                <w14:ligatures w14:val="none"/>
              </w:rPr>
              <w:t>α</w:t>
            </w: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甘磷酸胆碱可以有效减缓认知缺陷的进展，改善认知功能</w:t>
            </w:r>
            <w:r>
              <w:rPr>
                <w:rFonts w:ascii="Times New Roman" w:hAnsi="Times New Roman" w:cs="Times New Roman" w:hint="eastAsia"/>
                <w:color w:val="000000" w:themeColor="text1"/>
                <w:szCs w:val="21"/>
                <w:vertAlign w:val="superscript"/>
                <w:lang w:bidi="ar"/>
                <w14:ligatures w14:val="none"/>
              </w:rPr>
              <w:fldChar w:fldCharType="begin"/>
            </w:r>
            <w:r>
              <w:rPr>
                <w:rFonts w:ascii="Times New Roman" w:hAnsi="Times New Roman" w:cs="Times New Roman" w:hint="eastAsia"/>
                <w:color w:val="000000" w:themeColor="text1"/>
                <w:szCs w:val="21"/>
                <w:vertAlign w:val="superscript"/>
                <w:lang w:bidi="ar"/>
                <w14:ligatures w14:val="none"/>
              </w:rPr>
              <w:instrText xml:space="preserve"> ADDIN EN.CITE &lt;EndNote&gt;&lt;Cite&gt;&lt;Author&gt;Ponomareva&lt;/Author&gt;&lt;Year&gt;2024&lt;/Year&gt;&lt;RecNum&gt;522&lt;/RecNum&gt;&lt;DisplayText&gt;[3]&lt;/DisplayText&gt;&lt;record&gt;&lt;rec-number&gt;522&lt;/rec-number&gt;&lt;foreign-keys&gt;&lt;key app="EN" db-id="atdw2tzampzp0wevsf3vswznrz25d52edar9" timestamp="1724814675"&gt;522&lt;/key&gt;&lt;/foreign-keys&gt;&lt;ref-type name="Journal Article"&gt;17&lt;/ref-type&gt;&lt;contributors&gt;&lt;authors&gt;&lt;author&gt;Ponomareva, E. V.&lt;/author&gt;&lt;author&gt;Androsova, L. V.&lt;/author&gt;&lt;author&gt;Krinsky, S. A.&lt;/author&gt;&lt;author&gt;Gavrilova, S. I.&lt;/author&gt;&lt;/authors&gt;&lt;/contributors&gt;&lt;titles&gt;&lt;title&gt;Efficacy and safety of choline alfoscerate in the preventive therapy of dementia in elderly patients with Mild Cognitive Impairment: a three-year prospective comparative study&lt;/title&gt;&lt;secondary-title&gt;Zhurnal nevrologii i psikhiatrii imeni S.S. Korsakova&lt;/secondary-title&gt;&lt;translated-title&gt;Effektivnost&amp;apos; i bezopasnost&amp;apos; kholina al&amp;apos;fostserata v preventivnoi terapii dementsii u pozhilykh patsientov s sindromom myagkogo kognitivnogo snizheniya: rezul&amp;apos;taty trekhletnego prospektivnogo sravnitel&amp;apos;nogo issledovaniya.&lt;/translated-title&gt;&lt;/titles&gt;&lt;periodical&gt;&lt;full-title&gt;Zhurnal nevrologii i psikhiatrii imeni S.S. Korsakova&lt;/full-title&gt;&lt;/periodical&gt;&lt;pages&gt;92-99&lt;/pages&gt;&lt;volume&gt;124&lt;/volume&gt;&lt;number&gt;4. Vyp. 2&lt;/number&gt;&lt;dates&gt;&lt;year&gt;2024&lt;/year&gt;&lt;pub-dates&gt;&lt;date&gt;2024&lt;/date&gt;&lt;/pub-dates&gt;&lt;/dates&gt;&lt;isbn&gt;1997-7298&lt;/isbn&gt;&lt;accession-num&gt;MEDLINE:38696157&lt;/accession-num&gt;&lt;work-type&gt;; Comparative Study; Randomized Controlled Trial; English Abstract&lt;/work-type&gt;&lt;urls&gt;&lt;related-urls&gt;&lt;url&gt;&amp;lt;Go to ISI&amp;gt;://MEDLINE:38696157&lt;/url&gt;&lt;/related-urls&gt;&lt;/urls&gt;&lt;electronic-resource-num&gt;10.17116/jnevro202412404292&lt;/electronic-resource-num&gt;&lt;/record&gt;&lt;/Cite&gt;&lt;/EndNote&gt;</w:instrText>
            </w:r>
            <w:r>
              <w:rPr>
                <w:rFonts w:ascii="Times New Roman" w:hAnsi="Times New Roman" w:cs="Times New Roman" w:hint="eastAsia"/>
                <w:color w:val="000000" w:themeColor="text1"/>
                <w:szCs w:val="21"/>
                <w:vertAlign w:val="superscript"/>
                <w:lang w:bidi="ar"/>
                <w14:ligatures w14:val="none"/>
              </w:rPr>
              <w:fldChar w:fldCharType="separate"/>
            </w:r>
            <w:r>
              <w:rPr>
                <w:rFonts w:ascii="Times New Roman" w:hAnsi="Times New Roman" w:cs="Times New Roman" w:hint="eastAsia"/>
                <w:color w:val="000000" w:themeColor="text1"/>
                <w:szCs w:val="21"/>
                <w:vertAlign w:val="superscript"/>
                <w:lang w:bidi="ar"/>
                <w14:ligatures w14:val="none"/>
              </w:rPr>
              <w:t>[3]</w:t>
            </w:r>
            <w:r>
              <w:rPr>
                <w:rFonts w:ascii="Times New Roman" w:hAnsi="Times New Roman" w:cs="Times New Roman" w:hint="eastAsia"/>
                <w:color w:val="000000" w:themeColor="text1"/>
                <w:szCs w:val="21"/>
                <w:vertAlign w:val="superscript"/>
                <w:lang w:bidi="ar"/>
                <w14:ligatures w14:val="none"/>
              </w:rPr>
              <w:fldChar w:fldCharType="end"/>
            </w:r>
          </w:p>
        </w:tc>
      </w:tr>
      <w:tr w:rsidR="004E27A4" w14:paraId="74E12201" w14:textId="77777777">
        <w:tc>
          <w:tcPr>
            <w:tcW w:w="1919" w:type="dxa"/>
            <w:vAlign w:val="center"/>
          </w:tcPr>
          <w:p w14:paraId="68426D56"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N-</w:t>
            </w:r>
            <w:r>
              <w:rPr>
                <w:rFonts w:ascii="Times New Roman" w:hAnsi="Times New Roman" w:cs="Times New Roman" w:hint="eastAsia"/>
                <w:color w:val="000000" w:themeColor="text1"/>
                <w:szCs w:val="21"/>
                <w:lang w:bidi="ar"/>
                <w14:ligatures w14:val="none"/>
              </w:rPr>
              <w:t>乙酰神经氨酸</w:t>
            </w:r>
          </w:p>
          <w:p w14:paraId="2CFD8D1B"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mg/100g</w:t>
            </w:r>
            <w:r>
              <w:rPr>
                <w:rFonts w:ascii="Times New Roman" w:hAnsi="Times New Roman" w:cs="Times New Roman" w:hint="eastAsia"/>
                <w:color w:val="000000" w:themeColor="text1"/>
                <w:szCs w:val="21"/>
                <w:lang w:bidi="ar"/>
                <w14:ligatures w14:val="none"/>
              </w:rPr>
              <w:t>）</w:t>
            </w:r>
          </w:p>
        </w:tc>
        <w:tc>
          <w:tcPr>
            <w:tcW w:w="1186" w:type="dxa"/>
            <w:vAlign w:val="center"/>
          </w:tcPr>
          <w:p w14:paraId="161AFE95"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500</w:t>
            </w:r>
          </w:p>
        </w:tc>
        <w:tc>
          <w:tcPr>
            <w:tcW w:w="5395" w:type="dxa"/>
          </w:tcPr>
          <w:p w14:paraId="24A54F54" w14:textId="77777777" w:rsidR="004E27A4" w:rsidRDefault="00000000">
            <w:pPr>
              <w:pStyle w:val="-11"/>
              <w:numPr>
                <w:ilvl w:val="0"/>
                <w:numId w:val="6"/>
              </w:numPr>
              <w:tabs>
                <w:tab w:val="left" w:pos="851"/>
              </w:tabs>
              <w:spacing w:line="360" w:lineRule="auto"/>
              <w:ind w:firstLineChars="0"/>
              <w:jc w:val="left"/>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卫计委</w:t>
            </w:r>
            <w:r>
              <w:rPr>
                <w:rFonts w:ascii="Times New Roman" w:hAnsi="Times New Roman" w:cs="Times New Roman" w:hint="eastAsia"/>
                <w:color w:val="000000" w:themeColor="text1"/>
                <w:szCs w:val="21"/>
                <w:lang w:bidi="ar"/>
                <w14:ligatures w14:val="none"/>
              </w:rPr>
              <w:t>2017</w:t>
            </w:r>
            <w:r>
              <w:rPr>
                <w:rFonts w:ascii="Times New Roman" w:hAnsi="Times New Roman" w:cs="Times New Roman" w:hint="eastAsia"/>
                <w:color w:val="000000" w:themeColor="text1"/>
                <w:szCs w:val="21"/>
                <w:lang w:bidi="ar"/>
                <w14:ligatures w14:val="none"/>
              </w:rPr>
              <w:t>年第</w:t>
            </w:r>
            <w:r>
              <w:rPr>
                <w:rFonts w:ascii="Times New Roman" w:hAnsi="Times New Roman" w:cs="Times New Roman" w:hint="eastAsia"/>
                <w:color w:val="000000" w:themeColor="text1"/>
                <w:szCs w:val="21"/>
                <w:lang w:bidi="ar"/>
                <w14:ligatures w14:val="none"/>
              </w:rPr>
              <w:t>7</w:t>
            </w:r>
            <w:r>
              <w:rPr>
                <w:rFonts w:ascii="Times New Roman" w:hAnsi="Times New Roman" w:cs="Times New Roman" w:hint="eastAsia"/>
                <w:color w:val="000000" w:themeColor="text1"/>
                <w:szCs w:val="21"/>
                <w:lang w:bidi="ar"/>
                <w14:ligatures w14:val="none"/>
              </w:rPr>
              <w:t>号公告</w:t>
            </w:r>
          </w:p>
        </w:tc>
      </w:tr>
      <w:tr w:rsidR="004E27A4" w14:paraId="4A60C08E" w14:textId="77777777">
        <w:tc>
          <w:tcPr>
            <w:tcW w:w="1919" w:type="dxa"/>
            <w:vAlign w:val="center"/>
          </w:tcPr>
          <w:p w14:paraId="70F203F7"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磷脂酰丝氨酸</w:t>
            </w:r>
          </w:p>
          <w:p w14:paraId="309BE1BE"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mg/100g</w:t>
            </w:r>
            <w:r>
              <w:rPr>
                <w:rFonts w:ascii="Times New Roman" w:hAnsi="Times New Roman" w:cs="Times New Roman" w:hint="eastAsia"/>
                <w:color w:val="000000" w:themeColor="text1"/>
                <w:szCs w:val="21"/>
                <w:lang w:bidi="ar"/>
                <w14:ligatures w14:val="none"/>
              </w:rPr>
              <w:t>）</w:t>
            </w:r>
          </w:p>
        </w:tc>
        <w:tc>
          <w:tcPr>
            <w:tcW w:w="1186" w:type="dxa"/>
            <w:vAlign w:val="center"/>
          </w:tcPr>
          <w:p w14:paraId="672FFF4D"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600</w:t>
            </w:r>
          </w:p>
        </w:tc>
        <w:tc>
          <w:tcPr>
            <w:tcW w:w="5395" w:type="dxa"/>
          </w:tcPr>
          <w:p w14:paraId="3FEF4665" w14:textId="77777777" w:rsidR="004E27A4" w:rsidRDefault="00000000">
            <w:pPr>
              <w:pStyle w:val="-11"/>
              <w:numPr>
                <w:ilvl w:val="0"/>
                <w:numId w:val="7"/>
              </w:numPr>
              <w:tabs>
                <w:tab w:val="left" w:pos="851"/>
              </w:tabs>
              <w:spacing w:line="360" w:lineRule="auto"/>
              <w:ind w:firstLineChars="0"/>
              <w:jc w:val="left"/>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卫生部</w:t>
            </w:r>
            <w:r>
              <w:rPr>
                <w:rFonts w:ascii="Times New Roman" w:hAnsi="Times New Roman" w:cs="Times New Roman" w:hint="eastAsia"/>
                <w:color w:val="000000" w:themeColor="text1"/>
                <w:szCs w:val="21"/>
                <w:lang w:bidi="ar"/>
                <w14:ligatures w14:val="none"/>
              </w:rPr>
              <w:t>2010</w:t>
            </w:r>
            <w:r>
              <w:rPr>
                <w:rFonts w:ascii="Times New Roman" w:hAnsi="Times New Roman" w:cs="Times New Roman" w:hint="eastAsia"/>
                <w:color w:val="000000" w:themeColor="text1"/>
                <w:szCs w:val="21"/>
                <w:lang w:bidi="ar"/>
                <w14:ligatures w14:val="none"/>
              </w:rPr>
              <w:t>年第</w:t>
            </w:r>
            <w:r>
              <w:rPr>
                <w:rFonts w:ascii="Times New Roman" w:hAnsi="Times New Roman" w:cs="Times New Roman" w:hint="eastAsia"/>
                <w:color w:val="000000" w:themeColor="text1"/>
                <w:szCs w:val="21"/>
                <w:lang w:bidi="ar"/>
                <w14:ligatures w14:val="none"/>
              </w:rPr>
              <w:t>15</w:t>
            </w:r>
            <w:r>
              <w:rPr>
                <w:rFonts w:ascii="Times New Roman" w:hAnsi="Times New Roman" w:cs="Times New Roman" w:hint="eastAsia"/>
                <w:color w:val="000000" w:themeColor="text1"/>
                <w:szCs w:val="21"/>
                <w:lang w:bidi="ar"/>
                <w14:ligatures w14:val="none"/>
              </w:rPr>
              <w:t>号公告</w:t>
            </w:r>
          </w:p>
          <w:p w14:paraId="37621F8A" w14:textId="77777777" w:rsidR="004E27A4" w:rsidRDefault="00000000">
            <w:pPr>
              <w:pStyle w:val="-11"/>
              <w:numPr>
                <w:ilvl w:val="0"/>
                <w:numId w:val="7"/>
              </w:numPr>
              <w:tabs>
                <w:tab w:val="left" w:pos="851"/>
              </w:tabs>
              <w:spacing w:line="360" w:lineRule="auto"/>
              <w:ind w:firstLineChars="0"/>
              <w:jc w:val="left"/>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临床研究：</w:t>
            </w:r>
            <w:r>
              <w:rPr>
                <w:rFonts w:ascii="Times New Roman" w:hAnsi="Times New Roman" w:cs="Times New Roman" w:hint="eastAsia"/>
                <w:color w:val="000000" w:themeColor="text1"/>
                <w:szCs w:val="21"/>
                <w:lang w:bidi="ar"/>
                <w14:ligatures w14:val="none"/>
              </w:rPr>
              <w:t>3</w:t>
            </w:r>
            <w:r>
              <w:rPr>
                <w:rFonts w:ascii="Times New Roman" w:hAnsi="Times New Roman" w:cs="Times New Roman" w:hint="eastAsia"/>
                <w:color w:val="000000" w:themeColor="text1"/>
                <w:szCs w:val="21"/>
                <w:lang w:bidi="ar"/>
                <w14:ligatures w14:val="none"/>
              </w:rPr>
              <w:t>个月每天</w:t>
            </w:r>
            <w:r>
              <w:rPr>
                <w:rFonts w:ascii="Times New Roman" w:hAnsi="Times New Roman" w:cs="Times New Roman" w:hint="eastAsia"/>
                <w:color w:val="000000" w:themeColor="text1"/>
                <w:szCs w:val="21"/>
                <w:lang w:bidi="ar"/>
                <w14:ligatures w14:val="none"/>
              </w:rPr>
              <w:t xml:space="preserve"> 300 mg</w:t>
            </w:r>
            <w:r>
              <w:rPr>
                <w:rFonts w:ascii="Times New Roman" w:hAnsi="Times New Roman" w:cs="Times New Roman" w:hint="eastAsia"/>
                <w:color w:val="000000" w:themeColor="text1"/>
                <w:szCs w:val="21"/>
                <w:lang w:bidi="ar"/>
                <w14:ligatures w14:val="none"/>
              </w:rPr>
              <w:t>磷脂酰丝氨酸与</w:t>
            </w:r>
            <w:r>
              <w:rPr>
                <w:rFonts w:ascii="Times New Roman" w:hAnsi="Times New Roman" w:cs="Times New Roman" w:hint="eastAsia"/>
                <w:color w:val="000000" w:themeColor="text1"/>
                <w:szCs w:val="21"/>
                <w:lang w:bidi="ar"/>
                <w14:ligatures w14:val="none"/>
              </w:rPr>
              <w:t>240 mg</w:t>
            </w:r>
            <w:r>
              <w:rPr>
                <w:rFonts w:ascii="Times New Roman" w:hAnsi="Times New Roman" w:cs="Times New Roman" w:hint="eastAsia"/>
                <w:color w:val="000000" w:themeColor="text1"/>
                <w:szCs w:val="21"/>
                <w:lang w:bidi="ar"/>
                <w14:ligatures w14:val="none"/>
              </w:rPr>
              <w:t>磷脂</w:t>
            </w:r>
            <w:proofErr w:type="gramStart"/>
            <w:r>
              <w:rPr>
                <w:rFonts w:ascii="Times New Roman" w:hAnsi="Times New Roman" w:cs="Times New Roman" w:hint="eastAsia"/>
                <w:color w:val="000000" w:themeColor="text1"/>
                <w:szCs w:val="21"/>
                <w:lang w:bidi="ar"/>
                <w14:ligatures w14:val="none"/>
              </w:rPr>
              <w:t>酰</w:t>
            </w:r>
            <w:proofErr w:type="gramEnd"/>
            <w:r>
              <w:rPr>
                <w:rFonts w:ascii="Times New Roman" w:hAnsi="Times New Roman" w:cs="Times New Roman" w:hint="eastAsia"/>
                <w:color w:val="000000" w:themeColor="text1"/>
                <w:szCs w:val="21"/>
                <w:lang w:bidi="ar"/>
                <w14:ligatures w14:val="none"/>
              </w:rPr>
              <w:t>磷脂酸显着改善老年人记忆力与预防抑郁，维持认知功能</w:t>
            </w:r>
            <w:r>
              <w:rPr>
                <w:rFonts w:ascii="Times New Roman" w:hAnsi="Times New Roman" w:cs="Times New Roman" w:hint="eastAsia"/>
                <w:color w:val="000000" w:themeColor="text1"/>
                <w:szCs w:val="21"/>
                <w:vertAlign w:val="superscript"/>
                <w:lang w:bidi="ar"/>
                <w14:ligatures w14:val="none"/>
              </w:rPr>
              <w:fldChar w:fldCharType="begin"/>
            </w:r>
            <w:r>
              <w:rPr>
                <w:rFonts w:ascii="Times New Roman" w:hAnsi="Times New Roman" w:cs="Times New Roman" w:hint="eastAsia"/>
                <w:color w:val="000000" w:themeColor="text1"/>
                <w:szCs w:val="21"/>
                <w:vertAlign w:val="superscript"/>
                <w:lang w:bidi="ar"/>
                <w14:ligatures w14:val="none"/>
              </w:rPr>
              <w:instrText xml:space="preserve"> ADDIN EN.CITE &lt;EndNote&gt;&lt;Cite&gt;&lt;Author&gt;More&lt;/Author&gt;&lt;Year&gt;2014&lt;/Year&gt;&lt;RecNum&gt;523&lt;/RecNum&gt;&lt;DisplayText&gt;[4]&lt;/DisplayText&gt;&lt;record&gt;&lt;rec-number&gt;523&lt;/rec-number&gt;&lt;foreign-keys&gt;&lt;key app="EN" db-id="atdw2tzampzp0wevsf3vswznrz25d52edar9" timestamp="1724816322"&gt;523&lt;/key&gt;&lt;/foreign-keys&gt;&lt;ref-type name="Journal Article"&gt;17&lt;/ref-type&gt;&lt;contributors&gt;&lt;authors&gt;&lt;author&gt;More, Margret I.&lt;/author&gt;&lt;author&gt;Freitas, Ulla&lt;/author&gt;&lt;author&gt;Rutenberg, David&lt;/author&gt;&lt;/authors&gt;&lt;/contributors&gt;&lt;titles&gt;&lt;title&gt;Positive Effects of Soy Lecithin-Derived Phosphatidylserine plus Phosphatidic Acid on Memory, Cognition, Daily Functioning, and Mood in Elderly Patients with Alzheimer&amp;apos;s Disease and Dementia&lt;/title&gt;&lt;secondary-title&gt;Advances in Therapy&lt;/secondary-title&gt;&lt;/titles&gt;&lt;periodical&gt;&lt;full-title&gt;Advances in Therapy&lt;/full-title&gt;&lt;/periodical&gt;&lt;pages&gt;1247-1262&lt;/pages&gt;&lt;volume&gt;31&lt;/volume&gt;&lt;number&gt;12&lt;/number&gt;&lt;dates&gt;&lt;year&gt;2014&lt;/year&gt;&lt;pub-dates&gt;&lt;date&gt;Dec&lt;/date&gt;&lt;/pub-dates&gt;&lt;/dates&gt;&lt;isbn&gt;0741-238X&lt;/isbn&gt;&lt;accession-num&gt;WOS:000346650500004&lt;/accession-num&gt;&lt;work-type&gt;Article&lt;/work-type&gt;&lt;urls&gt;&lt;related-urls&gt;&lt;url&gt;&amp;lt;Go to ISI&amp;gt;://WOS:000346650500004&lt;/url&gt;&lt;/related-urls&gt;&lt;/urls&gt;&lt;electronic-resource-num&gt;10.1007/s12325-014-0165-1&lt;/electronic-resource-num&gt;&lt;/record&gt;&lt;/Cite&gt;&lt;/EndNote&gt;</w:instrText>
            </w:r>
            <w:r>
              <w:rPr>
                <w:rFonts w:ascii="Times New Roman" w:hAnsi="Times New Roman" w:cs="Times New Roman" w:hint="eastAsia"/>
                <w:color w:val="000000" w:themeColor="text1"/>
                <w:szCs w:val="21"/>
                <w:vertAlign w:val="superscript"/>
                <w:lang w:bidi="ar"/>
                <w14:ligatures w14:val="none"/>
              </w:rPr>
              <w:fldChar w:fldCharType="separate"/>
            </w:r>
            <w:r>
              <w:rPr>
                <w:rFonts w:ascii="Times New Roman" w:hAnsi="Times New Roman" w:cs="Times New Roman" w:hint="eastAsia"/>
                <w:color w:val="000000" w:themeColor="text1"/>
                <w:szCs w:val="21"/>
                <w:vertAlign w:val="superscript"/>
                <w:lang w:bidi="ar"/>
                <w14:ligatures w14:val="none"/>
              </w:rPr>
              <w:t>[4]</w:t>
            </w:r>
            <w:r>
              <w:rPr>
                <w:rFonts w:ascii="Times New Roman" w:hAnsi="Times New Roman" w:cs="Times New Roman" w:hint="eastAsia"/>
                <w:color w:val="000000" w:themeColor="text1"/>
                <w:szCs w:val="21"/>
                <w:vertAlign w:val="superscript"/>
                <w:lang w:bidi="ar"/>
                <w14:ligatures w14:val="none"/>
              </w:rPr>
              <w:fldChar w:fldCharType="end"/>
            </w:r>
          </w:p>
        </w:tc>
      </w:tr>
      <w:tr w:rsidR="004E27A4" w14:paraId="71225513" w14:textId="77777777">
        <w:tc>
          <w:tcPr>
            <w:tcW w:w="1919" w:type="dxa"/>
            <w:vAlign w:val="center"/>
          </w:tcPr>
          <w:p w14:paraId="4C8AC2DD"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植物甾醇</w:t>
            </w:r>
            <w:proofErr w:type="gramStart"/>
            <w:r>
              <w:rPr>
                <w:rFonts w:ascii="Times New Roman" w:hAnsi="Times New Roman" w:cs="Times New Roman" w:hint="eastAsia"/>
                <w:color w:val="000000" w:themeColor="text1"/>
                <w:szCs w:val="21"/>
                <w:lang w:bidi="ar"/>
                <w14:ligatures w14:val="none"/>
              </w:rPr>
              <w:t>酯</w:t>
            </w:r>
            <w:proofErr w:type="gramEnd"/>
          </w:p>
          <w:p w14:paraId="427BB417"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g/100g</w:t>
            </w:r>
            <w:r>
              <w:rPr>
                <w:rFonts w:ascii="Times New Roman" w:hAnsi="Times New Roman" w:cs="Times New Roman" w:hint="eastAsia"/>
                <w:color w:val="000000" w:themeColor="text1"/>
                <w:szCs w:val="21"/>
                <w:lang w:bidi="ar"/>
                <w14:ligatures w14:val="none"/>
              </w:rPr>
              <w:t>）</w:t>
            </w:r>
          </w:p>
        </w:tc>
        <w:tc>
          <w:tcPr>
            <w:tcW w:w="1186" w:type="dxa"/>
            <w:vAlign w:val="center"/>
          </w:tcPr>
          <w:p w14:paraId="1EB8BBE3"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3.9</w:t>
            </w:r>
          </w:p>
        </w:tc>
        <w:tc>
          <w:tcPr>
            <w:tcW w:w="5395" w:type="dxa"/>
          </w:tcPr>
          <w:p w14:paraId="43F18937" w14:textId="77777777" w:rsidR="004E27A4" w:rsidRDefault="00000000">
            <w:pPr>
              <w:pStyle w:val="-11"/>
              <w:numPr>
                <w:ilvl w:val="0"/>
                <w:numId w:val="8"/>
              </w:numPr>
              <w:tabs>
                <w:tab w:val="left" w:pos="851"/>
              </w:tabs>
              <w:spacing w:line="360" w:lineRule="auto"/>
              <w:ind w:firstLineChars="0"/>
              <w:jc w:val="left"/>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卫生部</w:t>
            </w:r>
            <w:r>
              <w:rPr>
                <w:rFonts w:ascii="Times New Roman" w:hAnsi="Times New Roman" w:cs="Times New Roman" w:hint="eastAsia"/>
                <w:color w:val="000000" w:themeColor="text1"/>
                <w:szCs w:val="21"/>
                <w:lang w:bidi="ar"/>
                <w14:ligatures w14:val="none"/>
              </w:rPr>
              <w:t>2010</w:t>
            </w:r>
            <w:r>
              <w:rPr>
                <w:rFonts w:ascii="Times New Roman" w:hAnsi="Times New Roman" w:cs="Times New Roman" w:hint="eastAsia"/>
                <w:color w:val="000000" w:themeColor="text1"/>
                <w:szCs w:val="21"/>
                <w:lang w:bidi="ar"/>
                <w14:ligatures w14:val="none"/>
              </w:rPr>
              <w:t>年第</w:t>
            </w:r>
            <w:r>
              <w:rPr>
                <w:rFonts w:ascii="Times New Roman" w:hAnsi="Times New Roman" w:cs="Times New Roman" w:hint="eastAsia"/>
                <w:color w:val="000000" w:themeColor="text1"/>
                <w:szCs w:val="21"/>
                <w:lang w:bidi="ar"/>
                <w14:ligatures w14:val="none"/>
              </w:rPr>
              <w:t>3</w:t>
            </w:r>
            <w:r>
              <w:rPr>
                <w:rFonts w:ascii="Times New Roman" w:hAnsi="Times New Roman" w:cs="Times New Roman" w:hint="eastAsia"/>
                <w:color w:val="000000" w:themeColor="text1"/>
                <w:szCs w:val="21"/>
                <w:lang w:bidi="ar"/>
                <w14:ligatures w14:val="none"/>
              </w:rPr>
              <w:t>号公告</w:t>
            </w:r>
          </w:p>
          <w:p w14:paraId="300CABAA" w14:textId="77777777" w:rsidR="004E27A4" w:rsidRDefault="00000000">
            <w:pPr>
              <w:pStyle w:val="-11"/>
              <w:numPr>
                <w:ilvl w:val="0"/>
                <w:numId w:val="8"/>
              </w:numPr>
              <w:tabs>
                <w:tab w:val="left" w:pos="851"/>
              </w:tabs>
              <w:spacing w:line="360" w:lineRule="auto"/>
              <w:ind w:firstLineChars="0"/>
              <w:jc w:val="left"/>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临床研究：</w:t>
            </w:r>
            <w:r>
              <w:rPr>
                <w:rFonts w:ascii="Times New Roman" w:hAnsi="Times New Roman" w:cs="Times New Roman" w:hint="eastAsia"/>
                <w:color w:val="000000" w:themeColor="text1"/>
                <w:szCs w:val="21"/>
                <w:lang w:bidi="ar"/>
                <w14:ligatures w14:val="none"/>
              </w:rPr>
              <w:t>6</w:t>
            </w:r>
            <w:r>
              <w:rPr>
                <w:rFonts w:ascii="Times New Roman" w:hAnsi="Times New Roman" w:cs="Times New Roman" w:hint="eastAsia"/>
                <w:color w:val="000000" w:themeColor="text1"/>
                <w:szCs w:val="21"/>
                <w:lang w:bidi="ar"/>
                <w14:ligatures w14:val="none"/>
              </w:rPr>
              <w:t>周每天摄入</w:t>
            </w:r>
            <w:r>
              <w:rPr>
                <w:rFonts w:ascii="Times New Roman" w:hAnsi="Times New Roman" w:cs="Times New Roman" w:hint="eastAsia"/>
                <w:color w:val="000000" w:themeColor="text1"/>
                <w:szCs w:val="21"/>
                <w:lang w:bidi="ar"/>
                <w14:ligatures w14:val="none"/>
              </w:rPr>
              <w:t>2.5g</w:t>
            </w:r>
            <w:r>
              <w:rPr>
                <w:rFonts w:ascii="Times New Roman" w:hAnsi="Times New Roman" w:cs="Times New Roman" w:hint="eastAsia"/>
                <w:color w:val="000000" w:themeColor="text1"/>
                <w:szCs w:val="21"/>
                <w:lang w:bidi="ar"/>
                <w14:ligatures w14:val="none"/>
              </w:rPr>
              <w:t>植物</w:t>
            </w:r>
            <w:proofErr w:type="gramStart"/>
            <w:r>
              <w:rPr>
                <w:rFonts w:ascii="Times New Roman" w:hAnsi="Times New Roman" w:cs="Times New Roman" w:hint="eastAsia"/>
                <w:color w:val="000000" w:themeColor="text1"/>
                <w:szCs w:val="21"/>
                <w:lang w:bidi="ar"/>
                <w14:ligatures w14:val="none"/>
              </w:rPr>
              <w:t>甾醇酯可有效</w:t>
            </w:r>
            <w:proofErr w:type="gramEnd"/>
            <w:r>
              <w:rPr>
                <w:rFonts w:ascii="Times New Roman" w:hAnsi="Times New Roman" w:cs="Times New Roman" w:hint="eastAsia"/>
                <w:color w:val="000000" w:themeColor="text1"/>
                <w:szCs w:val="21"/>
                <w:lang w:bidi="ar"/>
                <w14:ligatures w14:val="none"/>
              </w:rPr>
              <w:t>降低高胆固醇血症老年人</w:t>
            </w:r>
            <w:r>
              <w:rPr>
                <w:rFonts w:ascii="Times New Roman" w:hAnsi="Times New Roman" w:cs="Times New Roman"/>
                <w:color w:val="000000" w:themeColor="text1"/>
                <w:szCs w:val="21"/>
                <w:lang w:bidi="ar"/>
                <w14:ligatures w14:val="none"/>
              </w:rPr>
              <w:t>LDL-C</w:t>
            </w:r>
            <w:r>
              <w:rPr>
                <w:rFonts w:ascii="Times New Roman" w:hAnsi="Times New Roman" w:cs="Times New Roman" w:hint="eastAsia"/>
                <w:color w:val="000000" w:themeColor="text1"/>
                <w:szCs w:val="21"/>
                <w:lang w:bidi="ar"/>
                <w14:ligatures w14:val="none"/>
              </w:rPr>
              <w:t>、总胆固醇水平</w:t>
            </w:r>
            <w:r>
              <w:rPr>
                <w:rFonts w:ascii="Times New Roman" w:hAnsi="Times New Roman" w:cs="Times New Roman" w:hint="eastAsia"/>
                <w:color w:val="000000" w:themeColor="text1"/>
                <w:szCs w:val="21"/>
                <w:vertAlign w:val="superscript"/>
                <w:lang w:bidi="ar"/>
                <w14:ligatures w14:val="none"/>
              </w:rPr>
              <w:fldChar w:fldCharType="begin"/>
            </w:r>
            <w:r>
              <w:rPr>
                <w:rFonts w:ascii="Times New Roman" w:hAnsi="Times New Roman" w:cs="Times New Roman" w:hint="eastAsia"/>
                <w:color w:val="000000" w:themeColor="text1"/>
                <w:szCs w:val="21"/>
                <w:vertAlign w:val="superscript"/>
                <w:lang w:bidi="ar"/>
                <w14:ligatures w14:val="none"/>
              </w:rPr>
              <w:instrText xml:space="preserve"> ADDIN EN.CITE &lt;EndNote&gt;&lt;Cite&gt;&lt;Author&gt;Sun&lt;/Author&gt;&lt;Year&gt;2014&lt;/Year&gt;&lt;RecNum&gt;524&lt;/RecNum&gt;&lt;DisplayText&gt;[5]&lt;/DisplayText&gt;&lt;record&gt;&lt;rec-number&gt;524&lt;/rec-number&gt;&lt;foreign-keys&gt;&lt;key app="EN" db-id="atdw2tzampzp0wevsf3vswznrz25d52edar9" timestamp="1724816864"&gt;524&lt;/key&gt;&lt;/foreign-keys&gt;&lt;ref-type name="Journal Article"&gt;17&lt;/ref-type&gt;&lt;contributors&gt;&lt;authors&gt;&lt;author&gt;Sun, Jianqin&lt;/author&gt;&lt;author&gt;Xu, Danfeng&lt;/author&gt;&lt;author&gt;Xie, Hua&lt;/author&gt;&lt;author&gt;Wang, Yan&lt;/author&gt;&lt;author&gt;Chen, Min&lt;/author&gt;&lt;author&gt;Chang, Xifeng&lt;/author&gt;&lt;author&gt;Pan, Yiru&lt;/author&gt;&lt;author&gt;Liu, Yuan&lt;/author&gt;&lt;author&gt;Xue, Huijun&lt;/author&gt;&lt;author&gt;Zhao, Hu&lt;/author&gt;&lt;author&gt;Chen, Yanqiu&lt;/author&gt;&lt;author&gt;Xiao, Fei&lt;/author&gt;&lt;/authors&gt;&lt;/contributors&gt;&lt;titles&gt;&lt;title&gt;Low fat milk powder containing esterified plant sterols improves the blood lipid profile of adults with hypercholesterolemia&lt;/title&gt;&lt;secondary-title&gt;Zhonghua xin xue guan bing za zhi&lt;/secondary-title&gt;&lt;/titles&gt;&lt;periodical&gt;&lt;full-title&gt;Zhonghua xin xue guan bing za zhi&lt;/full-title&gt;&lt;/periodical&gt;&lt;pages&gt;588-92&lt;/pages&gt;&lt;volume&gt;42&lt;/volume&gt;&lt;number&gt;7&lt;/number&gt;&lt;dates&gt;&lt;year&gt;2014&lt;/year&gt;&lt;pub-dates&gt;&lt;date&gt;2014-Jul&lt;/date&gt;&lt;/pub-dates&gt;&lt;/dates&gt;&lt;isbn&gt;0253-3758&lt;/isbn&gt;&lt;accession-num&gt;MEDLINE:25327602&lt;/accession-num&gt;&lt;work-type&gt;Historical Article; ; Randomized Controlled Trial&lt;/work-type&gt;&lt;urls&gt;&lt;related-urls&gt;&lt;url&gt;&amp;lt;Go to ISI&amp;gt;://MEDLINE:25327602&lt;/url&gt;&lt;/related-urls&gt;&lt;/urls&gt;&lt;/record&gt;&lt;/Cite&gt;&lt;/EndNote&gt;</w:instrText>
            </w:r>
            <w:r>
              <w:rPr>
                <w:rFonts w:ascii="Times New Roman" w:hAnsi="Times New Roman" w:cs="Times New Roman" w:hint="eastAsia"/>
                <w:color w:val="000000" w:themeColor="text1"/>
                <w:szCs w:val="21"/>
                <w:vertAlign w:val="superscript"/>
                <w:lang w:bidi="ar"/>
                <w14:ligatures w14:val="none"/>
              </w:rPr>
              <w:fldChar w:fldCharType="separate"/>
            </w:r>
            <w:r>
              <w:rPr>
                <w:rFonts w:ascii="Times New Roman" w:hAnsi="Times New Roman" w:cs="Times New Roman" w:hint="eastAsia"/>
                <w:color w:val="000000" w:themeColor="text1"/>
                <w:szCs w:val="21"/>
                <w:vertAlign w:val="superscript"/>
                <w:lang w:bidi="ar"/>
                <w14:ligatures w14:val="none"/>
              </w:rPr>
              <w:t>[5]</w:t>
            </w:r>
            <w:r>
              <w:rPr>
                <w:rFonts w:ascii="Times New Roman" w:hAnsi="Times New Roman" w:cs="Times New Roman" w:hint="eastAsia"/>
                <w:color w:val="000000" w:themeColor="text1"/>
                <w:szCs w:val="21"/>
                <w:vertAlign w:val="superscript"/>
                <w:lang w:bidi="ar"/>
                <w14:ligatures w14:val="none"/>
              </w:rPr>
              <w:fldChar w:fldCharType="end"/>
            </w:r>
          </w:p>
        </w:tc>
      </w:tr>
      <w:tr w:rsidR="004E27A4" w14:paraId="113E0065" w14:textId="77777777">
        <w:tc>
          <w:tcPr>
            <w:tcW w:w="1919" w:type="dxa"/>
            <w:vAlign w:val="center"/>
          </w:tcPr>
          <w:p w14:paraId="4C322BEC"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lastRenderedPageBreak/>
              <w:t>叶黄素</w:t>
            </w:r>
            <w:proofErr w:type="gramStart"/>
            <w:r>
              <w:rPr>
                <w:rFonts w:ascii="Times New Roman" w:hAnsi="Times New Roman" w:cs="Times New Roman" w:hint="eastAsia"/>
                <w:color w:val="000000" w:themeColor="text1"/>
                <w:szCs w:val="21"/>
                <w:lang w:bidi="ar"/>
                <w14:ligatures w14:val="none"/>
              </w:rPr>
              <w:t>酯</w:t>
            </w:r>
            <w:proofErr w:type="gramEnd"/>
          </w:p>
          <w:p w14:paraId="23AAC2E2"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mg/100g</w:t>
            </w:r>
            <w:r>
              <w:rPr>
                <w:rFonts w:ascii="Times New Roman" w:hAnsi="Times New Roman" w:cs="Times New Roman" w:hint="eastAsia"/>
                <w:color w:val="000000" w:themeColor="text1"/>
                <w:szCs w:val="21"/>
                <w:lang w:bidi="ar"/>
                <w14:ligatures w14:val="none"/>
              </w:rPr>
              <w:t>）</w:t>
            </w:r>
          </w:p>
        </w:tc>
        <w:tc>
          <w:tcPr>
            <w:tcW w:w="1186" w:type="dxa"/>
            <w:vAlign w:val="center"/>
          </w:tcPr>
          <w:p w14:paraId="6903305D" w14:textId="77777777" w:rsidR="004E27A4" w:rsidRDefault="00000000">
            <w:pPr>
              <w:pStyle w:val="-11"/>
              <w:numPr>
                <w:ilvl w:val="255"/>
                <w:numId w:val="0"/>
              </w:numPr>
              <w:tabs>
                <w:tab w:val="left" w:pos="851"/>
              </w:tabs>
              <w:spacing w:line="360" w:lineRule="auto"/>
              <w:jc w:val="center"/>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12</w:t>
            </w:r>
          </w:p>
        </w:tc>
        <w:tc>
          <w:tcPr>
            <w:tcW w:w="5395" w:type="dxa"/>
          </w:tcPr>
          <w:p w14:paraId="60874457" w14:textId="77777777" w:rsidR="004E27A4" w:rsidRDefault="00000000">
            <w:pPr>
              <w:pStyle w:val="-11"/>
              <w:numPr>
                <w:ilvl w:val="0"/>
                <w:numId w:val="9"/>
              </w:numPr>
              <w:tabs>
                <w:tab w:val="left" w:pos="851"/>
              </w:tabs>
              <w:spacing w:line="360" w:lineRule="auto"/>
              <w:ind w:firstLineChars="0"/>
              <w:jc w:val="left"/>
              <w:rPr>
                <w:rFonts w:ascii="Times New Roman" w:hAnsi="Times New Roman" w:cs="Times New Roman"/>
                <w:color w:val="000000" w:themeColor="text1"/>
                <w:szCs w:val="21"/>
                <w:lang w:bidi="ar"/>
                <w14:ligatures w14:val="none"/>
              </w:rPr>
            </w:pPr>
            <w:proofErr w:type="gramStart"/>
            <w:r>
              <w:rPr>
                <w:rFonts w:ascii="Times New Roman" w:hAnsi="Times New Roman" w:cs="Times New Roman" w:hint="eastAsia"/>
                <w:color w:val="000000" w:themeColor="text1"/>
                <w:szCs w:val="21"/>
                <w:lang w:bidi="ar"/>
                <w14:ligatures w14:val="none"/>
              </w:rPr>
              <w:t>卫健委</w:t>
            </w:r>
            <w:r>
              <w:rPr>
                <w:rFonts w:ascii="Times New Roman" w:hAnsi="Times New Roman" w:cs="Times New Roman" w:hint="eastAsia"/>
                <w:color w:val="000000" w:themeColor="text1"/>
                <w:szCs w:val="21"/>
                <w:lang w:bidi="ar"/>
                <w14:ligatures w14:val="none"/>
              </w:rPr>
              <w:t>2008</w:t>
            </w:r>
            <w:r>
              <w:rPr>
                <w:rFonts w:ascii="Times New Roman" w:hAnsi="Times New Roman" w:cs="Times New Roman" w:hint="eastAsia"/>
                <w:color w:val="000000" w:themeColor="text1"/>
                <w:szCs w:val="21"/>
                <w:lang w:bidi="ar"/>
                <w14:ligatures w14:val="none"/>
              </w:rPr>
              <w:t>年</w:t>
            </w:r>
            <w:proofErr w:type="gramEnd"/>
            <w:r>
              <w:rPr>
                <w:rFonts w:ascii="Times New Roman" w:hAnsi="Times New Roman" w:cs="Times New Roman" w:hint="eastAsia"/>
                <w:color w:val="000000" w:themeColor="text1"/>
                <w:szCs w:val="21"/>
                <w:lang w:bidi="ar"/>
                <w14:ligatures w14:val="none"/>
              </w:rPr>
              <w:t>第</w:t>
            </w:r>
            <w:r>
              <w:rPr>
                <w:rFonts w:ascii="Times New Roman" w:hAnsi="Times New Roman" w:cs="Times New Roman" w:hint="eastAsia"/>
                <w:color w:val="000000" w:themeColor="text1"/>
                <w:szCs w:val="21"/>
                <w:lang w:bidi="ar"/>
                <w14:ligatures w14:val="none"/>
              </w:rPr>
              <w:t>12</w:t>
            </w:r>
            <w:r>
              <w:rPr>
                <w:rFonts w:ascii="Times New Roman" w:hAnsi="Times New Roman" w:cs="Times New Roman" w:hint="eastAsia"/>
                <w:color w:val="000000" w:themeColor="text1"/>
                <w:szCs w:val="21"/>
                <w:lang w:bidi="ar"/>
                <w14:ligatures w14:val="none"/>
              </w:rPr>
              <w:t>号公告</w:t>
            </w:r>
          </w:p>
          <w:p w14:paraId="3A635EF0" w14:textId="77777777" w:rsidR="004E27A4" w:rsidRDefault="00000000">
            <w:pPr>
              <w:pStyle w:val="-11"/>
              <w:numPr>
                <w:ilvl w:val="0"/>
                <w:numId w:val="9"/>
              </w:numPr>
              <w:tabs>
                <w:tab w:val="left" w:pos="851"/>
              </w:tabs>
              <w:spacing w:line="360" w:lineRule="auto"/>
              <w:ind w:firstLineChars="0"/>
              <w:jc w:val="left"/>
              <w:rPr>
                <w:rFonts w:ascii="Times New Roman" w:hAnsi="Times New Roman" w:cs="Times New Roman"/>
                <w:color w:val="000000" w:themeColor="text1"/>
                <w:szCs w:val="21"/>
                <w:lang w:bidi="ar"/>
                <w14:ligatures w14:val="none"/>
              </w:rPr>
            </w:pPr>
            <w:r>
              <w:rPr>
                <w:rFonts w:ascii="Times New Roman" w:hAnsi="Times New Roman" w:cs="Times New Roman" w:hint="eastAsia"/>
                <w:color w:val="000000" w:themeColor="text1"/>
                <w:szCs w:val="21"/>
                <w:lang w:bidi="ar"/>
                <w14:ligatures w14:val="none"/>
              </w:rPr>
              <w:t>临床研究：</w:t>
            </w:r>
            <w:r>
              <w:rPr>
                <w:rFonts w:ascii="Times New Roman" w:hAnsi="Times New Roman" w:cs="Times New Roman" w:hint="eastAsia"/>
                <w:color w:val="000000" w:themeColor="text1"/>
                <w:szCs w:val="21"/>
                <w:lang w:bidi="ar"/>
                <w14:ligatures w14:val="none"/>
              </w:rPr>
              <w:t>6</w:t>
            </w:r>
            <w:r>
              <w:rPr>
                <w:rFonts w:ascii="Times New Roman" w:hAnsi="Times New Roman" w:cs="Times New Roman" w:hint="eastAsia"/>
                <w:color w:val="000000" w:themeColor="text1"/>
                <w:szCs w:val="21"/>
                <w:lang w:bidi="ar"/>
                <w14:ligatures w14:val="none"/>
              </w:rPr>
              <w:t>周每天摄入</w:t>
            </w:r>
            <w:r>
              <w:rPr>
                <w:rFonts w:ascii="Times New Roman" w:hAnsi="Times New Roman" w:cs="Times New Roman" w:hint="eastAsia"/>
                <w:color w:val="000000" w:themeColor="text1"/>
                <w:szCs w:val="21"/>
                <w:lang w:bidi="ar"/>
                <w14:ligatures w14:val="none"/>
              </w:rPr>
              <w:t>10mg</w:t>
            </w:r>
            <w:r>
              <w:rPr>
                <w:rFonts w:ascii="Times New Roman" w:hAnsi="Times New Roman" w:cs="Times New Roman" w:hint="eastAsia"/>
                <w:color w:val="000000" w:themeColor="text1"/>
                <w:szCs w:val="21"/>
                <w:lang w:bidi="ar"/>
                <w14:ligatures w14:val="none"/>
              </w:rPr>
              <w:t>叶黄素可有效改善视觉准确性</w:t>
            </w:r>
            <w:r>
              <w:rPr>
                <w:rFonts w:ascii="Times New Roman" w:hAnsi="Times New Roman" w:cs="Times New Roman" w:hint="eastAsia"/>
                <w:color w:val="000000" w:themeColor="text1"/>
                <w:szCs w:val="21"/>
                <w:vertAlign w:val="superscript"/>
                <w:lang w:bidi="ar"/>
                <w14:ligatures w14:val="none"/>
              </w:rPr>
              <w:fldChar w:fldCharType="begin"/>
            </w:r>
            <w:r>
              <w:rPr>
                <w:rFonts w:ascii="Times New Roman" w:hAnsi="Times New Roman" w:cs="Times New Roman" w:hint="eastAsia"/>
                <w:color w:val="000000" w:themeColor="text1"/>
                <w:szCs w:val="21"/>
                <w:vertAlign w:val="superscript"/>
                <w:lang w:bidi="ar"/>
                <w14:ligatures w14:val="none"/>
              </w:rPr>
              <w:instrText xml:space="preserve"> ADDIN EN.CITE &lt;EndNote&gt;&lt;Cite&gt;&lt;Author&gt;Murray&lt;/Author&gt;&lt;Year&gt;2013&lt;/Year&gt;&lt;RecNum&gt;384&lt;/RecNum&gt;&lt;DisplayText&gt;[6]&lt;/DisplayText&gt;&lt;record&gt;&lt;rec-number&gt;384&lt;/rec-number&gt;&lt;foreign-keys&gt;&lt;key app="EN" db-id="atdw2tzampzp0wevsf3vswznrz25d52edar9" timestamp="1705541826"&gt;384&lt;/key&gt;&lt;/foreign-keys&gt;&lt;ref-type name="Journal Article"&gt;17&lt;/ref-type&gt;&lt;contributors&gt;&lt;authors&gt;&lt;author&gt;Murray, I. J.&lt;/author&gt;&lt;author&gt;Makridaki, M.&lt;/author&gt;&lt;author&gt;van der Veen, R. L. P.&lt;/author&gt;&lt;author&gt;Carden, D.&lt;/author&gt;&lt;author&gt;Parry, N. R. A.&lt;/author&gt;&lt;author&gt;Berendschot, Ttjm&lt;/author&gt;&lt;/authors&gt;&lt;/contributors&gt;&lt;titles&gt;&lt;title&gt;Lutein supplementation over a one-year period in early AMD might have a mild beneficial effect on visual acuity: The CLEAR study&lt;/title&gt;&lt;secondary-title&gt;Invest. Ophthalmol. Vis. Sci.&lt;/secondary-title&gt;&lt;/titles&gt;&lt;periodical&gt;&lt;full-title&gt;Invest. Ophthalmol. Vis. Sci.&lt;/full-title&gt;&lt;/periodical&gt;&lt;pages&gt;1781-1788&lt;/pages&gt;&lt;volume&gt;54&lt;/volume&gt;&lt;number&gt;3&lt;/number&gt;&lt;dates&gt;&lt;year&gt;2013&lt;/year&gt;&lt;pub-dates&gt;&lt;date&gt;Mar&lt;/date&gt;&lt;/pub-dates&gt;&lt;/dates&gt;&lt;isbn&gt;0146-0404&lt;/isbn&gt;&lt;accession-num&gt;WOS:000316942400028&lt;/accession-num&gt;&lt;urls&gt;&lt;related-urls&gt;&lt;url&gt;&lt;style face="underline" font="default" size="100%"&gt;&amp;lt;Go to ISI&amp;gt;://WOS:000316942400028&lt;/style&gt;&lt;/url&gt;&lt;/related-urls&gt;&lt;/urls&gt;&lt;/record&gt;&lt;/Cite&gt;&lt;/EndNote&gt;</w:instrText>
            </w:r>
            <w:r>
              <w:rPr>
                <w:rFonts w:ascii="Times New Roman" w:hAnsi="Times New Roman" w:cs="Times New Roman" w:hint="eastAsia"/>
                <w:color w:val="000000" w:themeColor="text1"/>
                <w:szCs w:val="21"/>
                <w:vertAlign w:val="superscript"/>
                <w:lang w:bidi="ar"/>
                <w14:ligatures w14:val="none"/>
              </w:rPr>
              <w:fldChar w:fldCharType="separate"/>
            </w:r>
            <w:r>
              <w:rPr>
                <w:rFonts w:ascii="Times New Roman" w:hAnsi="Times New Roman" w:cs="Times New Roman" w:hint="eastAsia"/>
                <w:color w:val="000000" w:themeColor="text1"/>
                <w:szCs w:val="21"/>
                <w:vertAlign w:val="superscript"/>
                <w:lang w:bidi="ar"/>
                <w14:ligatures w14:val="none"/>
              </w:rPr>
              <w:t>[6]</w:t>
            </w:r>
            <w:r>
              <w:rPr>
                <w:rFonts w:ascii="Times New Roman" w:hAnsi="Times New Roman" w:cs="Times New Roman" w:hint="eastAsia"/>
                <w:color w:val="000000" w:themeColor="text1"/>
                <w:szCs w:val="21"/>
                <w:vertAlign w:val="superscript"/>
                <w:lang w:bidi="ar"/>
                <w14:ligatures w14:val="none"/>
              </w:rPr>
              <w:fldChar w:fldCharType="end"/>
            </w:r>
            <w:r>
              <w:rPr>
                <w:rFonts w:ascii="Times New Roman" w:hAnsi="Times New Roman" w:cs="Times New Roman" w:hint="eastAsia"/>
                <w:color w:val="000000" w:themeColor="text1"/>
                <w:szCs w:val="21"/>
                <w:lang w:bidi="ar"/>
                <w14:ligatures w14:val="none"/>
              </w:rPr>
              <w:t>；两年每周三次摄入</w:t>
            </w:r>
            <w:r>
              <w:rPr>
                <w:rFonts w:ascii="Times New Roman" w:hAnsi="Times New Roman" w:cs="Times New Roman" w:hint="eastAsia"/>
                <w:color w:val="000000" w:themeColor="text1"/>
                <w:szCs w:val="21"/>
                <w:lang w:bidi="ar"/>
                <w14:ligatures w14:val="none"/>
              </w:rPr>
              <w:t>15mg</w:t>
            </w:r>
            <w:r>
              <w:rPr>
                <w:rFonts w:ascii="Times New Roman" w:hAnsi="Times New Roman" w:cs="Times New Roman" w:hint="eastAsia"/>
                <w:color w:val="000000" w:themeColor="text1"/>
                <w:szCs w:val="21"/>
                <w:lang w:bidi="ar"/>
                <w14:ligatures w14:val="none"/>
              </w:rPr>
              <w:t>叶黄素可有效改善白内障患者视觉功能</w:t>
            </w:r>
            <w:r>
              <w:rPr>
                <w:rFonts w:ascii="Times New Roman" w:hAnsi="Times New Roman" w:cs="Times New Roman" w:hint="eastAsia"/>
                <w:color w:val="000000" w:themeColor="text1"/>
                <w:szCs w:val="21"/>
                <w:vertAlign w:val="superscript"/>
                <w:lang w:bidi="ar"/>
                <w14:ligatures w14:val="none"/>
              </w:rPr>
              <w:fldChar w:fldCharType="begin"/>
            </w:r>
            <w:r>
              <w:rPr>
                <w:rFonts w:ascii="Times New Roman" w:hAnsi="Times New Roman" w:cs="Times New Roman" w:hint="eastAsia"/>
                <w:color w:val="000000" w:themeColor="text1"/>
                <w:szCs w:val="21"/>
                <w:vertAlign w:val="superscript"/>
                <w:lang w:bidi="ar"/>
                <w14:ligatures w14:val="none"/>
              </w:rPr>
              <w:instrText xml:space="preserve"> ADDIN EN.CITE &lt;EndNote&gt;&lt;Cite&gt;&lt;Author&gt;Olmedilla&lt;/Author&gt;&lt;Year&gt;2003&lt;/Year&gt;&lt;RecNum&gt;499&lt;/RecNum&gt;&lt;DisplayText&gt;[7]&lt;/DisplayText&gt;&lt;record&gt;&lt;rec-number&gt;499&lt;/rec-number&gt;&lt;foreign-keys&gt;&lt;key app="EN" db-id="atdw2tzampzp0wevsf3vswznrz25d52edar9" timestamp="1723632988"&gt;499&lt;/key&gt;&lt;/foreign-keys&gt;&lt;ref-type name="Journal Article"&gt;17&lt;/ref-type&gt;&lt;contributors&gt;&lt;authors&gt;&lt;author&gt;Olmedilla, B.&lt;/author&gt;&lt;author&gt;Granado, F.&lt;/author&gt;&lt;author&gt;Blanco, I.&lt;/author&gt;&lt;author&gt;Vaquero, M.&lt;/author&gt;&lt;/authors&gt;&lt;/contributors&gt;&lt;titles&gt;&lt;title&gt;Lutein, but not </w:instrText>
            </w:r>
            <w:r>
              <w:rPr>
                <w:rFonts w:ascii="Times New Roman" w:hAnsi="Times New Roman" w:cs="Times New Roman" w:hint="eastAsia"/>
                <w:color w:val="000000" w:themeColor="text1"/>
                <w:szCs w:val="21"/>
                <w:vertAlign w:val="superscript"/>
                <w:lang w:bidi="ar"/>
                <w14:ligatures w14:val="none"/>
              </w:rPr>
              <w:instrText>α</w:instrText>
            </w:r>
            <w:r>
              <w:rPr>
                <w:rFonts w:ascii="Times New Roman" w:hAnsi="Times New Roman" w:cs="Times New Roman" w:hint="eastAsia"/>
                <w:color w:val="000000" w:themeColor="text1"/>
                <w:szCs w:val="21"/>
                <w:vertAlign w:val="superscript"/>
                <w:lang w:bidi="ar"/>
                <w14:ligatures w14:val="none"/>
              </w:rPr>
              <w:instrText>-tocopherol, supplementation improves visual function in patients with age-related cataracts:: A 2-y double-blind, placebo-controlled pilot study&lt;/title&gt;&lt;secondary-title&gt;Nutrition&lt;/secondary-title&gt;&lt;/titles&gt;&lt;periodical&gt;&lt;full-title&gt;Nutrition&lt;/full-title&gt;&lt;/periodical&gt;&lt;pages&gt;21-24&lt;/pages&gt;&lt;volume&gt;19&lt;/volume&gt;&lt;number&gt;1&lt;/number&gt;&lt;dates&gt;&lt;year&gt;2003&lt;/year&gt;&lt;pub-dates&gt;&lt;date&gt;Jan&lt;/date&gt;&lt;/pub-dates&gt;&lt;/dates&gt;&lt;isbn&gt;0899-9007&lt;/isbn&gt;&lt;accession-num&gt;WOS:000180255600005&lt;/accession-num&gt;&lt;urls&gt;&lt;related-urls&gt;&lt;url&gt;&amp;lt;Go to ISI&amp;gt;://WOS:000180255600005&lt;/url&gt;&lt;/related-urls&gt;&lt;/urls&gt;&lt;custom7&gt;Pii s0899-9007(02)00861-4&lt;/custom7&gt;&lt;electronic-resource-num&gt;10.1016/s0899-9007(02)00861-4&lt;/electronic-resource-num&gt;&lt;/record&gt;&lt;/Cite&gt;&lt;/EndNote&gt;</w:instrText>
            </w:r>
            <w:r>
              <w:rPr>
                <w:rFonts w:ascii="Times New Roman" w:hAnsi="Times New Roman" w:cs="Times New Roman" w:hint="eastAsia"/>
                <w:color w:val="000000" w:themeColor="text1"/>
                <w:szCs w:val="21"/>
                <w:vertAlign w:val="superscript"/>
                <w:lang w:bidi="ar"/>
                <w14:ligatures w14:val="none"/>
              </w:rPr>
              <w:fldChar w:fldCharType="separate"/>
            </w:r>
            <w:r>
              <w:rPr>
                <w:rFonts w:ascii="Times New Roman" w:hAnsi="Times New Roman" w:cs="Times New Roman" w:hint="eastAsia"/>
                <w:color w:val="000000" w:themeColor="text1"/>
                <w:szCs w:val="21"/>
                <w:vertAlign w:val="superscript"/>
                <w:lang w:bidi="ar"/>
                <w14:ligatures w14:val="none"/>
              </w:rPr>
              <w:t>[7]</w:t>
            </w:r>
            <w:r>
              <w:rPr>
                <w:rFonts w:ascii="Times New Roman" w:hAnsi="Times New Roman" w:cs="Times New Roman" w:hint="eastAsia"/>
                <w:color w:val="000000" w:themeColor="text1"/>
                <w:szCs w:val="21"/>
                <w:vertAlign w:val="superscript"/>
                <w:lang w:bidi="ar"/>
                <w14:ligatures w14:val="none"/>
              </w:rPr>
              <w:fldChar w:fldCharType="end"/>
            </w:r>
            <w:r>
              <w:rPr>
                <w:rFonts w:ascii="Times New Roman" w:hAnsi="Times New Roman" w:cs="Times New Roman" w:hint="eastAsia"/>
                <w:color w:val="000000" w:themeColor="text1"/>
                <w:szCs w:val="21"/>
                <w:lang w:bidi="ar"/>
                <w14:ligatures w14:val="none"/>
              </w:rPr>
              <w:t>；</w:t>
            </w:r>
            <w:r>
              <w:rPr>
                <w:rFonts w:ascii="Times New Roman" w:hAnsi="Times New Roman" w:cs="Times New Roman" w:hint="eastAsia"/>
                <w:color w:val="000000" w:themeColor="text1"/>
                <w:szCs w:val="21"/>
                <w:lang w:bidi="ar"/>
                <w14:ligatures w14:val="none"/>
              </w:rPr>
              <w:t>6</w:t>
            </w:r>
            <w:r>
              <w:rPr>
                <w:rFonts w:ascii="Times New Roman" w:hAnsi="Times New Roman" w:cs="Times New Roman" w:hint="eastAsia"/>
                <w:color w:val="000000" w:themeColor="text1"/>
                <w:szCs w:val="21"/>
                <w:lang w:bidi="ar"/>
                <w14:ligatures w14:val="none"/>
              </w:rPr>
              <w:t>月每天摄入</w:t>
            </w:r>
            <w:r>
              <w:rPr>
                <w:rFonts w:ascii="Times New Roman" w:hAnsi="Times New Roman" w:cs="Times New Roman" w:hint="eastAsia"/>
                <w:color w:val="000000" w:themeColor="text1"/>
                <w:szCs w:val="21"/>
                <w:lang w:bidi="ar"/>
                <w14:ligatures w14:val="none"/>
              </w:rPr>
              <w:t>10mg</w:t>
            </w:r>
            <w:r>
              <w:rPr>
                <w:rFonts w:ascii="Times New Roman" w:hAnsi="Times New Roman" w:cs="Times New Roman" w:hint="eastAsia"/>
                <w:color w:val="000000" w:themeColor="text1"/>
                <w:szCs w:val="21"/>
                <w:lang w:bidi="ar"/>
                <w14:ligatures w14:val="none"/>
              </w:rPr>
              <w:t>叶黄素和</w:t>
            </w:r>
            <w:r>
              <w:rPr>
                <w:rFonts w:ascii="Times New Roman" w:hAnsi="Times New Roman" w:cs="Times New Roman" w:hint="eastAsia"/>
                <w:color w:val="000000" w:themeColor="text1"/>
                <w:szCs w:val="21"/>
                <w:lang w:bidi="ar"/>
                <w14:ligatures w14:val="none"/>
              </w:rPr>
              <w:t>2mg</w:t>
            </w:r>
            <w:r>
              <w:rPr>
                <w:rFonts w:ascii="Times New Roman" w:hAnsi="Times New Roman" w:cs="Times New Roman" w:hint="eastAsia"/>
                <w:color w:val="000000" w:themeColor="text1"/>
                <w:szCs w:val="21"/>
                <w:lang w:bidi="ar"/>
                <w14:ligatures w14:val="none"/>
              </w:rPr>
              <w:t>玉米黄质可有效改善阿尔兹海默症患者记忆和学习能力</w:t>
            </w:r>
            <w:r>
              <w:rPr>
                <w:rFonts w:ascii="Times New Roman" w:hAnsi="Times New Roman" w:cs="Times New Roman" w:hint="eastAsia"/>
                <w:color w:val="000000" w:themeColor="text1"/>
                <w:szCs w:val="21"/>
                <w:vertAlign w:val="superscript"/>
                <w:lang w:bidi="ar"/>
                <w14:ligatures w14:val="none"/>
              </w:rPr>
              <w:fldChar w:fldCharType="begin"/>
            </w:r>
            <w:r>
              <w:rPr>
                <w:rFonts w:ascii="Times New Roman" w:hAnsi="Times New Roman" w:cs="Times New Roman" w:hint="eastAsia"/>
                <w:color w:val="000000" w:themeColor="text1"/>
                <w:szCs w:val="21"/>
                <w:vertAlign w:val="superscript"/>
                <w:lang w:bidi="ar"/>
                <w14:ligatures w14:val="none"/>
              </w:rPr>
              <w:instrText xml:space="preserve"> ADDIN EN.CITE &lt;EndNote&gt;&lt;Cite&gt;&lt;Author&gt;Lopresti&lt;/Author&gt;&lt;Year&gt;2022&lt;/Year&gt;&lt;RecNum&gt;94&lt;/RecNum&gt;&lt;DisplayText&gt;[8]&lt;/DisplayText&gt;&lt;record&gt;&lt;rec-number&gt;94&lt;/rec-number&gt;&lt;foreign-keys&gt;&lt;key app="EN" db-id="atdw2tzampzp0wevsf3vswznrz25d52edar9" timestamp="1697431663"&gt;94&lt;/key&gt;&lt;/foreign-keys&gt;&lt;ref-type name="Journal Article"&gt;17&lt;/ref-type&gt;&lt;contributors&gt;&lt;authors&gt;&lt;author&gt;Lopresti, A. L.&lt;/author&gt;&lt;author&gt;Smith, S. J.&lt;/author&gt;&lt;author&gt;Drummond, P. D.&lt;/author&gt;&lt;/authors&gt;&lt;/contributors&gt;&lt;titles&gt;&lt;title&gt;The effects of lutein and zeaxanthin supplementation on cognitive function in adults with self-reported mild cognitive complaints: A randomized, double-blind, placebo-controlled study&lt;/title&gt;&lt;secondary-title&gt;Front. Nutr.&lt;/secondary-title&gt;&lt;/titles&gt;&lt;periodical&gt;&lt;full-title&gt;Front. Nutr.&lt;/full-title&gt;&lt;/periodical&gt;&lt;pages&gt;843512&lt;/pages&gt;&lt;volume&gt;9&lt;/volume&gt;&lt;dates&gt;&lt;year&gt;2022&lt;/year&gt;&lt;pub-dates&gt;&lt;date&gt;Feb&lt;/date&gt;&lt;/pub-dates&gt;&lt;/dates&gt;&lt;isbn&gt;2296-861X&lt;/isbn&gt;&lt;accession-num&gt;WOS:000765064000001&lt;/accession-num&gt;&lt;urls&gt;&lt;related-urls&gt;&lt;url&gt;&lt;style face="underline" font="default" size="100%"&gt;&amp;lt;Go to ISI&amp;gt;://WOS:000765064000001&lt;/style&gt;&lt;/url&gt;&lt;/related-urls&gt;&lt;/urls&gt;&lt;custom7&gt;843512&lt;/custom7&gt;&lt;/record&gt;&lt;/Cite&gt;&lt;/EndNote&gt;</w:instrText>
            </w:r>
            <w:r>
              <w:rPr>
                <w:rFonts w:ascii="Times New Roman" w:hAnsi="Times New Roman" w:cs="Times New Roman" w:hint="eastAsia"/>
                <w:color w:val="000000" w:themeColor="text1"/>
                <w:szCs w:val="21"/>
                <w:vertAlign w:val="superscript"/>
                <w:lang w:bidi="ar"/>
                <w14:ligatures w14:val="none"/>
              </w:rPr>
              <w:fldChar w:fldCharType="separate"/>
            </w:r>
            <w:r>
              <w:rPr>
                <w:rFonts w:ascii="Times New Roman" w:hAnsi="Times New Roman" w:cs="Times New Roman" w:hint="eastAsia"/>
                <w:color w:val="000000" w:themeColor="text1"/>
                <w:szCs w:val="21"/>
                <w:vertAlign w:val="superscript"/>
                <w:lang w:bidi="ar"/>
                <w14:ligatures w14:val="none"/>
              </w:rPr>
              <w:t>[8]</w:t>
            </w:r>
            <w:r>
              <w:rPr>
                <w:rFonts w:ascii="Times New Roman" w:hAnsi="Times New Roman" w:cs="Times New Roman" w:hint="eastAsia"/>
                <w:color w:val="000000" w:themeColor="text1"/>
                <w:szCs w:val="21"/>
                <w:vertAlign w:val="superscript"/>
                <w:lang w:bidi="ar"/>
                <w14:ligatures w14:val="none"/>
              </w:rPr>
              <w:fldChar w:fldCharType="end"/>
            </w:r>
          </w:p>
        </w:tc>
      </w:tr>
    </w:tbl>
    <w:p w14:paraId="3E7612E3" w14:textId="77777777" w:rsidR="004E27A4" w:rsidRDefault="004E27A4">
      <w:pPr>
        <w:pStyle w:val="af0"/>
        <w:rPr>
          <w:rFonts w:ascii="Times New Roman" w:hAnsi="Times New Roman" w:cs="Times New Roman"/>
          <w:color w:val="000000" w:themeColor="text1"/>
          <w:szCs w:val="21"/>
          <w:lang w:bidi="ar"/>
        </w:rPr>
      </w:pPr>
    </w:p>
    <w:p w14:paraId="3F256541" w14:textId="77777777" w:rsidR="004E27A4" w:rsidRDefault="00000000">
      <w:pPr>
        <w:pStyle w:val="-11"/>
        <w:numPr>
          <w:ilvl w:val="0"/>
          <w:numId w:val="2"/>
        </w:numPr>
        <w:tabs>
          <w:tab w:val="clear" w:pos="397"/>
          <w:tab w:val="left" w:pos="851"/>
        </w:tabs>
        <w:spacing w:line="360" w:lineRule="auto"/>
        <w:ind w:left="0" w:firstLine="420"/>
        <w:rPr>
          <w:rFonts w:asciiTheme="minorEastAsia" w:hAnsiTheme="minorEastAsia" w:cstheme="minorEastAsia" w:hint="eastAsia"/>
          <w:color w:val="000000" w:themeColor="text1"/>
          <w:sz w:val="24"/>
        </w:rPr>
      </w:pPr>
      <w:r>
        <w:rPr>
          <w:rFonts w:ascii="宋体" w:eastAsia="宋体" w:hAnsi="宋体" w:cs="宋体" w:hint="eastAsia"/>
          <w:color w:val="000000" w:themeColor="text1"/>
          <w:szCs w:val="21"/>
        </w:rPr>
        <w:t>污染物限量和真菌毒素限量</w:t>
      </w:r>
    </w:p>
    <w:p w14:paraId="536A52F2" w14:textId="77777777" w:rsidR="004E27A4" w:rsidRDefault="00000000">
      <w:pPr>
        <w:pStyle w:val="af1"/>
        <w:spacing w:line="360" w:lineRule="auto"/>
        <w:ind w:firstLine="420"/>
        <w:rPr>
          <w:rFonts w:ascii="Times New Roman" w:eastAsiaTheme="minorEastAsia"/>
          <w:color w:val="000000" w:themeColor="text1"/>
          <w:szCs w:val="21"/>
        </w:rPr>
      </w:pPr>
      <w:r>
        <w:rPr>
          <w:rFonts w:ascii="Times New Roman" w:eastAsiaTheme="minorEastAsia"/>
          <w:color w:val="000000" w:themeColor="text1"/>
        </w:rPr>
        <w:t>污染物限量应符合</w:t>
      </w:r>
      <w:r>
        <w:rPr>
          <w:rFonts w:ascii="Times New Roman" w:eastAsiaTheme="minorEastAsia" w:hint="eastAsia"/>
          <w:color w:val="000000" w:themeColor="text1"/>
        </w:rPr>
        <w:t xml:space="preserve"> </w:t>
      </w:r>
      <w:r>
        <w:rPr>
          <w:rFonts w:ascii="Times New Roman" w:eastAsiaTheme="minorEastAsia"/>
          <w:color w:val="000000" w:themeColor="text1"/>
        </w:rPr>
        <w:t>GB 2762</w:t>
      </w:r>
      <w:r>
        <w:rPr>
          <w:rFonts w:ascii="Times New Roman" w:eastAsiaTheme="minorEastAsia" w:hint="eastAsia"/>
          <w:color w:val="000000" w:themeColor="text1"/>
        </w:rPr>
        <w:t xml:space="preserve"> </w:t>
      </w:r>
      <w:r>
        <w:rPr>
          <w:rFonts w:ascii="Times New Roman" w:eastAsiaTheme="minorEastAsia"/>
          <w:color w:val="000000" w:themeColor="text1"/>
        </w:rPr>
        <w:t>的规定，真菌毒素限量应符合</w:t>
      </w:r>
      <w:r>
        <w:rPr>
          <w:rFonts w:ascii="Times New Roman" w:eastAsiaTheme="minorEastAsia" w:hint="eastAsia"/>
          <w:color w:val="000000" w:themeColor="text1"/>
        </w:rPr>
        <w:t xml:space="preserve"> </w:t>
      </w:r>
      <w:r>
        <w:rPr>
          <w:rFonts w:ascii="Times New Roman" w:eastAsiaTheme="minorEastAsia"/>
          <w:color w:val="000000" w:themeColor="text1"/>
        </w:rPr>
        <w:t>GB 2761</w:t>
      </w:r>
      <w:r>
        <w:rPr>
          <w:rFonts w:ascii="Times New Roman" w:eastAsiaTheme="minorEastAsia" w:hint="eastAsia"/>
          <w:color w:val="000000" w:themeColor="text1"/>
        </w:rPr>
        <w:t xml:space="preserve"> </w:t>
      </w:r>
      <w:r>
        <w:rPr>
          <w:rFonts w:ascii="Times New Roman" w:eastAsiaTheme="minorEastAsia"/>
          <w:color w:val="000000" w:themeColor="text1"/>
        </w:rPr>
        <w:t>的规定。</w:t>
      </w:r>
    </w:p>
    <w:p w14:paraId="4B78466D" w14:textId="77777777" w:rsidR="004E27A4" w:rsidRDefault="00000000">
      <w:pPr>
        <w:pStyle w:val="-11"/>
        <w:numPr>
          <w:ilvl w:val="0"/>
          <w:numId w:val="2"/>
        </w:numPr>
        <w:tabs>
          <w:tab w:val="left" w:pos="851"/>
        </w:tabs>
        <w:spacing w:line="360" w:lineRule="auto"/>
        <w:ind w:left="0" w:firstLine="420"/>
        <w:rPr>
          <w:rFonts w:ascii="宋体" w:eastAsia="宋体" w:hAnsi="宋体" w:cs="宋体" w:hint="eastAsia"/>
          <w:color w:val="000000" w:themeColor="text1"/>
          <w:szCs w:val="21"/>
        </w:rPr>
      </w:pPr>
      <w:r>
        <w:rPr>
          <w:rFonts w:ascii="宋体" w:eastAsia="宋体" w:hAnsi="宋体" w:cs="宋体" w:hint="eastAsia"/>
          <w:color w:val="000000" w:themeColor="text1"/>
          <w:szCs w:val="21"/>
        </w:rPr>
        <w:t>微生物限量</w:t>
      </w:r>
    </w:p>
    <w:p w14:paraId="0317AD47" w14:textId="77777777" w:rsidR="004E27A4" w:rsidRDefault="00000000">
      <w:pPr>
        <w:pStyle w:val="-11"/>
        <w:tabs>
          <w:tab w:val="left" w:pos="851"/>
        </w:tabs>
        <w:spacing w:line="360" w:lineRule="auto"/>
        <w:rPr>
          <w:rFonts w:ascii="Times New Roman" w:hAnsi="Times New Roman" w:cs="Times New Roman"/>
          <w:color w:val="000000" w:themeColor="text1"/>
          <w:szCs w:val="21"/>
        </w:rPr>
      </w:pPr>
      <w:r>
        <w:rPr>
          <w:rFonts w:ascii="Times New Roman" w:hAnsi="Times New Roman" w:cs="Times New Roman"/>
          <w:color w:val="000000" w:themeColor="text1"/>
          <w:szCs w:val="21"/>
        </w:rPr>
        <w:t>致病菌限量应符合</w:t>
      </w:r>
      <w:r>
        <w:rPr>
          <w:rFonts w:ascii="Times New Roman" w:hAnsi="Times New Roman" w:cs="Times New Roman"/>
          <w:color w:val="000000" w:themeColor="text1"/>
          <w:szCs w:val="21"/>
        </w:rPr>
        <w:t>GB 29921</w:t>
      </w:r>
      <w:r>
        <w:rPr>
          <w:rFonts w:ascii="Times New Roman" w:hAnsi="Times New Roman" w:cs="Times New Roman"/>
          <w:color w:val="000000" w:themeColor="text1"/>
          <w:szCs w:val="21"/>
        </w:rPr>
        <w:t>中调制乳粉的规定，</w:t>
      </w:r>
      <w:bookmarkStart w:id="1" w:name="_Hlk164681805"/>
      <w:r>
        <w:rPr>
          <w:rFonts w:ascii="Times New Roman" w:hAnsi="Times New Roman" w:cs="Times New Roman"/>
          <w:color w:val="000000" w:themeColor="text1"/>
          <w:szCs w:val="21"/>
        </w:rPr>
        <w:t>参照</w:t>
      </w:r>
      <w:r>
        <w:rPr>
          <w:rFonts w:ascii="Times New Roman" w:hAnsi="Times New Roman" w:cs="Times New Roman"/>
          <w:color w:val="000000" w:themeColor="text1"/>
          <w:szCs w:val="21"/>
        </w:rPr>
        <w:t>GB 19644</w:t>
      </w:r>
      <w:r>
        <w:rPr>
          <w:rFonts w:ascii="Times New Roman" w:hAnsi="Times New Roman" w:cs="Times New Roman"/>
          <w:color w:val="000000" w:themeColor="text1"/>
          <w:szCs w:val="21"/>
        </w:rPr>
        <w:t>制定了菌落总数和大肠菌群限量。</w:t>
      </w:r>
      <w:bookmarkEnd w:id="1"/>
      <w:r>
        <w:rPr>
          <w:rFonts w:ascii="Times New Roman" w:hAnsi="Times New Roman" w:cs="Times New Roman"/>
          <w:color w:val="000000" w:themeColor="text1"/>
          <w:szCs w:val="21"/>
        </w:rPr>
        <w:t>此外，对添加了</w:t>
      </w:r>
      <w:r>
        <w:rPr>
          <w:rFonts w:ascii="Times New Roman" w:hAnsi="Times New Roman" w:cs="Times New Roman" w:hint="eastAsia"/>
          <w:color w:val="000000" w:themeColor="text1"/>
          <w:szCs w:val="21"/>
        </w:rPr>
        <w:t>活菌</w:t>
      </w:r>
      <w:r>
        <w:rPr>
          <w:rFonts w:ascii="Times New Roman" w:hAnsi="Times New Roman" w:cs="Times New Roman"/>
          <w:color w:val="000000" w:themeColor="text1"/>
          <w:szCs w:val="21"/>
        </w:rPr>
        <w:t>的产品，规定了</w:t>
      </w:r>
      <w:r>
        <w:rPr>
          <w:rFonts w:ascii="Times New Roman" w:hAnsi="Times New Roman" w:cs="Times New Roman" w:hint="eastAsia"/>
          <w:color w:val="000000" w:themeColor="text1"/>
          <w:szCs w:val="21"/>
        </w:rPr>
        <w:t>相应</w:t>
      </w:r>
      <w:r>
        <w:rPr>
          <w:rFonts w:ascii="Times New Roman" w:hAnsi="Times New Roman" w:cs="Times New Roman"/>
          <w:color w:val="000000" w:themeColor="text1"/>
          <w:szCs w:val="21"/>
        </w:rPr>
        <w:t>限量。</w:t>
      </w:r>
    </w:p>
    <w:p w14:paraId="2D4E8885" w14:textId="77777777" w:rsidR="004E27A4" w:rsidRDefault="00000000">
      <w:pPr>
        <w:pStyle w:val="-11"/>
        <w:numPr>
          <w:ilvl w:val="0"/>
          <w:numId w:val="2"/>
        </w:numPr>
        <w:tabs>
          <w:tab w:val="clear" w:pos="397"/>
          <w:tab w:val="left" w:pos="851"/>
        </w:tabs>
        <w:spacing w:line="360" w:lineRule="auto"/>
        <w:ind w:left="0" w:firstLine="420"/>
        <w:rPr>
          <w:rFonts w:ascii="Times New Roman" w:hAnsi="Times New Roman" w:cs="Times New Roman"/>
          <w:color w:val="000000" w:themeColor="text1"/>
          <w:szCs w:val="21"/>
        </w:rPr>
      </w:pPr>
      <w:r>
        <w:rPr>
          <w:rFonts w:ascii="Times New Roman" w:hAnsi="Times New Roman" w:cs="Times New Roman"/>
          <w:color w:val="000000" w:themeColor="text1"/>
          <w:szCs w:val="21"/>
        </w:rPr>
        <w:t>食品添加剂和营养强化剂</w:t>
      </w:r>
    </w:p>
    <w:p w14:paraId="58E4BE29" w14:textId="77777777" w:rsidR="004E27A4" w:rsidRDefault="00000000">
      <w:pPr>
        <w:pStyle w:val="a1"/>
        <w:numPr>
          <w:ilvl w:val="0"/>
          <w:numId w:val="0"/>
        </w:numPr>
        <w:spacing w:beforeLines="0" w:before="0" w:afterLines="0" w:after="0" w:line="360" w:lineRule="auto"/>
        <w:ind w:firstLineChars="200" w:firstLine="420"/>
        <w:rPr>
          <w:rFonts w:ascii="Times New Roman" w:eastAsiaTheme="minorEastAsia"/>
          <w:color w:val="000000" w:themeColor="text1"/>
        </w:rPr>
      </w:pPr>
      <w:r>
        <w:rPr>
          <w:rFonts w:ascii="Times New Roman" w:eastAsiaTheme="minorEastAsia"/>
          <w:color w:val="000000" w:themeColor="text1"/>
        </w:rPr>
        <w:t>食品添加剂的使用应符合</w:t>
      </w:r>
      <w:r>
        <w:rPr>
          <w:rFonts w:ascii="Times New Roman" w:eastAsiaTheme="minorEastAsia"/>
          <w:color w:val="000000" w:themeColor="text1"/>
        </w:rPr>
        <w:t>GB 2760</w:t>
      </w:r>
      <w:r>
        <w:rPr>
          <w:rFonts w:ascii="Times New Roman" w:eastAsiaTheme="minorEastAsia"/>
          <w:color w:val="000000" w:themeColor="text1"/>
        </w:rPr>
        <w:t>中调制乳粉的规定，食品营养强化剂的使用应符合</w:t>
      </w:r>
      <w:r>
        <w:rPr>
          <w:rFonts w:ascii="Times New Roman" w:eastAsiaTheme="minorEastAsia"/>
          <w:color w:val="000000" w:themeColor="text1"/>
        </w:rPr>
        <w:t>GB 14880</w:t>
      </w:r>
      <w:r>
        <w:rPr>
          <w:rFonts w:ascii="Times New Roman" w:eastAsiaTheme="minorEastAsia"/>
          <w:color w:val="000000" w:themeColor="text1"/>
        </w:rPr>
        <w:t>中调制乳粉的规定。</w:t>
      </w:r>
    </w:p>
    <w:p w14:paraId="59B6919F" w14:textId="77777777" w:rsidR="004E27A4" w:rsidRDefault="00000000">
      <w:pPr>
        <w:pStyle w:val="-11"/>
        <w:numPr>
          <w:ilvl w:val="0"/>
          <w:numId w:val="2"/>
        </w:numPr>
        <w:tabs>
          <w:tab w:val="clear" w:pos="397"/>
          <w:tab w:val="left" w:pos="851"/>
        </w:tabs>
        <w:spacing w:line="360" w:lineRule="auto"/>
        <w:ind w:left="0" w:firstLine="420"/>
        <w:rPr>
          <w:rFonts w:ascii="Times New Roman" w:hAnsi="Times New Roman" w:cs="Times New Roman"/>
          <w:color w:val="000000" w:themeColor="text1"/>
          <w:szCs w:val="21"/>
        </w:rPr>
      </w:pPr>
      <w:r>
        <w:rPr>
          <w:rFonts w:ascii="Times New Roman" w:hAnsi="Times New Roman" w:cs="Times New Roman"/>
          <w:color w:val="000000" w:themeColor="text1"/>
          <w:szCs w:val="21"/>
        </w:rPr>
        <w:t>标签、包装、运输、贮存</w:t>
      </w:r>
    </w:p>
    <w:p w14:paraId="46247B36" w14:textId="77777777" w:rsidR="004E27A4" w:rsidRDefault="00000000">
      <w:pPr>
        <w:pStyle w:val="-11"/>
        <w:tabs>
          <w:tab w:val="left" w:pos="851"/>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rPr>
        <w:t>本标准对产品标签、包装、运输、贮存进行了规定。</w:t>
      </w:r>
    </w:p>
    <w:p w14:paraId="367399E5" w14:textId="77777777" w:rsidR="004E27A4" w:rsidRDefault="00000000">
      <w:pPr>
        <w:rPr>
          <w:rFonts w:ascii="Times New Roman" w:hAnsi="Times New Roman" w:cs="Times New Roman"/>
          <w:color w:val="000000" w:themeColor="text1"/>
        </w:rPr>
      </w:pPr>
      <w:r>
        <w:rPr>
          <w:rFonts w:ascii="Times New Roman" w:hAnsi="Times New Roman" w:cs="Times New Roman" w:hint="eastAsia"/>
          <w:color w:val="000000" w:themeColor="text1"/>
        </w:rPr>
        <w:br w:type="page"/>
      </w:r>
    </w:p>
    <w:p w14:paraId="6901EC2C" w14:textId="77777777" w:rsidR="004E27A4" w:rsidRDefault="00000000">
      <w:pPr>
        <w:ind w:left="420"/>
        <w:jc w:val="left"/>
        <w:rPr>
          <w:rFonts w:asciiTheme="majorEastAsia" w:eastAsiaTheme="majorEastAsia" w:hAnsiTheme="majorEastAsia" w:cstheme="majorEastAsia" w:hint="eastAsia"/>
          <w:b/>
          <w:bCs/>
          <w:sz w:val="28"/>
          <w:szCs w:val="28"/>
        </w:rPr>
      </w:pPr>
      <w:r>
        <w:rPr>
          <w:rFonts w:asciiTheme="majorEastAsia" w:eastAsiaTheme="majorEastAsia" w:hAnsiTheme="majorEastAsia" w:cstheme="majorEastAsia" w:hint="eastAsia"/>
          <w:b/>
          <w:bCs/>
          <w:sz w:val="28"/>
          <w:szCs w:val="28"/>
        </w:rPr>
        <w:lastRenderedPageBreak/>
        <w:t>参考文献</w:t>
      </w:r>
    </w:p>
    <w:p w14:paraId="13BDFA7F" w14:textId="77777777" w:rsidR="004E27A4" w:rsidRDefault="00000000">
      <w:pPr>
        <w:pStyle w:val="EndNoteBibliography"/>
        <w:ind w:left="720" w:hanging="720"/>
        <w:rPr>
          <w:rFonts w:ascii="Palatino" w:hAnsi="Palatino" w:hint="eastAsia"/>
        </w:rPr>
      </w:pPr>
      <w:r>
        <w:rPr>
          <w:rFonts w:asciiTheme="majorEastAsia" w:eastAsiaTheme="majorEastAsia" w:hAnsiTheme="majorEastAsia" w:cstheme="majorEastAsia" w:hint="eastAsia"/>
          <w:b/>
          <w:bCs/>
          <w:sz w:val="28"/>
          <w:szCs w:val="28"/>
        </w:rPr>
        <w:fldChar w:fldCharType="begin"/>
      </w:r>
      <w:r>
        <w:rPr>
          <w:rFonts w:asciiTheme="majorEastAsia" w:eastAsiaTheme="majorEastAsia" w:hAnsiTheme="majorEastAsia" w:cstheme="majorEastAsia" w:hint="eastAsia"/>
          <w:b/>
          <w:bCs/>
          <w:sz w:val="28"/>
          <w:szCs w:val="28"/>
        </w:rPr>
        <w:instrText xml:space="preserve"> ADDIN EN.REFLIST </w:instrText>
      </w:r>
      <w:r>
        <w:rPr>
          <w:rFonts w:asciiTheme="majorEastAsia" w:eastAsiaTheme="majorEastAsia" w:hAnsiTheme="majorEastAsia" w:cstheme="majorEastAsia" w:hint="eastAsia"/>
          <w:b/>
          <w:bCs/>
          <w:sz w:val="28"/>
          <w:szCs w:val="28"/>
        </w:rPr>
        <w:fldChar w:fldCharType="separate"/>
      </w:r>
      <w:r>
        <w:rPr>
          <w:rFonts w:ascii="Palatino" w:hAnsi="Palatino" w:hint="eastAsia"/>
        </w:rPr>
        <w:t>1.</w:t>
      </w:r>
      <w:r>
        <w:rPr>
          <w:rFonts w:hint="eastAsia"/>
        </w:rPr>
        <w:tab/>
      </w:r>
      <w:r>
        <w:rPr>
          <w:rFonts w:ascii="Palatino" w:hAnsi="Palatino" w:hint="eastAsia"/>
        </w:rPr>
        <w:t xml:space="preserve">Baba, Yoshitake, Shun Inagaki, Sae Nakagawa, Toshiyuki Kaneko, Makoto Kobayashi, and Takanobu Takihara. Effects of l-Theanine on Cognitive Function in Middle-Aged and Older Subjects: A Randomized Placebo-Controlled Study. </w:t>
      </w:r>
      <w:r>
        <w:rPr>
          <w:rFonts w:ascii="Palatino" w:hAnsi="Palatino" w:hint="eastAsia"/>
          <w:i/>
        </w:rPr>
        <w:t>Journal of Medicinal Food</w:t>
      </w:r>
      <w:r>
        <w:rPr>
          <w:rFonts w:ascii="Palatino" w:hAnsi="Palatino" w:hint="eastAsia"/>
          <w:b/>
        </w:rPr>
        <w:t xml:space="preserve"> 2021</w:t>
      </w:r>
      <w:r>
        <w:rPr>
          <w:rFonts w:ascii="Palatino" w:hAnsi="Palatino" w:hint="eastAsia"/>
        </w:rPr>
        <w:t xml:space="preserve">, </w:t>
      </w:r>
      <w:r>
        <w:rPr>
          <w:rFonts w:ascii="Palatino" w:hAnsi="Palatino" w:hint="eastAsia"/>
          <w:i/>
        </w:rPr>
        <w:t>24</w:t>
      </w:r>
      <w:r>
        <w:rPr>
          <w:rFonts w:ascii="Palatino" w:hAnsi="Palatino" w:hint="eastAsia"/>
        </w:rPr>
        <w:t>, 333-341.</w:t>
      </w:r>
    </w:p>
    <w:p w14:paraId="373EFB25" w14:textId="77777777" w:rsidR="004E27A4" w:rsidRDefault="00000000">
      <w:pPr>
        <w:pStyle w:val="EndNoteBibliography"/>
        <w:ind w:left="720" w:hanging="720"/>
        <w:rPr>
          <w:rFonts w:ascii="Palatino" w:hAnsi="Palatino" w:hint="eastAsia"/>
        </w:rPr>
      </w:pPr>
      <w:r>
        <w:rPr>
          <w:rFonts w:ascii="Palatino" w:hAnsi="Palatino" w:hint="eastAsia"/>
        </w:rPr>
        <w:t>2.</w:t>
      </w:r>
      <w:r>
        <w:rPr>
          <w:rFonts w:hint="eastAsia"/>
        </w:rPr>
        <w:tab/>
      </w:r>
      <w:r>
        <w:rPr>
          <w:rFonts w:ascii="Palatino" w:hAnsi="Palatino" w:hint="eastAsia"/>
        </w:rPr>
        <w:t xml:space="preserve">Tsuji, Taishi, Jieun Yoon, Naruki Kitano, Tomohiro Okura, and Kiyoji Tanaka. Effects of N-acetyl glucosamine and chondroitin sulfate supplementation on knee pain and self-reported knee function in middle-aged and older Japanese adults: a randomized, double-blind, placebo-controlled trial. </w:t>
      </w:r>
      <w:r>
        <w:rPr>
          <w:rFonts w:ascii="Palatino" w:hAnsi="Palatino" w:hint="eastAsia"/>
          <w:i/>
        </w:rPr>
        <w:t>Aging Clinical and Experimental Research</w:t>
      </w:r>
      <w:r>
        <w:rPr>
          <w:rFonts w:ascii="Palatino" w:hAnsi="Palatino" w:hint="eastAsia"/>
          <w:b/>
        </w:rPr>
        <w:t xml:space="preserve"> 2016</w:t>
      </w:r>
      <w:r>
        <w:rPr>
          <w:rFonts w:ascii="Palatino" w:hAnsi="Palatino" w:hint="eastAsia"/>
        </w:rPr>
        <w:t xml:space="preserve">, </w:t>
      </w:r>
      <w:r>
        <w:rPr>
          <w:rFonts w:ascii="Palatino" w:hAnsi="Palatino" w:hint="eastAsia"/>
          <w:i/>
        </w:rPr>
        <w:t>28</w:t>
      </w:r>
      <w:r>
        <w:rPr>
          <w:rFonts w:ascii="Palatino" w:hAnsi="Palatino" w:hint="eastAsia"/>
        </w:rPr>
        <w:t>, 197-205.</w:t>
      </w:r>
    </w:p>
    <w:p w14:paraId="3EA1C6AE" w14:textId="77777777" w:rsidR="004E27A4" w:rsidRDefault="00000000">
      <w:pPr>
        <w:pStyle w:val="EndNoteBibliography"/>
        <w:ind w:left="720" w:hanging="720"/>
        <w:rPr>
          <w:rFonts w:ascii="Palatino" w:hAnsi="Palatino" w:hint="eastAsia"/>
        </w:rPr>
      </w:pPr>
      <w:r>
        <w:rPr>
          <w:rFonts w:ascii="Palatino" w:hAnsi="Palatino" w:hint="eastAsia"/>
        </w:rPr>
        <w:t>3.</w:t>
      </w:r>
      <w:r>
        <w:rPr>
          <w:rFonts w:hint="eastAsia"/>
        </w:rPr>
        <w:tab/>
      </w:r>
      <w:r>
        <w:rPr>
          <w:rFonts w:ascii="Palatino" w:hAnsi="Palatino" w:hint="eastAsia"/>
        </w:rPr>
        <w:t xml:space="preserve">Ponomareva, E. V., L. V. Androsova, S. A. Krinsky, and S. I. Gavrilova. Efficacy and safety of choline alfoscerate in the preventive therapy of dementia in elderly patients with Mild Cognitive Impairment: a three-year prospective comparative study. </w:t>
      </w:r>
      <w:r>
        <w:rPr>
          <w:rFonts w:ascii="Palatino" w:hAnsi="Palatino" w:hint="eastAsia"/>
          <w:i/>
        </w:rPr>
        <w:t>Zhurnal nevrologii i psikhiatrii imeni S.S. Korsakova</w:t>
      </w:r>
      <w:r>
        <w:rPr>
          <w:rFonts w:ascii="Palatino" w:hAnsi="Palatino" w:hint="eastAsia"/>
          <w:b/>
        </w:rPr>
        <w:t xml:space="preserve"> 2024</w:t>
      </w:r>
      <w:r>
        <w:rPr>
          <w:rFonts w:ascii="Palatino" w:hAnsi="Palatino" w:hint="eastAsia"/>
        </w:rPr>
        <w:t xml:space="preserve">, </w:t>
      </w:r>
      <w:r>
        <w:rPr>
          <w:rFonts w:ascii="Palatino" w:hAnsi="Palatino" w:hint="eastAsia"/>
          <w:i/>
        </w:rPr>
        <w:t>124</w:t>
      </w:r>
      <w:r>
        <w:rPr>
          <w:rFonts w:ascii="Palatino" w:hAnsi="Palatino" w:hint="eastAsia"/>
        </w:rPr>
        <w:t>, 92-99.</w:t>
      </w:r>
    </w:p>
    <w:p w14:paraId="57ADD071" w14:textId="77777777" w:rsidR="004E27A4" w:rsidRDefault="00000000">
      <w:pPr>
        <w:pStyle w:val="EndNoteBibliography"/>
        <w:ind w:left="720" w:hanging="720"/>
        <w:rPr>
          <w:rFonts w:ascii="Palatino" w:hAnsi="Palatino" w:hint="eastAsia"/>
        </w:rPr>
      </w:pPr>
      <w:r>
        <w:rPr>
          <w:rFonts w:ascii="Palatino" w:hAnsi="Palatino" w:hint="eastAsia"/>
        </w:rPr>
        <w:t>4.</w:t>
      </w:r>
      <w:r>
        <w:rPr>
          <w:rFonts w:hint="eastAsia"/>
        </w:rPr>
        <w:tab/>
      </w:r>
      <w:r>
        <w:rPr>
          <w:rFonts w:ascii="Palatino" w:hAnsi="Palatino" w:hint="eastAsia"/>
        </w:rPr>
        <w:t xml:space="preserve">More, Margret I., Ulla Freitas, and David Rutenberg. Positive Effects of Soy Lecithin-Derived Phosphatidylserine plus Phosphatidic Acid on Memory, Cognition, Daily Functioning, and Mood in Elderly Patients with Alzheimer's Disease and Dementia. </w:t>
      </w:r>
      <w:r>
        <w:rPr>
          <w:rFonts w:ascii="Palatino" w:hAnsi="Palatino" w:hint="eastAsia"/>
          <w:i/>
        </w:rPr>
        <w:t>Advances in Therapy</w:t>
      </w:r>
      <w:r>
        <w:rPr>
          <w:rFonts w:ascii="Palatino" w:hAnsi="Palatino" w:hint="eastAsia"/>
          <w:b/>
        </w:rPr>
        <w:t xml:space="preserve"> 2014</w:t>
      </w:r>
      <w:r>
        <w:rPr>
          <w:rFonts w:ascii="Palatino" w:hAnsi="Palatino" w:hint="eastAsia"/>
        </w:rPr>
        <w:t xml:space="preserve">, </w:t>
      </w:r>
      <w:r>
        <w:rPr>
          <w:rFonts w:ascii="Palatino" w:hAnsi="Palatino" w:hint="eastAsia"/>
          <w:i/>
        </w:rPr>
        <w:t>31</w:t>
      </w:r>
      <w:r>
        <w:rPr>
          <w:rFonts w:ascii="Palatino" w:hAnsi="Palatino" w:hint="eastAsia"/>
        </w:rPr>
        <w:t>, 1247-1262.</w:t>
      </w:r>
    </w:p>
    <w:p w14:paraId="01C248B9" w14:textId="77777777" w:rsidR="004E27A4" w:rsidRDefault="00000000">
      <w:pPr>
        <w:pStyle w:val="EndNoteBibliography"/>
        <w:ind w:left="720" w:hanging="720"/>
        <w:rPr>
          <w:rFonts w:ascii="Palatino" w:hAnsi="Palatino" w:hint="eastAsia"/>
        </w:rPr>
      </w:pPr>
      <w:r>
        <w:rPr>
          <w:rFonts w:ascii="Palatino" w:hAnsi="Palatino" w:hint="eastAsia"/>
        </w:rPr>
        <w:t>5.</w:t>
      </w:r>
      <w:r>
        <w:rPr>
          <w:rFonts w:hint="eastAsia"/>
        </w:rPr>
        <w:tab/>
      </w:r>
      <w:r>
        <w:rPr>
          <w:rFonts w:ascii="Palatino" w:hAnsi="Palatino" w:hint="eastAsia"/>
        </w:rPr>
        <w:t xml:space="preserve">Sun, Jianqin, Danfeng Xu, Hua Xie, Yan Wang, Min Chen, Xifeng Chang, Yiru Pan, Yuan Liu, Huijun Xue, Hu Zhao, Yanqiu Chen, and Fei Xiao. Low fat milk powder containing esterified plant sterols improves the blood lipid profile of adults with hypercholesterolemia. </w:t>
      </w:r>
      <w:r>
        <w:rPr>
          <w:rFonts w:ascii="Palatino" w:hAnsi="Palatino" w:hint="eastAsia"/>
          <w:i/>
        </w:rPr>
        <w:t>Zhonghua xin xue guan bing za zhi</w:t>
      </w:r>
      <w:r>
        <w:rPr>
          <w:rFonts w:ascii="Palatino" w:hAnsi="Palatino" w:hint="eastAsia"/>
          <w:b/>
        </w:rPr>
        <w:t xml:space="preserve"> 2014</w:t>
      </w:r>
      <w:r>
        <w:rPr>
          <w:rFonts w:ascii="Palatino" w:hAnsi="Palatino" w:hint="eastAsia"/>
        </w:rPr>
        <w:t xml:space="preserve">, </w:t>
      </w:r>
      <w:r>
        <w:rPr>
          <w:rFonts w:ascii="Palatino" w:hAnsi="Palatino" w:hint="eastAsia"/>
          <w:i/>
        </w:rPr>
        <w:t>42</w:t>
      </w:r>
      <w:r>
        <w:rPr>
          <w:rFonts w:ascii="Palatino" w:hAnsi="Palatino" w:hint="eastAsia"/>
        </w:rPr>
        <w:t>, 588-592.</w:t>
      </w:r>
    </w:p>
    <w:p w14:paraId="4B4F3295" w14:textId="77777777" w:rsidR="004E27A4" w:rsidRDefault="00000000">
      <w:pPr>
        <w:pStyle w:val="EndNoteBibliography"/>
        <w:ind w:left="720" w:hanging="720"/>
        <w:rPr>
          <w:rFonts w:ascii="Palatino" w:hAnsi="Palatino" w:hint="eastAsia"/>
        </w:rPr>
      </w:pPr>
      <w:r>
        <w:rPr>
          <w:rFonts w:ascii="Palatino" w:hAnsi="Palatino" w:hint="eastAsia"/>
        </w:rPr>
        <w:t>6.</w:t>
      </w:r>
      <w:r>
        <w:rPr>
          <w:rFonts w:hint="eastAsia"/>
        </w:rPr>
        <w:tab/>
      </w:r>
      <w:r>
        <w:rPr>
          <w:rFonts w:ascii="Palatino" w:hAnsi="Palatino" w:hint="eastAsia"/>
        </w:rPr>
        <w:t xml:space="preserve">Murray, I. J., M. Makridaki, R. L. P. van der Veen, D. Carden, N. R. A. Parry, and Ttjm Berendschot. Lutein supplementation over a one-year period in early AMD might have a mild beneficial effect on visual acuity: The CLEAR study. </w:t>
      </w:r>
      <w:r>
        <w:rPr>
          <w:rFonts w:ascii="Palatino" w:hAnsi="Palatino" w:hint="eastAsia"/>
          <w:i/>
        </w:rPr>
        <w:t>Invest. Ophthalmol. Vis. Sci.</w:t>
      </w:r>
      <w:r>
        <w:rPr>
          <w:rFonts w:ascii="Palatino" w:hAnsi="Palatino" w:hint="eastAsia"/>
          <w:b/>
        </w:rPr>
        <w:t xml:space="preserve"> 2013</w:t>
      </w:r>
      <w:r>
        <w:rPr>
          <w:rFonts w:ascii="Palatino" w:hAnsi="Palatino" w:hint="eastAsia"/>
        </w:rPr>
        <w:t xml:space="preserve">, </w:t>
      </w:r>
      <w:r>
        <w:rPr>
          <w:rFonts w:ascii="Palatino" w:hAnsi="Palatino" w:hint="eastAsia"/>
          <w:i/>
        </w:rPr>
        <w:t>54</w:t>
      </w:r>
      <w:r>
        <w:rPr>
          <w:rFonts w:ascii="Palatino" w:hAnsi="Palatino" w:hint="eastAsia"/>
        </w:rPr>
        <w:t>, 1781-1788.</w:t>
      </w:r>
    </w:p>
    <w:p w14:paraId="310AFC5A" w14:textId="77777777" w:rsidR="004E27A4" w:rsidRDefault="00000000">
      <w:pPr>
        <w:pStyle w:val="EndNoteBibliography"/>
        <w:ind w:left="720" w:hanging="720"/>
        <w:rPr>
          <w:rFonts w:ascii="Palatino" w:hAnsi="Palatino" w:hint="eastAsia"/>
        </w:rPr>
      </w:pPr>
      <w:r>
        <w:rPr>
          <w:rFonts w:ascii="Palatino" w:hAnsi="Palatino" w:hint="eastAsia"/>
        </w:rPr>
        <w:t>7.</w:t>
      </w:r>
      <w:r>
        <w:rPr>
          <w:rFonts w:hint="eastAsia"/>
        </w:rPr>
        <w:tab/>
      </w:r>
      <w:r>
        <w:rPr>
          <w:rFonts w:ascii="Palatino" w:hAnsi="Palatino" w:hint="eastAsia"/>
        </w:rPr>
        <w:t xml:space="preserve">Olmedilla, B., F. Granado, I. Blanco, and M. Vaquero. Lutein, but not </w:t>
      </w:r>
      <w:r>
        <w:rPr>
          <w:rFonts w:ascii="Palatino" w:hAnsi="Palatino" w:hint="eastAsia"/>
        </w:rPr>
        <w:t>α</w:t>
      </w:r>
      <w:r>
        <w:rPr>
          <w:rFonts w:ascii="Palatino" w:hAnsi="Palatino" w:hint="eastAsia"/>
        </w:rPr>
        <w:t xml:space="preserve">-tocopherol, supplementation improves visual function in patients with age-related cataracts:: A 2-y double-blind, placebo-controlled pilot study. </w:t>
      </w:r>
      <w:r>
        <w:rPr>
          <w:rFonts w:ascii="Palatino" w:hAnsi="Palatino" w:hint="eastAsia"/>
          <w:i/>
        </w:rPr>
        <w:t>Nutrition</w:t>
      </w:r>
      <w:r>
        <w:rPr>
          <w:rFonts w:ascii="Palatino" w:hAnsi="Palatino" w:hint="eastAsia"/>
          <w:b/>
        </w:rPr>
        <w:t xml:space="preserve"> 2003</w:t>
      </w:r>
      <w:r>
        <w:rPr>
          <w:rFonts w:ascii="Palatino" w:hAnsi="Palatino" w:hint="eastAsia"/>
        </w:rPr>
        <w:t xml:space="preserve">, </w:t>
      </w:r>
      <w:r>
        <w:rPr>
          <w:rFonts w:ascii="Palatino" w:hAnsi="Palatino" w:hint="eastAsia"/>
          <w:i/>
        </w:rPr>
        <w:t>19</w:t>
      </w:r>
      <w:r>
        <w:rPr>
          <w:rFonts w:ascii="Palatino" w:hAnsi="Palatino" w:hint="eastAsia"/>
        </w:rPr>
        <w:t>, 21-24.</w:t>
      </w:r>
    </w:p>
    <w:p w14:paraId="167A3F26" w14:textId="77777777" w:rsidR="004E27A4" w:rsidRDefault="00000000">
      <w:pPr>
        <w:pStyle w:val="EndNoteBibliography"/>
        <w:ind w:left="720" w:hanging="720"/>
        <w:rPr>
          <w:rFonts w:ascii="Palatino" w:hAnsi="Palatino" w:hint="eastAsia"/>
        </w:rPr>
      </w:pPr>
      <w:r>
        <w:rPr>
          <w:rFonts w:ascii="Palatino" w:hAnsi="Palatino" w:hint="eastAsia"/>
        </w:rPr>
        <w:t>8.</w:t>
      </w:r>
      <w:r>
        <w:rPr>
          <w:rFonts w:hint="eastAsia"/>
        </w:rPr>
        <w:tab/>
      </w:r>
      <w:r>
        <w:rPr>
          <w:rFonts w:ascii="Palatino" w:hAnsi="Palatino" w:hint="eastAsia"/>
        </w:rPr>
        <w:t xml:space="preserve">Lopresti, A. L., S. J. Smith, and P. D. Drummond. The effects of lutein and zeaxanthin supplementation on cognitive function in adults with self-reported mild cognitive complaints: A randomized, double-blind, placebo-controlled study. </w:t>
      </w:r>
      <w:r>
        <w:rPr>
          <w:rFonts w:ascii="Palatino" w:hAnsi="Palatino" w:hint="eastAsia"/>
          <w:i/>
        </w:rPr>
        <w:t>Front. Nutr.</w:t>
      </w:r>
      <w:r>
        <w:rPr>
          <w:rFonts w:ascii="Palatino" w:hAnsi="Palatino" w:hint="eastAsia"/>
          <w:b/>
        </w:rPr>
        <w:t xml:space="preserve"> 2022</w:t>
      </w:r>
      <w:r>
        <w:rPr>
          <w:rFonts w:ascii="Palatino" w:hAnsi="Palatino" w:hint="eastAsia"/>
        </w:rPr>
        <w:t xml:space="preserve">, </w:t>
      </w:r>
      <w:r>
        <w:rPr>
          <w:rFonts w:ascii="Palatino" w:hAnsi="Palatino" w:hint="eastAsia"/>
          <w:i/>
        </w:rPr>
        <w:t>9</w:t>
      </w:r>
      <w:r>
        <w:rPr>
          <w:rFonts w:ascii="Palatino" w:hAnsi="Palatino" w:hint="eastAsia"/>
        </w:rPr>
        <w:t>, 843512.</w:t>
      </w:r>
    </w:p>
    <w:p w14:paraId="10E5F8A4" w14:textId="77777777" w:rsidR="004E27A4" w:rsidRDefault="00000000">
      <w:pPr>
        <w:ind w:left="420"/>
        <w:jc w:val="left"/>
        <w:rPr>
          <w:rFonts w:asciiTheme="majorEastAsia" w:eastAsiaTheme="majorEastAsia" w:hAnsiTheme="majorEastAsia" w:cstheme="majorEastAsia" w:hint="eastAsia"/>
          <w:b/>
          <w:bCs/>
          <w:sz w:val="28"/>
          <w:szCs w:val="28"/>
        </w:rPr>
      </w:pPr>
      <w:r>
        <w:rPr>
          <w:rFonts w:asciiTheme="majorEastAsia" w:eastAsiaTheme="majorEastAsia" w:hAnsiTheme="majorEastAsia" w:cstheme="majorEastAsia" w:hint="eastAsia"/>
          <w:b/>
          <w:bCs/>
          <w:sz w:val="28"/>
          <w:szCs w:val="28"/>
        </w:rPr>
        <w:fldChar w:fldCharType="end"/>
      </w:r>
    </w:p>
    <w:sectPr w:rsidR="004E27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24749" w14:textId="77777777" w:rsidR="002572C7" w:rsidRDefault="002572C7" w:rsidP="007F3351">
      <w:r>
        <w:separator/>
      </w:r>
    </w:p>
  </w:endnote>
  <w:endnote w:type="continuationSeparator" w:id="0">
    <w:p w14:paraId="46A427CE" w14:textId="77777777" w:rsidR="002572C7" w:rsidRDefault="002572C7" w:rsidP="007F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573D3" w14:textId="77777777" w:rsidR="002572C7" w:rsidRDefault="002572C7" w:rsidP="007F3351">
      <w:r>
        <w:separator/>
      </w:r>
    </w:p>
  </w:footnote>
  <w:footnote w:type="continuationSeparator" w:id="0">
    <w:p w14:paraId="1475C81C" w14:textId="77777777" w:rsidR="002572C7" w:rsidRDefault="002572C7" w:rsidP="007F3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5488179"/>
    <w:multiLevelType w:val="singleLevel"/>
    <w:tmpl w:val="E5488179"/>
    <w:lvl w:ilvl="0">
      <w:start w:val="1"/>
      <w:numFmt w:val="decimal"/>
      <w:lvlText w:val="%1."/>
      <w:lvlJc w:val="left"/>
      <w:pPr>
        <w:tabs>
          <w:tab w:val="left" w:pos="397"/>
        </w:tabs>
        <w:ind w:left="454" w:hanging="454"/>
      </w:pPr>
      <w:rPr>
        <w:rFonts w:hint="default"/>
        <w:b/>
        <w:bCs/>
        <w:sz w:val="21"/>
        <w:szCs w:val="21"/>
      </w:rPr>
    </w:lvl>
  </w:abstractNum>
  <w:abstractNum w:abstractNumId="1" w15:restartNumberingAfterBreak="0">
    <w:nsid w:val="16AB5238"/>
    <w:multiLevelType w:val="multilevel"/>
    <w:tmpl w:val="16AB523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51FD3DC"/>
    <w:multiLevelType w:val="singleLevel"/>
    <w:tmpl w:val="351FD3DC"/>
    <w:lvl w:ilvl="0">
      <w:start w:val="1"/>
      <w:numFmt w:val="decimalEnclosedCircleChinese"/>
      <w:suff w:val="space"/>
      <w:lvlText w:val="%1"/>
      <w:lvlJc w:val="left"/>
      <w:rPr>
        <w:rFonts w:hint="eastAsia"/>
      </w:rPr>
    </w:lvl>
  </w:abstractNum>
  <w:abstractNum w:abstractNumId="3" w15:restartNumberingAfterBreak="0">
    <w:nsid w:val="585E4A1B"/>
    <w:multiLevelType w:val="multilevel"/>
    <w:tmpl w:val="585E4A1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5F2A1465"/>
    <w:multiLevelType w:val="multilevel"/>
    <w:tmpl w:val="5F2A146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6C164540"/>
    <w:multiLevelType w:val="multilevel"/>
    <w:tmpl w:val="6C16454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黑体" w:eastAsia="黑体" w:hint="eastAsia"/>
        <w:b w:val="0"/>
        <w:i w:val="0"/>
        <w:sz w:val="21"/>
      </w:rPr>
    </w:lvl>
    <w:lvl w:ilvl="2">
      <w:start w:val="1"/>
      <w:numFmt w:val="decimal"/>
      <w:pStyle w:val="a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1"/>
      <w:suff w:val="nothing"/>
      <w:lvlText w:val="%1%2.%3.%4　"/>
      <w:lvlJc w:val="left"/>
      <w:pPr>
        <w:ind w:left="567"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77C5004F"/>
    <w:multiLevelType w:val="multilevel"/>
    <w:tmpl w:val="77C5004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B0661BF"/>
    <w:multiLevelType w:val="multilevel"/>
    <w:tmpl w:val="7B0661B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71983664">
    <w:abstractNumId w:val="6"/>
  </w:num>
  <w:num w:numId="2" w16cid:durableId="1164935106">
    <w:abstractNumId w:val="0"/>
  </w:num>
  <w:num w:numId="3" w16cid:durableId="1164128768">
    <w:abstractNumId w:val="2"/>
  </w:num>
  <w:num w:numId="4" w16cid:durableId="1450472818">
    <w:abstractNumId w:val="8"/>
  </w:num>
  <w:num w:numId="5" w16cid:durableId="1588342742">
    <w:abstractNumId w:val="5"/>
  </w:num>
  <w:num w:numId="6" w16cid:durableId="927427505">
    <w:abstractNumId w:val="4"/>
  </w:num>
  <w:num w:numId="7" w16cid:durableId="2114127081">
    <w:abstractNumId w:val="3"/>
  </w:num>
  <w:num w:numId="8" w16cid:durableId="2105610473">
    <w:abstractNumId w:val="7"/>
  </w:num>
  <w:num w:numId="9" w16cid:durableId="2059622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M5MDQ2MmE2NWRhZjJkOGRlZTA5OWMxZTYxMTNlODgifQ=="/>
    <w:docVar w:name="EN.InstantFormat" w:val="&lt;ENInstantFormat&gt;&lt;Enabled&gt;1&lt;/Enabled&gt;&lt;ScanUnformatted&gt;1&lt;/ScanUnformatted&gt;&lt;ScanChanges&gt;1&lt;/ScanChanges&gt;&lt;Suspended&gt;0&lt;/Suspended&gt;&lt;/ENInstantFormat&gt;"/>
    <w:docVar w:name="EN.Layout" w:val="&lt;ENLayout&gt;&lt;Style&gt;mdpi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dw2tzampzp0wevsf3vswznrz25d52edar9&quot;&gt;1&lt;record-ids&gt;&lt;item&gt;94&lt;/item&gt;&lt;item&gt;384&lt;/item&gt;&lt;item&gt;499&lt;/item&gt;&lt;item&gt;520&lt;/item&gt;&lt;item&gt;521&lt;/item&gt;&lt;item&gt;522&lt;/item&gt;&lt;item&gt;523&lt;/item&gt;&lt;item&gt;524&lt;/item&gt;&lt;/record-ids&gt;&lt;/item&gt;&lt;/Libraries&gt;"/>
  </w:docVars>
  <w:rsids>
    <w:rsidRoot w:val="0C536DA1"/>
    <w:rsid w:val="0003535C"/>
    <w:rsid w:val="00061153"/>
    <w:rsid w:val="000C2D3B"/>
    <w:rsid w:val="0012370B"/>
    <w:rsid w:val="00147853"/>
    <w:rsid w:val="00191395"/>
    <w:rsid w:val="001954AF"/>
    <w:rsid w:val="001A76A4"/>
    <w:rsid w:val="001B38D9"/>
    <w:rsid w:val="001B5FE7"/>
    <w:rsid w:val="002572C7"/>
    <w:rsid w:val="0027187E"/>
    <w:rsid w:val="002A3F42"/>
    <w:rsid w:val="002F6632"/>
    <w:rsid w:val="002F6D46"/>
    <w:rsid w:val="003A4B3E"/>
    <w:rsid w:val="003D21B2"/>
    <w:rsid w:val="003E0D8B"/>
    <w:rsid w:val="00433E96"/>
    <w:rsid w:val="004610CC"/>
    <w:rsid w:val="004644F0"/>
    <w:rsid w:val="004B0D68"/>
    <w:rsid w:val="004C338D"/>
    <w:rsid w:val="004E27A4"/>
    <w:rsid w:val="00607B06"/>
    <w:rsid w:val="00614886"/>
    <w:rsid w:val="006372F3"/>
    <w:rsid w:val="00685F81"/>
    <w:rsid w:val="006872D6"/>
    <w:rsid w:val="006F2A2F"/>
    <w:rsid w:val="006F58B8"/>
    <w:rsid w:val="00704C73"/>
    <w:rsid w:val="007150AC"/>
    <w:rsid w:val="00733C11"/>
    <w:rsid w:val="007712B3"/>
    <w:rsid w:val="007B70F9"/>
    <w:rsid w:val="007C4F93"/>
    <w:rsid w:val="007D7FD9"/>
    <w:rsid w:val="007F3351"/>
    <w:rsid w:val="007F5B69"/>
    <w:rsid w:val="00807FA5"/>
    <w:rsid w:val="00931AAA"/>
    <w:rsid w:val="009616F0"/>
    <w:rsid w:val="009E7CF7"/>
    <w:rsid w:val="00A333B5"/>
    <w:rsid w:val="00A36510"/>
    <w:rsid w:val="00A619EB"/>
    <w:rsid w:val="00A66607"/>
    <w:rsid w:val="00AB0DA6"/>
    <w:rsid w:val="00BD767A"/>
    <w:rsid w:val="00C16CF5"/>
    <w:rsid w:val="00C4225A"/>
    <w:rsid w:val="00CF467F"/>
    <w:rsid w:val="00D049D1"/>
    <w:rsid w:val="00D33706"/>
    <w:rsid w:val="00D47C54"/>
    <w:rsid w:val="00D63B6B"/>
    <w:rsid w:val="00DB2F3F"/>
    <w:rsid w:val="00E247DB"/>
    <w:rsid w:val="00ED6F49"/>
    <w:rsid w:val="00EE0EAA"/>
    <w:rsid w:val="00F07F6F"/>
    <w:rsid w:val="00F2038A"/>
    <w:rsid w:val="04D43E06"/>
    <w:rsid w:val="059A7C54"/>
    <w:rsid w:val="05EF3F4F"/>
    <w:rsid w:val="07574E9A"/>
    <w:rsid w:val="085172A3"/>
    <w:rsid w:val="087023CC"/>
    <w:rsid w:val="08FC0E5C"/>
    <w:rsid w:val="0A8A6043"/>
    <w:rsid w:val="0B8B47FB"/>
    <w:rsid w:val="0C536DA1"/>
    <w:rsid w:val="0D950232"/>
    <w:rsid w:val="0DD00B0A"/>
    <w:rsid w:val="0FE757E4"/>
    <w:rsid w:val="10B24F77"/>
    <w:rsid w:val="110970E1"/>
    <w:rsid w:val="12C729E0"/>
    <w:rsid w:val="131E7C21"/>
    <w:rsid w:val="150572EB"/>
    <w:rsid w:val="16144DB1"/>
    <w:rsid w:val="17125CEF"/>
    <w:rsid w:val="1876090C"/>
    <w:rsid w:val="1990114D"/>
    <w:rsid w:val="1C664D5E"/>
    <w:rsid w:val="1D4D1FEC"/>
    <w:rsid w:val="1F1F37AB"/>
    <w:rsid w:val="213571AA"/>
    <w:rsid w:val="21BF0821"/>
    <w:rsid w:val="21DF2C72"/>
    <w:rsid w:val="22350AE4"/>
    <w:rsid w:val="225E003A"/>
    <w:rsid w:val="22B04612"/>
    <w:rsid w:val="22C72083"/>
    <w:rsid w:val="237406BF"/>
    <w:rsid w:val="23A45F21"/>
    <w:rsid w:val="23E34C9B"/>
    <w:rsid w:val="24CC710A"/>
    <w:rsid w:val="276E5F42"/>
    <w:rsid w:val="28247630"/>
    <w:rsid w:val="292A336C"/>
    <w:rsid w:val="2D1463BC"/>
    <w:rsid w:val="32805DAB"/>
    <w:rsid w:val="3349145F"/>
    <w:rsid w:val="34060796"/>
    <w:rsid w:val="379040DC"/>
    <w:rsid w:val="390F0D1D"/>
    <w:rsid w:val="3F3411A6"/>
    <w:rsid w:val="3F830C89"/>
    <w:rsid w:val="3FE67DDE"/>
    <w:rsid w:val="41FB3B6D"/>
    <w:rsid w:val="41FF4F3E"/>
    <w:rsid w:val="42554756"/>
    <w:rsid w:val="42910954"/>
    <w:rsid w:val="429338D8"/>
    <w:rsid w:val="438652B8"/>
    <w:rsid w:val="440E76BA"/>
    <w:rsid w:val="446A1E39"/>
    <w:rsid w:val="45765517"/>
    <w:rsid w:val="4578293C"/>
    <w:rsid w:val="46410DBF"/>
    <w:rsid w:val="474433F3"/>
    <w:rsid w:val="477210A2"/>
    <w:rsid w:val="49FA06A9"/>
    <w:rsid w:val="4A0B2A5E"/>
    <w:rsid w:val="4AF62C56"/>
    <w:rsid w:val="4BD758C8"/>
    <w:rsid w:val="4CE177FA"/>
    <w:rsid w:val="4DCE61BB"/>
    <w:rsid w:val="4DD41CB6"/>
    <w:rsid w:val="4DEF552B"/>
    <w:rsid w:val="4E573A0C"/>
    <w:rsid w:val="4EB12085"/>
    <w:rsid w:val="4EF73D23"/>
    <w:rsid w:val="4F231B40"/>
    <w:rsid w:val="500961EB"/>
    <w:rsid w:val="51104B4D"/>
    <w:rsid w:val="52AD575C"/>
    <w:rsid w:val="53B2320B"/>
    <w:rsid w:val="53F75106"/>
    <w:rsid w:val="552D3719"/>
    <w:rsid w:val="561B4F52"/>
    <w:rsid w:val="56675C51"/>
    <w:rsid w:val="57ED2587"/>
    <w:rsid w:val="595558BD"/>
    <w:rsid w:val="5B57504B"/>
    <w:rsid w:val="5C582BB2"/>
    <w:rsid w:val="5D4B44B2"/>
    <w:rsid w:val="5E3873B6"/>
    <w:rsid w:val="5EE42470"/>
    <w:rsid w:val="5F487ACD"/>
    <w:rsid w:val="5FB94527"/>
    <w:rsid w:val="5FD81F30"/>
    <w:rsid w:val="602222EB"/>
    <w:rsid w:val="62F2750C"/>
    <w:rsid w:val="631E61B8"/>
    <w:rsid w:val="64966BE4"/>
    <w:rsid w:val="66FD119D"/>
    <w:rsid w:val="67876CB8"/>
    <w:rsid w:val="68051F17"/>
    <w:rsid w:val="682269E1"/>
    <w:rsid w:val="68C638AA"/>
    <w:rsid w:val="6AA638F9"/>
    <w:rsid w:val="6BE0487B"/>
    <w:rsid w:val="6BEE1BF9"/>
    <w:rsid w:val="6D037595"/>
    <w:rsid w:val="6D4B2536"/>
    <w:rsid w:val="6E264A98"/>
    <w:rsid w:val="6E587601"/>
    <w:rsid w:val="6ED742C8"/>
    <w:rsid w:val="6F655ACF"/>
    <w:rsid w:val="6FD70596"/>
    <w:rsid w:val="6FEE27C2"/>
    <w:rsid w:val="71075701"/>
    <w:rsid w:val="710D1692"/>
    <w:rsid w:val="717C7162"/>
    <w:rsid w:val="7327134F"/>
    <w:rsid w:val="7366631C"/>
    <w:rsid w:val="7480340D"/>
    <w:rsid w:val="74B04754"/>
    <w:rsid w:val="76DB2B7D"/>
    <w:rsid w:val="771F2A69"/>
    <w:rsid w:val="780A371A"/>
    <w:rsid w:val="78F32400"/>
    <w:rsid w:val="7B8C2698"/>
    <w:rsid w:val="7DD91D07"/>
    <w:rsid w:val="7F6D080D"/>
    <w:rsid w:val="7FCC2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B9209"/>
  <w15:docId w15:val="{8A1B9988-7349-4196-B4F6-9AAC5B67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2"/>
    <w:next w:val="a2"/>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nhideWhenUsed/>
    <w:qFormat/>
    <w:rPr>
      <w:rFonts w:ascii="Arial" w:eastAsia="黑体" w:hAnsi="Arial"/>
      <w:sz w:val="20"/>
    </w:rPr>
  </w:style>
  <w:style w:type="paragraph" w:styleId="a7">
    <w:name w:val="annotation text"/>
    <w:basedOn w:val="a2"/>
    <w:autoRedefine/>
    <w:qFormat/>
    <w:pPr>
      <w:jc w:val="left"/>
    </w:pPr>
  </w:style>
  <w:style w:type="paragraph" w:styleId="a8">
    <w:name w:val="footer"/>
    <w:basedOn w:val="a2"/>
    <w:link w:val="a9"/>
    <w:autoRedefine/>
    <w:qFormat/>
    <w:pPr>
      <w:tabs>
        <w:tab w:val="center" w:pos="4153"/>
        <w:tab w:val="right" w:pos="8306"/>
      </w:tabs>
      <w:snapToGrid w:val="0"/>
      <w:jc w:val="left"/>
    </w:pPr>
    <w:rPr>
      <w:sz w:val="18"/>
      <w:szCs w:val="18"/>
    </w:rPr>
  </w:style>
  <w:style w:type="paragraph" w:styleId="aa">
    <w:name w:val="header"/>
    <w:basedOn w:val="a2"/>
    <w:link w:val="ab"/>
    <w:autoRedefine/>
    <w:qFormat/>
    <w:pPr>
      <w:tabs>
        <w:tab w:val="center" w:pos="4153"/>
        <w:tab w:val="right" w:pos="8306"/>
      </w:tabs>
      <w:snapToGrid w:val="0"/>
      <w:jc w:val="center"/>
    </w:pPr>
    <w:rPr>
      <w:sz w:val="18"/>
      <w:szCs w:val="18"/>
    </w:rPr>
  </w:style>
  <w:style w:type="paragraph" w:styleId="ac">
    <w:name w:val="Normal (Web)"/>
    <w:basedOn w:val="a2"/>
    <w:uiPriority w:val="99"/>
    <w:unhideWhenUsed/>
    <w:qFormat/>
    <w:rPr>
      <w:rFonts w:ascii="Times New Roman" w:hAnsi="Times New Roman" w:cs="Times New Roman"/>
      <w:sz w:val="24"/>
    </w:rPr>
  </w:style>
  <w:style w:type="table" w:styleId="ad">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3"/>
    <w:autoRedefine/>
    <w:qFormat/>
    <w:rPr>
      <w:b/>
    </w:rPr>
  </w:style>
  <w:style w:type="character" w:styleId="af">
    <w:name w:val="Hyperlink"/>
    <w:basedOn w:val="a3"/>
    <w:qFormat/>
    <w:rPr>
      <w:color w:val="0000FF"/>
      <w:u w:val="single"/>
    </w:rPr>
  </w:style>
  <w:style w:type="paragraph" w:styleId="af0">
    <w:name w:val="List Paragraph"/>
    <w:basedOn w:val="a2"/>
    <w:autoRedefine/>
    <w:uiPriority w:val="34"/>
    <w:unhideWhenUsed/>
    <w:qFormat/>
    <w:pPr>
      <w:ind w:firstLineChars="200" w:firstLine="420"/>
    </w:pPr>
  </w:style>
  <w:style w:type="character" w:customStyle="1" w:styleId="15">
    <w:name w:val="15"/>
    <w:basedOn w:val="a3"/>
    <w:autoRedefine/>
    <w:qFormat/>
    <w:rPr>
      <w:sz w:val="21"/>
      <w:szCs w:val="21"/>
    </w:rPr>
  </w:style>
  <w:style w:type="paragraph" w:customStyle="1" w:styleId="-11">
    <w:name w:val="彩色列表 - 着色 11"/>
    <w:basedOn w:val="a2"/>
    <w:link w:val="-110"/>
    <w:autoRedefine/>
    <w:uiPriority w:val="34"/>
    <w:qFormat/>
    <w:pPr>
      <w:ind w:firstLineChars="200" w:firstLine="420"/>
    </w:pPr>
    <w:rPr>
      <w14:ligatures w14:val="standardContextual"/>
    </w:rPr>
  </w:style>
  <w:style w:type="paragraph" w:customStyle="1" w:styleId="af1">
    <w:name w:val="标准文件_段"/>
    <w:autoRedefine/>
    <w:qFormat/>
    <w:pPr>
      <w:autoSpaceDE w:val="0"/>
      <w:autoSpaceDN w:val="0"/>
      <w:ind w:firstLineChars="200" w:firstLine="200"/>
      <w:jc w:val="both"/>
    </w:pPr>
    <w:rPr>
      <w:rFonts w:ascii="宋体"/>
      <w:sz w:val="21"/>
    </w:rPr>
  </w:style>
  <w:style w:type="character" w:customStyle="1" w:styleId="ab">
    <w:name w:val="页眉 字符"/>
    <w:basedOn w:val="a3"/>
    <w:link w:val="aa"/>
    <w:autoRedefine/>
    <w:qFormat/>
    <w:rPr>
      <w:rFonts w:asciiTheme="minorHAnsi" w:eastAsiaTheme="minorEastAsia" w:hAnsiTheme="minorHAnsi" w:cstheme="minorBidi"/>
      <w:kern w:val="2"/>
      <w:sz w:val="18"/>
      <w:szCs w:val="18"/>
    </w:rPr>
  </w:style>
  <w:style w:type="character" w:customStyle="1" w:styleId="a9">
    <w:name w:val="页脚 字符"/>
    <w:basedOn w:val="a3"/>
    <w:link w:val="a8"/>
    <w:autoRedefine/>
    <w:qFormat/>
    <w:rPr>
      <w:rFonts w:asciiTheme="minorHAnsi" w:eastAsiaTheme="minorEastAsia" w:hAnsiTheme="minorHAnsi" w:cstheme="minorBidi"/>
      <w:kern w:val="2"/>
      <w:sz w:val="18"/>
      <w:szCs w:val="18"/>
    </w:rPr>
  </w:style>
  <w:style w:type="paragraph" w:customStyle="1" w:styleId="a1">
    <w:name w:val="标准文件_二级条标题"/>
    <w:next w:val="af1"/>
    <w:autoRedefine/>
    <w:qFormat/>
    <w:pPr>
      <w:widowControl w:val="0"/>
      <w:numPr>
        <w:ilvl w:val="3"/>
        <w:numId w:val="1"/>
      </w:numPr>
      <w:spacing w:beforeLines="50" w:before="50" w:afterLines="50" w:after="50"/>
      <w:ind w:left="0"/>
      <w:jc w:val="both"/>
      <w:outlineLvl w:val="2"/>
    </w:pPr>
    <w:rPr>
      <w:rFonts w:ascii="黑体" w:eastAsia="黑体"/>
      <w:sz w:val="21"/>
    </w:rPr>
  </w:style>
  <w:style w:type="paragraph" w:customStyle="1" w:styleId="a0">
    <w:name w:val="标准文件_一级条标题"/>
    <w:basedOn w:val="a"/>
    <w:next w:val="af1"/>
    <w:qFormat/>
    <w:pPr>
      <w:numPr>
        <w:ilvl w:val="2"/>
      </w:numPr>
      <w:spacing w:beforeLines="50" w:before="50" w:afterLines="50" w:after="50"/>
      <w:outlineLvl w:val="1"/>
    </w:pPr>
  </w:style>
  <w:style w:type="paragraph" w:customStyle="1" w:styleId="a">
    <w:name w:val="标准文件_章标题"/>
    <w:next w:val="af1"/>
    <w:qFormat/>
    <w:pPr>
      <w:numPr>
        <w:ilvl w:val="1"/>
        <w:numId w:val="1"/>
      </w:numPr>
      <w:spacing w:beforeLines="100" w:before="100" w:afterLines="100" w:after="100"/>
      <w:jc w:val="both"/>
      <w:outlineLvl w:val="0"/>
    </w:pPr>
    <w:rPr>
      <w:rFonts w:ascii="黑体" w:eastAsia="黑体"/>
      <w:sz w:val="21"/>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paragraph" w:customStyle="1" w:styleId="EndNoteBibliographyTitle">
    <w:name w:val="EndNote Bibliography Title"/>
    <w:basedOn w:val="a2"/>
    <w:link w:val="EndNoteBibliographyTitle0"/>
    <w:autoRedefine/>
    <w:qFormat/>
    <w:pPr>
      <w:jc w:val="center"/>
    </w:pPr>
    <w:rPr>
      <w:rFonts w:ascii="Calibri" w:hAnsi="Calibri" w:cs="Calibri"/>
      <w:sz w:val="20"/>
    </w:rPr>
  </w:style>
  <w:style w:type="character" w:customStyle="1" w:styleId="-110">
    <w:name w:val="彩色列表 - 着色 11 字符"/>
    <w:basedOn w:val="a3"/>
    <w:link w:val="-11"/>
    <w:uiPriority w:val="34"/>
    <w:qFormat/>
    <w:rPr>
      <w:rFonts w:asciiTheme="minorHAnsi" w:eastAsiaTheme="minorEastAsia" w:hAnsiTheme="minorHAnsi" w:cstheme="minorBidi"/>
      <w:kern w:val="2"/>
      <w:sz w:val="21"/>
      <w:szCs w:val="24"/>
      <w14:ligatures w14:val="standardContextual"/>
    </w:rPr>
  </w:style>
  <w:style w:type="character" w:customStyle="1" w:styleId="EndNoteBibliographyTitle0">
    <w:name w:val="EndNote Bibliography Title 字符"/>
    <w:basedOn w:val="-110"/>
    <w:link w:val="EndNoteBibliographyTitle"/>
    <w:qFormat/>
    <w:rPr>
      <w:rFonts w:ascii="Calibri" w:eastAsiaTheme="minorEastAsia" w:hAnsi="Calibri" w:cs="Calibri"/>
      <w:kern w:val="2"/>
      <w:sz w:val="21"/>
      <w:szCs w:val="24"/>
      <w14:ligatures w14:val="standardContextual"/>
    </w:rPr>
  </w:style>
  <w:style w:type="paragraph" w:customStyle="1" w:styleId="EndNoteBibliography">
    <w:name w:val="EndNote Bibliography"/>
    <w:basedOn w:val="a2"/>
    <w:link w:val="EndNoteBibliography0"/>
    <w:autoRedefine/>
    <w:qFormat/>
    <w:pPr>
      <w:jc w:val="left"/>
    </w:pPr>
    <w:rPr>
      <w:rFonts w:ascii="Calibri" w:hAnsi="Calibri" w:cs="Calibri"/>
      <w:sz w:val="20"/>
    </w:rPr>
  </w:style>
  <w:style w:type="character" w:customStyle="1" w:styleId="EndNoteBibliography0">
    <w:name w:val="EndNote Bibliography 字符"/>
    <w:basedOn w:val="-110"/>
    <w:link w:val="EndNoteBibliography"/>
    <w:qFormat/>
    <w:rPr>
      <w:rFonts w:ascii="Calibri" w:eastAsiaTheme="minorEastAsia" w:hAnsi="Calibri" w:cs="Calibri"/>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2808</Words>
  <Characters>16012</Characters>
  <Application>Microsoft Office Word</Application>
  <DocSecurity>0</DocSecurity>
  <Lines>133</Lines>
  <Paragraphs>37</Paragraphs>
  <ScaleCrop>false</ScaleCrop>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陆一</dc:creator>
  <cp:lastModifiedBy>赵溪</cp:lastModifiedBy>
  <cp:revision>3</cp:revision>
  <dcterms:created xsi:type="dcterms:W3CDTF">2024-09-18T03:06:00Z</dcterms:created>
  <dcterms:modified xsi:type="dcterms:W3CDTF">2024-09-18T03:06:00Z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4315F8C2AEC748B6A304F52D5CB462CC_13</vt:lpwstr>
  </property>
</Properties>
</file>