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9E22" w14:textId="77777777" w:rsidR="002E515F" w:rsidRPr="00CB5A29" w:rsidRDefault="00000000">
      <w:pPr>
        <w:spacing w:line="520" w:lineRule="exact"/>
        <w:ind w:firstLineChars="100" w:firstLine="360"/>
        <w:jc w:val="center"/>
        <w:rPr>
          <w:rFonts w:ascii="方正小标宋简体" w:eastAsia="方正小标宋简体" w:hAnsiTheme="majorEastAsia" w:cstheme="majorEastAsia" w:hint="eastAsia"/>
          <w:color w:val="000000"/>
          <w:sz w:val="36"/>
          <w:szCs w:val="36"/>
        </w:rPr>
      </w:pPr>
      <w:r w:rsidRPr="00CB5A29">
        <w:rPr>
          <w:rFonts w:ascii="方正小标宋简体" w:eastAsia="方正小标宋简体" w:hAnsiTheme="majorEastAsia" w:cstheme="majorEastAsia" w:hint="eastAsia"/>
          <w:color w:val="000000"/>
          <w:sz w:val="36"/>
          <w:szCs w:val="36"/>
        </w:rPr>
        <w:t>《“美豫名品”公共品牌认证规范 轻工制造业》</w:t>
      </w:r>
    </w:p>
    <w:p w14:paraId="6AE80D74" w14:textId="77777777" w:rsidR="002E515F" w:rsidRPr="00CB5A29" w:rsidRDefault="00000000">
      <w:pPr>
        <w:spacing w:line="520" w:lineRule="exact"/>
        <w:ind w:firstLineChars="100" w:firstLine="360"/>
        <w:jc w:val="center"/>
        <w:rPr>
          <w:rFonts w:ascii="方正小标宋简体" w:eastAsia="方正小标宋简体" w:hAnsiTheme="majorEastAsia" w:cstheme="majorEastAsia" w:hint="eastAsia"/>
          <w:color w:val="000000"/>
          <w:sz w:val="36"/>
          <w:szCs w:val="36"/>
        </w:rPr>
      </w:pPr>
      <w:r w:rsidRPr="00CB5A29">
        <w:rPr>
          <w:rFonts w:ascii="方正小标宋简体" w:eastAsia="方正小标宋简体" w:hAnsiTheme="majorEastAsia" w:cstheme="majorEastAsia" w:hint="eastAsia"/>
          <w:color w:val="000000"/>
          <w:sz w:val="36"/>
          <w:szCs w:val="36"/>
        </w:rPr>
        <w:t>编制说明</w:t>
      </w:r>
    </w:p>
    <w:p w14:paraId="737325CB" w14:textId="77777777" w:rsidR="002E515F" w:rsidRDefault="002E515F">
      <w:pPr>
        <w:spacing w:line="520" w:lineRule="exact"/>
        <w:jc w:val="center"/>
        <w:rPr>
          <w:rFonts w:ascii="黑体" w:eastAsia="黑体" w:hAnsi="宋体" w:cs="黑体" w:hint="eastAsia"/>
          <w:color w:val="000000"/>
          <w:szCs w:val="32"/>
        </w:rPr>
      </w:pPr>
    </w:p>
    <w:p w14:paraId="250BADBF" w14:textId="77777777" w:rsidR="002E515F" w:rsidRDefault="00000000">
      <w:pPr>
        <w:spacing w:line="520" w:lineRule="exact"/>
        <w:ind w:firstLineChars="200" w:firstLine="640"/>
        <w:rPr>
          <w:rFonts w:ascii="黑体" w:eastAsia="黑体" w:hAnsi="黑体" w:cs="黑体" w:hint="eastAsia"/>
          <w:szCs w:val="32"/>
        </w:rPr>
      </w:pPr>
      <w:r>
        <w:rPr>
          <w:rFonts w:ascii="黑体" w:eastAsia="黑体" w:hAnsi="黑体" w:cs="黑体" w:hint="eastAsia"/>
          <w:szCs w:val="32"/>
        </w:rPr>
        <w:t>一、编制目的及意义</w:t>
      </w:r>
    </w:p>
    <w:p w14:paraId="57989CF0" w14:textId="77777777" w:rsidR="002E515F" w:rsidRDefault="00000000">
      <w:pPr>
        <w:snapToGrid w:val="0"/>
        <w:spacing w:line="520" w:lineRule="exact"/>
        <w:ind w:firstLineChars="200" w:firstLine="643"/>
        <w:outlineLvl w:val="1"/>
        <w:rPr>
          <w:rFonts w:ascii="仿宋" w:eastAsia="仿宋" w:hAnsi="仿宋" w:cs="仿宋" w:hint="eastAsia"/>
          <w:b/>
          <w:bCs/>
          <w:szCs w:val="32"/>
        </w:rPr>
      </w:pPr>
      <w:r>
        <w:rPr>
          <w:rFonts w:ascii="仿宋" w:eastAsia="仿宋" w:hAnsi="仿宋" w:cs="仿宋" w:hint="eastAsia"/>
          <w:b/>
          <w:bCs/>
          <w:szCs w:val="32"/>
        </w:rPr>
        <w:t>（一）编制目的</w:t>
      </w:r>
    </w:p>
    <w:p w14:paraId="3AFC258A" w14:textId="77777777" w:rsidR="002E515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品牌是高质量发展的重要象征，加强品牌建设是满足人民美好生活需要的重要途径，加快品牌建设是我国经济转型升级、迈向高质量发展阶段的内在要求，也是参与全球竞争形成新优势的核心要素。为推动河南省品牌经济发展，河南省人民政府出台了《关于实施品牌发展战略推进 “美豫名品”公共品牌建设的实施意见》，文件中提出：通过持续培育、整体提升,推动河南制造向河南创造转变、河南速度向河南质量转变、河南产品向河南品牌转变,不断提升河南品牌的美誉度和核心竞争力,加快质量强省、品牌强省、标准河南建设,为现代化河南建设提供品牌支撑。</w:t>
      </w:r>
    </w:p>
    <w:p w14:paraId="1D3185F4" w14:textId="77777777" w:rsidR="002E515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（二）编制意义</w:t>
      </w:r>
    </w:p>
    <w:p w14:paraId="77F0D4C1" w14:textId="77777777" w:rsidR="002E515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1、制定本规范，有利于深入贯彻习近平总书记视察河南重要讲话重要指示和关于品牌建设的重要指示精神。</w:t>
      </w:r>
    </w:p>
    <w:p w14:paraId="63666705" w14:textId="77777777" w:rsidR="002E515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2、制定本规范，有利于以 “美豫名品”公共品牌建设为抓手,以 “质量、效益、信誉”为核心,坚持质量第一、创新引领、市场主导、统筹规划的原则,聚焦重点产品、重点企业、重点产业、重点区域,通过持续培育、整体提升,推动河南制造向 河南创造转变、河南速度向河南质量转变、河南产品向河南品牌转变。</w:t>
      </w:r>
    </w:p>
    <w:p w14:paraId="1C0D25A2" w14:textId="77777777" w:rsidR="002E515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3制定本规范，有利于“美豫名品”标准体系的建立和完善，能为轻工制造业“美豫名品”认证提供依据，也为轻</w:t>
      </w:r>
      <w:r>
        <w:rPr>
          <w:rFonts w:ascii="仿宋" w:eastAsia="仿宋" w:hAnsi="仿宋" w:cs="仿宋" w:hint="eastAsia"/>
          <w:color w:val="000000"/>
          <w:szCs w:val="32"/>
        </w:rPr>
        <w:lastRenderedPageBreak/>
        <w:t>工制造业品牌培育提供参考。</w:t>
      </w:r>
    </w:p>
    <w:p w14:paraId="43CF8189" w14:textId="77777777" w:rsidR="002E515F"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4、制定本规范，有利于发挥轻工制造业品牌引领作用，推动轻工制造业供给结构和需求结构升级，有利于轻工制造业激发创新创造活力，促进生产要素合理配置，提高全要素生产率，提升产品品质，实现价值链升级，增加有效供给，提高供给体系的质量和效率；</w:t>
      </w:r>
    </w:p>
    <w:p w14:paraId="3CC3C252"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总之，通过本规范的制定为“美豫名品”认证的提供了方法和依据参考，增强了“美豫名品”认证的科学性、可操作性和有效性，为系统科学的开展轻工制造业“美豫名品”认证工作提供了技术支撑。</w:t>
      </w:r>
    </w:p>
    <w:p w14:paraId="32B6202B" w14:textId="77777777" w:rsidR="002E515F" w:rsidRDefault="00000000">
      <w:pPr>
        <w:snapToGrid w:val="0"/>
        <w:spacing w:line="520" w:lineRule="exact"/>
        <w:ind w:firstLineChars="200" w:firstLine="640"/>
        <w:jc w:val="left"/>
        <w:outlineLvl w:val="0"/>
        <w:rPr>
          <w:rFonts w:ascii="黑体" w:eastAsia="黑体" w:hAnsi="黑体" w:cs="黑体" w:hint="eastAsia"/>
          <w:kern w:val="0"/>
          <w:szCs w:val="32"/>
        </w:rPr>
      </w:pPr>
      <w:bookmarkStart w:id="0" w:name="_Toc9556"/>
      <w:r>
        <w:rPr>
          <w:rFonts w:ascii="黑体" w:eastAsia="黑体" w:hAnsi="黑体" w:cs="黑体" w:hint="eastAsia"/>
          <w:kern w:val="0"/>
          <w:szCs w:val="32"/>
        </w:rPr>
        <w:t>二、任务依据、来源及编制原则</w:t>
      </w:r>
      <w:bookmarkEnd w:id="0"/>
    </w:p>
    <w:p w14:paraId="7AB26473" w14:textId="77777777" w:rsidR="002E515F" w:rsidRDefault="00000000">
      <w:pPr>
        <w:snapToGrid w:val="0"/>
        <w:spacing w:line="520" w:lineRule="exact"/>
        <w:ind w:firstLineChars="200" w:firstLine="643"/>
        <w:outlineLvl w:val="1"/>
        <w:rPr>
          <w:rFonts w:ascii="仿宋" w:eastAsia="仿宋" w:hAnsi="仿宋" w:cs="仿宋" w:hint="eastAsia"/>
          <w:szCs w:val="32"/>
        </w:rPr>
      </w:pPr>
      <w:bookmarkStart w:id="1" w:name="_Toc17706"/>
      <w:r>
        <w:rPr>
          <w:rFonts w:ascii="仿宋" w:eastAsia="仿宋" w:hAnsi="仿宋" w:cs="仿宋" w:hint="eastAsia"/>
          <w:b/>
          <w:bCs/>
          <w:szCs w:val="32"/>
        </w:rPr>
        <w:t>（一）任务</w:t>
      </w:r>
      <w:bookmarkEnd w:id="1"/>
      <w:r>
        <w:rPr>
          <w:rFonts w:ascii="仿宋" w:eastAsia="仿宋" w:hAnsi="仿宋" w:cs="仿宋" w:hint="eastAsia"/>
          <w:b/>
          <w:bCs/>
          <w:szCs w:val="32"/>
        </w:rPr>
        <w:t>依据、来源</w:t>
      </w:r>
    </w:p>
    <w:p w14:paraId="3325C913"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依据河南省人民政府《关于实施品牌发展战略推进 “美豫名品”公共品牌建设的实施意见》，受省</w:t>
      </w:r>
      <w:r>
        <w:rPr>
          <w:rFonts w:ascii="仿宋" w:eastAsia="仿宋" w:hAnsi="仿宋" w:cs="仿宋" w:hint="eastAsia"/>
          <w:color w:val="000000"/>
          <w:szCs w:val="32"/>
        </w:rPr>
        <w:t>市场监督管理局</w:t>
      </w:r>
      <w:r>
        <w:rPr>
          <w:rFonts w:ascii="仿宋" w:eastAsia="仿宋" w:hAnsi="仿宋" w:cs="仿宋" w:hint="eastAsia"/>
          <w:kern w:val="0"/>
          <w:szCs w:val="32"/>
        </w:rPr>
        <w:t>质量发展处委托，由河南省质量协会组织专家和相关企业、认证公司共同编制，规范类别为团体标准。</w:t>
      </w:r>
    </w:p>
    <w:p w14:paraId="1A320CB0" w14:textId="77777777" w:rsidR="002E515F" w:rsidRDefault="00000000">
      <w:pPr>
        <w:snapToGrid w:val="0"/>
        <w:spacing w:line="520" w:lineRule="exact"/>
        <w:ind w:firstLineChars="200" w:firstLine="643"/>
        <w:rPr>
          <w:rFonts w:ascii="仿宋" w:eastAsia="仿宋" w:hAnsi="仿宋" w:cs="仿宋" w:hint="eastAsia"/>
          <w:b/>
          <w:bCs/>
          <w:kern w:val="0"/>
          <w:szCs w:val="32"/>
        </w:rPr>
      </w:pPr>
      <w:r>
        <w:rPr>
          <w:rFonts w:ascii="仿宋" w:eastAsia="仿宋" w:hAnsi="仿宋" w:cs="仿宋" w:hint="eastAsia"/>
          <w:b/>
          <w:bCs/>
          <w:kern w:val="0"/>
          <w:szCs w:val="32"/>
        </w:rPr>
        <w:t>（二）编制原则</w:t>
      </w:r>
    </w:p>
    <w:p w14:paraId="2C4DA16D" w14:textId="77777777" w:rsidR="002E515F"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1、科学性原则</w:t>
      </w:r>
    </w:p>
    <w:p w14:paraId="02AAE1F1" w14:textId="77777777" w:rsidR="002E515F"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 按照GB/T19000质量管理体系、GB/T19580卓越绩效评价准则、GB/T 39906 品牌管理要求、“美豫名品”公共品牌认证通则等的要求和规定编写本规范内容，力求使轻工制造业“美豫名品”公共品牌认证工作符合客观规律，遵循科学性原则。 </w:t>
      </w:r>
    </w:p>
    <w:p w14:paraId="06237C1F" w14:textId="77777777" w:rsidR="002E515F"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系统性原则 </w:t>
      </w:r>
    </w:p>
    <w:p w14:paraId="1BC4D487" w14:textId="77777777" w:rsidR="002E515F" w:rsidRDefault="00000000">
      <w:pPr>
        <w:snapToGrid w:val="0"/>
        <w:spacing w:line="520" w:lineRule="exact"/>
        <w:ind w:firstLineChars="200" w:firstLine="640"/>
        <w:rPr>
          <w:rFonts w:ascii="仿宋" w:eastAsia="仿宋" w:hAnsi="仿宋" w:cs="仿宋" w:hint="eastAsia"/>
          <w:color w:val="000000"/>
          <w:kern w:val="0"/>
          <w:szCs w:val="32"/>
        </w:rPr>
      </w:pPr>
      <w:r>
        <w:rPr>
          <w:rFonts w:ascii="仿宋" w:eastAsia="仿宋" w:hAnsi="仿宋" w:cs="仿宋" w:hint="eastAsia"/>
          <w:color w:val="000000"/>
          <w:szCs w:val="32"/>
        </w:rPr>
        <w:t>本规范遵循省政府文件要求和省市场监督管理局的相关工作部署，采用过程方法，并按照“策划—实施—检查—</w:t>
      </w:r>
      <w:r>
        <w:rPr>
          <w:rFonts w:ascii="仿宋" w:eastAsia="仿宋" w:hAnsi="仿宋" w:cs="仿宋" w:hint="eastAsia"/>
          <w:color w:val="000000"/>
          <w:szCs w:val="32"/>
        </w:rPr>
        <w:lastRenderedPageBreak/>
        <w:t>处置”（PDCA）循环模式，根据轻工制造业行业特点和特殊要求，围绕“美豫名品”公共品牌认证的核心要素质量、创新、品牌、效益、社会责任展开，规定了轻工制造业“美豫名品”公共品牌认证工作具体实施规范条款。</w:t>
      </w:r>
    </w:p>
    <w:p w14:paraId="66F7D5F0" w14:textId="77777777" w:rsidR="002E515F"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适用性原则 </w:t>
      </w:r>
    </w:p>
    <w:p w14:paraId="30A64006" w14:textId="77777777" w:rsidR="002E515F"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本规范的制定，按照团体规范的制定程序和要求，力求使本规范工作适合评价工作实际，也充分考虑了企业及其相关方的需求以及建议，确保了规范的价值以及实用性。</w:t>
      </w:r>
    </w:p>
    <w:p w14:paraId="70FD3F39" w14:textId="77777777" w:rsidR="002E515F" w:rsidRDefault="00000000">
      <w:pPr>
        <w:snapToGrid w:val="0"/>
        <w:spacing w:line="52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三、编制过程</w:t>
      </w:r>
    </w:p>
    <w:p w14:paraId="15631378" w14:textId="77777777" w:rsidR="002E515F" w:rsidRDefault="00000000">
      <w:pPr>
        <w:snapToGrid w:val="0"/>
        <w:spacing w:line="520" w:lineRule="exact"/>
        <w:ind w:firstLineChars="200" w:firstLine="643"/>
        <w:outlineLvl w:val="1"/>
        <w:rPr>
          <w:rFonts w:ascii="仿宋" w:eastAsia="仿宋" w:hAnsi="仿宋" w:cs="仿宋" w:hint="eastAsia"/>
          <w:b/>
          <w:bCs/>
          <w:szCs w:val="32"/>
        </w:rPr>
      </w:pPr>
      <w:bookmarkStart w:id="2" w:name="_Toc2708"/>
      <w:r>
        <w:rPr>
          <w:rFonts w:ascii="仿宋" w:eastAsia="仿宋" w:hAnsi="仿宋" w:cs="仿宋" w:hint="eastAsia"/>
          <w:b/>
          <w:bCs/>
          <w:szCs w:val="32"/>
        </w:rPr>
        <w:t>（一）规范编制单位</w:t>
      </w:r>
      <w:bookmarkEnd w:id="2"/>
    </w:p>
    <w:p w14:paraId="5E2D6507"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本规范编写单位有河南省质量协会、相关企业和认证机构等。</w:t>
      </w:r>
    </w:p>
    <w:p w14:paraId="5D0F688A" w14:textId="77777777" w:rsidR="002E515F" w:rsidRDefault="00000000">
      <w:pPr>
        <w:snapToGrid w:val="0"/>
        <w:spacing w:line="520" w:lineRule="exact"/>
        <w:ind w:firstLineChars="200" w:firstLine="643"/>
        <w:outlineLvl w:val="1"/>
        <w:rPr>
          <w:rFonts w:ascii="仿宋" w:eastAsia="仿宋" w:hAnsi="仿宋" w:cs="仿宋" w:hint="eastAsia"/>
          <w:szCs w:val="32"/>
        </w:rPr>
      </w:pPr>
      <w:bookmarkStart w:id="3" w:name="_Toc11205"/>
      <w:r>
        <w:rPr>
          <w:rFonts w:ascii="仿宋" w:eastAsia="仿宋" w:hAnsi="仿宋" w:cs="仿宋" w:hint="eastAsia"/>
          <w:b/>
          <w:bCs/>
          <w:szCs w:val="32"/>
        </w:rPr>
        <w:t>（二）规范主要编制过程</w:t>
      </w:r>
      <w:bookmarkEnd w:id="3"/>
    </w:p>
    <w:p w14:paraId="7DA27359"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1.研讨阶段</w:t>
      </w:r>
    </w:p>
    <w:p w14:paraId="4030C54A"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自河南省人民政府《关于实施品牌发展战略推进 “美豫名品”公共品牌建设的实施意见》</w:t>
      </w:r>
      <w:r>
        <w:rPr>
          <w:rFonts w:ascii="仿宋" w:eastAsia="仿宋" w:hAnsi="仿宋" w:cs="仿宋" w:hint="eastAsia"/>
          <w:color w:val="000000"/>
          <w:szCs w:val="32"/>
        </w:rPr>
        <w:t>（豫政〔2023〕3号）文件发布以来</w:t>
      </w:r>
      <w:r>
        <w:rPr>
          <w:rFonts w:ascii="仿宋" w:eastAsia="仿宋" w:hAnsi="仿宋" w:cs="仿宋" w:hint="eastAsia"/>
          <w:kern w:val="0"/>
          <w:szCs w:val="32"/>
        </w:rPr>
        <w:t>，作为省质量方面的专业对口协会，省质量协会多次就此项工作开展多次内部讨论，致力于为河南省品牌建设工作承担应有的责任，适时向市场监督管理局质量发展处申请编制相关认证工作技术标准、规范。协会于2024年7月23日组织召开了“美豫名品”认证标准研讨会，研讨会邀请了省市场监管局质量发展处领导参会，省内部分品牌研究、质量检验、体系认证等机构专家学者、省内制造业有代表性的企业质量技术专业人员等，共计40人参加了会议，会议听取了专家、行业代表、企业代表的意见和建议，市场监管局质量发展处领导对“美豫名品”认证标准编制工作提</w:t>
      </w:r>
      <w:r>
        <w:rPr>
          <w:rFonts w:ascii="仿宋" w:eastAsia="仿宋" w:hAnsi="仿宋" w:cs="仿宋" w:hint="eastAsia"/>
          <w:kern w:val="0"/>
          <w:szCs w:val="32"/>
        </w:rPr>
        <w:lastRenderedPageBreak/>
        <w:t>出了具体要求。</w:t>
      </w:r>
    </w:p>
    <w:p w14:paraId="2C112DBD"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2.调研阶段</w:t>
      </w:r>
    </w:p>
    <w:p w14:paraId="084DDC5F" w14:textId="77777777" w:rsidR="002E515F" w:rsidRDefault="00000000">
      <w:pPr>
        <w:snapToGrid w:val="0"/>
        <w:spacing w:line="520" w:lineRule="exact"/>
        <w:rPr>
          <w:rFonts w:ascii="仿宋" w:eastAsia="仿宋" w:hAnsi="仿宋" w:cs="仿宋" w:hint="eastAsia"/>
          <w:kern w:val="0"/>
          <w:szCs w:val="32"/>
        </w:rPr>
      </w:pPr>
      <w:r>
        <w:rPr>
          <w:rFonts w:ascii="仿宋" w:eastAsia="仿宋" w:hAnsi="仿宋" w:cs="仿宋" w:hint="eastAsia"/>
          <w:kern w:val="0"/>
          <w:szCs w:val="32"/>
        </w:rPr>
        <w:t xml:space="preserve">   会后协会专家立即行动，到相关认证机构和相关行业加工企业进行调研，认真了解认证要点、行业特点和企业品牌发展意见，理清思路，为标准编制工作奠定基础。</w:t>
      </w:r>
    </w:p>
    <w:p w14:paraId="09CDDB41"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3.编制起草阶段</w:t>
      </w:r>
    </w:p>
    <w:p w14:paraId="4CD4CE3D"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8月初，河南省质量协会组织召开编写组成立会议，正式启动</w:t>
      </w:r>
      <w:r>
        <w:rPr>
          <w:rFonts w:ascii="仿宋" w:eastAsia="仿宋" w:hAnsi="仿宋" w:cs="仿宋" w:hint="eastAsia"/>
          <w:color w:val="000000"/>
          <w:szCs w:val="32"/>
        </w:rPr>
        <w:t>“美豫名品”制造业认证标准编制工作</w:t>
      </w:r>
      <w:r>
        <w:rPr>
          <w:rFonts w:ascii="仿宋" w:eastAsia="仿宋" w:hAnsi="仿宋" w:cs="仿宋" w:hint="eastAsia"/>
          <w:kern w:val="0"/>
          <w:szCs w:val="32"/>
        </w:rPr>
        <w:t>。8月中旬形成初稿，并征求相关认证机构和相关行业企业代表的意见和建议，形成“美豫名品”公共品牌认证规范轻工制造业征求意见稿。</w:t>
      </w:r>
    </w:p>
    <w:p w14:paraId="541DCB49" w14:textId="77777777" w:rsidR="002E515F" w:rsidRDefault="00000000">
      <w:pPr>
        <w:snapToGrid w:val="0"/>
        <w:spacing w:line="520" w:lineRule="exact"/>
        <w:ind w:firstLineChars="200" w:firstLine="640"/>
        <w:outlineLvl w:val="0"/>
        <w:rPr>
          <w:rFonts w:ascii="黑体" w:eastAsia="黑体" w:hAnsi="黑体" w:cs="黑体" w:hint="eastAsia"/>
          <w:kern w:val="0"/>
          <w:szCs w:val="32"/>
        </w:rPr>
      </w:pPr>
      <w:bookmarkStart w:id="4" w:name="_Toc10578"/>
      <w:r>
        <w:rPr>
          <w:rFonts w:ascii="黑体" w:eastAsia="黑体" w:hAnsi="黑体" w:cs="黑体" w:hint="eastAsia"/>
          <w:kern w:val="0"/>
          <w:szCs w:val="32"/>
        </w:rPr>
        <w:t>四、主要内容的确定</w:t>
      </w:r>
      <w:bookmarkEnd w:id="4"/>
    </w:p>
    <w:p w14:paraId="3CEDF8F3"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根据本规范使用者及制定规范的目的，确定了本规范的主要内容及构成。</w:t>
      </w:r>
    </w:p>
    <w:p w14:paraId="4EAAE70A" w14:textId="77777777" w:rsidR="002E515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1、范围</w:t>
      </w:r>
    </w:p>
    <w:p w14:paraId="2BE63C7E"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本文件适用于“美豫名品” 公共品牌认证轻工制造业认证实施活动。</w:t>
      </w:r>
    </w:p>
    <w:p w14:paraId="6F8D2009" w14:textId="77777777" w:rsidR="002E515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2、规范性引用文件</w:t>
      </w:r>
    </w:p>
    <w:p w14:paraId="1A70DDFE"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下列文件中的内容通过文中的规范性引用而构成本文件必不可少的条款，其最新版本（包括所有的修改单）适用于本文件。</w:t>
      </w:r>
    </w:p>
    <w:p w14:paraId="399E2FCC" w14:textId="77777777" w:rsidR="002E515F"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GB/T 19000 质量管理体系 </w:t>
      </w:r>
    </w:p>
    <w:p w14:paraId="4FD6A045" w14:textId="77777777" w:rsidR="002E515F"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GB/T 19580　卓越绩效评价准则</w:t>
      </w:r>
    </w:p>
    <w:p w14:paraId="7ABB7069" w14:textId="77777777" w:rsidR="002E515F"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GB/T 39906 品牌管理要求</w:t>
      </w:r>
    </w:p>
    <w:p w14:paraId="10C5BF9D" w14:textId="77777777" w:rsidR="002E515F" w:rsidRDefault="00000000">
      <w:pPr>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GB/T29186《品牌价值要素评价》</w:t>
      </w:r>
    </w:p>
    <w:p w14:paraId="3CA345F0" w14:textId="77777777" w:rsidR="002E515F"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DBXX/T XXX  "美豫名品"公共品牌认证通则</w:t>
      </w:r>
    </w:p>
    <w:p w14:paraId="3077B6A1" w14:textId="77777777" w:rsidR="002E515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3、术语和定义</w:t>
      </w:r>
    </w:p>
    <w:p w14:paraId="68E5F6CB"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lastRenderedPageBreak/>
        <w:t>对“美豫名品”、 "美豫名品"认证的说明</w:t>
      </w:r>
    </w:p>
    <w:p w14:paraId="6D168DF6" w14:textId="77777777" w:rsidR="002E515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4、认证依据</w:t>
      </w:r>
    </w:p>
    <w:p w14:paraId="0A9B9EA8"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依据"美豫名品"公共品牌认证通则、本文件及“美豫名品”相应认证标准开展。</w:t>
      </w:r>
    </w:p>
    <w:p w14:paraId="1F89BDA9" w14:textId="77777777" w:rsidR="002E515F"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5、认证内容</w:t>
      </w:r>
    </w:p>
    <w:p w14:paraId="2DE19DD8" w14:textId="77777777" w:rsidR="002E515F" w:rsidRDefault="00000000">
      <w:pPr>
        <w:ind w:firstLineChars="200" w:firstLine="640"/>
        <w:rPr>
          <w:rFonts w:ascii="仿宋" w:eastAsia="仿宋" w:hAnsi="仿宋" w:cs="仿宋" w:hint="eastAsia"/>
          <w:color w:val="000000"/>
          <w:szCs w:val="32"/>
        </w:rPr>
      </w:pPr>
      <w:r>
        <w:rPr>
          <w:rFonts w:ascii="仿宋" w:eastAsia="仿宋" w:hAnsi="仿宋" w:cs="仿宋" w:hint="eastAsia"/>
          <w:szCs w:val="32"/>
        </w:rPr>
        <w:t>——质量，包括</w:t>
      </w:r>
      <w:r>
        <w:rPr>
          <w:rFonts w:ascii="仿宋" w:eastAsia="仿宋" w:hAnsi="仿宋" w:cs="仿宋" w:hint="eastAsia"/>
          <w:color w:val="000000"/>
          <w:szCs w:val="32"/>
        </w:rPr>
        <w:t>质量文化、质量战略、</w:t>
      </w:r>
      <w:r>
        <w:rPr>
          <w:rFonts w:ascii="仿宋" w:eastAsia="仿宋" w:hAnsi="仿宋" w:cs="仿宋" w:hint="eastAsia"/>
          <w:szCs w:val="32"/>
        </w:rPr>
        <w:t>产品质量水平、质量管理能力、</w:t>
      </w:r>
      <w:r>
        <w:rPr>
          <w:rFonts w:ascii="仿宋" w:eastAsia="仿宋" w:hAnsi="仿宋" w:cs="仿宋" w:hint="eastAsia"/>
          <w:color w:val="000000"/>
          <w:szCs w:val="32"/>
        </w:rPr>
        <w:t>质量基础等；</w:t>
      </w:r>
    </w:p>
    <w:p w14:paraId="28EF92EC" w14:textId="77777777" w:rsidR="002E515F" w:rsidRDefault="00000000">
      <w:pPr>
        <w:ind w:firstLineChars="200" w:firstLine="640"/>
        <w:rPr>
          <w:rFonts w:ascii="仿宋" w:eastAsia="仿宋" w:hAnsi="仿宋" w:cs="仿宋" w:hint="eastAsia"/>
          <w:color w:val="000000"/>
          <w:szCs w:val="32"/>
        </w:rPr>
      </w:pPr>
      <w:r>
        <w:rPr>
          <w:rFonts w:ascii="仿宋" w:eastAsia="仿宋" w:hAnsi="仿宋" w:cs="仿宋" w:hint="eastAsia"/>
          <w:szCs w:val="32"/>
        </w:rPr>
        <w:t>——创新，包括</w:t>
      </w:r>
      <w:r>
        <w:rPr>
          <w:rFonts w:ascii="仿宋" w:eastAsia="仿宋" w:hAnsi="仿宋" w:cs="仿宋" w:hint="eastAsia"/>
          <w:color w:val="000000"/>
          <w:szCs w:val="32"/>
        </w:rPr>
        <w:t>创新管理、创新能力、创新成效等；</w:t>
      </w:r>
    </w:p>
    <w:p w14:paraId="561873C5"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——品牌，包括品牌战略、</w:t>
      </w:r>
      <w:r>
        <w:rPr>
          <w:rFonts w:ascii="仿宋" w:eastAsia="仿宋" w:hAnsi="仿宋" w:cs="仿宋" w:hint="eastAsia"/>
          <w:szCs w:val="32"/>
        </w:rPr>
        <w:t>组织和资源、</w:t>
      </w:r>
      <w:r>
        <w:rPr>
          <w:rFonts w:ascii="仿宋" w:eastAsia="仿宋" w:hAnsi="仿宋" w:cs="仿宋" w:hint="eastAsia"/>
          <w:color w:val="000000" w:themeColor="text1"/>
          <w:szCs w:val="32"/>
        </w:rPr>
        <w:t>品牌管理、品牌荣誉等；</w:t>
      </w:r>
    </w:p>
    <w:p w14:paraId="244CB2FD"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——效益，包括顾客结果、市场结果、财务结果等；</w:t>
      </w:r>
    </w:p>
    <w:p w14:paraId="14332F54" w14:textId="77777777" w:rsidR="002E515F"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——社会责任，包括公共责任、道德行为、公益支持等。</w:t>
      </w:r>
    </w:p>
    <w:p w14:paraId="56C2CDE9" w14:textId="77777777" w:rsidR="002E515F" w:rsidRDefault="00000000">
      <w:pPr>
        <w:spacing w:line="520" w:lineRule="exact"/>
        <w:ind w:firstLineChars="200" w:firstLine="640"/>
        <w:outlineLvl w:val="0"/>
        <w:rPr>
          <w:rFonts w:ascii="黑体" w:eastAsia="黑体" w:hAnsi="黑体" w:cs="黑体" w:hint="eastAsia"/>
          <w:kern w:val="0"/>
          <w:szCs w:val="32"/>
        </w:rPr>
      </w:pPr>
      <w:bookmarkStart w:id="5" w:name="_Toc16289"/>
      <w:r>
        <w:rPr>
          <w:rFonts w:ascii="黑体" w:eastAsia="黑体" w:hAnsi="黑体" w:cs="黑体" w:hint="eastAsia"/>
          <w:kern w:val="0"/>
          <w:szCs w:val="32"/>
        </w:rPr>
        <w:t>五、重大意见分歧的处理</w:t>
      </w:r>
      <w:bookmarkEnd w:id="5"/>
    </w:p>
    <w:p w14:paraId="230102DB"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本规范制订过程中，未出现重大意见分歧。</w:t>
      </w:r>
    </w:p>
    <w:p w14:paraId="7B455EC5" w14:textId="77777777" w:rsidR="002E515F" w:rsidRDefault="00000000">
      <w:pPr>
        <w:snapToGrid w:val="0"/>
        <w:spacing w:line="520" w:lineRule="exact"/>
        <w:ind w:firstLineChars="200" w:firstLine="640"/>
        <w:outlineLvl w:val="0"/>
        <w:rPr>
          <w:rFonts w:ascii="黑体" w:eastAsia="黑体" w:hAnsi="黑体" w:cs="黑体" w:hint="eastAsia"/>
          <w:kern w:val="0"/>
          <w:szCs w:val="32"/>
        </w:rPr>
      </w:pPr>
      <w:bookmarkStart w:id="6" w:name="_Toc13833"/>
      <w:r>
        <w:rPr>
          <w:rFonts w:ascii="黑体" w:eastAsia="黑体" w:hAnsi="黑体" w:cs="黑体" w:hint="eastAsia"/>
          <w:kern w:val="0"/>
          <w:szCs w:val="32"/>
        </w:rPr>
        <w:t>六、与国家法律法规和强制性规范的关系</w:t>
      </w:r>
      <w:bookmarkEnd w:id="6"/>
    </w:p>
    <w:p w14:paraId="7934092E"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本规范的制定符合国家的法律法规，与现行的国家、行业、地方规范没有冲突。</w:t>
      </w:r>
    </w:p>
    <w:p w14:paraId="3A10D311" w14:textId="77777777" w:rsidR="002E515F" w:rsidRDefault="00000000">
      <w:pPr>
        <w:snapToGrid w:val="0"/>
        <w:spacing w:line="520" w:lineRule="exact"/>
        <w:ind w:firstLineChars="200" w:firstLine="640"/>
        <w:outlineLvl w:val="0"/>
        <w:rPr>
          <w:rFonts w:ascii="仿宋" w:eastAsia="仿宋" w:hAnsi="仿宋" w:cs="仿宋" w:hint="eastAsia"/>
          <w:kern w:val="0"/>
          <w:szCs w:val="32"/>
        </w:rPr>
      </w:pPr>
      <w:bookmarkStart w:id="7" w:name="_Toc13237"/>
      <w:r>
        <w:rPr>
          <w:rFonts w:ascii="黑体" w:eastAsia="黑体" w:hAnsi="黑体" w:cs="黑体" w:hint="eastAsia"/>
          <w:kern w:val="0"/>
          <w:szCs w:val="32"/>
        </w:rPr>
        <w:t>七、</w:t>
      </w:r>
      <w:bookmarkStart w:id="8" w:name="_Toc27637"/>
      <w:bookmarkEnd w:id="7"/>
      <w:r>
        <w:rPr>
          <w:rFonts w:ascii="黑体" w:eastAsia="黑体" w:hAnsi="黑体" w:cs="黑体" w:hint="eastAsia"/>
          <w:kern w:val="0"/>
          <w:szCs w:val="32"/>
        </w:rPr>
        <w:t>其他应予说明的事项</w:t>
      </w:r>
      <w:bookmarkEnd w:id="8"/>
      <w:r>
        <w:rPr>
          <w:rFonts w:ascii="仿宋" w:eastAsia="仿宋" w:hAnsi="仿宋" w:cs="仿宋" w:hint="eastAsia"/>
          <w:kern w:val="0"/>
          <w:szCs w:val="32"/>
        </w:rPr>
        <w:t xml:space="preserve"> </w:t>
      </w:r>
    </w:p>
    <w:p w14:paraId="33336E85" w14:textId="77777777" w:rsidR="002E515F"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无其他应予以说明的事项。</w:t>
      </w:r>
    </w:p>
    <w:p w14:paraId="2B3BD092" w14:textId="77777777" w:rsidR="002E515F" w:rsidRDefault="002E515F">
      <w:pPr>
        <w:spacing w:line="520" w:lineRule="exact"/>
        <w:ind w:firstLine="480"/>
        <w:rPr>
          <w:rFonts w:ascii="仿宋" w:eastAsia="仿宋" w:hAnsi="仿宋" w:cs="仿宋" w:hint="eastAsia"/>
          <w:color w:val="000000" w:themeColor="text1"/>
          <w:szCs w:val="32"/>
        </w:rPr>
      </w:pPr>
    </w:p>
    <w:sectPr w:rsidR="002E515F">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0C94" w14:textId="77777777" w:rsidR="00EC70C2" w:rsidRDefault="00EC70C2">
      <w:r>
        <w:separator/>
      </w:r>
    </w:p>
  </w:endnote>
  <w:endnote w:type="continuationSeparator" w:id="0">
    <w:p w14:paraId="47D119AF" w14:textId="77777777" w:rsidR="00EC70C2" w:rsidRDefault="00EC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8221" w14:textId="77777777" w:rsidR="002E515F" w:rsidRDefault="002E515F">
    <w:pPr>
      <w:pStyle w:val="a3"/>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63656"/>
    </w:sdtPr>
    <w:sdtEndPr>
      <w:rPr>
        <w:rFonts w:ascii="宋体" w:eastAsia="宋体" w:hAnsi="宋体" w:cs="宋体"/>
        <w:sz w:val="28"/>
        <w:szCs w:val="28"/>
      </w:rPr>
    </w:sdtEndPr>
    <w:sdtContent>
      <w:p w14:paraId="4AF587DF" w14:textId="77777777" w:rsidR="002E515F" w:rsidRDefault="00000000">
        <w:pPr>
          <w:pStyle w:val="a3"/>
          <w:ind w:right="320"/>
          <w:rPr>
            <w:rFonts w:ascii="宋体" w:eastAsia="宋体" w:hAnsi="宋体" w:cs="宋体" w:hint="eastAsia"/>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w:t>
        </w:r>
        <w:r>
          <w:rPr>
            <w:rFonts w:ascii="宋体" w:eastAsia="宋体" w:hAnsi="宋体" w:cs="宋体"/>
            <w:sz w:val="28"/>
            <w:szCs w:val="28"/>
          </w:rPr>
          <w:fldChar w:fldCharType="end"/>
        </w:r>
      </w:p>
    </w:sdtContent>
  </w:sdt>
  <w:p w14:paraId="04BE93FC" w14:textId="77777777" w:rsidR="002E515F" w:rsidRDefault="002E515F">
    <w:pPr>
      <w:pStyle w:val="a3"/>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0012" w14:textId="77777777" w:rsidR="002E515F" w:rsidRDefault="002E515F">
    <w:pPr>
      <w:pStyle w:val="a3"/>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3DD71" w14:textId="77777777" w:rsidR="00EC70C2" w:rsidRDefault="00EC70C2">
      <w:r>
        <w:separator/>
      </w:r>
    </w:p>
  </w:footnote>
  <w:footnote w:type="continuationSeparator" w:id="0">
    <w:p w14:paraId="7FB3435D" w14:textId="77777777" w:rsidR="00EC70C2" w:rsidRDefault="00EC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1EF46"/>
    <w:multiLevelType w:val="singleLevel"/>
    <w:tmpl w:val="E361EF46"/>
    <w:lvl w:ilvl="0">
      <w:start w:val="2"/>
      <w:numFmt w:val="decimal"/>
      <w:suff w:val="nothing"/>
      <w:lvlText w:val="%1、"/>
      <w:lvlJc w:val="left"/>
    </w:lvl>
  </w:abstractNum>
  <w:num w:numId="1" w16cid:durableId="66809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defaultTabStop w:val="420"/>
  <w:drawingGridHorizontalSpacing w:val="160"/>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YwMDk0ZjE3NzZjNjdmMTNjNTRhNjk3MmE1M2M5MGIifQ=="/>
  </w:docVars>
  <w:rsids>
    <w:rsidRoot w:val="731D1A9D"/>
    <w:rsid w:val="000F0656"/>
    <w:rsid w:val="001A725B"/>
    <w:rsid w:val="002E515F"/>
    <w:rsid w:val="00334EDC"/>
    <w:rsid w:val="005A34E8"/>
    <w:rsid w:val="006C0EF6"/>
    <w:rsid w:val="007E583D"/>
    <w:rsid w:val="00A23700"/>
    <w:rsid w:val="00A92E07"/>
    <w:rsid w:val="00B65F94"/>
    <w:rsid w:val="00C20D62"/>
    <w:rsid w:val="00C31E5B"/>
    <w:rsid w:val="00C32843"/>
    <w:rsid w:val="00CB5A29"/>
    <w:rsid w:val="00E749A9"/>
    <w:rsid w:val="00EC70C2"/>
    <w:rsid w:val="00EE6756"/>
    <w:rsid w:val="00F37AD2"/>
    <w:rsid w:val="03115DE1"/>
    <w:rsid w:val="04001371"/>
    <w:rsid w:val="050D2D06"/>
    <w:rsid w:val="056674F1"/>
    <w:rsid w:val="07C773A9"/>
    <w:rsid w:val="0E4940CE"/>
    <w:rsid w:val="0E9D69B5"/>
    <w:rsid w:val="1202325C"/>
    <w:rsid w:val="12A62F35"/>
    <w:rsid w:val="195A2EAF"/>
    <w:rsid w:val="1D736393"/>
    <w:rsid w:val="29D72066"/>
    <w:rsid w:val="38DE3019"/>
    <w:rsid w:val="39C306CC"/>
    <w:rsid w:val="3D402458"/>
    <w:rsid w:val="4CC64F56"/>
    <w:rsid w:val="4DAC2FAA"/>
    <w:rsid w:val="4E2F2707"/>
    <w:rsid w:val="5D3E1244"/>
    <w:rsid w:val="6E5B634B"/>
    <w:rsid w:val="6F5235BC"/>
    <w:rsid w:val="731D1A9D"/>
    <w:rsid w:val="752075F3"/>
    <w:rsid w:val="7F0D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FC73064-9DAC-48F4-A092-1E74229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snapToGrid w:val="0"/>
      <w:ind w:rightChars="100" w:right="100"/>
      <w:jc w:val="righ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8">
    <w:name w:val="Emphasis"/>
    <w:basedOn w:val="a0"/>
    <w:qFormat/>
    <w:rPr>
      <w:i/>
    </w:rPr>
  </w:style>
  <w:style w:type="paragraph" w:customStyle="1" w:styleId="a9">
    <w:name w:val="缺省文本"/>
    <w:basedOn w:val="a"/>
    <w:autoRedefine/>
    <w:qFormat/>
    <w:pPr>
      <w:autoSpaceDE w:val="0"/>
      <w:autoSpaceDN w:val="0"/>
      <w:adjustRightInd w:val="0"/>
      <w:jc w:val="left"/>
    </w:pPr>
    <w:rPr>
      <w:kern w:val="0"/>
      <w:sz w:val="24"/>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1085</Words>
  <Characters>1357</Characters>
  <Application>Microsoft Office Word</Application>
  <DocSecurity>0</DocSecurity>
  <Lines>226</Lines>
  <Paragraphs>203</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周口质监质量科王忠</dc:creator>
  <cp:lastModifiedBy>2012dnd.com</cp:lastModifiedBy>
  <cp:revision>10</cp:revision>
  <dcterms:created xsi:type="dcterms:W3CDTF">2024-08-02T02:39:00Z</dcterms:created>
  <dcterms:modified xsi:type="dcterms:W3CDTF">2024-09-04T09:23:00Z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47EC5260CBA547A9909D003AE8EA4F3C_11</vt:lpwstr>
  </property>
</Properties>
</file>