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45B3D" w14:textId="326A580F" w:rsidR="00440305" w:rsidRDefault="00440305" w:rsidP="00440305">
      <w:pPr>
        <w:spacing w:line="360" w:lineRule="auto"/>
        <w:rPr>
          <w:bCs/>
          <w:color w:val="C00000"/>
          <w:sz w:val="36"/>
          <w:szCs w:val="36"/>
        </w:rPr>
      </w:pPr>
    </w:p>
    <w:p w14:paraId="795CF744" w14:textId="77777777" w:rsidR="00440305" w:rsidRDefault="00440305" w:rsidP="00440305">
      <w:pPr>
        <w:spacing w:line="360" w:lineRule="auto"/>
        <w:jc w:val="center"/>
        <w:rPr>
          <w:bCs/>
          <w:color w:val="C00000"/>
          <w:sz w:val="36"/>
          <w:szCs w:val="36"/>
        </w:rPr>
      </w:pPr>
    </w:p>
    <w:p w14:paraId="7E86F02C" w14:textId="77777777" w:rsidR="00440305" w:rsidRDefault="00440305" w:rsidP="00440305">
      <w:pPr>
        <w:spacing w:line="360" w:lineRule="auto"/>
        <w:jc w:val="center"/>
        <w:rPr>
          <w:bCs/>
          <w:color w:val="C00000"/>
          <w:sz w:val="48"/>
          <w:szCs w:val="48"/>
        </w:rPr>
      </w:pPr>
    </w:p>
    <w:p w14:paraId="19B8CD96" w14:textId="77777777" w:rsidR="00440305" w:rsidRDefault="00440305" w:rsidP="00440305">
      <w:pPr>
        <w:spacing w:line="360" w:lineRule="auto"/>
        <w:jc w:val="center"/>
        <w:rPr>
          <w:bCs/>
          <w:color w:val="C00000"/>
          <w:sz w:val="48"/>
          <w:szCs w:val="48"/>
        </w:rPr>
      </w:pPr>
    </w:p>
    <w:p w14:paraId="61B3A1DF" w14:textId="77777777" w:rsidR="00440305" w:rsidRPr="007A2731" w:rsidRDefault="00440305" w:rsidP="00440305">
      <w:pPr>
        <w:jc w:val="center"/>
        <w:rPr>
          <w:sz w:val="52"/>
          <w:szCs w:val="52"/>
        </w:rPr>
      </w:pPr>
      <w:r w:rsidRPr="007A2731">
        <w:rPr>
          <w:sz w:val="52"/>
          <w:szCs w:val="52"/>
        </w:rPr>
        <w:t>团</w:t>
      </w:r>
      <w:r w:rsidRPr="007A2731">
        <w:rPr>
          <w:sz w:val="52"/>
          <w:szCs w:val="52"/>
        </w:rPr>
        <w:t xml:space="preserve"> </w:t>
      </w:r>
      <w:r w:rsidRPr="007A2731">
        <w:rPr>
          <w:sz w:val="52"/>
          <w:szCs w:val="52"/>
        </w:rPr>
        <w:t>体</w:t>
      </w:r>
      <w:r w:rsidRPr="007A2731">
        <w:rPr>
          <w:sz w:val="52"/>
          <w:szCs w:val="52"/>
        </w:rPr>
        <w:t xml:space="preserve"> </w:t>
      </w:r>
      <w:r w:rsidRPr="007A2731">
        <w:rPr>
          <w:sz w:val="52"/>
          <w:szCs w:val="52"/>
        </w:rPr>
        <w:t>标</w:t>
      </w:r>
      <w:r w:rsidRPr="007A2731">
        <w:rPr>
          <w:sz w:val="52"/>
          <w:szCs w:val="52"/>
        </w:rPr>
        <w:t xml:space="preserve"> </w:t>
      </w:r>
      <w:r w:rsidRPr="007A2731">
        <w:rPr>
          <w:sz w:val="52"/>
          <w:szCs w:val="52"/>
        </w:rPr>
        <w:t>准</w:t>
      </w:r>
    </w:p>
    <w:p w14:paraId="4355D28F" w14:textId="77777777" w:rsidR="00440305" w:rsidRPr="00D250E5" w:rsidRDefault="00440305" w:rsidP="00440305">
      <w:pPr>
        <w:jc w:val="center"/>
        <w:rPr>
          <w:rFonts w:ascii="黑体" w:eastAsia="黑体" w:hAnsi="黑体" w:hint="eastAsia"/>
          <w:sz w:val="48"/>
          <w:szCs w:val="48"/>
        </w:rPr>
      </w:pPr>
    </w:p>
    <w:p w14:paraId="4E7B9D07" w14:textId="77777777" w:rsidR="00440305" w:rsidRPr="00E36EBB" w:rsidRDefault="00440305" w:rsidP="00E36EBB">
      <w:pPr>
        <w:spacing w:beforeLines="100" w:before="312" w:afterLines="100" w:after="312" w:line="480" w:lineRule="auto"/>
        <w:ind w:leftChars="-67" w:left="-17" w:rightChars="20" w:right="42" w:hangingChars="32" w:hanging="124"/>
        <w:jc w:val="center"/>
        <w:rPr>
          <w:rFonts w:ascii="黑体" w:eastAsia="黑体" w:hAnsi="黑体" w:hint="eastAsia"/>
          <w:spacing w:val="-26"/>
          <w:sz w:val="44"/>
          <w:szCs w:val="44"/>
        </w:rPr>
      </w:pPr>
      <w:r w:rsidRPr="00E36EBB">
        <w:rPr>
          <w:rFonts w:ascii="黑体" w:eastAsia="黑体" w:hAnsi="黑体" w:hint="eastAsia"/>
          <w:spacing w:val="-26"/>
          <w:sz w:val="44"/>
          <w:szCs w:val="44"/>
        </w:rPr>
        <w:t>《黑土区玉米轮作黑麦草与白三叶混播技术规程》</w:t>
      </w:r>
    </w:p>
    <w:p w14:paraId="7743F0A7" w14:textId="77777777" w:rsidR="00440305" w:rsidRPr="007A2731" w:rsidRDefault="00440305" w:rsidP="00440305">
      <w:pPr>
        <w:spacing w:beforeLines="100" w:before="312" w:afterLines="100" w:after="312" w:line="480" w:lineRule="auto"/>
        <w:ind w:left="-67"/>
        <w:jc w:val="center"/>
        <w:rPr>
          <w:rFonts w:ascii="黑体" w:eastAsia="黑体" w:hAnsi="黑体" w:hint="eastAsia"/>
          <w:sz w:val="44"/>
          <w:szCs w:val="44"/>
        </w:rPr>
      </w:pPr>
      <w:r w:rsidRPr="007A2731">
        <w:rPr>
          <w:rFonts w:ascii="黑体" w:eastAsia="黑体" w:hAnsi="黑体"/>
          <w:sz w:val="44"/>
          <w:szCs w:val="44"/>
        </w:rPr>
        <w:t>编制说明</w:t>
      </w:r>
    </w:p>
    <w:p w14:paraId="04743214" w14:textId="77777777" w:rsidR="00440305" w:rsidRDefault="00440305" w:rsidP="00440305">
      <w:pPr>
        <w:spacing w:line="360" w:lineRule="auto"/>
        <w:jc w:val="center"/>
        <w:rPr>
          <w:bCs/>
          <w:sz w:val="36"/>
          <w:szCs w:val="36"/>
        </w:rPr>
      </w:pPr>
    </w:p>
    <w:p w14:paraId="78B1E308" w14:textId="77777777" w:rsidR="00440305" w:rsidRDefault="00440305" w:rsidP="00440305">
      <w:pPr>
        <w:spacing w:line="360" w:lineRule="auto"/>
        <w:jc w:val="center"/>
        <w:rPr>
          <w:bCs/>
          <w:sz w:val="36"/>
          <w:szCs w:val="36"/>
        </w:rPr>
      </w:pPr>
    </w:p>
    <w:p w14:paraId="5B5FABD5" w14:textId="77777777" w:rsidR="00440305" w:rsidRDefault="00440305" w:rsidP="00440305">
      <w:pPr>
        <w:spacing w:line="360" w:lineRule="auto"/>
        <w:jc w:val="center"/>
        <w:rPr>
          <w:bCs/>
          <w:sz w:val="36"/>
          <w:szCs w:val="36"/>
        </w:rPr>
      </w:pPr>
    </w:p>
    <w:p w14:paraId="004FE306" w14:textId="77777777" w:rsidR="00440305" w:rsidRDefault="00440305" w:rsidP="00440305">
      <w:pPr>
        <w:spacing w:line="360" w:lineRule="auto"/>
        <w:jc w:val="center"/>
        <w:rPr>
          <w:bCs/>
          <w:sz w:val="36"/>
          <w:szCs w:val="36"/>
        </w:rPr>
      </w:pPr>
    </w:p>
    <w:p w14:paraId="13C50C16" w14:textId="77777777" w:rsidR="00440305" w:rsidRDefault="00440305" w:rsidP="00440305">
      <w:pPr>
        <w:spacing w:line="360" w:lineRule="auto"/>
        <w:jc w:val="center"/>
        <w:rPr>
          <w:bCs/>
          <w:sz w:val="36"/>
          <w:szCs w:val="36"/>
        </w:rPr>
      </w:pPr>
    </w:p>
    <w:p w14:paraId="096D7699" w14:textId="77777777" w:rsidR="00440305" w:rsidRDefault="00440305" w:rsidP="00440305">
      <w:pPr>
        <w:spacing w:line="360" w:lineRule="auto"/>
        <w:jc w:val="center"/>
        <w:rPr>
          <w:bCs/>
          <w:sz w:val="36"/>
          <w:szCs w:val="36"/>
        </w:rPr>
      </w:pPr>
    </w:p>
    <w:p w14:paraId="476B7BD1" w14:textId="77777777" w:rsidR="00440305" w:rsidRDefault="00440305" w:rsidP="00440305">
      <w:pPr>
        <w:spacing w:line="360" w:lineRule="auto"/>
        <w:jc w:val="center"/>
        <w:rPr>
          <w:bCs/>
          <w:sz w:val="36"/>
          <w:szCs w:val="36"/>
        </w:rPr>
      </w:pPr>
    </w:p>
    <w:p w14:paraId="3BD4FEE6" w14:textId="77777777" w:rsidR="00440305" w:rsidRDefault="00440305" w:rsidP="00440305">
      <w:pPr>
        <w:widowControl/>
        <w:jc w:val="center"/>
        <w:rPr>
          <w:bCs/>
          <w:sz w:val="44"/>
          <w:szCs w:val="44"/>
        </w:rPr>
      </w:pPr>
    </w:p>
    <w:p w14:paraId="75439A17" w14:textId="77777777" w:rsidR="00440305" w:rsidRPr="005B7C9E" w:rsidRDefault="00440305" w:rsidP="00440305">
      <w:pPr>
        <w:ind w:leftChars="-67" w:left="-51" w:rightChars="-182" w:right="-382" w:hangingChars="32" w:hanging="90"/>
        <w:jc w:val="center"/>
        <w:rPr>
          <w:rFonts w:ascii="黑体" w:eastAsia="黑体" w:hAnsi="黑体" w:hint="eastAsia"/>
          <w:bCs/>
          <w:sz w:val="28"/>
          <w:szCs w:val="28"/>
        </w:rPr>
      </w:pPr>
      <w:r w:rsidRPr="007A2731">
        <w:rPr>
          <w:rFonts w:ascii="黑体" w:eastAsia="黑体" w:hAnsi="黑体" w:hint="eastAsia"/>
          <w:bCs/>
          <w:sz w:val="28"/>
          <w:szCs w:val="28"/>
        </w:rPr>
        <w:t>《</w:t>
      </w:r>
      <w:r w:rsidRPr="00BA13D2">
        <w:rPr>
          <w:rFonts w:ascii="黑体" w:eastAsia="黑体" w:hAnsi="黑体" w:hint="eastAsia"/>
          <w:bCs/>
          <w:sz w:val="28"/>
          <w:szCs w:val="28"/>
        </w:rPr>
        <w:t>黑土区玉米轮作黑麦草与白三叶混播技术规程</w:t>
      </w:r>
      <w:r w:rsidRPr="007A2731">
        <w:rPr>
          <w:rFonts w:ascii="黑体" w:eastAsia="黑体" w:hAnsi="黑体" w:hint="eastAsia"/>
          <w:bCs/>
          <w:sz w:val="28"/>
          <w:szCs w:val="28"/>
        </w:rPr>
        <w:t>》团标制定组</w:t>
      </w:r>
    </w:p>
    <w:p w14:paraId="6572962D" w14:textId="77777777" w:rsidR="00E36EBB" w:rsidRDefault="00440305" w:rsidP="00E36EBB">
      <w:pPr>
        <w:widowControl/>
        <w:jc w:val="center"/>
        <w:rPr>
          <w:rFonts w:ascii="黑体" w:eastAsia="黑体" w:hAnsi="黑体" w:hint="eastAsia"/>
          <w:bCs/>
          <w:sz w:val="28"/>
          <w:szCs w:val="28"/>
        </w:rPr>
      </w:pPr>
      <w:r w:rsidRPr="005B7C9E">
        <w:rPr>
          <w:rFonts w:ascii="黑体" w:eastAsia="黑体" w:hAnsi="黑体"/>
          <w:bCs/>
          <w:sz w:val="28"/>
          <w:szCs w:val="28"/>
        </w:rPr>
        <w:t>二</w:t>
      </w:r>
      <w:r w:rsidRPr="005B7C9E">
        <w:rPr>
          <w:rFonts w:ascii="黑体" w:eastAsia="黑体" w:hAnsi="黑体"/>
          <w:sz w:val="28"/>
          <w:szCs w:val="28"/>
        </w:rPr>
        <w:t>〇</w:t>
      </w:r>
      <w:r w:rsidRPr="005B7C9E">
        <w:rPr>
          <w:rFonts w:ascii="黑体" w:eastAsia="黑体" w:hAnsi="黑体"/>
          <w:bCs/>
          <w:sz w:val="28"/>
          <w:szCs w:val="28"/>
        </w:rPr>
        <w:t>二四年八月</w:t>
      </w:r>
    </w:p>
    <w:p w14:paraId="092F1F49" w14:textId="77777777" w:rsidR="00E36EBB" w:rsidRDefault="00E36EBB">
      <w:pPr>
        <w:widowControl/>
        <w:jc w:val="left"/>
        <w:rPr>
          <w:rFonts w:ascii="黑体" w:eastAsia="黑体" w:hAnsi="黑体"/>
          <w:bCs/>
          <w:sz w:val="28"/>
          <w:szCs w:val="28"/>
        </w:rPr>
      </w:pPr>
      <w:r>
        <w:rPr>
          <w:rFonts w:ascii="黑体" w:eastAsia="黑体" w:hAnsi="黑体" w:hint="eastAsia"/>
          <w:bCs/>
          <w:sz w:val="28"/>
          <w:szCs w:val="28"/>
        </w:rPr>
        <w:br w:type="page"/>
      </w:r>
    </w:p>
    <w:p w14:paraId="17A9819F" w14:textId="126D1351" w:rsidR="00E36EBB" w:rsidRDefault="00E36EBB" w:rsidP="00E36EBB">
      <w:pPr>
        <w:widowControl/>
        <w:jc w:val="center"/>
        <w:rPr>
          <w:rFonts w:ascii="黑体" w:eastAsia="黑体" w:hAnsi="黑体"/>
          <w:bCs/>
          <w:sz w:val="28"/>
          <w:szCs w:val="28"/>
        </w:rPr>
      </w:pPr>
      <w:r>
        <w:rPr>
          <w:rFonts w:ascii="黑体" w:eastAsia="黑体" w:hAnsi="黑体" w:hint="eastAsia"/>
          <w:bCs/>
          <w:sz w:val="28"/>
          <w:szCs w:val="28"/>
        </w:rPr>
        <w:lastRenderedPageBreak/>
        <w:t>目  次</w:t>
      </w:r>
    </w:p>
    <w:sdt>
      <w:sdtPr>
        <w:rPr>
          <w:lang w:val="zh-CN"/>
        </w:rPr>
        <w:id w:val="-67032381"/>
        <w:docPartObj>
          <w:docPartGallery w:val="Table of Contents"/>
          <w:docPartUnique/>
        </w:docPartObj>
      </w:sdtPr>
      <w:sdtEndPr>
        <w:rPr>
          <w:rFonts w:ascii="Times New Roman" w:eastAsia="宋体" w:hAnsi="Times New Roman"/>
          <w:b/>
          <w:bCs/>
          <w:color w:val="auto"/>
          <w:kern w:val="2"/>
          <w:sz w:val="21"/>
          <w:szCs w:val="21"/>
        </w:rPr>
      </w:sdtEndPr>
      <w:sdtContent>
        <w:p w14:paraId="25089606" w14:textId="6CBEF6FF" w:rsidR="00E36EBB" w:rsidRDefault="00E36EBB">
          <w:pPr>
            <w:pStyle w:val="TOC"/>
            <w:rPr>
              <w:rFonts w:hint="eastAsia"/>
            </w:rPr>
          </w:pPr>
        </w:p>
        <w:p w14:paraId="68CBDA35" w14:textId="50951952" w:rsidR="00E36EBB" w:rsidRPr="00E36EBB" w:rsidRDefault="00E36EBB" w:rsidP="00E36EBB">
          <w:pPr>
            <w:pStyle w:val="TOC1"/>
            <w:tabs>
              <w:tab w:val="right" w:leader="dot" w:pos="8538"/>
            </w:tabs>
            <w:spacing w:line="360" w:lineRule="auto"/>
            <w:rPr>
              <w:rStyle w:val="af"/>
              <w:rFonts w:ascii="宋体" w:hAnsi="宋体" w:hint="eastAsia"/>
              <w:sz w:val="24"/>
              <w:szCs w:val="24"/>
            </w:rPr>
          </w:pPr>
          <w:r>
            <w:fldChar w:fldCharType="begin"/>
          </w:r>
          <w:r>
            <w:instrText xml:space="preserve"> TOC \o "1-3" \h \z \u </w:instrText>
          </w:r>
          <w:r>
            <w:rPr>
              <w:rFonts w:hint="eastAsia"/>
            </w:rPr>
            <w:fldChar w:fldCharType="separate"/>
          </w:r>
          <w:hyperlink w:anchor="_Toc176458273" w:history="1">
            <w:r w:rsidRPr="00E36EBB">
              <w:rPr>
                <w:rStyle w:val="af"/>
                <w:rFonts w:ascii="宋体" w:hAnsi="宋体" w:hint="eastAsia"/>
                <w:noProof/>
                <w:sz w:val="24"/>
                <w:szCs w:val="24"/>
              </w:rPr>
              <w:t>一、任务来源及标准制定背景</w:t>
            </w:r>
            <w:r w:rsidRPr="00E36EBB">
              <w:rPr>
                <w:rStyle w:val="af"/>
                <w:rFonts w:ascii="宋体" w:hAnsi="宋体" w:hint="eastAsia"/>
                <w:webHidden/>
                <w:sz w:val="24"/>
                <w:szCs w:val="24"/>
              </w:rPr>
              <w:tab/>
            </w:r>
            <w:r w:rsidRPr="00E36EBB">
              <w:rPr>
                <w:rStyle w:val="af"/>
                <w:rFonts w:ascii="宋体" w:hAnsi="宋体" w:hint="eastAsia"/>
                <w:webHidden/>
                <w:sz w:val="24"/>
                <w:szCs w:val="24"/>
              </w:rPr>
              <w:fldChar w:fldCharType="begin"/>
            </w:r>
            <w:r w:rsidRPr="00E36EBB">
              <w:rPr>
                <w:rStyle w:val="af"/>
                <w:rFonts w:ascii="宋体" w:hAnsi="宋体" w:hint="eastAsia"/>
                <w:webHidden/>
                <w:sz w:val="24"/>
                <w:szCs w:val="24"/>
              </w:rPr>
              <w:instrText xml:space="preserve"> </w:instrText>
            </w:r>
            <w:r w:rsidRPr="00E36EBB">
              <w:rPr>
                <w:rStyle w:val="af"/>
                <w:rFonts w:ascii="宋体" w:hAnsi="宋体"/>
                <w:webHidden/>
                <w:sz w:val="24"/>
                <w:szCs w:val="24"/>
              </w:rPr>
              <w:instrText>PAGEREF _Toc176458273 \h</w:instrText>
            </w:r>
            <w:r w:rsidRPr="00E36EBB">
              <w:rPr>
                <w:rStyle w:val="af"/>
                <w:rFonts w:ascii="宋体" w:hAnsi="宋体" w:hint="eastAsia"/>
                <w:webHidden/>
                <w:sz w:val="24"/>
                <w:szCs w:val="24"/>
              </w:rPr>
              <w:instrText xml:space="preserve"> </w:instrText>
            </w:r>
            <w:r w:rsidRPr="00E36EBB">
              <w:rPr>
                <w:rStyle w:val="af"/>
                <w:rFonts w:ascii="宋体" w:hAnsi="宋体" w:hint="eastAsia"/>
                <w:webHidden/>
                <w:sz w:val="24"/>
                <w:szCs w:val="24"/>
              </w:rPr>
            </w:r>
            <w:r w:rsidRPr="00E36EBB">
              <w:rPr>
                <w:rStyle w:val="af"/>
                <w:rFonts w:ascii="宋体" w:hAnsi="宋体"/>
                <w:webHidden/>
                <w:sz w:val="24"/>
                <w:szCs w:val="24"/>
              </w:rPr>
              <w:fldChar w:fldCharType="separate"/>
            </w:r>
            <w:r w:rsidRPr="00E36EBB">
              <w:rPr>
                <w:rStyle w:val="af"/>
                <w:rFonts w:ascii="宋体" w:hAnsi="宋体"/>
                <w:webHidden/>
                <w:sz w:val="24"/>
                <w:szCs w:val="24"/>
              </w:rPr>
              <w:t>3</w:t>
            </w:r>
            <w:r w:rsidRPr="00E36EBB">
              <w:rPr>
                <w:rStyle w:val="af"/>
                <w:rFonts w:ascii="宋体" w:hAnsi="宋体" w:hint="eastAsia"/>
                <w:webHidden/>
                <w:sz w:val="24"/>
                <w:szCs w:val="24"/>
              </w:rPr>
              <w:fldChar w:fldCharType="end"/>
            </w:r>
          </w:hyperlink>
        </w:p>
        <w:p w14:paraId="6F7F0A0E" w14:textId="15A100E9" w:rsidR="00E36EBB" w:rsidRPr="00E36EBB" w:rsidRDefault="00E36EBB" w:rsidP="00E36EBB">
          <w:pPr>
            <w:pStyle w:val="TOC1"/>
            <w:tabs>
              <w:tab w:val="right" w:leader="dot" w:pos="8538"/>
            </w:tabs>
            <w:spacing w:line="360" w:lineRule="auto"/>
            <w:ind w:firstLineChars="200" w:firstLine="480"/>
            <w:rPr>
              <w:rStyle w:val="af"/>
              <w:rFonts w:hint="eastAsia"/>
              <w:szCs w:val="24"/>
            </w:rPr>
          </w:pPr>
          <w:hyperlink w:anchor="_Toc176458274" w:history="1">
            <w:r w:rsidRPr="00E36EBB">
              <w:rPr>
                <w:rStyle w:val="af"/>
                <w:rFonts w:ascii="宋体" w:hAnsi="宋体" w:hint="eastAsia"/>
                <w:noProof/>
                <w:sz w:val="24"/>
                <w:szCs w:val="24"/>
              </w:rPr>
              <w:t>1、任务来源</w:t>
            </w:r>
            <w:r w:rsidRPr="00E36EBB">
              <w:rPr>
                <w:rStyle w:val="af"/>
                <w:rFonts w:hint="eastAsia"/>
                <w:webHidden/>
              </w:rPr>
              <w:tab/>
            </w:r>
            <w:r w:rsidRPr="00E36EBB">
              <w:rPr>
                <w:rStyle w:val="af"/>
                <w:rFonts w:hint="eastAsia"/>
                <w:webHidden/>
              </w:rPr>
              <w:fldChar w:fldCharType="begin"/>
            </w:r>
            <w:r w:rsidRPr="00E36EBB">
              <w:rPr>
                <w:rStyle w:val="af"/>
                <w:rFonts w:hint="eastAsia"/>
                <w:webHidden/>
              </w:rPr>
              <w:instrText xml:space="preserve"> </w:instrText>
            </w:r>
            <w:r w:rsidRPr="00E36EBB">
              <w:rPr>
                <w:rStyle w:val="af"/>
                <w:webHidden/>
              </w:rPr>
              <w:instrText>PAGEREF _Toc176458274 \h</w:instrText>
            </w:r>
            <w:r w:rsidRPr="00E36EBB">
              <w:rPr>
                <w:rStyle w:val="af"/>
                <w:rFonts w:hint="eastAsia"/>
                <w:webHidden/>
              </w:rPr>
              <w:instrText xml:space="preserve"> </w:instrText>
            </w:r>
            <w:r w:rsidRPr="00E36EBB">
              <w:rPr>
                <w:rStyle w:val="af"/>
                <w:rFonts w:hint="eastAsia"/>
                <w:webHidden/>
              </w:rPr>
            </w:r>
            <w:r w:rsidRPr="00E36EBB">
              <w:rPr>
                <w:rStyle w:val="af"/>
                <w:webHidden/>
              </w:rPr>
              <w:fldChar w:fldCharType="separate"/>
            </w:r>
            <w:r w:rsidRPr="00E36EBB">
              <w:rPr>
                <w:rStyle w:val="af"/>
                <w:webHidden/>
              </w:rPr>
              <w:t>3</w:t>
            </w:r>
            <w:r w:rsidRPr="00E36EBB">
              <w:rPr>
                <w:rStyle w:val="af"/>
                <w:rFonts w:hint="eastAsia"/>
                <w:webHidden/>
              </w:rPr>
              <w:fldChar w:fldCharType="end"/>
            </w:r>
          </w:hyperlink>
        </w:p>
        <w:p w14:paraId="77B19D04" w14:textId="43D2E0B6" w:rsidR="00E36EBB" w:rsidRPr="00E36EBB" w:rsidRDefault="00E36EBB" w:rsidP="00E36EBB">
          <w:pPr>
            <w:pStyle w:val="TOC1"/>
            <w:tabs>
              <w:tab w:val="right" w:leader="dot" w:pos="8538"/>
            </w:tabs>
            <w:spacing w:line="360" w:lineRule="auto"/>
            <w:ind w:firstLineChars="200" w:firstLine="480"/>
            <w:rPr>
              <w:rStyle w:val="af"/>
              <w:rFonts w:hint="eastAsia"/>
              <w:szCs w:val="24"/>
            </w:rPr>
          </w:pPr>
          <w:hyperlink w:anchor="_Toc176458275" w:history="1">
            <w:r w:rsidRPr="00E36EBB">
              <w:rPr>
                <w:rStyle w:val="af"/>
                <w:rFonts w:ascii="宋体" w:hAnsi="宋体" w:hint="eastAsia"/>
                <w:noProof/>
                <w:sz w:val="24"/>
                <w:szCs w:val="24"/>
              </w:rPr>
              <w:t>2、标准制定背景</w:t>
            </w:r>
            <w:r w:rsidRPr="00E36EBB">
              <w:rPr>
                <w:rStyle w:val="af"/>
                <w:rFonts w:hint="eastAsia"/>
                <w:webHidden/>
              </w:rPr>
              <w:tab/>
            </w:r>
            <w:r w:rsidRPr="00E36EBB">
              <w:rPr>
                <w:rStyle w:val="af"/>
                <w:rFonts w:hint="eastAsia"/>
                <w:webHidden/>
              </w:rPr>
              <w:fldChar w:fldCharType="begin"/>
            </w:r>
            <w:r w:rsidRPr="00E36EBB">
              <w:rPr>
                <w:rStyle w:val="af"/>
                <w:rFonts w:hint="eastAsia"/>
                <w:webHidden/>
              </w:rPr>
              <w:instrText xml:space="preserve"> </w:instrText>
            </w:r>
            <w:r w:rsidRPr="00E36EBB">
              <w:rPr>
                <w:rStyle w:val="af"/>
                <w:webHidden/>
              </w:rPr>
              <w:instrText>PAGEREF _Toc176458275 \h</w:instrText>
            </w:r>
            <w:r w:rsidRPr="00E36EBB">
              <w:rPr>
                <w:rStyle w:val="af"/>
                <w:rFonts w:hint="eastAsia"/>
                <w:webHidden/>
              </w:rPr>
              <w:instrText xml:space="preserve"> </w:instrText>
            </w:r>
            <w:r w:rsidRPr="00E36EBB">
              <w:rPr>
                <w:rStyle w:val="af"/>
                <w:rFonts w:hint="eastAsia"/>
                <w:webHidden/>
              </w:rPr>
            </w:r>
            <w:r w:rsidRPr="00E36EBB">
              <w:rPr>
                <w:rStyle w:val="af"/>
                <w:webHidden/>
              </w:rPr>
              <w:fldChar w:fldCharType="separate"/>
            </w:r>
            <w:r w:rsidRPr="00E36EBB">
              <w:rPr>
                <w:rStyle w:val="af"/>
                <w:webHidden/>
              </w:rPr>
              <w:t>3</w:t>
            </w:r>
            <w:r w:rsidRPr="00E36EBB">
              <w:rPr>
                <w:rStyle w:val="af"/>
                <w:rFonts w:hint="eastAsia"/>
                <w:webHidden/>
              </w:rPr>
              <w:fldChar w:fldCharType="end"/>
            </w:r>
          </w:hyperlink>
        </w:p>
        <w:p w14:paraId="73E18BE0" w14:textId="1F0204B0"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76" w:history="1">
            <w:r w:rsidRPr="00E36EBB">
              <w:rPr>
                <w:rStyle w:val="af"/>
                <w:rFonts w:ascii="宋体" w:hAnsi="宋体" w:hint="eastAsia"/>
                <w:noProof/>
                <w:sz w:val="24"/>
                <w:szCs w:val="24"/>
              </w:rPr>
              <w:t>二、主要工作过程</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_Toc176458276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4</w:t>
            </w:r>
            <w:r w:rsidRPr="00E36EBB">
              <w:rPr>
                <w:rFonts w:ascii="宋体" w:hAnsi="宋体" w:hint="eastAsia"/>
                <w:noProof/>
                <w:webHidden/>
                <w:sz w:val="24"/>
                <w:szCs w:val="24"/>
              </w:rPr>
              <w:fldChar w:fldCharType="end"/>
            </w:r>
          </w:hyperlink>
        </w:p>
        <w:p w14:paraId="2EC00018" w14:textId="4F82051C"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77" w:history="1">
            <w:r w:rsidRPr="00E36EBB">
              <w:rPr>
                <w:rStyle w:val="af"/>
                <w:rFonts w:ascii="宋体" w:hAnsi="宋体" w:hint="eastAsia"/>
                <w:noProof/>
                <w:sz w:val="24"/>
                <w:szCs w:val="24"/>
              </w:rPr>
              <w:t>三、标准编制原则和主要技术内容确定的依据</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_Toc176458277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5</w:t>
            </w:r>
            <w:r w:rsidRPr="00E36EBB">
              <w:rPr>
                <w:rFonts w:ascii="宋体" w:hAnsi="宋体" w:hint="eastAsia"/>
                <w:noProof/>
                <w:webHidden/>
                <w:sz w:val="24"/>
                <w:szCs w:val="24"/>
              </w:rPr>
              <w:fldChar w:fldCharType="end"/>
            </w:r>
          </w:hyperlink>
        </w:p>
        <w:p w14:paraId="16D06BF8" w14:textId="738C122F"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78" w:history="1">
            <w:r w:rsidRPr="00E36EBB">
              <w:rPr>
                <w:rStyle w:val="af"/>
                <w:rFonts w:ascii="宋体" w:hAnsi="宋体" w:hint="eastAsia"/>
                <w:noProof/>
                <w:sz w:val="24"/>
                <w:szCs w:val="24"/>
              </w:rPr>
              <w:t>1、标准编制原则</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_Toc176458278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5</w:t>
            </w:r>
            <w:r w:rsidRPr="00E36EBB">
              <w:rPr>
                <w:rFonts w:ascii="宋体" w:hAnsi="宋体" w:hint="eastAsia"/>
                <w:noProof/>
                <w:webHidden/>
                <w:sz w:val="24"/>
                <w:szCs w:val="24"/>
              </w:rPr>
              <w:fldChar w:fldCharType="end"/>
            </w:r>
          </w:hyperlink>
        </w:p>
        <w:p w14:paraId="54CAB500" w14:textId="6F1E0A33"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79" w:history="1">
            <w:r w:rsidRPr="00E36EBB">
              <w:rPr>
                <w:rStyle w:val="af"/>
                <w:rFonts w:ascii="宋体" w:hAnsi="宋体" w:hint="eastAsia"/>
                <w:noProof/>
                <w:sz w:val="24"/>
                <w:szCs w:val="24"/>
              </w:rPr>
              <w:t>2、主要技术内容确定的论据</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_Toc176458279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5</w:t>
            </w:r>
            <w:r w:rsidRPr="00E36EBB">
              <w:rPr>
                <w:rFonts w:ascii="宋体" w:hAnsi="宋体" w:hint="eastAsia"/>
                <w:noProof/>
                <w:webHidden/>
                <w:sz w:val="24"/>
                <w:szCs w:val="24"/>
              </w:rPr>
              <w:fldChar w:fldCharType="end"/>
            </w:r>
          </w:hyperlink>
        </w:p>
        <w:p w14:paraId="7F8EABC5" w14:textId="7FAFAC34"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80" w:history="1">
            <w:r w:rsidRPr="00E36EBB">
              <w:rPr>
                <w:rStyle w:val="af"/>
                <w:rFonts w:ascii="宋体" w:hAnsi="宋体" w:hint="eastAsia"/>
                <w:noProof/>
                <w:sz w:val="24"/>
                <w:szCs w:val="24"/>
              </w:rPr>
              <w:t>四、相关研究成果</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_Toc176458280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7</w:t>
            </w:r>
            <w:r w:rsidRPr="00E36EBB">
              <w:rPr>
                <w:rFonts w:ascii="宋体" w:hAnsi="宋体" w:hint="eastAsia"/>
                <w:noProof/>
                <w:webHidden/>
                <w:sz w:val="24"/>
                <w:szCs w:val="24"/>
              </w:rPr>
              <w:fldChar w:fldCharType="end"/>
            </w:r>
          </w:hyperlink>
        </w:p>
        <w:p w14:paraId="1F609E8D" w14:textId="2A26B711"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1" w:history="1">
            <w:r w:rsidRPr="00E36EBB">
              <w:rPr>
                <w:rStyle w:val="af"/>
                <w:rFonts w:ascii="宋体" w:hAnsi="宋体" w:hint="eastAsia"/>
                <w:noProof/>
                <w:sz w:val="24"/>
                <w:szCs w:val="24"/>
              </w:rPr>
              <w:t>（1）不同轮作模式生长特征</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_Toc176458281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7</w:t>
            </w:r>
            <w:r w:rsidRPr="00E36EBB">
              <w:rPr>
                <w:rFonts w:ascii="宋体" w:hAnsi="宋体" w:hint="eastAsia"/>
                <w:noProof/>
                <w:webHidden/>
                <w:sz w:val="24"/>
                <w:szCs w:val="24"/>
              </w:rPr>
              <w:fldChar w:fldCharType="end"/>
            </w:r>
          </w:hyperlink>
        </w:p>
        <w:p w14:paraId="58AF55F9" w14:textId="057BBB0A"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2" w:history="1">
            <w:r w:rsidRPr="00E36EBB">
              <w:rPr>
                <w:rStyle w:val="af"/>
                <w:rFonts w:ascii="宋体" w:hAnsi="宋体" w:hint="eastAsia"/>
                <w:noProof/>
                <w:sz w:val="24"/>
                <w:szCs w:val="24"/>
              </w:rPr>
              <w:t>（2）不同轮作模式减流产流产沙特征（2022年径流小区）</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_Toc176458282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8</w:t>
            </w:r>
            <w:r w:rsidRPr="00E36EBB">
              <w:rPr>
                <w:rFonts w:ascii="宋体" w:hAnsi="宋体" w:hint="eastAsia"/>
                <w:noProof/>
                <w:webHidden/>
                <w:sz w:val="24"/>
                <w:szCs w:val="24"/>
              </w:rPr>
              <w:fldChar w:fldCharType="end"/>
            </w:r>
          </w:hyperlink>
        </w:p>
        <w:p w14:paraId="598207A0" w14:textId="58EC6C04"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3" w:history="1">
            <w:r w:rsidRPr="00E36EBB">
              <w:rPr>
                <w:rStyle w:val="af"/>
                <w:rFonts w:ascii="宋体" w:hAnsi="宋体" w:hint="eastAsia"/>
                <w:noProof/>
                <w:sz w:val="24"/>
                <w:szCs w:val="24"/>
              </w:rPr>
              <w:t>（3）不同轮作模式减流产流产沙特征（2023年径流小区）</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_Toc176458283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9</w:t>
            </w:r>
            <w:r w:rsidRPr="00E36EBB">
              <w:rPr>
                <w:rFonts w:ascii="宋体" w:hAnsi="宋体" w:hint="eastAsia"/>
                <w:noProof/>
                <w:webHidden/>
                <w:sz w:val="24"/>
                <w:szCs w:val="24"/>
              </w:rPr>
              <w:fldChar w:fldCharType="end"/>
            </w:r>
          </w:hyperlink>
        </w:p>
        <w:p w14:paraId="6C6B5A9E" w14:textId="3B61E75F"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4" w:history="1">
            <w:r w:rsidRPr="00E36EBB">
              <w:rPr>
                <w:rStyle w:val="af"/>
                <w:rFonts w:ascii="宋体" w:hAnsi="宋体" w:hint="eastAsia"/>
                <w:noProof/>
                <w:sz w:val="24"/>
                <w:szCs w:val="24"/>
              </w:rPr>
              <w:t>（4）不同轮作模式抗冲性特征</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_Toc176458284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10</w:t>
            </w:r>
            <w:r w:rsidRPr="00E36EBB">
              <w:rPr>
                <w:rFonts w:ascii="宋体" w:hAnsi="宋体" w:hint="eastAsia"/>
                <w:noProof/>
                <w:webHidden/>
                <w:sz w:val="24"/>
                <w:szCs w:val="24"/>
              </w:rPr>
              <w:fldChar w:fldCharType="end"/>
            </w:r>
          </w:hyperlink>
        </w:p>
        <w:p w14:paraId="6D8042E7" w14:textId="2731FACD"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5" w:history="1">
            <w:r w:rsidRPr="00E36EBB">
              <w:rPr>
                <w:rStyle w:val="af"/>
                <w:rFonts w:ascii="宋体" w:hAnsi="宋体" w:hint="eastAsia"/>
                <w:noProof/>
                <w:sz w:val="24"/>
                <w:szCs w:val="24"/>
              </w:rPr>
              <w:t>（5）不同轮作饲草根系特征</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_Toc176458285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11</w:t>
            </w:r>
            <w:r w:rsidRPr="00E36EBB">
              <w:rPr>
                <w:rFonts w:ascii="宋体" w:hAnsi="宋体" w:hint="eastAsia"/>
                <w:noProof/>
                <w:webHidden/>
                <w:sz w:val="24"/>
                <w:szCs w:val="24"/>
              </w:rPr>
              <w:fldChar w:fldCharType="end"/>
            </w:r>
          </w:hyperlink>
        </w:p>
        <w:p w14:paraId="6C937A26" w14:textId="058FA7F4"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6" w:history="1">
            <w:r w:rsidRPr="00E36EBB">
              <w:rPr>
                <w:rStyle w:val="af"/>
                <w:rFonts w:ascii="宋体" w:hAnsi="宋体" w:hint="eastAsia"/>
                <w:noProof/>
                <w:sz w:val="24"/>
                <w:szCs w:val="24"/>
              </w:rPr>
              <w:t>（6）不同轮作模式土壤属性特征</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_Toc176458286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12</w:t>
            </w:r>
            <w:r w:rsidRPr="00E36EBB">
              <w:rPr>
                <w:rFonts w:ascii="宋体" w:hAnsi="宋体" w:hint="eastAsia"/>
                <w:noProof/>
                <w:webHidden/>
                <w:sz w:val="24"/>
                <w:szCs w:val="24"/>
              </w:rPr>
              <w:fldChar w:fldCharType="end"/>
            </w:r>
          </w:hyperlink>
        </w:p>
        <w:p w14:paraId="70C1E2BC" w14:textId="6895A5DC"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7" w:history="1">
            <w:r w:rsidRPr="00E36EBB">
              <w:rPr>
                <w:rStyle w:val="af"/>
                <w:rFonts w:ascii="宋体" w:hAnsi="宋体" w:hint="eastAsia"/>
                <w:noProof/>
                <w:sz w:val="24"/>
                <w:szCs w:val="24"/>
              </w:rPr>
              <w:t>（7）不同轮作模式土壤养分变化</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_Toc176458287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13</w:t>
            </w:r>
            <w:r w:rsidRPr="00E36EBB">
              <w:rPr>
                <w:rFonts w:ascii="宋体" w:hAnsi="宋体" w:hint="eastAsia"/>
                <w:noProof/>
                <w:webHidden/>
                <w:sz w:val="24"/>
                <w:szCs w:val="24"/>
              </w:rPr>
              <w:fldChar w:fldCharType="end"/>
            </w:r>
          </w:hyperlink>
        </w:p>
        <w:p w14:paraId="59244BE5" w14:textId="69639793"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8" w:history="1">
            <w:r w:rsidRPr="00E36EBB">
              <w:rPr>
                <w:rStyle w:val="af"/>
                <w:rFonts w:ascii="宋体" w:hAnsi="宋体" w:hint="eastAsia"/>
                <w:noProof/>
                <w:sz w:val="24"/>
                <w:szCs w:val="24"/>
              </w:rPr>
              <w:t>（8）不同轮作模式土壤有机碳变化</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_Toc176458288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15</w:t>
            </w:r>
            <w:r w:rsidRPr="00E36EBB">
              <w:rPr>
                <w:rFonts w:ascii="宋体" w:hAnsi="宋体" w:hint="eastAsia"/>
                <w:noProof/>
                <w:webHidden/>
                <w:sz w:val="24"/>
                <w:szCs w:val="24"/>
              </w:rPr>
              <w:fldChar w:fldCharType="end"/>
            </w:r>
          </w:hyperlink>
        </w:p>
        <w:p w14:paraId="608064EF" w14:textId="437879A0" w:rsidR="00E36EBB" w:rsidRPr="00E36EBB" w:rsidRDefault="00E36EBB" w:rsidP="00E36EBB">
          <w:pPr>
            <w:pStyle w:val="TOC2"/>
            <w:tabs>
              <w:tab w:val="right" w:leader="dot" w:pos="8538"/>
            </w:tabs>
            <w:spacing w:line="360" w:lineRule="auto"/>
            <w:rPr>
              <w:rFonts w:ascii="宋体" w:hAnsi="宋体" w:cstheme="minorBidi" w:hint="eastAsia"/>
              <w:noProof/>
              <w:sz w:val="24"/>
              <w:szCs w:val="28"/>
              <w14:ligatures w14:val="standardContextual"/>
            </w:rPr>
          </w:pPr>
          <w:hyperlink w:anchor="_Toc176458289" w:history="1">
            <w:r w:rsidRPr="00E36EBB">
              <w:rPr>
                <w:rStyle w:val="af"/>
                <w:rFonts w:ascii="宋体" w:hAnsi="宋体" w:hint="eastAsia"/>
                <w:noProof/>
                <w:sz w:val="24"/>
                <w:szCs w:val="24"/>
              </w:rPr>
              <w:t>（9）不同轮作模式对玉米产量的影响</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_Toc176458289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16</w:t>
            </w:r>
            <w:r w:rsidRPr="00E36EBB">
              <w:rPr>
                <w:rFonts w:ascii="宋体" w:hAnsi="宋体" w:hint="eastAsia"/>
                <w:noProof/>
                <w:webHidden/>
                <w:sz w:val="24"/>
                <w:szCs w:val="24"/>
              </w:rPr>
              <w:fldChar w:fldCharType="end"/>
            </w:r>
          </w:hyperlink>
        </w:p>
        <w:p w14:paraId="38AD0F5F" w14:textId="6750C486"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0" w:history="1">
            <w:r w:rsidRPr="00E36EBB">
              <w:rPr>
                <w:rStyle w:val="af"/>
                <w:rFonts w:ascii="宋体" w:hAnsi="宋体" w:hint="eastAsia"/>
                <w:noProof/>
                <w:sz w:val="24"/>
                <w:szCs w:val="24"/>
              </w:rPr>
              <w:t>五、采用的国际标准</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_Toc176458290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17</w:t>
            </w:r>
            <w:r w:rsidRPr="00E36EBB">
              <w:rPr>
                <w:rFonts w:ascii="宋体" w:hAnsi="宋体" w:hint="eastAsia"/>
                <w:noProof/>
                <w:webHidden/>
                <w:sz w:val="24"/>
                <w:szCs w:val="24"/>
              </w:rPr>
              <w:fldChar w:fldCharType="end"/>
            </w:r>
          </w:hyperlink>
        </w:p>
        <w:p w14:paraId="62339497" w14:textId="1DF73FBE"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1" w:history="1">
            <w:r w:rsidRPr="00E36EBB">
              <w:rPr>
                <w:rStyle w:val="af"/>
                <w:rFonts w:ascii="宋体" w:hAnsi="宋体" w:hint="eastAsia"/>
                <w:noProof/>
                <w:sz w:val="24"/>
                <w:szCs w:val="24"/>
              </w:rPr>
              <w:t>六、与现行法律法规和强制性标准的关系</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_Toc176458291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17</w:t>
            </w:r>
            <w:r w:rsidRPr="00E36EBB">
              <w:rPr>
                <w:rFonts w:ascii="宋体" w:hAnsi="宋体" w:hint="eastAsia"/>
                <w:noProof/>
                <w:webHidden/>
                <w:sz w:val="24"/>
                <w:szCs w:val="24"/>
              </w:rPr>
              <w:fldChar w:fldCharType="end"/>
            </w:r>
          </w:hyperlink>
        </w:p>
        <w:p w14:paraId="6FD83FF7" w14:textId="36E00073"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2" w:history="1">
            <w:r w:rsidRPr="00E36EBB">
              <w:rPr>
                <w:rStyle w:val="af"/>
                <w:rFonts w:ascii="宋体" w:hAnsi="宋体" w:hint="eastAsia"/>
                <w:noProof/>
                <w:sz w:val="24"/>
                <w:szCs w:val="24"/>
              </w:rPr>
              <w:t>七、重大分歧意见的处理经过和依据</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_Toc176458292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17</w:t>
            </w:r>
            <w:r w:rsidRPr="00E36EBB">
              <w:rPr>
                <w:rFonts w:ascii="宋体" w:hAnsi="宋体" w:hint="eastAsia"/>
                <w:noProof/>
                <w:webHidden/>
                <w:sz w:val="24"/>
                <w:szCs w:val="24"/>
              </w:rPr>
              <w:fldChar w:fldCharType="end"/>
            </w:r>
          </w:hyperlink>
        </w:p>
        <w:p w14:paraId="561AE223" w14:textId="1E219F30"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3" w:history="1">
            <w:r w:rsidRPr="00E36EBB">
              <w:rPr>
                <w:rStyle w:val="af"/>
                <w:rFonts w:ascii="宋体" w:hAnsi="宋体" w:hint="eastAsia"/>
                <w:noProof/>
                <w:sz w:val="24"/>
                <w:szCs w:val="24"/>
              </w:rPr>
              <w:t>八、标准作为强制性或推荐性标准的意见</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_Toc176458293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17</w:t>
            </w:r>
            <w:r w:rsidRPr="00E36EBB">
              <w:rPr>
                <w:rFonts w:ascii="宋体" w:hAnsi="宋体" w:hint="eastAsia"/>
                <w:noProof/>
                <w:webHidden/>
                <w:sz w:val="24"/>
                <w:szCs w:val="24"/>
              </w:rPr>
              <w:fldChar w:fldCharType="end"/>
            </w:r>
          </w:hyperlink>
        </w:p>
        <w:p w14:paraId="606238D9" w14:textId="6713A0E3"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4" w:history="1">
            <w:r w:rsidRPr="00E36EBB">
              <w:rPr>
                <w:rStyle w:val="af"/>
                <w:rFonts w:ascii="宋体" w:hAnsi="宋体" w:hint="eastAsia"/>
                <w:noProof/>
                <w:sz w:val="24"/>
                <w:szCs w:val="24"/>
              </w:rPr>
              <w:t>九、贯彻标准的要求和措施建议</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_Toc176458294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17</w:t>
            </w:r>
            <w:r w:rsidRPr="00E36EBB">
              <w:rPr>
                <w:rFonts w:ascii="宋体" w:hAnsi="宋体" w:hint="eastAsia"/>
                <w:noProof/>
                <w:webHidden/>
                <w:sz w:val="24"/>
                <w:szCs w:val="24"/>
              </w:rPr>
              <w:fldChar w:fldCharType="end"/>
            </w:r>
          </w:hyperlink>
        </w:p>
        <w:p w14:paraId="332BB865" w14:textId="53AE5191"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5" w:history="1">
            <w:r w:rsidRPr="00E36EBB">
              <w:rPr>
                <w:rStyle w:val="af"/>
                <w:rFonts w:ascii="宋体" w:hAnsi="宋体" w:hint="eastAsia"/>
                <w:noProof/>
                <w:sz w:val="24"/>
                <w:szCs w:val="24"/>
              </w:rPr>
              <w:t>十、废止现行有关标准的建议</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_Toc176458295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18</w:t>
            </w:r>
            <w:r w:rsidRPr="00E36EBB">
              <w:rPr>
                <w:rFonts w:ascii="宋体" w:hAnsi="宋体" w:hint="eastAsia"/>
                <w:noProof/>
                <w:webHidden/>
                <w:sz w:val="24"/>
                <w:szCs w:val="24"/>
              </w:rPr>
              <w:fldChar w:fldCharType="end"/>
            </w:r>
          </w:hyperlink>
        </w:p>
        <w:p w14:paraId="2F4DD32F" w14:textId="712EFD19" w:rsidR="00E36EBB" w:rsidRPr="00E36EBB" w:rsidRDefault="00E36EBB" w:rsidP="00E36EBB">
          <w:pPr>
            <w:pStyle w:val="TOC1"/>
            <w:tabs>
              <w:tab w:val="right" w:leader="dot" w:pos="8538"/>
            </w:tabs>
            <w:spacing w:line="360" w:lineRule="auto"/>
            <w:rPr>
              <w:rFonts w:ascii="宋体" w:hAnsi="宋体" w:cstheme="minorBidi" w:hint="eastAsia"/>
              <w:noProof/>
              <w:sz w:val="24"/>
              <w:szCs w:val="28"/>
              <w14:ligatures w14:val="standardContextual"/>
            </w:rPr>
          </w:pPr>
          <w:hyperlink w:anchor="_Toc176458296" w:history="1">
            <w:r w:rsidRPr="00E36EBB">
              <w:rPr>
                <w:rStyle w:val="af"/>
                <w:rFonts w:ascii="宋体" w:hAnsi="宋体" w:hint="eastAsia"/>
                <w:noProof/>
                <w:sz w:val="24"/>
                <w:szCs w:val="24"/>
              </w:rPr>
              <w:t>十一、其他应予说明的事项</w:t>
            </w:r>
            <w:r w:rsidRPr="00E36EBB">
              <w:rPr>
                <w:rFonts w:ascii="宋体" w:hAnsi="宋体" w:hint="eastAsia"/>
                <w:noProof/>
                <w:webHidden/>
                <w:sz w:val="24"/>
                <w:szCs w:val="24"/>
              </w:rPr>
              <w:tab/>
            </w:r>
            <w:r w:rsidRPr="00E36EBB">
              <w:rPr>
                <w:rFonts w:ascii="宋体" w:hAnsi="宋体" w:hint="eastAsia"/>
                <w:noProof/>
                <w:webHidden/>
                <w:sz w:val="24"/>
                <w:szCs w:val="24"/>
              </w:rPr>
              <w:fldChar w:fldCharType="begin"/>
            </w:r>
            <w:r w:rsidRPr="00E36EBB">
              <w:rPr>
                <w:rFonts w:ascii="宋体" w:hAnsi="宋体" w:hint="eastAsia"/>
                <w:noProof/>
                <w:webHidden/>
                <w:sz w:val="24"/>
                <w:szCs w:val="24"/>
              </w:rPr>
              <w:instrText xml:space="preserve"> </w:instrText>
            </w:r>
            <w:r w:rsidRPr="00E36EBB">
              <w:rPr>
                <w:rFonts w:ascii="宋体" w:hAnsi="宋体"/>
                <w:noProof/>
                <w:webHidden/>
                <w:sz w:val="24"/>
                <w:szCs w:val="24"/>
              </w:rPr>
              <w:instrText>PAGEREF _Toc176458296 \h</w:instrText>
            </w:r>
            <w:r w:rsidRPr="00E36EBB">
              <w:rPr>
                <w:rFonts w:ascii="宋体" w:hAnsi="宋体" w:hint="eastAsia"/>
                <w:noProof/>
                <w:webHidden/>
                <w:sz w:val="24"/>
                <w:szCs w:val="24"/>
              </w:rPr>
              <w:instrText xml:space="preserve"> </w:instrText>
            </w:r>
            <w:r w:rsidRPr="00E36EBB">
              <w:rPr>
                <w:rFonts w:ascii="宋体" w:hAnsi="宋体" w:hint="eastAsia"/>
                <w:noProof/>
                <w:webHidden/>
                <w:sz w:val="24"/>
                <w:szCs w:val="24"/>
              </w:rPr>
            </w:r>
            <w:r w:rsidRPr="00E36EBB">
              <w:rPr>
                <w:rFonts w:ascii="宋体" w:hAnsi="宋体"/>
                <w:noProof/>
                <w:webHidden/>
                <w:sz w:val="24"/>
                <w:szCs w:val="24"/>
              </w:rPr>
              <w:fldChar w:fldCharType="separate"/>
            </w:r>
            <w:r w:rsidRPr="00E36EBB">
              <w:rPr>
                <w:rFonts w:ascii="宋体" w:hAnsi="宋体"/>
                <w:noProof/>
                <w:webHidden/>
                <w:sz w:val="24"/>
                <w:szCs w:val="24"/>
              </w:rPr>
              <w:t>18</w:t>
            </w:r>
            <w:r w:rsidRPr="00E36EBB">
              <w:rPr>
                <w:rFonts w:ascii="宋体" w:hAnsi="宋体" w:hint="eastAsia"/>
                <w:noProof/>
                <w:webHidden/>
                <w:sz w:val="24"/>
                <w:szCs w:val="24"/>
              </w:rPr>
              <w:fldChar w:fldCharType="end"/>
            </w:r>
          </w:hyperlink>
        </w:p>
        <w:p w14:paraId="557021C5" w14:textId="32B09CE5" w:rsidR="00E36EBB" w:rsidRDefault="00E36EBB">
          <w:pPr>
            <w:rPr>
              <w:rFonts w:hint="eastAsia"/>
            </w:rPr>
          </w:pPr>
          <w:r>
            <w:rPr>
              <w:b/>
              <w:bCs/>
              <w:lang w:val="zh-CN"/>
            </w:rPr>
            <w:fldChar w:fldCharType="end"/>
          </w:r>
        </w:p>
      </w:sdtContent>
    </w:sdt>
    <w:p w14:paraId="51D88904" w14:textId="012EF55A" w:rsidR="00440305" w:rsidRPr="00E36EBB" w:rsidRDefault="00E36EBB" w:rsidP="00E36EBB">
      <w:pPr>
        <w:pStyle w:val="1"/>
      </w:pPr>
      <w:bookmarkStart w:id="0" w:name="_Toc176458273"/>
      <w:r>
        <w:rPr>
          <w:rFonts w:hint="eastAsia"/>
        </w:rPr>
        <w:t>一、</w:t>
      </w:r>
      <w:r w:rsidR="00440305" w:rsidRPr="00E36EBB">
        <w:t>任务来源及标准制定背景</w:t>
      </w:r>
      <w:bookmarkEnd w:id="0"/>
    </w:p>
    <w:p w14:paraId="7B0D2D59" w14:textId="77777777" w:rsidR="00440305" w:rsidRPr="00E36EBB" w:rsidRDefault="00440305" w:rsidP="00E36EBB">
      <w:pPr>
        <w:pStyle w:val="2"/>
      </w:pPr>
      <w:bookmarkStart w:id="1" w:name="_Toc176458274"/>
      <w:r w:rsidRPr="00E36EBB">
        <w:rPr>
          <w:rFonts w:hint="eastAsia"/>
        </w:rPr>
        <w:t>1</w:t>
      </w:r>
      <w:r w:rsidRPr="00E36EBB">
        <w:rPr>
          <w:rFonts w:hint="eastAsia"/>
        </w:rPr>
        <w:t>、任务来源</w:t>
      </w:r>
      <w:bookmarkEnd w:id="1"/>
    </w:p>
    <w:p w14:paraId="4391B9CD" w14:textId="77777777" w:rsidR="00440305" w:rsidRPr="00E36EBB" w:rsidRDefault="00440305" w:rsidP="00E36EBB">
      <w:pPr>
        <w:spacing w:line="360" w:lineRule="auto"/>
        <w:ind w:firstLineChars="200" w:firstLine="480"/>
        <w:rPr>
          <w:sz w:val="24"/>
          <w:szCs w:val="24"/>
        </w:rPr>
      </w:pPr>
      <w:r w:rsidRPr="00E36EBB">
        <w:rPr>
          <w:rFonts w:hint="eastAsia"/>
          <w:sz w:val="24"/>
          <w:szCs w:val="24"/>
        </w:rPr>
        <w:t>本技术规程由黑龙江省农业科学院草业研究所、中国农业大学、东北农业大学、黑龙江省水土保持科学研究院、中国科学院东北地理与农业生态研究所联合申报，在黑龙江省省属科研业务费（</w:t>
      </w:r>
      <w:r w:rsidRPr="00E36EBB">
        <w:rPr>
          <w:rFonts w:hint="eastAsia"/>
          <w:sz w:val="24"/>
          <w:szCs w:val="24"/>
        </w:rPr>
        <w:t>CZKYF2024-1-A004</w:t>
      </w:r>
      <w:r w:rsidRPr="00E36EBB">
        <w:rPr>
          <w:rFonts w:hint="eastAsia"/>
          <w:sz w:val="24"/>
          <w:szCs w:val="24"/>
        </w:rPr>
        <w:t>）和黑龙江省重点研发计划（</w:t>
      </w:r>
      <w:r w:rsidRPr="00E36EBB">
        <w:rPr>
          <w:rFonts w:hint="eastAsia"/>
          <w:sz w:val="24"/>
          <w:szCs w:val="24"/>
        </w:rPr>
        <w:t>GA23B004</w:t>
      </w:r>
      <w:r w:rsidRPr="00E36EBB">
        <w:rPr>
          <w:rFonts w:hint="eastAsia"/>
          <w:sz w:val="24"/>
          <w:szCs w:val="24"/>
        </w:rPr>
        <w:t>）的共同资助和支持下完成。</w:t>
      </w:r>
    </w:p>
    <w:p w14:paraId="4891BAB9" w14:textId="77777777" w:rsidR="00440305" w:rsidRPr="00E36EBB" w:rsidRDefault="00440305" w:rsidP="00E36EBB">
      <w:pPr>
        <w:pStyle w:val="2"/>
      </w:pPr>
      <w:bookmarkStart w:id="2" w:name="_Toc176458275"/>
      <w:r w:rsidRPr="00E36EBB">
        <w:rPr>
          <w:rFonts w:hint="eastAsia"/>
        </w:rPr>
        <w:t>2</w:t>
      </w:r>
      <w:r w:rsidRPr="00E36EBB">
        <w:rPr>
          <w:rFonts w:hint="eastAsia"/>
        </w:rPr>
        <w:t>、标准制定背景</w:t>
      </w:r>
      <w:bookmarkEnd w:id="2"/>
    </w:p>
    <w:p w14:paraId="19B52F77" w14:textId="77777777" w:rsidR="00440305" w:rsidRPr="00E36EBB" w:rsidRDefault="00440305" w:rsidP="00E36EBB">
      <w:pPr>
        <w:spacing w:line="360" w:lineRule="auto"/>
        <w:ind w:firstLineChars="200" w:firstLine="480"/>
        <w:rPr>
          <w:bCs/>
          <w:sz w:val="24"/>
          <w:szCs w:val="24"/>
        </w:rPr>
      </w:pPr>
      <w:r w:rsidRPr="00E36EBB">
        <w:rPr>
          <w:rFonts w:hint="eastAsia"/>
          <w:bCs/>
          <w:sz w:val="24"/>
          <w:szCs w:val="24"/>
        </w:rPr>
        <w:t>东北黑土区作为我国重要的商品粮生产基地，土壤有机质含量和农田生产力均处于较高水平。东北黑土区地处中国高纬度的冷凉区，传统种植模式主要以玉米连作及玉米</w:t>
      </w:r>
      <w:r w:rsidRPr="00E36EBB">
        <w:rPr>
          <w:rFonts w:hint="eastAsia"/>
          <w:bCs/>
          <w:sz w:val="24"/>
          <w:szCs w:val="24"/>
        </w:rPr>
        <w:t>-</w:t>
      </w:r>
      <w:r w:rsidRPr="00E36EBB">
        <w:rPr>
          <w:rFonts w:hint="eastAsia"/>
          <w:bCs/>
          <w:sz w:val="24"/>
          <w:szCs w:val="24"/>
        </w:rPr>
        <w:t>大豆轮作种植模式为主，耕作模式为垄作（佘玮等，</w:t>
      </w:r>
      <w:r w:rsidRPr="00E36EBB">
        <w:rPr>
          <w:rFonts w:hint="eastAsia"/>
          <w:bCs/>
          <w:sz w:val="24"/>
          <w:szCs w:val="24"/>
        </w:rPr>
        <w:t>2016</w:t>
      </w:r>
      <w:r w:rsidRPr="00E36EBB">
        <w:rPr>
          <w:rFonts w:hint="eastAsia"/>
          <w:bCs/>
          <w:sz w:val="24"/>
          <w:szCs w:val="24"/>
        </w:rPr>
        <w:t>）。长期的垄作模式造成坡耕地集雨面积大、径流集中、冲刷力强的现象尤为突出；同时，由于耕层表层疏松，底土黏重、渗透性差，最终东北黑土区坡耕地水土流失严重，其水土流失面积占该地区水土流失面积的</w:t>
      </w:r>
      <w:r w:rsidRPr="00E36EBB">
        <w:rPr>
          <w:rFonts w:hint="eastAsia"/>
          <w:bCs/>
          <w:sz w:val="24"/>
          <w:szCs w:val="24"/>
        </w:rPr>
        <w:t>46.39%</w:t>
      </w:r>
      <w:r w:rsidRPr="00E36EBB">
        <w:rPr>
          <w:rFonts w:hint="eastAsia"/>
          <w:bCs/>
          <w:sz w:val="24"/>
          <w:szCs w:val="24"/>
        </w:rPr>
        <w:t>，成为该地区水土流失发生的主要源地（吕刚等，</w:t>
      </w:r>
      <w:r w:rsidRPr="00E36EBB">
        <w:rPr>
          <w:rFonts w:hint="eastAsia"/>
          <w:bCs/>
          <w:sz w:val="24"/>
          <w:szCs w:val="24"/>
        </w:rPr>
        <w:t>2009</w:t>
      </w:r>
      <w:r w:rsidRPr="00E36EBB">
        <w:rPr>
          <w:rFonts w:hint="eastAsia"/>
          <w:bCs/>
          <w:sz w:val="24"/>
          <w:szCs w:val="24"/>
        </w:rPr>
        <w:t>；刘宝元等，</w:t>
      </w:r>
      <w:r w:rsidRPr="00E36EBB">
        <w:rPr>
          <w:rFonts w:hint="eastAsia"/>
          <w:bCs/>
          <w:sz w:val="24"/>
          <w:szCs w:val="24"/>
        </w:rPr>
        <w:t>2008</w:t>
      </w:r>
      <w:r w:rsidRPr="00E36EBB">
        <w:rPr>
          <w:rFonts w:hint="eastAsia"/>
          <w:bCs/>
          <w:sz w:val="24"/>
          <w:szCs w:val="24"/>
        </w:rPr>
        <w:t>；蔡壮和沈波，</w:t>
      </w:r>
      <w:r w:rsidRPr="00E36EBB">
        <w:rPr>
          <w:rFonts w:hint="eastAsia"/>
          <w:bCs/>
          <w:sz w:val="24"/>
          <w:szCs w:val="24"/>
        </w:rPr>
        <w:t>2007</w:t>
      </w:r>
      <w:r w:rsidRPr="00E36EBB">
        <w:rPr>
          <w:rFonts w:hint="eastAsia"/>
          <w:bCs/>
          <w:sz w:val="24"/>
          <w:szCs w:val="24"/>
        </w:rPr>
        <w:t>）。基于东北黑土区在我国粮食生产中的作用，坡耕地成为东北黑土区水土流失治理的重点（刘宝元等，</w:t>
      </w:r>
      <w:r w:rsidRPr="00E36EBB">
        <w:rPr>
          <w:rFonts w:hint="eastAsia"/>
          <w:bCs/>
          <w:sz w:val="24"/>
          <w:szCs w:val="24"/>
        </w:rPr>
        <w:t>2008</w:t>
      </w:r>
      <w:r w:rsidRPr="00E36EBB">
        <w:rPr>
          <w:rFonts w:hint="eastAsia"/>
          <w:bCs/>
          <w:sz w:val="24"/>
          <w:szCs w:val="24"/>
        </w:rPr>
        <w:t>）。东北黑土区日益严峻的水土流失形势，已严重威胁该地区的粮食安全，并将阻碍我国农业可持续发展。因此，加强东北黑土区坡耕地的侵蚀研究，推广应用长期、高效、稳定的水土流失防治措施的任务十分迫切。</w:t>
      </w:r>
    </w:p>
    <w:p w14:paraId="56EA9D0E" w14:textId="77777777" w:rsidR="00440305" w:rsidRPr="00E36EBB" w:rsidRDefault="00440305" w:rsidP="00E36EBB">
      <w:pPr>
        <w:spacing w:line="360" w:lineRule="auto"/>
        <w:ind w:firstLineChars="200" w:firstLine="480"/>
        <w:rPr>
          <w:bCs/>
          <w:sz w:val="24"/>
          <w:szCs w:val="24"/>
        </w:rPr>
      </w:pPr>
      <w:r w:rsidRPr="00E36EBB">
        <w:rPr>
          <w:rFonts w:hint="eastAsia"/>
          <w:bCs/>
          <w:sz w:val="24"/>
          <w:szCs w:val="24"/>
        </w:rPr>
        <w:t>植被作为土壤表面的主要自然覆盖物，是控制土壤侵蚀的主要因素之一，植被覆盖已在东北黑土区坡面侵蚀和沟道侵蚀防治工程中表现良好的水土保持效益。然而传统的种植制度仍会加剧水土流失并导致耕层变薄和地力下降等土壤退化问题，作物类型与种植方式是目前影响东北黑土区坡耕地土壤侵蚀的关键因素。将牧草和饲草加入到农作制度中，也就是“粮饲轮作”，对均衡利用土壤中的养分，提高土地和光能利用率，促进生态功能恢复等方面发挥着重要的作用。与传统的单一种植粮食作物方式相比，粮饲轮作在改善生态环境和促进畜牧业可持续发展等方面显现出了无法替代的优越性，不但可以改良土壤的物理性质，提高土壤肥力和增加农业生产，还可降低作物生产风险、减少土壤径流、防止水土流失，是提高生态和经济效益的有效方式（</w:t>
      </w:r>
      <w:r w:rsidRPr="00E36EBB">
        <w:rPr>
          <w:rFonts w:hint="eastAsia"/>
          <w:bCs/>
          <w:sz w:val="24"/>
          <w:szCs w:val="24"/>
        </w:rPr>
        <w:t>Turpin, 1996; Ojiem, 2014</w:t>
      </w:r>
      <w:r w:rsidRPr="00E36EBB">
        <w:rPr>
          <w:rFonts w:hint="eastAsia"/>
          <w:bCs/>
          <w:sz w:val="24"/>
          <w:szCs w:val="24"/>
        </w:rPr>
        <w:t>）。因此，坡耕地不同轮作模式的减流减沙作用并合理配置作物种植方式可成为保护坡耕地土壤资源、减少坡耕地水土流失的重要途径。</w:t>
      </w:r>
    </w:p>
    <w:p w14:paraId="0197FE1A" w14:textId="77777777" w:rsidR="00440305" w:rsidRPr="00E36EBB" w:rsidRDefault="00440305" w:rsidP="00E36EBB">
      <w:pPr>
        <w:spacing w:line="360" w:lineRule="auto"/>
        <w:ind w:firstLineChars="200" w:firstLine="480"/>
        <w:rPr>
          <w:bCs/>
          <w:sz w:val="24"/>
          <w:szCs w:val="24"/>
        </w:rPr>
      </w:pPr>
      <w:r w:rsidRPr="00E36EBB">
        <w:rPr>
          <w:rFonts w:hint="eastAsia"/>
          <w:bCs/>
          <w:sz w:val="24"/>
          <w:szCs w:val="24"/>
        </w:rPr>
        <w:t>本项目基于黑土区玉米种植后进行黑麦草和白三叶的合理轮作，对轮作后的种植、作物产量、抗侵蚀性等关键技术的研究，结合当地生产需求，提出黑土区玉米轮作黑麦草与白叶三混播技术，能够为保护黑土地的农艺措施提供技术支撑，可保障国家粮食安全。</w:t>
      </w:r>
    </w:p>
    <w:p w14:paraId="3EFBE105" w14:textId="4762DBE3" w:rsidR="00440305" w:rsidRPr="00E36EBB" w:rsidRDefault="00E36EBB" w:rsidP="00E36EBB">
      <w:pPr>
        <w:pStyle w:val="1"/>
      </w:pPr>
      <w:bookmarkStart w:id="3" w:name="_Toc176458276"/>
      <w:r>
        <w:rPr>
          <w:rFonts w:hint="eastAsia"/>
        </w:rPr>
        <w:t>二、</w:t>
      </w:r>
      <w:r w:rsidR="00440305" w:rsidRPr="00E36EBB">
        <w:rPr>
          <w:rFonts w:hint="eastAsia"/>
        </w:rPr>
        <w:t>主要工作过程</w:t>
      </w:r>
      <w:bookmarkEnd w:id="3"/>
    </w:p>
    <w:p w14:paraId="5FF451C9" w14:textId="77777777" w:rsidR="00440305" w:rsidRPr="00E36EBB" w:rsidRDefault="00440305" w:rsidP="00E36EBB">
      <w:pPr>
        <w:spacing w:line="360" w:lineRule="auto"/>
        <w:ind w:firstLineChars="177" w:firstLine="425"/>
        <w:rPr>
          <w:bCs/>
          <w:sz w:val="24"/>
          <w:szCs w:val="24"/>
        </w:rPr>
      </w:pPr>
      <w:r w:rsidRPr="00E36EBB">
        <w:rPr>
          <w:bCs/>
          <w:sz w:val="24"/>
          <w:szCs w:val="24"/>
        </w:rPr>
        <w:t>1</w:t>
      </w:r>
      <w:r w:rsidRPr="00E36EBB">
        <w:rPr>
          <w:bCs/>
          <w:sz w:val="24"/>
          <w:szCs w:val="24"/>
        </w:rPr>
        <w:t>、</w:t>
      </w:r>
      <w:r w:rsidRPr="00E36EBB">
        <w:rPr>
          <w:bCs/>
          <w:sz w:val="24"/>
          <w:szCs w:val="24"/>
        </w:rPr>
        <w:t>20</w:t>
      </w:r>
      <w:r w:rsidRPr="00E36EBB">
        <w:rPr>
          <w:rFonts w:hint="eastAsia"/>
          <w:bCs/>
          <w:sz w:val="24"/>
          <w:szCs w:val="24"/>
        </w:rPr>
        <w:t>23</w:t>
      </w:r>
      <w:r w:rsidRPr="00E36EBB">
        <w:rPr>
          <w:bCs/>
          <w:sz w:val="24"/>
          <w:szCs w:val="24"/>
        </w:rPr>
        <w:t>年</w:t>
      </w:r>
      <w:r w:rsidRPr="00E36EBB">
        <w:rPr>
          <w:rFonts w:hint="eastAsia"/>
          <w:bCs/>
          <w:sz w:val="24"/>
          <w:szCs w:val="24"/>
        </w:rPr>
        <w:t>11</w:t>
      </w:r>
      <w:r w:rsidRPr="00E36EBB">
        <w:rPr>
          <w:bCs/>
          <w:sz w:val="24"/>
          <w:szCs w:val="24"/>
        </w:rPr>
        <w:t>月：</w:t>
      </w:r>
      <w:r w:rsidRPr="00E36EBB">
        <w:rPr>
          <w:rFonts w:hint="eastAsia"/>
          <w:bCs/>
          <w:sz w:val="24"/>
          <w:szCs w:val="24"/>
        </w:rPr>
        <w:t>根据《</w:t>
      </w:r>
      <w:r w:rsidRPr="00E36EBB">
        <w:rPr>
          <w:bCs/>
          <w:sz w:val="24"/>
          <w:szCs w:val="24"/>
        </w:rPr>
        <w:t>关于征集</w:t>
      </w:r>
      <w:r w:rsidRPr="00E36EBB">
        <w:rPr>
          <w:bCs/>
          <w:sz w:val="24"/>
          <w:szCs w:val="24"/>
        </w:rPr>
        <w:t>20</w:t>
      </w:r>
      <w:r w:rsidRPr="00E36EBB">
        <w:rPr>
          <w:rFonts w:hint="eastAsia"/>
          <w:bCs/>
          <w:sz w:val="24"/>
          <w:szCs w:val="24"/>
        </w:rPr>
        <w:t>23</w:t>
      </w:r>
      <w:r w:rsidRPr="00E36EBB">
        <w:rPr>
          <w:bCs/>
          <w:sz w:val="24"/>
          <w:szCs w:val="24"/>
        </w:rPr>
        <w:t>年北京华夏草业产业技术创新战略联盟团体标准制定项目的通知</w:t>
      </w:r>
      <w:r w:rsidRPr="00E36EBB">
        <w:rPr>
          <w:rFonts w:hint="eastAsia"/>
          <w:bCs/>
          <w:sz w:val="24"/>
          <w:szCs w:val="24"/>
        </w:rPr>
        <w:t>》中相关要求，黑龙江省农业科学院草业研究所牵头，组织相关人员认真学习标准化工作导则及相关文件，讨论标准编写事宜。</w:t>
      </w:r>
    </w:p>
    <w:p w14:paraId="3AF27093" w14:textId="77777777" w:rsidR="00440305" w:rsidRPr="00E36EBB" w:rsidRDefault="00440305" w:rsidP="00E36EBB">
      <w:pPr>
        <w:pStyle w:val="af0"/>
        <w:spacing w:line="360" w:lineRule="auto"/>
        <w:ind w:firstLineChars="177" w:firstLine="425"/>
        <w:rPr>
          <w:rFonts w:ascii="Times New Roman"/>
          <w:bCs/>
          <w:kern w:val="2"/>
          <w:sz w:val="24"/>
          <w:szCs w:val="24"/>
        </w:rPr>
      </w:pPr>
      <w:r w:rsidRPr="00E36EBB">
        <w:rPr>
          <w:rFonts w:ascii="Times New Roman" w:hint="eastAsia"/>
          <w:bCs/>
          <w:kern w:val="2"/>
          <w:sz w:val="24"/>
          <w:szCs w:val="24"/>
        </w:rPr>
        <w:t>2</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3</w:t>
      </w:r>
      <w:r w:rsidRPr="00E36EBB">
        <w:rPr>
          <w:rFonts w:ascii="Times New Roman" w:hint="eastAsia"/>
          <w:bCs/>
          <w:kern w:val="2"/>
          <w:sz w:val="24"/>
          <w:szCs w:val="24"/>
        </w:rPr>
        <w:t>月：</w:t>
      </w:r>
      <w:r w:rsidRPr="00E36EBB">
        <w:rPr>
          <w:rFonts w:hint="eastAsia"/>
          <w:sz w:val="24"/>
          <w:szCs w:val="24"/>
        </w:rPr>
        <w:t>中国农业大学、东北农业大学、黑龙江省水土保持科学研究院、中国科学院东北地理与农业生态研究所</w:t>
      </w:r>
      <w:r w:rsidRPr="00E36EBB">
        <w:rPr>
          <w:rFonts w:ascii="Times New Roman" w:hint="eastAsia"/>
          <w:bCs/>
          <w:kern w:val="2"/>
          <w:sz w:val="24"/>
          <w:szCs w:val="24"/>
        </w:rPr>
        <w:t>的相关起草人，认真总结课题组的已有成果，讨论决定并提交“</w:t>
      </w:r>
      <w:r w:rsidRPr="00E36EBB">
        <w:rPr>
          <w:rFonts w:hint="eastAsia"/>
          <w:bCs/>
          <w:sz w:val="24"/>
          <w:szCs w:val="24"/>
        </w:rPr>
        <w:t>黑土区玉米种植后进行黑麦草和白三叶</w:t>
      </w:r>
      <w:r w:rsidRPr="00E36EBB">
        <w:rPr>
          <w:rFonts w:ascii="Times New Roman" w:hint="eastAsia"/>
          <w:bCs/>
          <w:kern w:val="2"/>
          <w:sz w:val="24"/>
          <w:szCs w:val="24"/>
        </w:rPr>
        <w:t>”团体标准的制订项目建议书至</w:t>
      </w:r>
      <w:r w:rsidRPr="00E36EBB">
        <w:rPr>
          <w:rFonts w:ascii="Times New Roman"/>
          <w:bCs/>
          <w:kern w:val="2"/>
          <w:sz w:val="24"/>
          <w:szCs w:val="24"/>
        </w:rPr>
        <w:t>北京华夏草业产业技术创新战略联盟</w:t>
      </w:r>
      <w:r w:rsidRPr="00E36EBB">
        <w:rPr>
          <w:rFonts w:ascii="Times New Roman" w:hint="eastAsia"/>
          <w:bCs/>
          <w:kern w:val="2"/>
          <w:sz w:val="24"/>
          <w:szCs w:val="24"/>
        </w:rPr>
        <w:t>秘书处，申请立项。</w:t>
      </w:r>
    </w:p>
    <w:p w14:paraId="01D5881B" w14:textId="77777777" w:rsidR="00440305" w:rsidRPr="00E36EBB" w:rsidRDefault="00440305" w:rsidP="00E36EBB">
      <w:pPr>
        <w:pStyle w:val="af0"/>
        <w:spacing w:line="360" w:lineRule="auto"/>
        <w:ind w:firstLineChars="177" w:firstLine="425"/>
        <w:rPr>
          <w:rFonts w:ascii="Times New Roman"/>
          <w:bCs/>
          <w:kern w:val="2"/>
          <w:sz w:val="24"/>
          <w:szCs w:val="24"/>
        </w:rPr>
      </w:pPr>
      <w:r w:rsidRPr="00E36EBB">
        <w:rPr>
          <w:rFonts w:ascii="Times New Roman" w:hint="eastAsia"/>
          <w:bCs/>
          <w:kern w:val="2"/>
          <w:sz w:val="24"/>
          <w:szCs w:val="24"/>
        </w:rPr>
        <w:t>3</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4</w:t>
      </w:r>
      <w:r w:rsidRPr="00E36EBB">
        <w:rPr>
          <w:rFonts w:ascii="Times New Roman" w:hint="eastAsia"/>
          <w:bCs/>
          <w:kern w:val="2"/>
          <w:sz w:val="24"/>
          <w:szCs w:val="24"/>
        </w:rPr>
        <w:t>月：</w:t>
      </w:r>
      <w:r w:rsidRPr="00E36EBB">
        <w:rPr>
          <w:rFonts w:ascii="Times New Roman"/>
          <w:bCs/>
          <w:kern w:val="2"/>
          <w:sz w:val="24"/>
          <w:szCs w:val="24"/>
        </w:rPr>
        <w:t>北京华夏草业产业技术创新战略联盟</w:t>
      </w:r>
      <w:r w:rsidRPr="00E36EBB">
        <w:rPr>
          <w:rFonts w:ascii="Times New Roman" w:hint="eastAsia"/>
          <w:bCs/>
          <w:kern w:val="2"/>
          <w:sz w:val="24"/>
          <w:szCs w:val="24"/>
        </w:rPr>
        <w:t>组织进行了</w:t>
      </w:r>
      <w:r w:rsidRPr="00E36EBB">
        <w:rPr>
          <w:rFonts w:ascii="Times New Roman"/>
          <w:bCs/>
          <w:kern w:val="2"/>
          <w:sz w:val="24"/>
          <w:szCs w:val="24"/>
        </w:rPr>
        <w:t>团体标准</w:t>
      </w:r>
      <w:r w:rsidRPr="00E36EBB">
        <w:rPr>
          <w:rFonts w:ascii="Times New Roman" w:hint="eastAsia"/>
          <w:bCs/>
          <w:kern w:val="2"/>
          <w:sz w:val="24"/>
          <w:szCs w:val="24"/>
        </w:rPr>
        <w:t>建议</w:t>
      </w:r>
      <w:r w:rsidRPr="00E36EBB">
        <w:rPr>
          <w:rFonts w:ascii="Times New Roman"/>
          <w:bCs/>
          <w:kern w:val="2"/>
          <w:sz w:val="24"/>
          <w:szCs w:val="24"/>
        </w:rPr>
        <w:t>评审</w:t>
      </w:r>
      <w:r w:rsidRPr="00E36EBB">
        <w:rPr>
          <w:rFonts w:ascii="Times New Roman" w:hint="eastAsia"/>
          <w:bCs/>
          <w:kern w:val="2"/>
          <w:sz w:val="24"/>
          <w:szCs w:val="24"/>
        </w:rPr>
        <w:t>，并于</w:t>
      </w:r>
      <w:r w:rsidRPr="00E36EBB">
        <w:rPr>
          <w:rFonts w:ascii="Times New Roman" w:hint="eastAsia"/>
          <w:bCs/>
          <w:kern w:val="2"/>
          <w:sz w:val="24"/>
          <w:szCs w:val="24"/>
        </w:rPr>
        <w:t>4</w:t>
      </w:r>
      <w:r w:rsidRPr="00E36EBB">
        <w:rPr>
          <w:rFonts w:ascii="Times New Roman" w:hint="eastAsia"/>
          <w:bCs/>
          <w:kern w:val="2"/>
          <w:sz w:val="24"/>
          <w:szCs w:val="24"/>
        </w:rPr>
        <w:t>月</w:t>
      </w:r>
      <w:r w:rsidRPr="00E36EBB">
        <w:rPr>
          <w:rFonts w:ascii="Times New Roman" w:hint="eastAsia"/>
          <w:bCs/>
          <w:kern w:val="2"/>
          <w:sz w:val="24"/>
          <w:szCs w:val="24"/>
        </w:rPr>
        <w:t>7</w:t>
      </w:r>
      <w:r w:rsidRPr="00E36EBB">
        <w:rPr>
          <w:rFonts w:ascii="Times New Roman" w:hint="eastAsia"/>
          <w:bCs/>
          <w:kern w:val="2"/>
          <w:sz w:val="24"/>
          <w:szCs w:val="24"/>
        </w:rPr>
        <w:t>日获同意立项通知。</w:t>
      </w:r>
    </w:p>
    <w:p w14:paraId="77D318F8" w14:textId="77777777" w:rsidR="00440305" w:rsidRPr="00E36EBB" w:rsidRDefault="00440305" w:rsidP="00E36EBB">
      <w:pPr>
        <w:pStyle w:val="af0"/>
        <w:spacing w:line="360" w:lineRule="auto"/>
        <w:ind w:firstLineChars="177" w:firstLine="425"/>
        <w:rPr>
          <w:rFonts w:ascii="Times New Roman"/>
          <w:bCs/>
          <w:kern w:val="2"/>
          <w:sz w:val="24"/>
          <w:szCs w:val="24"/>
        </w:rPr>
      </w:pPr>
      <w:r w:rsidRPr="00E36EBB">
        <w:rPr>
          <w:rFonts w:ascii="Times New Roman" w:hint="eastAsia"/>
          <w:bCs/>
          <w:kern w:val="2"/>
          <w:sz w:val="24"/>
          <w:szCs w:val="24"/>
        </w:rPr>
        <w:t>4</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5</w:t>
      </w:r>
      <w:r w:rsidRPr="00E36EBB">
        <w:rPr>
          <w:rFonts w:ascii="Times New Roman" w:hint="eastAsia"/>
          <w:bCs/>
          <w:kern w:val="2"/>
          <w:sz w:val="24"/>
          <w:szCs w:val="24"/>
        </w:rPr>
        <w:t>月</w:t>
      </w:r>
      <w:r w:rsidRPr="00E36EBB">
        <w:rPr>
          <w:rFonts w:ascii="Times New Roman" w:hint="eastAsia"/>
          <w:bCs/>
          <w:kern w:val="2"/>
          <w:sz w:val="24"/>
          <w:szCs w:val="24"/>
        </w:rPr>
        <w:t>-6</w:t>
      </w:r>
      <w:r w:rsidRPr="00E36EBB">
        <w:rPr>
          <w:rFonts w:ascii="Times New Roman" w:hint="eastAsia"/>
          <w:bCs/>
          <w:kern w:val="2"/>
          <w:sz w:val="24"/>
          <w:szCs w:val="24"/>
        </w:rPr>
        <w:t>月：标准编制组对项目组多年开展完成的黑土区玉米轮作黑麦草与白叶三混播技术试验数据进行系统分析整理，开始“黑土区玉米轮作黑麦草与白叶三混播技术规程”团体标准初稿的编制。</w:t>
      </w:r>
    </w:p>
    <w:p w14:paraId="7871E5E4" w14:textId="77777777" w:rsidR="00440305" w:rsidRPr="00E36EBB" w:rsidRDefault="00440305" w:rsidP="00E36EBB">
      <w:pPr>
        <w:pStyle w:val="af0"/>
        <w:spacing w:line="360" w:lineRule="auto"/>
        <w:ind w:firstLineChars="177" w:firstLine="425"/>
        <w:rPr>
          <w:rFonts w:ascii="Times New Roman"/>
          <w:bCs/>
          <w:kern w:val="2"/>
          <w:sz w:val="24"/>
          <w:szCs w:val="24"/>
        </w:rPr>
      </w:pPr>
      <w:r w:rsidRPr="00E36EBB">
        <w:rPr>
          <w:rFonts w:ascii="Times New Roman" w:hint="eastAsia"/>
          <w:bCs/>
          <w:kern w:val="2"/>
          <w:sz w:val="24"/>
          <w:szCs w:val="24"/>
        </w:rPr>
        <w:t>5</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7</w:t>
      </w:r>
      <w:r w:rsidRPr="00E36EBB">
        <w:rPr>
          <w:rFonts w:ascii="Times New Roman" w:hint="eastAsia"/>
          <w:bCs/>
          <w:kern w:val="2"/>
          <w:sz w:val="24"/>
          <w:szCs w:val="24"/>
        </w:rPr>
        <w:t>月：标准编制组在总结了黑龙江省黑土区玉米轮作黑麦草与白叶三混播</w:t>
      </w:r>
      <w:r w:rsidRPr="00E36EBB">
        <w:rPr>
          <w:rFonts w:hint="eastAsia"/>
          <w:bCs/>
          <w:sz w:val="24"/>
          <w:szCs w:val="24"/>
        </w:rPr>
        <w:t>种植</w:t>
      </w:r>
      <w:r w:rsidRPr="00E36EBB">
        <w:rPr>
          <w:rFonts w:ascii="Times New Roman" w:hint="eastAsia"/>
          <w:bCs/>
          <w:kern w:val="2"/>
          <w:sz w:val="24"/>
          <w:szCs w:val="24"/>
        </w:rPr>
        <w:t>多年试验数据的基础上，结合收集整理、梳理归纳和总结分析相关粮饲轮作种植技术方面的文献资料，完成了《黑土区玉米轮作黑麦草与白叶三混播技术规程》草案及编制说明的撰写，提交至</w:t>
      </w:r>
      <w:r w:rsidRPr="00E36EBB">
        <w:rPr>
          <w:rFonts w:ascii="Times New Roman"/>
          <w:bCs/>
          <w:kern w:val="2"/>
          <w:sz w:val="24"/>
          <w:szCs w:val="24"/>
        </w:rPr>
        <w:t>北京华夏草业产业技术创新战略联盟</w:t>
      </w:r>
      <w:r w:rsidRPr="00E36EBB">
        <w:rPr>
          <w:rFonts w:ascii="Times New Roman" w:hint="eastAsia"/>
          <w:bCs/>
          <w:kern w:val="2"/>
          <w:sz w:val="24"/>
          <w:szCs w:val="24"/>
        </w:rPr>
        <w:t>秘书处。</w:t>
      </w:r>
    </w:p>
    <w:p w14:paraId="448D6014" w14:textId="77777777" w:rsidR="00440305" w:rsidRPr="00E36EBB" w:rsidRDefault="00440305" w:rsidP="00E36EBB">
      <w:pPr>
        <w:pStyle w:val="af0"/>
        <w:spacing w:line="360" w:lineRule="auto"/>
        <w:ind w:firstLineChars="177" w:firstLine="425"/>
        <w:rPr>
          <w:rFonts w:ascii="Times New Roman"/>
          <w:bCs/>
          <w:kern w:val="2"/>
          <w:sz w:val="24"/>
          <w:szCs w:val="24"/>
        </w:rPr>
      </w:pPr>
      <w:r w:rsidRPr="00E36EBB">
        <w:rPr>
          <w:rFonts w:ascii="Times New Roman" w:hint="eastAsia"/>
          <w:bCs/>
          <w:kern w:val="2"/>
          <w:sz w:val="24"/>
          <w:szCs w:val="24"/>
        </w:rPr>
        <w:t>6</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8</w:t>
      </w:r>
      <w:r w:rsidRPr="00E36EBB">
        <w:rPr>
          <w:rFonts w:ascii="Times New Roman" w:hint="eastAsia"/>
          <w:bCs/>
          <w:kern w:val="2"/>
          <w:sz w:val="24"/>
          <w:szCs w:val="24"/>
        </w:rPr>
        <w:t>月</w:t>
      </w:r>
      <w:r w:rsidRPr="00E36EBB">
        <w:rPr>
          <w:rFonts w:ascii="Times New Roman" w:hint="eastAsia"/>
          <w:bCs/>
          <w:kern w:val="2"/>
          <w:sz w:val="24"/>
          <w:szCs w:val="24"/>
        </w:rPr>
        <w:t>-9</w:t>
      </w:r>
      <w:r w:rsidRPr="00E36EBB">
        <w:rPr>
          <w:rFonts w:ascii="Times New Roman" w:hint="eastAsia"/>
          <w:bCs/>
          <w:kern w:val="2"/>
          <w:sz w:val="24"/>
          <w:szCs w:val="24"/>
        </w:rPr>
        <w:t>月：根据征得的意见或建议，完善标准《送审稿》。</w:t>
      </w:r>
    </w:p>
    <w:p w14:paraId="7EABA9AA" w14:textId="77777777" w:rsidR="00440305" w:rsidRPr="00E36EBB" w:rsidRDefault="00440305" w:rsidP="00E36EBB">
      <w:pPr>
        <w:pStyle w:val="af0"/>
        <w:spacing w:line="360" w:lineRule="auto"/>
        <w:ind w:firstLineChars="177" w:firstLine="425"/>
        <w:rPr>
          <w:rFonts w:ascii="Times New Roman"/>
          <w:bCs/>
          <w:color w:val="FF0000"/>
          <w:kern w:val="2"/>
          <w:sz w:val="24"/>
          <w:szCs w:val="24"/>
        </w:rPr>
      </w:pPr>
      <w:r w:rsidRPr="00E36EBB">
        <w:rPr>
          <w:rFonts w:ascii="Times New Roman" w:hint="eastAsia"/>
          <w:bCs/>
          <w:kern w:val="2"/>
          <w:sz w:val="24"/>
          <w:szCs w:val="24"/>
        </w:rPr>
        <w:t>7</w:t>
      </w:r>
      <w:r w:rsidRPr="00E36EBB">
        <w:rPr>
          <w:rFonts w:ascii="Times New Roman" w:hint="eastAsia"/>
          <w:bCs/>
          <w:kern w:val="2"/>
          <w:sz w:val="24"/>
          <w:szCs w:val="24"/>
        </w:rPr>
        <w:t>、</w:t>
      </w:r>
      <w:r w:rsidRPr="00E36EBB">
        <w:rPr>
          <w:rFonts w:ascii="Times New Roman" w:hint="eastAsia"/>
          <w:bCs/>
          <w:kern w:val="2"/>
          <w:sz w:val="24"/>
          <w:szCs w:val="24"/>
        </w:rPr>
        <w:t>2024</w:t>
      </w:r>
      <w:r w:rsidRPr="00E36EBB">
        <w:rPr>
          <w:rFonts w:ascii="Times New Roman" w:hint="eastAsia"/>
          <w:bCs/>
          <w:kern w:val="2"/>
          <w:sz w:val="24"/>
          <w:szCs w:val="24"/>
        </w:rPr>
        <w:t>年</w:t>
      </w:r>
      <w:r w:rsidRPr="00E36EBB">
        <w:rPr>
          <w:rFonts w:ascii="Times New Roman" w:hint="eastAsia"/>
          <w:bCs/>
          <w:kern w:val="2"/>
          <w:sz w:val="24"/>
          <w:szCs w:val="24"/>
        </w:rPr>
        <w:t>10</w:t>
      </w:r>
      <w:r w:rsidRPr="00E36EBB">
        <w:rPr>
          <w:rFonts w:ascii="Times New Roman" w:hint="eastAsia"/>
          <w:bCs/>
          <w:kern w:val="2"/>
          <w:sz w:val="24"/>
          <w:szCs w:val="24"/>
        </w:rPr>
        <w:t>月：形成《报批稿》及编制说明，提交北京华夏草业产业技术创新战略联盟，报批。</w:t>
      </w:r>
    </w:p>
    <w:p w14:paraId="1A98ED20" w14:textId="68D0BF9E" w:rsidR="00440305" w:rsidRPr="00E36EBB" w:rsidRDefault="00E36EBB" w:rsidP="00E36EBB">
      <w:pPr>
        <w:pStyle w:val="1"/>
      </w:pPr>
      <w:bookmarkStart w:id="4" w:name="_Toc176458277"/>
      <w:r>
        <w:rPr>
          <w:rFonts w:hint="eastAsia"/>
        </w:rPr>
        <w:t>三、</w:t>
      </w:r>
      <w:r w:rsidR="00440305" w:rsidRPr="00E36EBB">
        <w:t>标准编制原则和主要技术内容确定的依据</w:t>
      </w:r>
      <w:bookmarkEnd w:id="4"/>
    </w:p>
    <w:p w14:paraId="77CD9C98" w14:textId="77777777" w:rsidR="00440305" w:rsidRPr="00E36EBB" w:rsidRDefault="00440305" w:rsidP="00E36EBB">
      <w:pPr>
        <w:pStyle w:val="2"/>
      </w:pPr>
      <w:bookmarkStart w:id="5" w:name="_Toc176458278"/>
      <w:r w:rsidRPr="00E36EBB">
        <w:rPr>
          <w:rFonts w:hint="eastAsia"/>
        </w:rPr>
        <w:t>1</w:t>
      </w:r>
      <w:r w:rsidRPr="00E36EBB">
        <w:rPr>
          <w:rFonts w:hint="eastAsia"/>
        </w:rPr>
        <w:t>、标准编制</w:t>
      </w:r>
      <w:r w:rsidRPr="00E36EBB">
        <w:t>原则</w:t>
      </w:r>
      <w:bookmarkEnd w:id="5"/>
    </w:p>
    <w:p w14:paraId="25FD675C" w14:textId="77777777" w:rsidR="00440305" w:rsidRPr="00E36EBB" w:rsidRDefault="00440305" w:rsidP="00E36EBB">
      <w:pPr>
        <w:spacing w:line="360" w:lineRule="auto"/>
        <w:ind w:firstLineChars="200" w:firstLine="480"/>
        <w:rPr>
          <w:sz w:val="24"/>
          <w:szCs w:val="24"/>
        </w:rPr>
      </w:pPr>
      <w:r w:rsidRPr="00E36EBB">
        <w:rPr>
          <w:bCs/>
          <w:sz w:val="24"/>
          <w:szCs w:val="24"/>
        </w:rPr>
        <w:t>按照</w:t>
      </w:r>
      <w:r w:rsidRPr="00E36EBB">
        <w:rPr>
          <w:bCs/>
          <w:sz w:val="24"/>
          <w:szCs w:val="24"/>
        </w:rPr>
        <w:t xml:space="preserve">GB/T 1.1-2009 </w:t>
      </w:r>
      <w:r w:rsidRPr="00E36EBB">
        <w:rPr>
          <w:bCs/>
          <w:sz w:val="24"/>
          <w:szCs w:val="24"/>
        </w:rPr>
        <w:t>《标准化工作导则</w:t>
      </w:r>
      <w:r w:rsidRPr="00E36EBB">
        <w:rPr>
          <w:rFonts w:hint="eastAsia"/>
          <w:bCs/>
          <w:sz w:val="24"/>
          <w:szCs w:val="24"/>
        </w:rPr>
        <w:t xml:space="preserve"> </w:t>
      </w:r>
      <w:r w:rsidRPr="00E36EBB">
        <w:rPr>
          <w:bCs/>
          <w:sz w:val="24"/>
          <w:szCs w:val="24"/>
        </w:rPr>
        <w:t>第</w:t>
      </w:r>
      <w:r w:rsidRPr="00E36EBB">
        <w:rPr>
          <w:bCs/>
          <w:sz w:val="24"/>
          <w:szCs w:val="24"/>
        </w:rPr>
        <w:t>1</w:t>
      </w:r>
      <w:r w:rsidRPr="00E36EBB">
        <w:rPr>
          <w:bCs/>
          <w:sz w:val="24"/>
          <w:szCs w:val="24"/>
        </w:rPr>
        <w:t>部分：标准的结构和编写》的要求和规定编写本标准内容。</w:t>
      </w:r>
      <w:r w:rsidRPr="00E36EBB">
        <w:rPr>
          <w:bCs/>
          <w:color w:val="000000"/>
          <w:sz w:val="24"/>
          <w:szCs w:val="24"/>
        </w:rPr>
        <w:t>本标准制定过程中，始终遵循密切联系生产实践，确保标准具有较强的科学性、可操作性，坚持促进行业规范发展的基本原则，</w:t>
      </w:r>
      <w:r w:rsidRPr="00E36EBB">
        <w:rPr>
          <w:rFonts w:hint="eastAsia"/>
          <w:sz w:val="24"/>
          <w:szCs w:val="24"/>
        </w:rPr>
        <w:t>以科学性、实用性、先进性作为编制标准的指导思想，在文字结构上力求严谨、简洁、科学；在技术</w:t>
      </w:r>
      <w:r w:rsidRPr="00E36EBB">
        <w:rPr>
          <w:sz w:val="24"/>
          <w:szCs w:val="24"/>
        </w:rPr>
        <w:t>内容</w:t>
      </w:r>
      <w:r w:rsidRPr="00E36EBB">
        <w:rPr>
          <w:rFonts w:hint="eastAsia"/>
          <w:sz w:val="24"/>
          <w:szCs w:val="24"/>
        </w:rPr>
        <w:t>上力求涵盖黑土区玉米轮作黑麦草与白三叶混播</w:t>
      </w:r>
      <w:r w:rsidRPr="00E36EBB">
        <w:rPr>
          <w:rFonts w:hAnsi="宋体" w:hint="eastAsia"/>
          <w:sz w:val="24"/>
          <w:szCs w:val="24"/>
        </w:rPr>
        <w:t>技术</w:t>
      </w:r>
      <w:r w:rsidRPr="00E36EBB">
        <w:rPr>
          <w:rFonts w:hint="eastAsia"/>
          <w:sz w:val="24"/>
          <w:szCs w:val="24"/>
        </w:rPr>
        <w:t>的关键环节。</w:t>
      </w:r>
    </w:p>
    <w:p w14:paraId="0572FCE2" w14:textId="77777777" w:rsidR="00440305" w:rsidRPr="00E36EBB" w:rsidRDefault="00440305" w:rsidP="00E36EBB">
      <w:pPr>
        <w:spacing w:line="360" w:lineRule="auto"/>
        <w:ind w:firstLineChars="200" w:firstLine="480"/>
        <w:rPr>
          <w:sz w:val="24"/>
          <w:szCs w:val="24"/>
        </w:rPr>
      </w:pPr>
      <w:r w:rsidRPr="00E36EBB">
        <w:rPr>
          <w:sz w:val="24"/>
          <w:szCs w:val="24"/>
        </w:rPr>
        <w:t>制定</w:t>
      </w:r>
      <w:r w:rsidRPr="00E36EBB">
        <w:rPr>
          <w:rFonts w:hint="eastAsia"/>
          <w:sz w:val="24"/>
          <w:szCs w:val="24"/>
        </w:rPr>
        <w:t>过程中除了认真总结多年来的试验研究结果外，还</w:t>
      </w:r>
      <w:r w:rsidRPr="00E36EBB">
        <w:rPr>
          <w:sz w:val="24"/>
          <w:szCs w:val="24"/>
        </w:rPr>
        <w:t>参阅和汲取</w:t>
      </w:r>
      <w:r w:rsidRPr="00E36EBB">
        <w:rPr>
          <w:rFonts w:hint="eastAsia"/>
          <w:sz w:val="24"/>
          <w:szCs w:val="24"/>
        </w:rPr>
        <w:t>了</w:t>
      </w:r>
      <w:r w:rsidRPr="00E36EBB">
        <w:rPr>
          <w:sz w:val="24"/>
          <w:szCs w:val="24"/>
        </w:rPr>
        <w:t>国内相关标准的经验和条款</w:t>
      </w:r>
      <w:r w:rsidRPr="00E36EBB">
        <w:rPr>
          <w:rFonts w:hint="eastAsia"/>
          <w:sz w:val="24"/>
          <w:szCs w:val="24"/>
        </w:rPr>
        <w:t>，符合黑土区玉米轮作黑麦草与白三叶混播的生产实际，达到</w:t>
      </w:r>
      <w:r w:rsidRPr="00E36EBB">
        <w:rPr>
          <w:sz w:val="24"/>
          <w:szCs w:val="24"/>
        </w:rPr>
        <w:t>内容全面、技术含量高、操作性强</w:t>
      </w:r>
      <w:r w:rsidRPr="00E36EBB">
        <w:rPr>
          <w:rFonts w:hint="eastAsia"/>
          <w:sz w:val="24"/>
          <w:szCs w:val="24"/>
        </w:rPr>
        <w:t>的要求。</w:t>
      </w:r>
      <w:r w:rsidRPr="00E36EBB">
        <w:rPr>
          <w:bCs/>
          <w:color w:val="000000"/>
          <w:sz w:val="24"/>
          <w:szCs w:val="24"/>
        </w:rPr>
        <w:t>该标准与现行法律法规无冲突，并保证了对</w:t>
      </w:r>
      <w:r w:rsidRPr="00E36EBB">
        <w:rPr>
          <w:bCs/>
          <w:sz w:val="24"/>
          <w:szCs w:val="24"/>
        </w:rPr>
        <w:t>该</w:t>
      </w:r>
      <w:r w:rsidRPr="00E36EBB">
        <w:rPr>
          <w:bCs/>
          <w:color w:val="000000"/>
          <w:sz w:val="24"/>
          <w:szCs w:val="24"/>
        </w:rPr>
        <w:t>标准最新版本的引用。</w:t>
      </w:r>
    </w:p>
    <w:p w14:paraId="275C1004" w14:textId="77777777" w:rsidR="00440305" w:rsidRPr="00E36EBB" w:rsidRDefault="00440305" w:rsidP="00E36EBB">
      <w:pPr>
        <w:pStyle w:val="2"/>
      </w:pPr>
      <w:bookmarkStart w:id="6" w:name="_Toc176458279"/>
      <w:r w:rsidRPr="00E36EBB">
        <w:rPr>
          <w:rFonts w:hint="eastAsia"/>
        </w:rPr>
        <w:t>2</w:t>
      </w:r>
      <w:r w:rsidRPr="00E36EBB">
        <w:rPr>
          <w:rFonts w:hint="eastAsia"/>
        </w:rPr>
        <w:t>、主要技术内容确定的</w:t>
      </w:r>
      <w:r w:rsidRPr="00E36EBB">
        <w:t>论据</w:t>
      </w:r>
      <w:bookmarkEnd w:id="6"/>
    </w:p>
    <w:p w14:paraId="11DF3FD9"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w:t>
      </w:r>
      <w:r w:rsidRPr="00E36EBB">
        <w:rPr>
          <w:rFonts w:hint="eastAsia"/>
          <w:sz w:val="24"/>
          <w:szCs w:val="24"/>
        </w:rPr>
        <w:t>1</w:t>
      </w:r>
      <w:r w:rsidRPr="00E36EBB">
        <w:rPr>
          <w:rFonts w:hint="eastAsia"/>
          <w:sz w:val="24"/>
          <w:szCs w:val="24"/>
        </w:rPr>
        <w:t>）适用范围</w:t>
      </w:r>
    </w:p>
    <w:p w14:paraId="3CA12BDE"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本标准主要是基于在黑龙江省进行的多年大田试验结果所制定的。本文件规定了黑土区玉米轮作黑麦草与白三叶混播的术语与定义</w:t>
      </w:r>
      <w:r w:rsidRPr="00E36EBB">
        <w:rPr>
          <w:rFonts w:hAnsi="宋体" w:hint="eastAsia"/>
          <w:sz w:val="24"/>
          <w:szCs w:val="24"/>
        </w:rPr>
        <w:t>，</w:t>
      </w:r>
      <w:r w:rsidRPr="00E36EBB">
        <w:rPr>
          <w:rFonts w:hint="eastAsia"/>
          <w:sz w:val="24"/>
          <w:szCs w:val="24"/>
        </w:rPr>
        <w:t>轮作设计、品种选择、栽培管理、田间管理、病虫害防治、收获、生产档案</w:t>
      </w:r>
      <w:r w:rsidRPr="00E36EBB">
        <w:rPr>
          <w:rFonts w:ascii="宋体" w:hAnsi="宋体" w:cs="宋体" w:hint="eastAsia"/>
          <w:sz w:val="24"/>
          <w:szCs w:val="24"/>
        </w:rPr>
        <w:t>具体操作要求。</w:t>
      </w:r>
    </w:p>
    <w:p w14:paraId="0E1CBACB" w14:textId="77777777" w:rsidR="00440305" w:rsidRPr="00E36EBB" w:rsidRDefault="00440305" w:rsidP="00E36EBB">
      <w:pPr>
        <w:spacing w:line="360" w:lineRule="auto"/>
        <w:ind w:firstLineChars="200" w:firstLine="480"/>
        <w:jc w:val="left"/>
        <w:rPr>
          <w:rFonts w:ascii="宋体" w:hAnsi="宋体" w:cs="宋体" w:hint="eastAsia"/>
          <w:sz w:val="24"/>
          <w:szCs w:val="24"/>
        </w:rPr>
      </w:pPr>
      <w:r w:rsidRPr="00E36EBB">
        <w:rPr>
          <w:rFonts w:ascii="宋体" w:hAnsi="宋体" w:cs="宋体" w:hint="eastAsia"/>
          <w:sz w:val="24"/>
          <w:szCs w:val="24"/>
        </w:rPr>
        <w:t>本文件适用于黑土区华南地区冬闲田饲用小麦的种植生产。</w:t>
      </w:r>
    </w:p>
    <w:p w14:paraId="7F36BABC"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w:t>
      </w:r>
      <w:r w:rsidRPr="00E36EBB">
        <w:rPr>
          <w:rFonts w:hint="eastAsia"/>
          <w:sz w:val="24"/>
          <w:szCs w:val="24"/>
        </w:rPr>
        <w:t>2</w:t>
      </w:r>
      <w:r w:rsidRPr="00E36EBB">
        <w:rPr>
          <w:rFonts w:hint="eastAsia"/>
          <w:sz w:val="24"/>
          <w:szCs w:val="24"/>
        </w:rPr>
        <w:t>）规范性引用文件</w:t>
      </w:r>
    </w:p>
    <w:p w14:paraId="71A6B8F4" w14:textId="77777777" w:rsidR="00440305" w:rsidRPr="00E36EBB" w:rsidRDefault="00440305" w:rsidP="00E36EBB">
      <w:pPr>
        <w:spacing w:line="360" w:lineRule="auto"/>
        <w:ind w:firstLineChars="200" w:firstLine="480"/>
        <w:jc w:val="left"/>
        <w:rPr>
          <w:rFonts w:ascii="宋体" w:hAnsi="宋体" w:cs="宋体" w:hint="eastAsia"/>
          <w:sz w:val="24"/>
          <w:szCs w:val="24"/>
        </w:rPr>
      </w:pPr>
      <w:r w:rsidRPr="00E36EBB">
        <w:rPr>
          <w:rFonts w:ascii="宋体" w:hAnsi="宋体" w:cs="宋体" w:hint="eastAsia"/>
          <w:sz w:val="24"/>
          <w:szCs w:val="24"/>
        </w:rPr>
        <w:t>本标准制定时，参照了GB 6141豆科草种子质量分级、GB 6142禾本科草种子质量分级、</w:t>
      </w:r>
      <w:r w:rsidRPr="00E36EBB">
        <w:rPr>
          <w:rFonts w:ascii="宋体" w:hAnsi="宋体" w:cs="宋体" w:hint="eastAsia"/>
          <w:kern w:val="0"/>
          <w:sz w:val="24"/>
          <w:szCs w:val="24"/>
        </w:rPr>
        <w:t>GB 5084 农田灌溉水质标准、GB 8321农药合理使用准则、NY/T 496 肥料合理使用准则通则。</w:t>
      </w:r>
    </w:p>
    <w:p w14:paraId="24124FD2"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w:t>
      </w:r>
      <w:r w:rsidRPr="00E36EBB">
        <w:rPr>
          <w:rFonts w:hint="eastAsia"/>
          <w:sz w:val="24"/>
          <w:szCs w:val="24"/>
        </w:rPr>
        <w:t>3</w:t>
      </w:r>
      <w:r w:rsidRPr="00E36EBB">
        <w:rPr>
          <w:rFonts w:hint="eastAsia"/>
          <w:sz w:val="24"/>
          <w:szCs w:val="24"/>
        </w:rPr>
        <w:t>）术语与定义</w:t>
      </w:r>
    </w:p>
    <w:p w14:paraId="6D8CE368"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本标准中出现的术语和定义依据国内外相关文献资料，包括著作、专著、已发表的论文、各级标准等。同时结合标准起草组研究应用实践经验，最后经参编人员讨论确定了本标准的术语为“轮作”，并给出相应定义。</w:t>
      </w:r>
    </w:p>
    <w:p w14:paraId="50FD0EDB"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w:t>
      </w:r>
      <w:r w:rsidRPr="00E36EBB">
        <w:rPr>
          <w:rFonts w:hint="eastAsia"/>
          <w:sz w:val="24"/>
          <w:szCs w:val="24"/>
        </w:rPr>
        <w:t>4</w:t>
      </w:r>
      <w:r w:rsidRPr="00E36EBB">
        <w:rPr>
          <w:rFonts w:hint="eastAsia"/>
          <w:sz w:val="24"/>
          <w:szCs w:val="24"/>
        </w:rPr>
        <w:t>）主要技术指标确定的依据</w:t>
      </w:r>
    </w:p>
    <w:p w14:paraId="172FCDFD" w14:textId="77777777" w:rsidR="00440305" w:rsidRPr="00E36EBB" w:rsidRDefault="00440305" w:rsidP="00E36EBB">
      <w:pPr>
        <w:spacing w:line="360" w:lineRule="auto"/>
        <w:ind w:firstLineChars="200" w:firstLine="480"/>
        <w:jc w:val="left"/>
        <w:rPr>
          <w:sz w:val="24"/>
          <w:szCs w:val="24"/>
        </w:rPr>
      </w:pPr>
      <w:r w:rsidRPr="00E36EBB">
        <w:rPr>
          <w:rFonts w:hint="eastAsia"/>
          <w:sz w:val="24"/>
          <w:szCs w:val="24"/>
        </w:rPr>
        <w:t>本技术规程主要起草单位黑龙江省农业科学院草业研究所十二五期间</w:t>
      </w:r>
      <w:r w:rsidRPr="00E36EBB">
        <w:rPr>
          <w:sz w:val="24"/>
          <w:szCs w:val="24"/>
        </w:rPr>
        <w:t>开展</w:t>
      </w:r>
      <w:r w:rsidRPr="00E36EBB">
        <w:rPr>
          <w:rFonts w:hint="eastAsia"/>
          <w:sz w:val="24"/>
          <w:szCs w:val="24"/>
        </w:rPr>
        <w:t>粮饲轮作种植研究，</w:t>
      </w:r>
      <w:r w:rsidRPr="00E36EBB">
        <w:rPr>
          <w:sz w:val="24"/>
          <w:szCs w:val="24"/>
        </w:rPr>
        <w:t>先后承担</w:t>
      </w:r>
      <w:r w:rsidRPr="00E36EBB">
        <w:rPr>
          <w:rFonts w:hint="eastAsia"/>
          <w:sz w:val="24"/>
          <w:szCs w:val="24"/>
        </w:rPr>
        <w:t>了国家科研项目及省级项目，参考的文献资料主要有：</w:t>
      </w:r>
    </w:p>
    <w:p w14:paraId="1FFE2201"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ascii="仿宋" w:eastAsia="仿宋" w:hAnsi="仿宋" w:hint="eastAsia"/>
          <w:sz w:val="24"/>
          <w:szCs w:val="24"/>
        </w:rPr>
        <w:t>Xueshan Wang,Mingming Guo,</w:t>
      </w:r>
      <w:r w:rsidRPr="00E36EBB">
        <w:rPr>
          <w:rFonts w:ascii="仿宋" w:eastAsia="仿宋" w:hAnsi="仿宋" w:hint="eastAsia"/>
          <w:b/>
          <w:bCs/>
          <w:sz w:val="24"/>
          <w:szCs w:val="24"/>
        </w:rPr>
        <w:t>Jielin Liu</w:t>
      </w:r>
      <w:r w:rsidRPr="00E36EBB">
        <w:rPr>
          <w:rFonts w:ascii="仿宋" w:eastAsia="仿宋" w:hAnsi="仿宋" w:hint="eastAsia"/>
          <w:b/>
          <w:bCs/>
          <w:sz w:val="24"/>
          <w:szCs w:val="24"/>
          <w:vertAlign w:val="superscript"/>
        </w:rPr>
        <w:t>*</w:t>
      </w:r>
      <w:r w:rsidRPr="00E36EBB">
        <w:rPr>
          <w:rFonts w:ascii="仿宋" w:eastAsia="仿宋" w:hAnsi="仿宋" w:hint="eastAsia"/>
          <w:sz w:val="24"/>
          <w:szCs w:val="24"/>
        </w:rPr>
        <w:t>，Xiaolei Kong.</w:t>
      </w:r>
      <w:r w:rsidRPr="00E36EBB">
        <w:rPr>
          <w:rFonts w:ascii="仿宋" w:eastAsia="仿宋" w:hAnsi="仿宋"/>
          <w:sz w:val="24"/>
          <w:szCs w:val="24"/>
        </w:rPr>
        <w:t>Soil Anti-Scourabilities of Four Typical Herbaceous Plants and Their Responses to Soil Properties, Root Traits and Slope Position in Northeast China</w:t>
      </w:r>
      <w:r w:rsidRPr="00E36EBB">
        <w:rPr>
          <w:rFonts w:ascii="仿宋" w:eastAsia="仿宋" w:hAnsi="仿宋" w:hint="eastAsia"/>
          <w:sz w:val="24"/>
          <w:szCs w:val="24"/>
        </w:rPr>
        <w:t>.SUSTAINABILITY, 2022.</w:t>
      </w:r>
    </w:p>
    <w:p w14:paraId="736B3197"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李楠</w:t>
      </w:r>
      <w:r w:rsidRPr="00E36EBB">
        <w:rPr>
          <w:rFonts w:hint="eastAsia"/>
          <w:sz w:val="24"/>
          <w:szCs w:val="24"/>
        </w:rPr>
        <w:t>,</w:t>
      </w:r>
      <w:r w:rsidRPr="00E36EBB">
        <w:rPr>
          <w:rFonts w:hint="eastAsia"/>
          <w:sz w:val="24"/>
          <w:szCs w:val="24"/>
        </w:rPr>
        <w:t>李强</w:t>
      </w:r>
      <w:r w:rsidRPr="00E36EBB">
        <w:rPr>
          <w:rFonts w:hint="eastAsia"/>
          <w:sz w:val="24"/>
          <w:szCs w:val="24"/>
        </w:rPr>
        <w:t>,</w:t>
      </w:r>
      <w:r w:rsidRPr="00E36EBB">
        <w:rPr>
          <w:rFonts w:hint="eastAsia"/>
          <w:sz w:val="24"/>
          <w:szCs w:val="24"/>
        </w:rPr>
        <w:t>刘春光</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粮</w:t>
      </w:r>
      <w:r w:rsidRPr="00E36EBB">
        <w:rPr>
          <w:rFonts w:hint="eastAsia"/>
          <w:sz w:val="24"/>
          <w:szCs w:val="24"/>
        </w:rPr>
        <w:t>-</w:t>
      </w:r>
      <w:r w:rsidRPr="00E36EBB">
        <w:rPr>
          <w:rFonts w:hint="eastAsia"/>
          <w:sz w:val="24"/>
          <w:szCs w:val="24"/>
        </w:rPr>
        <w:t>草轮作对吉林省西部盐渍化土壤的改良效果</w:t>
      </w:r>
      <w:r w:rsidRPr="00E36EBB">
        <w:rPr>
          <w:rFonts w:hint="eastAsia"/>
          <w:sz w:val="24"/>
          <w:szCs w:val="24"/>
        </w:rPr>
        <w:t>[J].</w:t>
      </w:r>
      <w:r w:rsidRPr="00E36EBB">
        <w:rPr>
          <w:rFonts w:hint="eastAsia"/>
          <w:sz w:val="24"/>
          <w:szCs w:val="24"/>
        </w:rPr>
        <w:t>东北农业科学</w:t>
      </w:r>
      <w:r w:rsidRPr="00E36EBB">
        <w:rPr>
          <w:rFonts w:hint="eastAsia"/>
          <w:sz w:val="24"/>
          <w:szCs w:val="24"/>
        </w:rPr>
        <w:t>,2019,44(05):38-42.</w:t>
      </w:r>
    </w:p>
    <w:p w14:paraId="725A54A8"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苑广源</w:t>
      </w:r>
      <w:r w:rsidRPr="00E36EBB">
        <w:rPr>
          <w:rFonts w:hint="eastAsia"/>
          <w:sz w:val="24"/>
          <w:szCs w:val="24"/>
        </w:rPr>
        <w:t>,MUNYAMPIRWA Tito,</w:t>
      </w:r>
      <w:r w:rsidRPr="00E36EBB">
        <w:rPr>
          <w:rFonts w:hint="eastAsia"/>
          <w:sz w:val="24"/>
          <w:szCs w:val="24"/>
        </w:rPr>
        <w:t>毛丽萍</w:t>
      </w:r>
      <w:r w:rsidRPr="00E36EBB">
        <w:rPr>
          <w:rFonts w:hint="eastAsia"/>
          <w:sz w:val="24"/>
          <w:szCs w:val="24"/>
        </w:rPr>
        <w:t>,</w:t>
      </w:r>
      <w:r w:rsidRPr="00E36EBB">
        <w:rPr>
          <w:rFonts w:hint="eastAsia"/>
          <w:sz w:val="24"/>
          <w:szCs w:val="24"/>
        </w:rPr>
        <w:t>等</w:t>
      </w:r>
      <w:r w:rsidRPr="00E36EBB">
        <w:rPr>
          <w:rFonts w:hint="eastAsia"/>
          <w:sz w:val="24"/>
          <w:szCs w:val="24"/>
        </w:rPr>
        <w:t>.16</w:t>
      </w:r>
      <w:r w:rsidRPr="00E36EBB">
        <w:rPr>
          <w:rFonts w:hint="eastAsia"/>
          <w:sz w:val="24"/>
          <w:szCs w:val="24"/>
        </w:rPr>
        <w:t>年保护性耕作措施对粮草轮作系统土壤碳库及稳定性的影响</w:t>
      </w:r>
      <w:r w:rsidRPr="00E36EBB">
        <w:rPr>
          <w:rFonts w:hint="eastAsia"/>
          <w:sz w:val="24"/>
          <w:szCs w:val="24"/>
        </w:rPr>
        <w:t>[J].</w:t>
      </w:r>
      <w:r w:rsidRPr="00E36EBB">
        <w:rPr>
          <w:rFonts w:hint="eastAsia"/>
          <w:sz w:val="24"/>
          <w:szCs w:val="24"/>
        </w:rPr>
        <w:t>水土保持学报</w:t>
      </w:r>
      <w:r w:rsidRPr="00E36EBB">
        <w:rPr>
          <w:rFonts w:hint="eastAsia"/>
          <w:sz w:val="24"/>
          <w:szCs w:val="24"/>
        </w:rPr>
        <w:t>,2021,35(03):252-258+267.</w:t>
      </w:r>
    </w:p>
    <w:p w14:paraId="0E6E92F7"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张荟荟</w:t>
      </w:r>
      <w:r w:rsidRPr="00E36EBB">
        <w:rPr>
          <w:rFonts w:hint="eastAsia"/>
          <w:sz w:val="24"/>
          <w:szCs w:val="24"/>
        </w:rPr>
        <w:t>,</w:t>
      </w:r>
      <w:r w:rsidRPr="00E36EBB">
        <w:rPr>
          <w:rFonts w:hint="eastAsia"/>
          <w:sz w:val="24"/>
          <w:szCs w:val="24"/>
        </w:rPr>
        <w:t>张学洲</w:t>
      </w:r>
      <w:r w:rsidRPr="00E36EBB">
        <w:rPr>
          <w:rFonts w:hint="eastAsia"/>
          <w:sz w:val="24"/>
          <w:szCs w:val="24"/>
        </w:rPr>
        <w:t>,</w:t>
      </w:r>
      <w:r w:rsidRPr="00E36EBB">
        <w:rPr>
          <w:rFonts w:hint="eastAsia"/>
          <w:sz w:val="24"/>
          <w:szCs w:val="24"/>
        </w:rPr>
        <w:t>阿斯娅·曼力克</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北疆平原荒漠区粮草轮作模式经济效益分析</w:t>
      </w:r>
      <w:r w:rsidRPr="00E36EBB">
        <w:rPr>
          <w:rFonts w:hint="eastAsia"/>
          <w:sz w:val="24"/>
          <w:szCs w:val="24"/>
        </w:rPr>
        <w:t>[J].</w:t>
      </w:r>
      <w:r w:rsidRPr="00E36EBB">
        <w:rPr>
          <w:rFonts w:hint="eastAsia"/>
          <w:sz w:val="24"/>
          <w:szCs w:val="24"/>
        </w:rPr>
        <w:t>草地学报</w:t>
      </w:r>
      <w:r w:rsidRPr="00E36EBB">
        <w:rPr>
          <w:rFonts w:hint="eastAsia"/>
          <w:sz w:val="24"/>
          <w:szCs w:val="24"/>
        </w:rPr>
        <w:t>,2021,29(05):1107-1112.</w:t>
      </w:r>
    </w:p>
    <w:p w14:paraId="4308D0CB"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徐丽君</w:t>
      </w:r>
      <w:r w:rsidRPr="00E36EBB">
        <w:rPr>
          <w:rFonts w:hint="eastAsia"/>
          <w:sz w:val="24"/>
          <w:szCs w:val="24"/>
        </w:rPr>
        <w:t>,</w:t>
      </w:r>
      <w:r w:rsidRPr="00E36EBB">
        <w:rPr>
          <w:rFonts w:hint="eastAsia"/>
          <w:sz w:val="24"/>
          <w:szCs w:val="24"/>
        </w:rPr>
        <w:t>柳茜</w:t>
      </w:r>
      <w:r w:rsidRPr="00E36EBB">
        <w:rPr>
          <w:rFonts w:hint="eastAsia"/>
          <w:sz w:val="24"/>
          <w:szCs w:val="24"/>
        </w:rPr>
        <w:t>,</w:t>
      </w:r>
      <w:r w:rsidRPr="00E36EBB">
        <w:rPr>
          <w:rFonts w:hint="eastAsia"/>
          <w:sz w:val="24"/>
          <w:szCs w:val="24"/>
        </w:rPr>
        <w:t>肖石良</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乌蒙山区春闲田粮草轮作燕麦的生产性能</w:t>
      </w:r>
      <w:r w:rsidRPr="00E36EBB">
        <w:rPr>
          <w:rFonts w:hint="eastAsia"/>
          <w:sz w:val="24"/>
          <w:szCs w:val="24"/>
        </w:rPr>
        <w:t>[J].</w:t>
      </w:r>
      <w:r w:rsidRPr="00E36EBB">
        <w:rPr>
          <w:rFonts w:hint="eastAsia"/>
          <w:sz w:val="24"/>
          <w:szCs w:val="24"/>
        </w:rPr>
        <w:t>草业科学</w:t>
      </w:r>
      <w:r w:rsidRPr="00E36EBB">
        <w:rPr>
          <w:rFonts w:hint="eastAsia"/>
          <w:sz w:val="24"/>
          <w:szCs w:val="24"/>
        </w:rPr>
        <w:t>,2020,37(03):514-521.</w:t>
      </w:r>
    </w:p>
    <w:p w14:paraId="443EC507"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梁志婷</w:t>
      </w:r>
      <w:r w:rsidRPr="00E36EBB">
        <w:rPr>
          <w:rFonts w:hint="eastAsia"/>
          <w:sz w:val="24"/>
          <w:szCs w:val="24"/>
        </w:rPr>
        <w:t>.</w:t>
      </w:r>
      <w:r w:rsidRPr="00E36EBB">
        <w:rPr>
          <w:rFonts w:hint="eastAsia"/>
          <w:sz w:val="24"/>
          <w:szCs w:val="24"/>
        </w:rPr>
        <w:t>陇东旱塬不同粮草轮作模式下土壤微生物群落特征及土壤养分的研究</w:t>
      </w:r>
      <w:r w:rsidRPr="00E36EBB">
        <w:rPr>
          <w:rFonts w:hint="eastAsia"/>
          <w:sz w:val="24"/>
          <w:szCs w:val="24"/>
        </w:rPr>
        <w:t>[D].</w:t>
      </w:r>
      <w:r w:rsidRPr="00E36EBB">
        <w:rPr>
          <w:rFonts w:hint="eastAsia"/>
          <w:sz w:val="24"/>
          <w:szCs w:val="24"/>
        </w:rPr>
        <w:t>兰州大学</w:t>
      </w:r>
      <w:r w:rsidRPr="00E36EBB">
        <w:rPr>
          <w:rFonts w:hint="eastAsia"/>
          <w:sz w:val="24"/>
          <w:szCs w:val="24"/>
        </w:rPr>
        <w:t>,2018.</w:t>
      </w:r>
    </w:p>
    <w:p w14:paraId="371969BF"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谢泽宇</w:t>
      </w:r>
      <w:r w:rsidRPr="00E36EBB">
        <w:rPr>
          <w:rFonts w:hint="eastAsia"/>
          <w:sz w:val="24"/>
          <w:szCs w:val="24"/>
        </w:rPr>
        <w:t>,</w:t>
      </w:r>
      <w:r w:rsidRPr="00E36EBB">
        <w:rPr>
          <w:rFonts w:hint="eastAsia"/>
          <w:sz w:val="24"/>
          <w:szCs w:val="24"/>
        </w:rPr>
        <w:t>罗珠珠</w:t>
      </w:r>
      <w:r w:rsidRPr="00E36EBB">
        <w:rPr>
          <w:rFonts w:hint="eastAsia"/>
          <w:sz w:val="24"/>
          <w:szCs w:val="24"/>
        </w:rPr>
        <w:t>,</w:t>
      </w:r>
      <w:r w:rsidRPr="00E36EBB">
        <w:rPr>
          <w:rFonts w:hint="eastAsia"/>
          <w:sz w:val="24"/>
          <w:szCs w:val="24"/>
        </w:rPr>
        <w:t>李玲玲</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黄土高原不同粮草种植模式土壤碳氮及土壤酶活性</w:t>
      </w:r>
      <w:r w:rsidRPr="00E36EBB">
        <w:rPr>
          <w:rFonts w:hint="eastAsia"/>
          <w:sz w:val="24"/>
          <w:szCs w:val="24"/>
        </w:rPr>
        <w:t>[J].</w:t>
      </w:r>
      <w:r w:rsidRPr="00E36EBB">
        <w:rPr>
          <w:rFonts w:hint="eastAsia"/>
          <w:sz w:val="24"/>
          <w:szCs w:val="24"/>
        </w:rPr>
        <w:t>草业科学</w:t>
      </w:r>
      <w:r w:rsidRPr="00E36EBB">
        <w:rPr>
          <w:rFonts w:hint="eastAsia"/>
          <w:sz w:val="24"/>
          <w:szCs w:val="24"/>
        </w:rPr>
        <w:t>,2017,34(11):2191-2199.</w:t>
      </w:r>
    </w:p>
    <w:p w14:paraId="64FA93CF"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王美艳</w:t>
      </w:r>
      <w:r w:rsidRPr="00E36EBB">
        <w:rPr>
          <w:rFonts w:hint="eastAsia"/>
          <w:sz w:val="24"/>
          <w:szCs w:val="24"/>
        </w:rPr>
        <w:t>,</w:t>
      </w:r>
      <w:r w:rsidRPr="00E36EBB">
        <w:rPr>
          <w:rFonts w:hint="eastAsia"/>
          <w:sz w:val="24"/>
          <w:szCs w:val="24"/>
        </w:rPr>
        <w:t>李军</w:t>
      </w:r>
      <w:r w:rsidRPr="00E36EBB">
        <w:rPr>
          <w:rFonts w:hint="eastAsia"/>
          <w:sz w:val="24"/>
          <w:szCs w:val="24"/>
        </w:rPr>
        <w:t>,</w:t>
      </w:r>
      <w:r w:rsidRPr="00E36EBB">
        <w:rPr>
          <w:rFonts w:hint="eastAsia"/>
          <w:sz w:val="24"/>
          <w:szCs w:val="24"/>
        </w:rPr>
        <w:t>孙剑</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黄土高原半干旱区苜蓿草地土壤干燥化特征与粮草轮作土壤水分恢复效应</w:t>
      </w:r>
      <w:r w:rsidRPr="00E36EBB">
        <w:rPr>
          <w:rFonts w:hint="eastAsia"/>
          <w:sz w:val="24"/>
          <w:szCs w:val="24"/>
        </w:rPr>
        <w:t>[J].</w:t>
      </w:r>
      <w:r w:rsidRPr="00E36EBB">
        <w:rPr>
          <w:rFonts w:hint="eastAsia"/>
          <w:sz w:val="24"/>
          <w:szCs w:val="24"/>
        </w:rPr>
        <w:t>生态学报</w:t>
      </w:r>
      <w:r w:rsidRPr="00E36EBB">
        <w:rPr>
          <w:rFonts w:hint="eastAsia"/>
          <w:sz w:val="24"/>
          <w:szCs w:val="24"/>
        </w:rPr>
        <w:t>,2009,29(08):4526-4534.</w:t>
      </w:r>
    </w:p>
    <w:p w14:paraId="7C055AB7"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刘沛松</w:t>
      </w:r>
      <w:r w:rsidRPr="00E36EBB">
        <w:rPr>
          <w:rFonts w:hint="eastAsia"/>
          <w:sz w:val="24"/>
          <w:szCs w:val="24"/>
        </w:rPr>
        <w:t>,</w:t>
      </w:r>
      <w:r w:rsidRPr="00E36EBB">
        <w:rPr>
          <w:rFonts w:hint="eastAsia"/>
          <w:sz w:val="24"/>
          <w:szCs w:val="24"/>
        </w:rPr>
        <w:t>李军</w:t>
      </w:r>
      <w:r w:rsidRPr="00E36EBB">
        <w:rPr>
          <w:rFonts w:hint="eastAsia"/>
          <w:sz w:val="24"/>
          <w:szCs w:val="24"/>
        </w:rPr>
        <w:t>,</w:t>
      </w:r>
      <w:r w:rsidRPr="00E36EBB">
        <w:rPr>
          <w:rFonts w:hint="eastAsia"/>
          <w:sz w:val="24"/>
          <w:szCs w:val="24"/>
        </w:rPr>
        <w:t>贾志宽</w:t>
      </w:r>
      <w:r w:rsidRPr="00E36EBB">
        <w:rPr>
          <w:rFonts w:hint="eastAsia"/>
          <w:sz w:val="24"/>
          <w:szCs w:val="24"/>
        </w:rPr>
        <w:t>,</w:t>
      </w:r>
      <w:r w:rsidRPr="00E36EBB">
        <w:rPr>
          <w:rFonts w:hint="eastAsia"/>
          <w:sz w:val="24"/>
          <w:szCs w:val="24"/>
        </w:rPr>
        <w:t>等</w:t>
      </w:r>
      <w:r w:rsidRPr="00E36EBB">
        <w:rPr>
          <w:rFonts w:hint="eastAsia"/>
          <w:sz w:val="24"/>
          <w:szCs w:val="24"/>
        </w:rPr>
        <w:t>.</w:t>
      </w:r>
      <w:r w:rsidRPr="00E36EBB">
        <w:rPr>
          <w:rFonts w:hint="eastAsia"/>
          <w:sz w:val="24"/>
          <w:szCs w:val="24"/>
        </w:rPr>
        <w:t>宁南旱区苜蓿草地土壤水分消耗规律及粮草轮作土壤水分恢复效应研究</w:t>
      </w:r>
      <w:r w:rsidRPr="00E36EBB">
        <w:rPr>
          <w:rFonts w:hint="eastAsia"/>
          <w:sz w:val="24"/>
          <w:szCs w:val="24"/>
        </w:rPr>
        <w:t>[J].</w:t>
      </w:r>
      <w:r w:rsidRPr="00E36EBB">
        <w:rPr>
          <w:rFonts w:hint="eastAsia"/>
          <w:sz w:val="24"/>
          <w:szCs w:val="24"/>
        </w:rPr>
        <w:t>中国农学通报</w:t>
      </w:r>
      <w:r w:rsidRPr="00E36EBB">
        <w:rPr>
          <w:rFonts w:hint="eastAsia"/>
          <w:sz w:val="24"/>
          <w:szCs w:val="24"/>
        </w:rPr>
        <w:t>,2005,(09):270-274.</w:t>
      </w:r>
    </w:p>
    <w:p w14:paraId="74761B9C" w14:textId="77777777" w:rsidR="00440305" w:rsidRPr="00E36EBB" w:rsidRDefault="00440305" w:rsidP="00E36EBB">
      <w:pPr>
        <w:numPr>
          <w:ilvl w:val="0"/>
          <w:numId w:val="2"/>
        </w:numPr>
        <w:spacing w:line="360" w:lineRule="auto"/>
        <w:ind w:firstLineChars="200" w:firstLine="480"/>
        <w:jc w:val="left"/>
        <w:rPr>
          <w:sz w:val="24"/>
          <w:szCs w:val="24"/>
        </w:rPr>
      </w:pPr>
      <w:r w:rsidRPr="00E36EBB">
        <w:rPr>
          <w:rFonts w:hint="eastAsia"/>
          <w:sz w:val="24"/>
          <w:szCs w:val="24"/>
        </w:rPr>
        <w:t>Guo, M.; Wang, W.; Shi, Q.; Chen, T.; Kang, H.; Li, J. An experimental study on the effects of grass root density on gully headcut erosion in the gully region of China0 s Loess Plateau. Land Degrad. Dev. 2019, 30, 2107</w:t>
      </w:r>
      <w:r w:rsidRPr="00E36EBB">
        <w:rPr>
          <w:rFonts w:hint="eastAsia"/>
          <w:sz w:val="24"/>
          <w:szCs w:val="24"/>
        </w:rPr>
        <w:t>–</w:t>
      </w:r>
      <w:r w:rsidRPr="00E36EBB">
        <w:rPr>
          <w:rFonts w:hint="eastAsia"/>
          <w:sz w:val="24"/>
          <w:szCs w:val="24"/>
        </w:rPr>
        <w:t xml:space="preserve">2125. </w:t>
      </w:r>
    </w:p>
    <w:p w14:paraId="720E16B2" w14:textId="77777777" w:rsidR="00440305" w:rsidRPr="00E36EBB" w:rsidRDefault="00440305" w:rsidP="00E36EBB">
      <w:pPr>
        <w:spacing w:line="360" w:lineRule="auto"/>
        <w:jc w:val="left"/>
        <w:rPr>
          <w:sz w:val="24"/>
          <w:szCs w:val="24"/>
        </w:rPr>
      </w:pPr>
      <w:r w:rsidRPr="00E36EBB">
        <w:rPr>
          <w:rFonts w:hint="eastAsia"/>
          <w:sz w:val="24"/>
          <w:szCs w:val="24"/>
        </w:rPr>
        <w:t xml:space="preserve">  </w:t>
      </w:r>
      <w:r w:rsidRPr="00E36EBB">
        <w:rPr>
          <w:rFonts w:hint="eastAsia"/>
          <w:sz w:val="24"/>
          <w:szCs w:val="24"/>
        </w:rPr>
        <w:t>参考地方标准：</w:t>
      </w:r>
    </w:p>
    <w:p w14:paraId="2189A194" w14:textId="77777777" w:rsidR="00440305" w:rsidRPr="00E36EBB" w:rsidRDefault="00440305" w:rsidP="00E36EBB">
      <w:pPr>
        <w:numPr>
          <w:ilvl w:val="0"/>
          <w:numId w:val="3"/>
        </w:numPr>
        <w:spacing w:line="360" w:lineRule="auto"/>
        <w:jc w:val="left"/>
        <w:rPr>
          <w:sz w:val="24"/>
          <w:szCs w:val="24"/>
        </w:rPr>
      </w:pPr>
      <w:r w:rsidRPr="00E36EBB">
        <w:rPr>
          <w:rFonts w:hint="eastAsia"/>
          <w:sz w:val="24"/>
          <w:szCs w:val="24"/>
        </w:rPr>
        <w:t>DB23/T3182</w:t>
      </w:r>
      <w:r w:rsidRPr="00E36EBB">
        <w:rPr>
          <w:rFonts w:hint="eastAsia"/>
          <w:sz w:val="24"/>
          <w:szCs w:val="24"/>
        </w:rPr>
        <w:t>—</w:t>
      </w:r>
      <w:r w:rsidRPr="00E36EBB">
        <w:rPr>
          <w:rFonts w:hint="eastAsia"/>
          <w:sz w:val="24"/>
          <w:szCs w:val="24"/>
        </w:rPr>
        <w:t>2022</w:t>
      </w:r>
      <w:r w:rsidRPr="00E36EBB">
        <w:rPr>
          <w:rFonts w:hint="eastAsia"/>
          <w:sz w:val="24"/>
          <w:szCs w:val="24"/>
        </w:rPr>
        <w:t>饲用燕麦与紫花苜蓿间作技术规程；</w:t>
      </w:r>
    </w:p>
    <w:p w14:paraId="3808686F" w14:textId="77777777" w:rsidR="00440305" w:rsidRPr="00E36EBB" w:rsidRDefault="00440305" w:rsidP="00E36EBB">
      <w:pPr>
        <w:numPr>
          <w:ilvl w:val="0"/>
          <w:numId w:val="3"/>
        </w:numPr>
        <w:spacing w:line="360" w:lineRule="auto"/>
        <w:jc w:val="left"/>
        <w:rPr>
          <w:sz w:val="24"/>
          <w:szCs w:val="24"/>
        </w:rPr>
      </w:pPr>
      <w:r w:rsidRPr="00E36EBB">
        <w:rPr>
          <w:rFonts w:hint="eastAsia"/>
          <w:sz w:val="24"/>
          <w:szCs w:val="24"/>
        </w:rPr>
        <w:t xml:space="preserve">DB51/T671-2007 </w:t>
      </w:r>
      <w:r w:rsidRPr="00E36EBB">
        <w:rPr>
          <w:rFonts w:hint="eastAsia"/>
          <w:sz w:val="24"/>
          <w:szCs w:val="24"/>
        </w:rPr>
        <w:t>粮</w:t>
      </w:r>
      <w:r w:rsidRPr="00E36EBB">
        <w:rPr>
          <w:rFonts w:hint="eastAsia"/>
          <w:sz w:val="24"/>
          <w:szCs w:val="24"/>
        </w:rPr>
        <w:t>-</w:t>
      </w:r>
      <w:r w:rsidRPr="00E36EBB">
        <w:rPr>
          <w:rFonts w:hint="eastAsia"/>
          <w:sz w:val="24"/>
          <w:szCs w:val="24"/>
        </w:rPr>
        <w:t>草轮作牧草种植技术规程；</w:t>
      </w:r>
    </w:p>
    <w:p w14:paraId="359B309C" w14:textId="77777777" w:rsidR="00440305" w:rsidRPr="00E36EBB" w:rsidRDefault="00440305" w:rsidP="00E36EBB">
      <w:pPr>
        <w:numPr>
          <w:ilvl w:val="0"/>
          <w:numId w:val="3"/>
        </w:numPr>
        <w:spacing w:line="360" w:lineRule="auto"/>
        <w:jc w:val="left"/>
        <w:rPr>
          <w:rFonts w:ascii="宋体" w:hAnsi="宋体" w:cs="宋体" w:hint="eastAsia"/>
          <w:bCs/>
          <w:sz w:val="24"/>
          <w:szCs w:val="24"/>
        </w:rPr>
      </w:pPr>
      <w:r w:rsidRPr="00E36EBB">
        <w:rPr>
          <w:sz w:val="24"/>
          <w:szCs w:val="24"/>
        </w:rPr>
        <w:t xml:space="preserve">DB37/T 1603-2010 </w:t>
      </w:r>
      <w:r w:rsidRPr="00E36EBB">
        <w:rPr>
          <w:sz w:val="24"/>
          <w:szCs w:val="24"/>
        </w:rPr>
        <w:t>粮食作物</w:t>
      </w:r>
      <w:r w:rsidRPr="00E36EBB">
        <w:rPr>
          <w:sz w:val="24"/>
          <w:szCs w:val="24"/>
        </w:rPr>
        <w:t>-</w:t>
      </w:r>
      <w:r w:rsidRPr="00E36EBB">
        <w:rPr>
          <w:sz w:val="24"/>
          <w:szCs w:val="24"/>
        </w:rPr>
        <w:t>饲料作物轮作技术规程</w:t>
      </w:r>
      <w:r w:rsidRPr="00E36EBB">
        <w:rPr>
          <w:rFonts w:hint="eastAsia"/>
          <w:sz w:val="24"/>
          <w:szCs w:val="24"/>
        </w:rPr>
        <w:t>。</w:t>
      </w:r>
    </w:p>
    <w:p w14:paraId="1DA492B0" w14:textId="77777777" w:rsidR="00440305" w:rsidRPr="00E36EBB" w:rsidRDefault="00440305" w:rsidP="00E36EBB">
      <w:pPr>
        <w:snapToGrid w:val="0"/>
        <w:spacing w:line="360" w:lineRule="auto"/>
        <w:ind w:firstLineChars="200" w:firstLine="480"/>
        <w:rPr>
          <w:sz w:val="24"/>
          <w:szCs w:val="24"/>
        </w:rPr>
      </w:pPr>
      <w:r w:rsidRPr="00E36EBB">
        <w:rPr>
          <w:rFonts w:hint="eastAsia"/>
          <w:sz w:val="24"/>
          <w:szCs w:val="24"/>
        </w:rPr>
        <w:t>编写组成员自十二五期间，在黑龙江省内进行玉米轮作黑麦草与白叶三混播技术相关研究，系统研究了黑土区不同轮作模式生长特征、减流产流产沙特征、抗冲性特征、根系特征、土壤属性特征等，基于以上充分的试验数据，制定了本技术规程，本标准的技术内容遵循了科学性和实用性的原则，以相关研究为基础，整合国内外相关文献及标准，提出了主要黑土区玉米轮作黑麦草与白叶三混播技术规程的相关指标。</w:t>
      </w:r>
    </w:p>
    <w:p w14:paraId="4D9C1E63" w14:textId="4FD72E65" w:rsidR="00440305" w:rsidRPr="00E36EBB" w:rsidRDefault="00E36EBB" w:rsidP="00E36EBB">
      <w:pPr>
        <w:pStyle w:val="1"/>
      </w:pPr>
      <w:bookmarkStart w:id="7" w:name="_Toc176458280"/>
      <w:r>
        <w:rPr>
          <w:rFonts w:hint="eastAsia"/>
        </w:rPr>
        <w:t>四、</w:t>
      </w:r>
      <w:r w:rsidR="00440305" w:rsidRPr="00E36EBB">
        <w:rPr>
          <w:rFonts w:hint="eastAsia"/>
        </w:rPr>
        <w:t>相关研究成果</w:t>
      </w:r>
      <w:bookmarkEnd w:id="7"/>
    </w:p>
    <w:p w14:paraId="79469B7F" w14:textId="77777777" w:rsidR="00440305" w:rsidRPr="00E36EBB" w:rsidRDefault="00440305" w:rsidP="00E36EBB">
      <w:pPr>
        <w:pStyle w:val="2"/>
        <w:rPr>
          <w:rFonts w:hint="eastAsia"/>
        </w:rPr>
      </w:pPr>
      <w:bookmarkStart w:id="8" w:name="_Toc176458281"/>
      <w:r w:rsidRPr="00E36EBB">
        <w:rPr>
          <w:rFonts w:hint="eastAsia"/>
        </w:rPr>
        <w:t>（</w:t>
      </w:r>
      <w:r w:rsidRPr="00E36EBB">
        <w:rPr>
          <w:rFonts w:hint="eastAsia"/>
        </w:rPr>
        <w:t>1</w:t>
      </w:r>
      <w:r w:rsidRPr="00E36EBB">
        <w:rPr>
          <w:rFonts w:hint="eastAsia"/>
        </w:rPr>
        <w:t>）不同轮作模式生长特征</w:t>
      </w:r>
      <w:bookmarkEnd w:id="8"/>
    </w:p>
    <w:p w14:paraId="24C847AE" w14:textId="77777777" w:rsidR="00440305" w:rsidRPr="00E36EBB" w:rsidRDefault="00440305" w:rsidP="00E36EBB">
      <w:pPr>
        <w:snapToGri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由图1可知，玉米及三种饲草均在6-8月快速生长而后趋于稳定，但各个模式间的生长状态也存在一定的差异。6月出苗期株高表现为玉米&gt;燕麦模式&gt;黑麦草模式&gt;高丹草模式。随着饲草的快速生长，高丹草生长速度较高与其他轮作植物，其株高最高达到285cm；后期株高表现为高丹草&gt;玉米&gt;黑麦草&gt;燕麦。由图1可知，生育期内各模式间的地上生物量存在显著性差异，通过方差显著性分析发现：8月，高丹草的地上生物量显著高于燕麦与箭筈豌豆和黑麦草与白三叶（P＜0.05），且黑麦草与白三叶显著高于燕麦与箭筈豌豆；9月，高丹草和玉米的地上生物量显著高于其他粮饲轮作模式（P＜0.05），但高丹草与玉米间差异不显著。</w:t>
      </w:r>
    </w:p>
    <w:p w14:paraId="3272B175" w14:textId="04F8AC80" w:rsidR="00440305" w:rsidRPr="00E36EBB" w:rsidRDefault="00440305" w:rsidP="00E36EBB">
      <w:pPr>
        <w:spacing w:line="360" w:lineRule="auto"/>
        <w:ind w:firstLineChars="200" w:firstLine="480"/>
        <w:rPr>
          <w:rFonts w:eastAsia="仿宋"/>
          <w:color w:val="000000"/>
          <w:sz w:val="24"/>
          <w:szCs w:val="24"/>
        </w:rPr>
      </w:pPr>
      <w:r w:rsidRPr="00E36EBB">
        <w:rPr>
          <w:rFonts w:eastAsia="仿宋"/>
          <w:noProof/>
          <w:color w:val="000000"/>
          <w:sz w:val="24"/>
          <w:szCs w:val="24"/>
        </w:rPr>
        <w:drawing>
          <wp:inline distT="0" distB="0" distL="0" distR="0" wp14:anchorId="41F02991" wp14:editId="45165647">
            <wp:extent cx="2313940" cy="1812925"/>
            <wp:effectExtent l="0" t="0" r="0" b="0"/>
            <wp:docPr id="17010412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a:extLst>
                        <a:ext uri="{28A0092B-C50C-407E-A947-70E740481C1C}">
                          <a14:useLocalDpi xmlns:a14="http://schemas.microsoft.com/office/drawing/2010/main" val="0"/>
                        </a:ext>
                      </a:extLst>
                    </a:blip>
                    <a:srcRect b="6052"/>
                    <a:stretch>
                      <a:fillRect/>
                    </a:stretch>
                  </pic:blipFill>
                  <pic:spPr bwMode="auto">
                    <a:xfrm>
                      <a:off x="0" y="0"/>
                      <a:ext cx="2313940" cy="1812925"/>
                    </a:xfrm>
                    <a:prstGeom prst="rect">
                      <a:avLst/>
                    </a:prstGeom>
                    <a:noFill/>
                    <a:ln>
                      <a:noFill/>
                    </a:ln>
                  </pic:spPr>
                </pic:pic>
              </a:graphicData>
            </a:graphic>
          </wp:inline>
        </w:drawing>
      </w:r>
      <w:r w:rsidRPr="00E36EBB">
        <w:rPr>
          <w:rFonts w:eastAsia="仿宋"/>
          <w:noProof/>
          <w:color w:val="000000"/>
          <w:sz w:val="24"/>
          <w:szCs w:val="24"/>
        </w:rPr>
        <w:drawing>
          <wp:inline distT="0" distB="0" distL="0" distR="0" wp14:anchorId="383B91C7" wp14:editId="7D39BB6A">
            <wp:extent cx="2329815" cy="1844675"/>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l="7451" t="6667" r="10588" b="8717"/>
                    <a:stretch>
                      <a:fillRect/>
                    </a:stretch>
                  </pic:blipFill>
                  <pic:spPr bwMode="auto">
                    <a:xfrm>
                      <a:off x="0" y="0"/>
                      <a:ext cx="2329815" cy="1844675"/>
                    </a:xfrm>
                    <a:prstGeom prst="rect">
                      <a:avLst/>
                    </a:prstGeom>
                    <a:noFill/>
                    <a:ln>
                      <a:noFill/>
                    </a:ln>
                  </pic:spPr>
                </pic:pic>
              </a:graphicData>
            </a:graphic>
          </wp:inline>
        </w:drawing>
      </w:r>
    </w:p>
    <w:p w14:paraId="750EA7C6" w14:textId="77777777" w:rsidR="00440305" w:rsidRPr="00E36EBB" w:rsidRDefault="00440305" w:rsidP="00E36EBB">
      <w:pPr>
        <w:spacing w:line="360" w:lineRule="auto"/>
        <w:jc w:val="center"/>
        <w:rPr>
          <w:rFonts w:eastAsia="仿宋"/>
          <w:bCs/>
          <w:color w:val="000000"/>
          <w:sz w:val="24"/>
          <w:szCs w:val="24"/>
        </w:rPr>
      </w:pPr>
      <w:r w:rsidRPr="00E36EBB">
        <w:rPr>
          <w:rFonts w:eastAsia="仿宋"/>
          <w:bCs/>
          <w:color w:val="000000"/>
          <w:sz w:val="24"/>
          <w:szCs w:val="24"/>
        </w:rPr>
        <w:t>图</w:t>
      </w:r>
      <w:r w:rsidRPr="00E36EBB">
        <w:rPr>
          <w:rFonts w:eastAsia="仿宋"/>
          <w:bCs/>
          <w:color w:val="000000"/>
          <w:sz w:val="24"/>
          <w:szCs w:val="24"/>
        </w:rPr>
        <w:t>1</w:t>
      </w:r>
      <w:r w:rsidRPr="00E36EBB">
        <w:rPr>
          <w:rFonts w:eastAsia="仿宋"/>
          <w:bCs/>
          <w:color w:val="000000"/>
          <w:sz w:val="24"/>
          <w:szCs w:val="24"/>
        </w:rPr>
        <w:t>株高及地上生物量动态特征</w:t>
      </w:r>
    </w:p>
    <w:p w14:paraId="4E4741B4" w14:textId="77777777" w:rsidR="00440305" w:rsidRPr="00E36EBB" w:rsidRDefault="00440305" w:rsidP="00E36EBB">
      <w:pPr>
        <w:spacing w:line="360" w:lineRule="auto"/>
        <w:ind w:firstLineChars="200" w:firstLine="482"/>
        <w:jc w:val="left"/>
        <w:rPr>
          <w:rFonts w:eastAsia="仿宋"/>
          <w:b/>
          <w:bCs/>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1EB06A16" w14:textId="77777777" w:rsidR="00440305" w:rsidRPr="00E36EBB" w:rsidRDefault="00440305" w:rsidP="00E36EBB">
      <w:pPr>
        <w:pStyle w:val="2"/>
        <w:rPr>
          <w:rFonts w:hint="eastAsia"/>
        </w:rPr>
      </w:pPr>
      <w:bookmarkStart w:id="9" w:name="_Toc176458282"/>
      <w:r w:rsidRPr="00E36EBB">
        <w:rPr>
          <w:rFonts w:hint="eastAsia"/>
        </w:rPr>
        <w:t>（</w:t>
      </w:r>
      <w:r w:rsidRPr="00E36EBB">
        <w:rPr>
          <w:rFonts w:hint="eastAsia"/>
        </w:rPr>
        <w:t>2</w:t>
      </w:r>
      <w:r w:rsidRPr="00E36EBB">
        <w:rPr>
          <w:rFonts w:hint="eastAsia"/>
        </w:rPr>
        <w:t>）不同轮作模式减流产流产沙特征（</w:t>
      </w:r>
      <w:r w:rsidRPr="00E36EBB">
        <w:rPr>
          <w:rFonts w:hint="eastAsia"/>
        </w:rPr>
        <w:t>2022</w:t>
      </w:r>
      <w:r w:rsidRPr="00E36EBB">
        <w:rPr>
          <w:rFonts w:hint="eastAsia"/>
        </w:rPr>
        <w:t>年径流小区）</w:t>
      </w:r>
      <w:bookmarkEnd w:id="9"/>
    </w:p>
    <w:p w14:paraId="70E2A3B5" w14:textId="77777777" w:rsidR="00440305" w:rsidRPr="00E36EBB" w:rsidRDefault="00440305" w:rsidP="00E36EBB">
      <w:pPr>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结果表明不同模式的径流深与产沙模数总体上保持相同的变化趋势，即黑麦草与白三叶混播&lt;高丹草&lt;玉米&lt;燕麦与箭筈豌豆混播。累积径流深和产沙模数最小的模式为黑麦草与白三叶混播模式，分别为9.76 mm和 0.94 t/hm2，且植被盖度达到90%以上。</w:t>
      </w:r>
    </w:p>
    <w:p w14:paraId="41AF4F2A" w14:textId="71CD3A58" w:rsidR="00440305" w:rsidRPr="00E36EBB" w:rsidRDefault="00440305" w:rsidP="00E36EBB">
      <w:pPr>
        <w:spacing w:line="360" w:lineRule="auto"/>
        <w:jc w:val="center"/>
        <w:rPr>
          <w:rFonts w:eastAsia="仿宋"/>
          <w:b/>
          <w:color w:val="000000"/>
          <w:sz w:val="24"/>
          <w:szCs w:val="24"/>
        </w:rPr>
      </w:pPr>
      <w:r w:rsidRPr="00E36EBB">
        <w:rPr>
          <w:rFonts w:eastAsia="仿宋"/>
          <w:b/>
          <w:noProof/>
          <w:color w:val="000000"/>
          <w:sz w:val="24"/>
          <w:szCs w:val="24"/>
        </w:rPr>
        <w:drawing>
          <wp:inline distT="0" distB="0" distL="0" distR="0" wp14:anchorId="5B17A379" wp14:editId="6E55EF60">
            <wp:extent cx="2313940" cy="1749425"/>
            <wp:effectExtent l="0" t="0" r="0" b="0"/>
            <wp:docPr id="13" name="图片 3" descr="产沙模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产沙模数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940" cy="1749425"/>
                    </a:xfrm>
                    <a:prstGeom prst="rect">
                      <a:avLst/>
                    </a:prstGeom>
                    <a:noFill/>
                    <a:ln>
                      <a:noFill/>
                    </a:ln>
                  </pic:spPr>
                </pic:pic>
              </a:graphicData>
            </a:graphic>
          </wp:inline>
        </w:drawing>
      </w:r>
      <w:r w:rsidRPr="00E36EBB">
        <w:rPr>
          <w:rFonts w:eastAsia="仿宋"/>
          <w:b/>
          <w:noProof/>
          <w:color w:val="000000"/>
          <w:sz w:val="24"/>
          <w:szCs w:val="24"/>
        </w:rPr>
        <w:drawing>
          <wp:inline distT="0" distB="0" distL="0" distR="0" wp14:anchorId="26F64631" wp14:editId="4584D34F">
            <wp:extent cx="2298065" cy="1788795"/>
            <wp:effectExtent l="0" t="0" r="0" b="0"/>
            <wp:docPr id="12" name="图片 4" descr="径流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径流量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065" cy="1788795"/>
                    </a:xfrm>
                    <a:prstGeom prst="rect">
                      <a:avLst/>
                    </a:prstGeom>
                    <a:noFill/>
                    <a:ln>
                      <a:noFill/>
                    </a:ln>
                  </pic:spPr>
                </pic:pic>
              </a:graphicData>
            </a:graphic>
          </wp:inline>
        </w:drawing>
      </w:r>
    </w:p>
    <w:p w14:paraId="7D7CD432" w14:textId="402E3B0B" w:rsidR="00440305" w:rsidRPr="00E36EBB" w:rsidRDefault="00440305" w:rsidP="00E36EBB">
      <w:pPr>
        <w:spacing w:line="360" w:lineRule="auto"/>
        <w:jc w:val="center"/>
        <w:rPr>
          <w:rFonts w:eastAsia="仿宋"/>
          <w:b/>
          <w:color w:val="000000"/>
          <w:sz w:val="24"/>
          <w:szCs w:val="24"/>
        </w:rPr>
      </w:pPr>
      <w:r w:rsidRPr="00E36EBB">
        <w:rPr>
          <w:rFonts w:eastAsia="仿宋"/>
          <w:b/>
          <w:noProof/>
          <w:color w:val="000000"/>
          <w:sz w:val="24"/>
          <w:szCs w:val="24"/>
        </w:rPr>
        <w:drawing>
          <wp:inline distT="0" distB="0" distL="0" distR="0" wp14:anchorId="50B0579F" wp14:editId="439181D2">
            <wp:extent cx="2647950" cy="1948180"/>
            <wp:effectExtent l="0" t="0" r="0" b="0"/>
            <wp:docPr id="11" name="图片 5" descr="盖度与产流产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盖度与产流产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948180"/>
                    </a:xfrm>
                    <a:prstGeom prst="rect">
                      <a:avLst/>
                    </a:prstGeom>
                    <a:noFill/>
                    <a:ln>
                      <a:noFill/>
                    </a:ln>
                  </pic:spPr>
                </pic:pic>
              </a:graphicData>
            </a:graphic>
          </wp:inline>
        </w:drawing>
      </w:r>
    </w:p>
    <w:p w14:paraId="38E58F7B" w14:textId="77777777" w:rsidR="00440305" w:rsidRPr="00E36EBB" w:rsidRDefault="00440305" w:rsidP="00E36EBB">
      <w:pPr>
        <w:spacing w:line="360" w:lineRule="auto"/>
        <w:jc w:val="center"/>
        <w:rPr>
          <w:rFonts w:eastAsia="仿宋"/>
          <w:bCs/>
          <w:color w:val="000000"/>
          <w:sz w:val="24"/>
          <w:szCs w:val="24"/>
        </w:rPr>
      </w:pPr>
      <w:r w:rsidRPr="00E36EBB">
        <w:rPr>
          <w:rFonts w:eastAsia="仿宋"/>
          <w:bCs/>
          <w:color w:val="000000"/>
          <w:sz w:val="24"/>
          <w:szCs w:val="24"/>
        </w:rPr>
        <w:t>图</w:t>
      </w:r>
      <w:r w:rsidRPr="00E36EBB">
        <w:rPr>
          <w:rFonts w:eastAsia="仿宋"/>
          <w:bCs/>
          <w:color w:val="000000"/>
          <w:sz w:val="24"/>
          <w:szCs w:val="24"/>
        </w:rPr>
        <w:t>2</w:t>
      </w:r>
      <w:r w:rsidRPr="00E36EBB">
        <w:rPr>
          <w:rFonts w:eastAsia="仿宋"/>
          <w:bCs/>
          <w:color w:val="000000"/>
          <w:sz w:val="24"/>
          <w:szCs w:val="24"/>
        </w:rPr>
        <w:t>降雨径流深与地表径流量</w:t>
      </w:r>
    </w:p>
    <w:p w14:paraId="59BE2B56" w14:textId="77777777" w:rsidR="00440305" w:rsidRPr="00E36EBB" w:rsidRDefault="00440305" w:rsidP="00E36EBB">
      <w:pPr>
        <w:spacing w:line="360" w:lineRule="auto"/>
        <w:ind w:firstLineChars="200" w:firstLine="482"/>
        <w:jc w:val="left"/>
        <w:rPr>
          <w:rFonts w:eastAsia="仿宋"/>
          <w:b/>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6F917149" w14:textId="77777777" w:rsidR="00440305" w:rsidRPr="00E36EBB" w:rsidRDefault="00440305" w:rsidP="00E36EBB">
      <w:pPr>
        <w:pStyle w:val="2"/>
        <w:rPr>
          <w:rFonts w:hint="eastAsia"/>
        </w:rPr>
      </w:pPr>
      <w:bookmarkStart w:id="10" w:name="_Toc176458283"/>
      <w:r w:rsidRPr="00E36EBB">
        <w:rPr>
          <w:rFonts w:hint="eastAsia"/>
        </w:rPr>
        <w:t>（</w:t>
      </w:r>
      <w:r w:rsidRPr="00E36EBB">
        <w:rPr>
          <w:rFonts w:hint="eastAsia"/>
        </w:rPr>
        <w:t>3</w:t>
      </w:r>
      <w:r w:rsidRPr="00E36EBB">
        <w:rPr>
          <w:rFonts w:hint="eastAsia"/>
        </w:rPr>
        <w:t>）不同轮作模式减流产流产沙特征（</w:t>
      </w:r>
      <w:r w:rsidRPr="00E36EBB">
        <w:rPr>
          <w:rFonts w:hint="eastAsia"/>
        </w:rPr>
        <w:t>2023</w:t>
      </w:r>
      <w:r w:rsidRPr="00E36EBB">
        <w:rPr>
          <w:rFonts w:hint="eastAsia"/>
        </w:rPr>
        <w:t>年径流小区）</w:t>
      </w:r>
      <w:bookmarkEnd w:id="10"/>
    </w:p>
    <w:p w14:paraId="39B3DEB4" w14:textId="77777777" w:rsidR="00440305" w:rsidRPr="00E36EBB" w:rsidRDefault="00440305" w:rsidP="00E36EBB">
      <w:pPr>
        <w:autoSpaceDE w:val="0"/>
        <w:autoSpaceDN w:val="0"/>
        <w:adjustRightIn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在整个监测期间不同轮作模式径流小区产流特征用累计径流深表示，其中S.S-Oat模式累计径流深最大，达到21.64 mm，其次为玉米连作，Oat-Regrass模式和Regrass-S.S模式，分别为9.31 mm，7.11 mm和5.88 mm。Regrass-S.S模式减流效果最好，其累计径流深为玉米连作模式的0.63倍。</w:t>
      </w:r>
    </w:p>
    <w:p w14:paraId="4473697F" w14:textId="77777777" w:rsidR="00440305" w:rsidRPr="00E36EBB" w:rsidRDefault="00440305" w:rsidP="00E36EBB">
      <w:pPr>
        <w:autoSpaceDE w:val="0"/>
        <w:autoSpaceDN w:val="0"/>
        <w:adjustRightIn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不同轮作模式径流小区产沙特征用累积产沙模数表示，S.S-Oat模式累计产沙模数最大，达到了3302.95 kg hm-1，其次为玉米连作模式（2214.11 kg hm-1），而Oat-Regrass模式和Regrass-S.S模式累计输沙模数为130.27 kg hm-1和569.39 kg hm-1。Oat-Regrass模式减沙效果最佳，其累计产沙模数为玉米连作模式的0.06倍，其次为Regrass-S.S模式。根据产流产沙效果分析，进一步筛选出燕麦与箭筈豌豆-黑麦草与白三叶混播轮作模式为最佳的阻控水土流失建植模式。</w:t>
      </w:r>
    </w:p>
    <w:p w14:paraId="1AA2F944" w14:textId="20EED27C" w:rsidR="00440305" w:rsidRPr="00E36EBB" w:rsidRDefault="00440305" w:rsidP="00E36EBB">
      <w:pPr>
        <w:autoSpaceDE w:val="0"/>
        <w:autoSpaceDN w:val="0"/>
        <w:adjustRightInd w:val="0"/>
        <w:spacing w:line="360" w:lineRule="auto"/>
        <w:jc w:val="center"/>
        <w:rPr>
          <w:rFonts w:eastAsia="仿宋"/>
          <w:color w:val="000000"/>
          <w:sz w:val="24"/>
          <w:szCs w:val="24"/>
        </w:rPr>
      </w:pPr>
      <w:r w:rsidRPr="00E36EBB">
        <w:rPr>
          <w:rFonts w:eastAsia="仿宋"/>
          <w:noProof/>
          <w:color w:val="000000"/>
          <w:sz w:val="24"/>
          <w:szCs w:val="24"/>
        </w:rPr>
        <w:drawing>
          <wp:inline distT="0" distB="0" distL="0" distR="0" wp14:anchorId="0F04A76F" wp14:editId="65EE2CCE">
            <wp:extent cx="4452620" cy="416623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2620" cy="4166235"/>
                    </a:xfrm>
                    <a:prstGeom prst="rect">
                      <a:avLst/>
                    </a:prstGeom>
                    <a:noFill/>
                    <a:ln>
                      <a:noFill/>
                    </a:ln>
                  </pic:spPr>
                </pic:pic>
              </a:graphicData>
            </a:graphic>
          </wp:inline>
        </w:drawing>
      </w:r>
    </w:p>
    <w:p w14:paraId="79416E28" w14:textId="77777777" w:rsidR="00440305" w:rsidRPr="00E36EBB" w:rsidRDefault="00440305" w:rsidP="00E36EBB">
      <w:pPr>
        <w:autoSpaceDE w:val="0"/>
        <w:autoSpaceDN w:val="0"/>
        <w:adjustRightInd w:val="0"/>
        <w:spacing w:line="360" w:lineRule="auto"/>
        <w:jc w:val="center"/>
        <w:rPr>
          <w:rFonts w:eastAsia="仿宋"/>
          <w:color w:val="000000"/>
          <w:sz w:val="24"/>
          <w:szCs w:val="24"/>
        </w:rPr>
      </w:pPr>
      <w:r w:rsidRPr="00E36EBB">
        <w:rPr>
          <w:rFonts w:eastAsia="仿宋" w:hint="eastAsia"/>
          <w:color w:val="000000"/>
          <w:sz w:val="24"/>
          <w:szCs w:val="24"/>
        </w:rPr>
        <w:t>图</w:t>
      </w:r>
      <w:r w:rsidRPr="00E36EBB">
        <w:rPr>
          <w:rFonts w:eastAsia="仿宋"/>
          <w:color w:val="000000"/>
          <w:sz w:val="24"/>
          <w:szCs w:val="24"/>
        </w:rPr>
        <w:t xml:space="preserve">3 </w:t>
      </w:r>
      <w:r w:rsidRPr="00E36EBB">
        <w:rPr>
          <w:rFonts w:eastAsia="仿宋" w:hint="eastAsia"/>
          <w:color w:val="000000"/>
          <w:sz w:val="24"/>
          <w:szCs w:val="24"/>
        </w:rPr>
        <w:t>不同轮作模式降雨产流产沙特征</w:t>
      </w:r>
    </w:p>
    <w:p w14:paraId="5E2BE72C" w14:textId="77777777" w:rsidR="00440305" w:rsidRPr="00E36EBB" w:rsidRDefault="00440305" w:rsidP="00E36EBB">
      <w:pPr>
        <w:spacing w:line="360" w:lineRule="auto"/>
        <w:ind w:firstLineChars="200" w:firstLine="482"/>
        <w:jc w:val="left"/>
        <w:rPr>
          <w:rFonts w:eastAsia="仿宋"/>
          <w:b/>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55505987" w14:textId="77777777" w:rsidR="00440305" w:rsidRPr="00E36EBB" w:rsidRDefault="00440305" w:rsidP="00E36EBB">
      <w:pPr>
        <w:pStyle w:val="2"/>
        <w:rPr>
          <w:rFonts w:hint="eastAsia"/>
        </w:rPr>
      </w:pPr>
      <w:bookmarkStart w:id="11" w:name="_Toc176458284"/>
      <w:r w:rsidRPr="00E36EBB">
        <w:rPr>
          <w:rFonts w:eastAsia="仿宋" w:hint="eastAsia"/>
        </w:rPr>
        <w:t>（</w:t>
      </w:r>
      <w:r w:rsidRPr="00E36EBB">
        <w:rPr>
          <w:rFonts w:eastAsia="仿宋" w:hint="eastAsia"/>
        </w:rPr>
        <w:t>4</w:t>
      </w:r>
      <w:r w:rsidRPr="00E36EBB">
        <w:rPr>
          <w:rFonts w:eastAsia="仿宋" w:hint="eastAsia"/>
        </w:rPr>
        <w:t>）</w:t>
      </w:r>
      <w:r w:rsidRPr="00E36EBB">
        <w:rPr>
          <w:rFonts w:hint="eastAsia"/>
        </w:rPr>
        <w:t>不同轮作模式抗冲性特征</w:t>
      </w:r>
      <w:bookmarkEnd w:id="11"/>
    </w:p>
    <w:p w14:paraId="06876205" w14:textId="77777777" w:rsidR="00440305" w:rsidRPr="00E36EBB" w:rsidRDefault="00440305" w:rsidP="00E36EBB">
      <w:pPr>
        <w:snapToGri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由图4中可知，通过模拟冲刷试验，研究结果表明四种粮饲轮作模式土壤ANS（土壤抗冲性）平均值为17.55 ~ 94.77 L g-1。与休耕相比，玉米土壤ANS降低了33.37%，高丹草、燕麦和黑麦草分别提高了66.87%、18.12%和259.87%。各坡位间土壤ANS无显著差异，但坡中普遍表现出较高的土壤ANS (66.06 L g</w:t>
      </w:r>
      <w:r w:rsidRPr="00E36EBB">
        <w:rPr>
          <w:rStyle w:val="af"/>
          <w:rFonts w:ascii="宋体" w:hAnsi="宋体" w:cs="宋体" w:hint="eastAsia"/>
          <w:color w:val="000000"/>
          <w:sz w:val="24"/>
          <w:szCs w:val="24"/>
          <w:vertAlign w:val="superscript"/>
        </w:rPr>
        <w:t>-1</w:t>
      </w:r>
      <w:r w:rsidRPr="00E36EBB">
        <w:rPr>
          <w:rFonts w:ascii="宋体" w:hAnsi="宋体" w:cs="宋体" w:hint="eastAsia"/>
          <w:color w:val="000000"/>
          <w:sz w:val="24"/>
          <w:szCs w:val="24"/>
        </w:rPr>
        <w:t>)，比坡顶和坡底高99.07-127.91%。黑麦草最高的土壤ANS分布在坡顶(80.85 L g</w:t>
      </w:r>
      <w:r w:rsidRPr="00E36EBB">
        <w:rPr>
          <w:rStyle w:val="af"/>
          <w:rFonts w:ascii="宋体" w:hAnsi="宋体" w:cs="宋体" w:hint="eastAsia"/>
          <w:color w:val="000000"/>
          <w:sz w:val="24"/>
          <w:szCs w:val="24"/>
          <w:vertAlign w:val="superscript"/>
        </w:rPr>
        <w:t>-1</w:t>
      </w:r>
      <w:r w:rsidRPr="00E36EBB">
        <w:rPr>
          <w:rFonts w:ascii="宋体" w:hAnsi="宋体" w:cs="宋体" w:hint="eastAsia"/>
          <w:color w:val="000000"/>
          <w:sz w:val="24"/>
          <w:szCs w:val="24"/>
        </w:rPr>
        <w:t>)和坡中(182.70 L g</w:t>
      </w:r>
      <w:r w:rsidRPr="00E36EBB">
        <w:rPr>
          <w:rStyle w:val="af"/>
          <w:rFonts w:ascii="宋体" w:hAnsi="宋体" w:cs="宋体" w:hint="eastAsia"/>
          <w:color w:val="000000"/>
          <w:sz w:val="24"/>
          <w:szCs w:val="24"/>
          <w:vertAlign w:val="superscript"/>
        </w:rPr>
        <w:t>-1</w:t>
      </w:r>
      <w:r w:rsidRPr="00E36EBB">
        <w:rPr>
          <w:rFonts w:ascii="宋体" w:hAnsi="宋体" w:cs="宋体" w:hint="eastAsia"/>
          <w:color w:val="000000"/>
          <w:sz w:val="24"/>
          <w:szCs w:val="24"/>
        </w:rPr>
        <w:t>)，分别是其他模式的2.87 ~ 9.79倍和2.80 ~ 11.21倍。高丹草在坡底的土壤ANS最高(43.78 L g</w:t>
      </w:r>
      <w:r w:rsidRPr="00E36EBB">
        <w:rPr>
          <w:rStyle w:val="af"/>
          <w:rFonts w:ascii="宋体" w:hAnsi="宋体" w:cs="宋体" w:hint="eastAsia"/>
          <w:color w:val="000000"/>
          <w:sz w:val="24"/>
          <w:szCs w:val="24"/>
          <w:vertAlign w:val="superscript"/>
        </w:rPr>
        <w:t>-1</w:t>
      </w:r>
      <w:r w:rsidRPr="00E36EBB">
        <w:rPr>
          <w:rFonts w:ascii="宋体" w:hAnsi="宋体" w:cs="宋体" w:hint="eastAsia"/>
          <w:color w:val="000000"/>
          <w:sz w:val="24"/>
          <w:szCs w:val="24"/>
        </w:rPr>
        <w:t>)，而玉米在不同坡位的土壤ANS普遍较低(8.26 ~ 32.55 L g</w:t>
      </w:r>
      <w:r w:rsidRPr="00E36EBB">
        <w:rPr>
          <w:rStyle w:val="af"/>
          <w:rFonts w:ascii="宋体" w:hAnsi="宋体" w:cs="宋体" w:hint="eastAsia"/>
          <w:color w:val="000000"/>
          <w:sz w:val="24"/>
          <w:szCs w:val="24"/>
          <w:vertAlign w:val="superscript"/>
        </w:rPr>
        <w:t>-1</w:t>
      </w:r>
      <w:r w:rsidRPr="00E36EBB">
        <w:rPr>
          <w:rFonts w:ascii="宋体" w:hAnsi="宋体" w:cs="宋体" w:hint="eastAsia"/>
          <w:color w:val="000000"/>
          <w:sz w:val="24"/>
          <w:szCs w:val="24"/>
        </w:rPr>
        <w:t>)。</w:t>
      </w:r>
    </w:p>
    <w:p w14:paraId="12C8025B" w14:textId="64B403AC" w:rsidR="00440305" w:rsidRPr="00E36EBB" w:rsidRDefault="00440305" w:rsidP="00E36EBB">
      <w:pPr>
        <w:spacing w:line="360" w:lineRule="auto"/>
        <w:rPr>
          <w:rFonts w:eastAsia="仿宋"/>
          <w:color w:val="000000"/>
          <w:sz w:val="24"/>
          <w:szCs w:val="24"/>
        </w:rPr>
      </w:pPr>
      <w:r w:rsidRPr="00E36EBB">
        <w:rPr>
          <w:rFonts w:eastAsia="仿宋"/>
          <w:noProof/>
          <w:color w:val="000000"/>
          <w:sz w:val="24"/>
          <w:szCs w:val="24"/>
        </w:rPr>
        <w:drawing>
          <wp:inline distT="0" distB="0" distL="0" distR="0" wp14:anchorId="76301713" wp14:editId="2E4D4099">
            <wp:extent cx="2592070" cy="201993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70" cy="2019935"/>
                    </a:xfrm>
                    <a:prstGeom prst="rect">
                      <a:avLst/>
                    </a:prstGeom>
                    <a:noFill/>
                    <a:ln>
                      <a:noFill/>
                    </a:ln>
                  </pic:spPr>
                </pic:pic>
              </a:graphicData>
            </a:graphic>
          </wp:inline>
        </w:drawing>
      </w:r>
      <w:r w:rsidRPr="00E36EBB">
        <w:rPr>
          <w:rFonts w:eastAsia="仿宋"/>
          <w:noProof/>
          <w:color w:val="000000"/>
          <w:sz w:val="24"/>
          <w:szCs w:val="24"/>
        </w:rPr>
        <w:drawing>
          <wp:inline distT="0" distB="0" distL="0" distR="0" wp14:anchorId="51E95992" wp14:editId="1398B6B8">
            <wp:extent cx="2592070" cy="2067560"/>
            <wp:effectExtent l="0" t="0" r="0" b="0"/>
            <wp:docPr id="698887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2067560"/>
                    </a:xfrm>
                    <a:prstGeom prst="rect">
                      <a:avLst/>
                    </a:prstGeom>
                    <a:noFill/>
                    <a:ln>
                      <a:noFill/>
                    </a:ln>
                  </pic:spPr>
                </pic:pic>
              </a:graphicData>
            </a:graphic>
          </wp:inline>
        </w:drawing>
      </w:r>
    </w:p>
    <w:p w14:paraId="1E0F1ACD" w14:textId="77777777" w:rsidR="00440305" w:rsidRPr="00E36EBB" w:rsidRDefault="00440305" w:rsidP="00E36EBB">
      <w:pPr>
        <w:spacing w:line="360" w:lineRule="auto"/>
        <w:jc w:val="center"/>
        <w:rPr>
          <w:rFonts w:eastAsia="仿宋"/>
          <w:bCs/>
          <w:color w:val="000000"/>
          <w:sz w:val="24"/>
          <w:szCs w:val="24"/>
        </w:rPr>
      </w:pPr>
      <w:r w:rsidRPr="00E36EBB">
        <w:rPr>
          <w:rFonts w:eastAsia="仿宋"/>
          <w:bCs/>
          <w:color w:val="000000"/>
          <w:sz w:val="24"/>
          <w:szCs w:val="24"/>
        </w:rPr>
        <w:t>图</w:t>
      </w:r>
      <w:r w:rsidRPr="00E36EBB">
        <w:rPr>
          <w:rFonts w:eastAsia="仿宋"/>
          <w:bCs/>
          <w:color w:val="000000"/>
          <w:sz w:val="24"/>
          <w:szCs w:val="24"/>
        </w:rPr>
        <w:t>4</w:t>
      </w:r>
      <w:r w:rsidRPr="00E36EBB">
        <w:rPr>
          <w:rFonts w:eastAsia="仿宋" w:hint="eastAsia"/>
          <w:bCs/>
          <w:color w:val="000000"/>
          <w:sz w:val="24"/>
          <w:szCs w:val="24"/>
        </w:rPr>
        <w:t>不同轮作模式</w:t>
      </w:r>
      <w:r w:rsidRPr="00E36EBB">
        <w:rPr>
          <w:rFonts w:eastAsia="仿宋"/>
          <w:bCs/>
          <w:color w:val="000000"/>
          <w:sz w:val="24"/>
          <w:szCs w:val="24"/>
        </w:rPr>
        <w:t>抗冲性特征</w:t>
      </w:r>
    </w:p>
    <w:p w14:paraId="4483F7B9" w14:textId="77777777" w:rsidR="00440305" w:rsidRPr="00E36EBB" w:rsidRDefault="00440305" w:rsidP="00E36EBB">
      <w:pPr>
        <w:spacing w:line="360" w:lineRule="auto"/>
        <w:ind w:firstLineChars="200" w:firstLine="482"/>
        <w:rPr>
          <w:rFonts w:eastAsia="仿宋"/>
          <w:b/>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15C35877" w14:textId="77777777" w:rsidR="00440305" w:rsidRPr="00E36EBB" w:rsidRDefault="00440305" w:rsidP="00E36EBB">
      <w:pPr>
        <w:snapToGri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通过综合评价初步筛选出经济价值较高的高丹草模式，防控黑土地侵蚀模式是黑麦草和白三叶混播模式。</w:t>
      </w:r>
    </w:p>
    <w:p w14:paraId="0225820F" w14:textId="77777777" w:rsidR="00440305" w:rsidRPr="00E36EBB" w:rsidRDefault="00440305" w:rsidP="00E36EBB">
      <w:pPr>
        <w:pStyle w:val="2"/>
        <w:rPr>
          <w:rFonts w:hint="eastAsia"/>
        </w:rPr>
      </w:pPr>
      <w:bookmarkStart w:id="12" w:name="_Toc176458285"/>
      <w:r w:rsidRPr="00E36EBB">
        <w:rPr>
          <w:rFonts w:hint="eastAsia"/>
        </w:rPr>
        <w:t>（</w:t>
      </w:r>
      <w:r w:rsidRPr="00E36EBB">
        <w:rPr>
          <w:rFonts w:hint="eastAsia"/>
        </w:rPr>
        <w:t>5</w:t>
      </w:r>
      <w:r w:rsidRPr="00E36EBB">
        <w:rPr>
          <w:rFonts w:hint="eastAsia"/>
        </w:rPr>
        <w:t>）不同轮作饲草根系特征</w:t>
      </w:r>
      <w:bookmarkEnd w:id="12"/>
    </w:p>
    <w:p w14:paraId="73FB2F18" w14:textId="77777777" w:rsidR="00440305" w:rsidRPr="00E36EBB" w:rsidRDefault="00440305" w:rsidP="00E36EBB">
      <w:pPr>
        <w:snapToGrid w:val="0"/>
        <w:spacing w:line="360" w:lineRule="auto"/>
        <w:ind w:firstLineChars="200" w:firstLine="480"/>
        <w:rPr>
          <w:rFonts w:ascii="宋体" w:hAnsi="宋体" w:cs="宋体" w:hint="eastAsia"/>
          <w:color w:val="000000"/>
          <w:sz w:val="24"/>
          <w:szCs w:val="24"/>
        </w:rPr>
      </w:pPr>
      <w:r w:rsidRPr="00E36EBB">
        <w:rPr>
          <w:rFonts w:ascii="宋体" w:hAnsi="宋体" w:cs="宋体" w:hint="eastAsia"/>
          <w:color w:val="000000"/>
          <w:sz w:val="24"/>
          <w:szCs w:val="24"/>
        </w:rPr>
        <w:t>玉米平均根系直径最大，高丹草次之。黑麦草模式根长密度是其他模式的5.03 ~ 9.65倍；其根表面积密度也最高(1.03 cm</w:t>
      </w:r>
      <w:r w:rsidRPr="00E36EBB">
        <w:rPr>
          <w:rFonts w:ascii="宋体" w:hAnsi="宋体" w:cs="宋体" w:hint="eastAsia"/>
          <w:color w:val="000000"/>
          <w:sz w:val="24"/>
          <w:szCs w:val="24"/>
          <w:vertAlign w:val="superscript"/>
        </w:rPr>
        <w:t>2</w:t>
      </w:r>
      <w:r w:rsidRPr="00E36EBB">
        <w:rPr>
          <w:rFonts w:ascii="宋体" w:hAnsi="宋体" w:cs="宋体" w:hint="eastAsia"/>
          <w:color w:val="000000"/>
          <w:sz w:val="24"/>
          <w:szCs w:val="24"/>
        </w:rPr>
        <w:t>/cm</w:t>
      </w:r>
      <w:r w:rsidRPr="00E36EBB">
        <w:rPr>
          <w:rFonts w:ascii="宋体" w:hAnsi="宋体" w:cs="宋体" w:hint="eastAsia"/>
          <w:color w:val="000000"/>
          <w:sz w:val="24"/>
          <w:szCs w:val="24"/>
          <w:vertAlign w:val="superscript"/>
        </w:rPr>
        <w:t>3</w:t>
      </w:r>
      <w:r w:rsidRPr="00E36EBB">
        <w:rPr>
          <w:rFonts w:ascii="宋体" w:hAnsi="宋体" w:cs="宋体" w:hint="eastAsia"/>
          <w:color w:val="000000"/>
          <w:sz w:val="24"/>
          <w:szCs w:val="24"/>
        </w:rPr>
        <w:t>)，是其他模式的3.56 ~ 9.67倍(图e)。高丹草的根重密度值最高(图f)。虽然在不同的坡位之间没有发现根系性状的显著差异，但方差结果结果显示，坡中的根直径最高(0.52 mm)(图b)，但其平均根长密度最低(2.38 cm cm</w:t>
      </w:r>
      <w:r w:rsidRPr="00E36EBB">
        <w:rPr>
          <w:rFonts w:ascii="宋体" w:hAnsi="宋体" w:cs="宋体" w:hint="eastAsia"/>
          <w:color w:val="000000"/>
          <w:sz w:val="24"/>
          <w:szCs w:val="24"/>
          <w:vertAlign w:val="superscript"/>
        </w:rPr>
        <w:t>-3</w:t>
      </w:r>
      <w:r w:rsidRPr="00E36EBB">
        <w:rPr>
          <w:rFonts w:ascii="宋体" w:hAnsi="宋体" w:cs="宋体" w:hint="eastAsia"/>
          <w:color w:val="000000"/>
          <w:sz w:val="24"/>
          <w:szCs w:val="24"/>
        </w:rPr>
        <w:t>)(图d)。根表面积密度和根重密度沿坡向下而降低(图f, h)。</w:t>
      </w:r>
    </w:p>
    <w:p w14:paraId="064AAE06" w14:textId="03F16142" w:rsidR="00440305" w:rsidRPr="00E36EBB" w:rsidRDefault="00440305" w:rsidP="00E36EBB">
      <w:pPr>
        <w:snapToGrid w:val="0"/>
        <w:spacing w:line="360" w:lineRule="auto"/>
        <w:ind w:firstLineChars="200" w:firstLine="482"/>
        <w:jc w:val="center"/>
        <w:rPr>
          <w:rFonts w:eastAsia="仿宋"/>
          <w:color w:val="000000"/>
          <w:sz w:val="24"/>
          <w:szCs w:val="24"/>
        </w:rPr>
      </w:pPr>
      <w:r w:rsidRPr="00E36EBB">
        <w:rPr>
          <w:rFonts w:eastAsia="仿宋"/>
          <w:b/>
          <w:noProof/>
          <w:color w:val="000000"/>
          <w:sz w:val="24"/>
          <w:szCs w:val="24"/>
        </w:rPr>
        <w:drawing>
          <wp:inline distT="0" distB="0" distL="0" distR="0" wp14:anchorId="75B3091A" wp14:editId="63490929">
            <wp:extent cx="3140710" cy="314071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710" cy="3140710"/>
                    </a:xfrm>
                    <a:prstGeom prst="rect">
                      <a:avLst/>
                    </a:prstGeom>
                    <a:noFill/>
                    <a:ln>
                      <a:noFill/>
                    </a:ln>
                  </pic:spPr>
                </pic:pic>
              </a:graphicData>
            </a:graphic>
          </wp:inline>
        </w:drawing>
      </w:r>
    </w:p>
    <w:p w14:paraId="7A02E1C9" w14:textId="77777777" w:rsidR="00440305" w:rsidRPr="00E36EBB" w:rsidRDefault="00440305" w:rsidP="00E36EBB">
      <w:pPr>
        <w:spacing w:line="360" w:lineRule="auto"/>
        <w:jc w:val="center"/>
        <w:rPr>
          <w:rFonts w:eastAsia="仿宋"/>
          <w:bCs/>
          <w:color w:val="000000"/>
          <w:sz w:val="24"/>
          <w:szCs w:val="24"/>
        </w:rPr>
      </w:pPr>
      <w:r w:rsidRPr="00E36EBB">
        <w:rPr>
          <w:rFonts w:eastAsia="仿宋"/>
          <w:bCs/>
          <w:color w:val="000000"/>
          <w:sz w:val="24"/>
          <w:szCs w:val="24"/>
        </w:rPr>
        <w:t>图</w:t>
      </w:r>
      <w:r w:rsidRPr="00E36EBB">
        <w:rPr>
          <w:rFonts w:eastAsia="仿宋"/>
          <w:bCs/>
          <w:color w:val="000000"/>
          <w:sz w:val="24"/>
          <w:szCs w:val="24"/>
        </w:rPr>
        <w:t>5</w:t>
      </w:r>
      <w:r w:rsidRPr="00E36EBB">
        <w:rPr>
          <w:rFonts w:eastAsia="仿宋" w:hint="eastAsia"/>
          <w:bCs/>
          <w:color w:val="000000"/>
          <w:sz w:val="24"/>
          <w:szCs w:val="24"/>
        </w:rPr>
        <w:t>不同轮作模式</w:t>
      </w:r>
      <w:r w:rsidRPr="00E36EBB">
        <w:rPr>
          <w:rFonts w:eastAsia="仿宋"/>
          <w:bCs/>
          <w:color w:val="000000"/>
          <w:sz w:val="24"/>
          <w:szCs w:val="24"/>
        </w:rPr>
        <w:t>抗冲性特征</w:t>
      </w:r>
    </w:p>
    <w:p w14:paraId="5B9CD268" w14:textId="77777777" w:rsidR="00440305" w:rsidRPr="00E36EBB" w:rsidRDefault="00440305" w:rsidP="00E36EBB">
      <w:pPr>
        <w:spacing w:line="360" w:lineRule="auto"/>
        <w:ind w:firstLineChars="200" w:firstLine="482"/>
        <w:rPr>
          <w:rFonts w:eastAsia="仿宋"/>
          <w:b/>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2A40B952" w14:textId="77777777" w:rsidR="00440305" w:rsidRPr="00E36EBB" w:rsidRDefault="00440305" w:rsidP="00E36EBB">
      <w:pPr>
        <w:pStyle w:val="2"/>
        <w:rPr>
          <w:rFonts w:hint="eastAsia"/>
        </w:rPr>
      </w:pPr>
      <w:bookmarkStart w:id="13" w:name="_Toc176458286"/>
      <w:r w:rsidRPr="00E36EBB">
        <w:rPr>
          <w:rFonts w:eastAsia="仿宋" w:hint="eastAsia"/>
        </w:rPr>
        <w:t>（</w:t>
      </w:r>
      <w:r w:rsidRPr="00E36EBB">
        <w:rPr>
          <w:rFonts w:eastAsia="仿宋" w:hint="eastAsia"/>
        </w:rPr>
        <w:t>6</w:t>
      </w:r>
      <w:r w:rsidRPr="00E36EBB">
        <w:rPr>
          <w:rFonts w:eastAsia="仿宋" w:hint="eastAsia"/>
        </w:rPr>
        <w:t>）</w:t>
      </w:r>
      <w:r w:rsidRPr="00E36EBB">
        <w:rPr>
          <w:rFonts w:hint="eastAsia"/>
        </w:rPr>
        <w:t>不同轮作模式土壤属性特征</w:t>
      </w:r>
      <w:bookmarkEnd w:id="13"/>
    </w:p>
    <w:p w14:paraId="10125AF4" w14:textId="77777777" w:rsidR="00440305" w:rsidRPr="00E36EBB" w:rsidRDefault="00440305" w:rsidP="00E36EBB">
      <w:pPr>
        <w:snapToGrid w:val="0"/>
        <w:spacing w:line="360" w:lineRule="auto"/>
        <w:ind w:firstLineChars="200" w:firstLine="480"/>
        <w:rPr>
          <w:rFonts w:ascii="宋体" w:hAnsi="宋体" w:cs="宋体" w:hint="eastAsia"/>
          <w:color w:val="000000"/>
          <w:sz w:val="24"/>
          <w:szCs w:val="24"/>
        </w:rPr>
      </w:pPr>
      <w:r w:rsidRPr="00E36EBB">
        <w:rPr>
          <w:rFonts w:ascii="宋体" w:hAnsi="宋体" w:cs="宋体" w:hint="eastAsia"/>
          <w:bCs/>
          <w:color w:val="000000"/>
          <w:sz w:val="24"/>
          <w:szCs w:val="24"/>
        </w:rPr>
        <w:t>土壤容重最大(休耕地)比最小值(黑麦草模式)高12.76%(图4)。土壤孔隙结构和土壤饱和含水量以黑麦草与白三叶混播模式最好；随着坡位的增加，土壤孔隙结构和土壤含水量普遍增加，而土壤容重则相反。</w:t>
      </w:r>
    </w:p>
    <w:p w14:paraId="2B380627" w14:textId="4BDE46E7" w:rsidR="00440305" w:rsidRPr="00E36EBB" w:rsidRDefault="00440305" w:rsidP="00E36EBB">
      <w:pPr>
        <w:spacing w:line="360" w:lineRule="auto"/>
        <w:jc w:val="center"/>
        <w:rPr>
          <w:rFonts w:eastAsia="仿宋"/>
          <w:b/>
          <w:bCs/>
          <w:color w:val="000000"/>
          <w:sz w:val="24"/>
          <w:szCs w:val="24"/>
        </w:rPr>
      </w:pPr>
      <w:r w:rsidRPr="00E36EBB">
        <w:rPr>
          <w:rFonts w:eastAsia="仿宋"/>
          <w:noProof/>
          <w:color w:val="000000"/>
          <w:sz w:val="24"/>
          <w:szCs w:val="24"/>
        </w:rPr>
        <w:drawing>
          <wp:inline distT="0" distB="0" distL="0" distR="0" wp14:anchorId="70DE105B" wp14:editId="6044D64E">
            <wp:extent cx="4802505" cy="556577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2505" cy="5565775"/>
                    </a:xfrm>
                    <a:prstGeom prst="rect">
                      <a:avLst/>
                    </a:prstGeom>
                    <a:noFill/>
                    <a:ln>
                      <a:noFill/>
                    </a:ln>
                  </pic:spPr>
                </pic:pic>
              </a:graphicData>
            </a:graphic>
          </wp:inline>
        </w:drawing>
      </w:r>
    </w:p>
    <w:p w14:paraId="1F50D2E6" w14:textId="77777777" w:rsidR="00440305" w:rsidRPr="00E36EBB" w:rsidRDefault="00440305" w:rsidP="00E36EBB">
      <w:pPr>
        <w:spacing w:line="360" w:lineRule="auto"/>
        <w:ind w:firstLineChars="1400" w:firstLine="3360"/>
        <w:jc w:val="center"/>
        <w:rPr>
          <w:rFonts w:eastAsia="仿宋"/>
          <w:bCs/>
          <w:color w:val="000000"/>
          <w:sz w:val="24"/>
          <w:szCs w:val="24"/>
        </w:rPr>
      </w:pPr>
      <w:r w:rsidRPr="00E36EBB">
        <w:rPr>
          <w:rFonts w:eastAsia="仿宋"/>
          <w:bCs/>
          <w:color w:val="000000"/>
          <w:sz w:val="24"/>
          <w:szCs w:val="24"/>
        </w:rPr>
        <w:t>图</w:t>
      </w:r>
      <w:r w:rsidRPr="00E36EBB">
        <w:rPr>
          <w:rFonts w:eastAsia="仿宋"/>
          <w:bCs/>
          <w:color w:val="000000"/>
          <w:sz w:val="24"/>
          <w:szCs w:val="24"/>
        </w:rPr>
        <w:t>6</w:t>
      </w:r>
      <w:r w:rsidRPr="00E36EBB">
        <w:rPr>
          <w:rFonts w:eastAsia="仿宋" w:hint="eastAsia"/>
          <w:bCs/>
          <w:color w:val="000000"/>
          <w:sz w:val="24"/>
          <w:szCs w:val="24"/>
        </w:rPr>
        <w:t>不同轮作模式</w:t>
      </w:r>
      <w:r w:rsidRPr="00E36EBB">
        <w:rPr>
          <w:rFonts w:eastAsia="仿宋"/>
          <w:bCs/>
          <w:color w:val="000000"/>
          <w:sz w:val="24"/>
          <w:szCs w:val="24"/>
        </w:rPr>
        <w:t>土壤属性特征</w:t>
      </w:r>
    </w:p>
    <w:p w14:paraId="7AB77507" w14:textId="77777777" w:rsidR="00440305" w:rsidRPr="00E36EBB" w:rsidRDefault="00440305" w:rsidP="00E36EBB">
      <w:pPr>
        <w:spacing w:line="360" w:lineRule="auto"/>
        <w:ind w:firstLineChars="200" w:firstLine="482"/>
        <w:jc w:val="left"/>
        <w:rPr>
          <w:rFonts w:eastAsia="仿宋"/>
          <w:b/>
          <w:bCs/>
          <w:color w:val="000000"/>
          <w:sz w:val="24"/>
          <w:szCs w:val="24"/>
        </w:rPr>
      </w:pPr>
      <w:r w:rsidRPr="00E36EBB">
        <w:rPr>
          <w:rFonts w:eastAsia="仿宋"/>
          <w:b/>
          <w:bCs/>
          <w:color w:val="000000"/>
          <w:sz w:val="24"/>
          <w:szCs w:val="24"/>
        </w:rPr>
        <w:t>注：图中</w:t>
      </w:r>
      <w:r w:rsidRPr="00E36EBB">
        <w:rPr>
          <w:rFonts w:eastAsia="仿宋"/>
          <w:b/>
          <w:bCs/>
          <w:color w:val="000000"/>
          <w:sz w:val="24"/>
          <w:szCs w:val="24"/>
        </w:rPr>
        <w:t>Maize</w:t>
      </w:r>
      <w:r w:rsidRPr="00E36EBB">
        <w:rPr>
          <w:rFonts w:eastAsia="仿宋"/>
          <w:b/>
          <w:bCs/>
          <w:color w:val="000000"/>
          <w:sz w:val="24"/>
          <w:szCs w:val="24"/>
        </w:rPr>
        <w:t>为玉米建植模式，</w:t>
      </w:r>
      <w:r w:rsidRPr="00E36EBB">
        <w:rPr>
          <w:rFonts w:eastAsia="仿宋"/>
          <w:b/>
          <w:bCs/>
          <w:color w:val="000000"/>
          <w:sz w:val="24"/>
          <w:szCs w:val="24"/>
        </w:rPr>
        <w:t>S.S</w:t>
      </w:r>
      <w:r w:rsidRPr="00E36EBB">
        <w:rPr>
          <w:rFonts w:eastAsia="仿宋"/>
          <w:b/>
          <w:bCs/>
          <w:color w:val="000000"/>
          <w:sz w:val="24"/>
          <w:szCs w:val="24"/>
        </w:rPr>
        <w:t>为高丹草模式，</w:t>
      </w:r>
      <w:r w:rsidRPr="00E36EBB">
        <w:rPr>
          <w:rFonts w:eastAsia="仿宋"/>
          <w:b/>
          <w:bCs/>
          <w:color w:val="000000"/>
          <w:sz w:val="24"/>
          <w:szCs w:val="24"/>
        </w:rPr>
        <w:t>Oat</w:t>
      </w:r>
      <w:r w:rsidRPr="00E36EBB">
        <w:rPr>
          <w:rFonts w:eastAsia="仿宋"/>
          <w:b/>
          <w:bCs/>
          <w:color w:val="000000"/>
          <w:sz w:val="24"/>
          <w:szCs w:val="24"/>
        </w:rPr>
        <w:t>为燕麦与箭筈豌豆混播模式，</w:t>
      </w:r>
      <w:r w:rsidRPr="00E36EBB">
        <w:rPr>
          <w:rFonts w:eastAsia="仿宋"/>
          <w:b/>
          <w:bCs/>
          <w:color w:val="000000"/>
          <w:sz w:val="24"/>
          <w:szCs w:val="24"/>
        </w:rPr>
        <w:t>Ryegrass</w:t>
      </w:r>
      <w:r w:rsidRPr="00E36EBB">
        <w:rPr>
          <w:rFonts w:eastAsia="仿宋"/>
          <w:b/>
          <w:bCs/>
          <w:color w:val="000000"/>
          <w:sz w:val="24"/>
          <w:szCs w:val="24"/>
        </w:rPr>
        <w:t>为黑麦草与白三叶混播模式。</w:t>
      </w:r>
    </w:p>
    <w:p w14:paraId="6B118593" w14:textId="77777777" w:rsidR="00440305" w:rsidRPr="00E36EBB" w:rsidRDefault="00440305" w:rsidP="00E36EBB">
      <w:pPr>
        <w:pStyle w:val="2"/>
        <w:rPr>
          <w:rFonts w:hint="eastAsia"/>
        </w:rPr>
      </w:pPr>
      <w:bookmarkStart w:id="14" w:name="_Toc176458287"/>
      <w:r w:rsidRPr="00E36EBB">
        <w:rPr>
          <w:rFonts w:eastAsia="仿宋" w:hint="eastAsia"/>
        </w:rPr>
        <w:t>（</w:t>
      </w:r>
      <w:r w:rsidRPr="00E36EBB">
        <w:rPr>
          <w:rFonts w:eastAsia="仿宋" w:hint="eastAsia"/>
        </w:rPr>
        <w:t>7</w:t>
      </w:r>
      <w:r w:rsidRPr="00E36EBB">
        <w:rPr>
          <w:rFonts w:eastAsia="仿宋" w:hint="eastAsia"/>
        </w:rPr>
        <w:t>）</w:t>
      </w:r>
      <w:r w:rsidRPr="00E36EBB">
        <w:rPr>
          <w:rFonts w:hint="eastAsia"/>
        </w:rPr>
        <w:t>不同轮作模式土壤养分变化</w:t>
      </w:r>
      <w:bookmarkEnd w:id="14"/>
    </w:p>
    <w:p w14:paraId="1A3E584F"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不同饲草模式对土壤全磷含量无显著影响，在成熟期土壤全磷含量变化趋势不一。在饲草成熟期0-10 cm土壤全磷变化范围为0.508-0.596 g kg</w:t>
      </w:r>
      <w:r w:rsidRPr="00E36EBB">
        <w:rPr>
          <w:rFonts w:ascii="宋体" w:hAnsi="宋体" w:cs="宋体" w:hint="eastAsia"/>
          <w:sz w:val="24"/>
          <w:szCs w:val="24"/>
          <w:vertAlign w:val="superscript"/>
        </w:rPr>
        <w:t>-1</w:t>
      </w:r>
      <w:r w:rsidRPr="00E36EBB">
        <w:rPr>
          <w:rFonts w:ascii="宋体" w:hAnsi="宋体" w:cs="宋体" w:hint="eastAsia"/>
          <w:sz w:val="24"/>
          <w:szCs w:val="24"/>
        </w:rPr>
        <w:t>，燕麦模式最高，其次为黑麦草和玉米模式，与本底值相比，黑麦草和高丹草分别减少了3.24%和16.20%，而燕麦增加了10.31%。10-20 cm土壤全磷变化范围为0.484-0.546 g kg</w:t>
      </w:r>
      <w:r w:rsidRPr="00E36EBB">
        <w:rPr>
          <w:rFonts w:ascii="宋体" w:hAnsi="宋体" w:cs="宋体" w:hint="eastAsia"/>
          <w:sz w:val="24"/>
          <w:szCs w:val="24"/>
          <w:vertAlign w:val="superscript"/>
        </w:rPr>
        <w:t>-1</w:t>
      </w:r>
      <w:r w:rsidRPr="00E36EBB">
        <w:rPr>
          <w:rFonts w:ascii="宋体" w:hAnsi="宋体" w:cs="宋体" w:hint="eastAsia"/>
          <w:sz w:val="24"/>
          <w:szCs w:val="24"/>
        </w:rPr>
        <w:t>，与本底值相比，黑麦草减少了1.09%，而燕麦和高丹草分别增加了9.99%和1.69%。20-40 cm土壤全磷变化范围为0.395-0.501 g kg</w:t>
      </w:r>
      <w:r w:rsidRPr="00E36EBB">
        <w:rPr>
          <w:rFonts w:ascii="宋体" w:hAnsi="宋体" w:cs="宋体" w:hint="eastAsia"/>
          <w:sz w:val="24"/>
          <w:szCs w:val="24"/>
          <w:vertAlign w:val="superscript"/>
        </w:rPr>
        <w:t>-1</w:t>
      </w:r>
      <w:r w:rsidRPr="00E36EBB">
        <w:rPr>
          <w:rFonts w:ascii="宋体" w:hAnsi="宋体" w:cs="宋体" w:hint="eastAsia"/>
          <w:sz w:val="24"/>
          <w:szCs w:val="24"/>
        </w:rPr>
        <w:t>，相较于本底值，黑麦草模式下土壤全磷增加了8.96%，而燕麦和高丹草分别减少了1.97%和9.67%。此外，土壤全磷含量随着土层深度的增加呈下降趋势。</w:t>
      </w:r>
    </w:p>
    <w:p w14:paraId="64CE8492" w14:textId="4029F56D" w:rsidR="00440305" w:rsidRPr="00E36EBB" w:rsidRDefault="00440305" w:rsidP="00E36EBB">
      <w:pPr>
        <w:spacing w:line="360" w:lineRule="auto"/>
        <w:rPr>
          <w:sz w:val="24"/>
          <w:szCs w:val="24"/>
        </w:rPr>
      </w:pPr>
      <w:r w:rsidRPr="00E36EBB">
        <w:rPr>
          <w:noProof/>
          <w:sz w:val="24"/>
          <w:szCs w:val="24"/>
        </w:rPr>
        <w:drawing>
          <wp:inline distT="0" distB="0" distL="0" distR="0" wp14:anchorId="1581079F" wp14:editId="03F4EB29">
            <wp:extent cx="5279390" cy="1431290"/>
            <wp:effectExtent l="0" t="0" r="0" b="0"/>
            <wp:docPr id="305119857" name="图片 5" descr="C:\Users\wmb\Desktop\新建文件夹 (2)\TP农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wmb\Desktop\新建文件夹 (2)\TP农田.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9390" cy="1431290"/>
                    </a:xfrm>
                    <a:prstGeom prst="rect">
                      <a:avLst/>
                    </a:prstGeom>
                    <a:noFill/>
                    <a:ln>
                      <a:noFill/>
                    </a:ln>
                  </pic:spPr>
                </pic:pic>
              </a:graphicData>
            </a:graphic>
          </wp:inline>
        </w:drawing>
      </w:r>
    </w:p>
    <w:p w14:paraId="61C0C5E1" w14:textId="77777777" w:rsidR="00440305" w:rsidRPr="00E36EBB" w:rsidRDefault="00440305" w:rsidP="00E36EBB">
      <w:pPr>
        <w:spacing w:line="360" w:lineRule="auto"/>
        <w:ind w:firstLineChars="200" w:firstLine="480"/>
        <w:jc w:val="center"/>
        <w:rPr>
          <w:rFonts w:eastAsia="仿宋"/>
          <w:bCs/>
          <w:color w:val="000000"/>
          <w:sz w:val="24"/>
          <w:szCs w:val="24"/>
        </w:rPr>
      </w:pPr>
      <w:r w:rsidRPr="00E36EBB">
        <w:rPr>
          <w:rFonts w:eastAsia="仿宋"/>
          <w:bCs/>
          <w:color w:val="000000"/>
          <w:sz w:val="24"/>
          <w:szCs w:val="24"/>
        </w:rPr>
        <w:t>图</w:t>
      </w:r>
      <w:r w:rsidRPr="00E36EBB">
        <w:rPr>
          <w:rFonts w:eastAsia="仿宋" w:hint="eastAsia"/>
          <w:bCs/>
          <w:color w:val="000000"/>
          <w:sz w:val="24"/>
          <w:szCs w:val="24"/>
        </w:rPr>
        <w:t>7</w:t>
      </w:r>
      <w:r w:rsidRPr="00E36EBB">
        <w:rPr>
          <w:rFonts w:eastAsia="仿宋"/>
          <w:bCs/>
          <w:color w:val="000000"/>
          <w:sz w:val="24"/>
          <w:szCs w:val="24"/>
        </w:rPr>
        <w:t xml:space="preserve"> </w:t>
      </w:r>
      <w:r w:rsidRPr="00E36EBB">
        <w:rPr>
          <w:rFonts w:eastAsia="仿宋" w:hint="eastAsia"/>
          <w:color w:val="000000"/>
          <w:sz w:val="24"/>
          <w:szCs w:val="24"/>
        </w:rPr>
        <w:t>不同轮作模式</w:t>
      </w:r>
      <w:r w:rsidRPr="00E36EBB">
        <w:rPr>
          <w:rFonts w:eastAsia="仿宋"/>
          <w:color w:val="000000"/>
          <w:sz w:val="24"/>
          <w:szCs w:val="24"/>
        </w:rPr>
        <w:t>土壤全磷分布特征</w:t>
      </w:r>
    </w:p>
    <w:p w14:paraId="3B7437B5"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不同饲草模式对0-10 cm土壤速效磷有显著影响，但在成熟期土壤速效磷含量变化趋势不一。在饲草成熟期0-10 cm土壤速效磷变化范围为15.38-24.74mg kg</w:t>
      </w:r>
      <w:r w:rsidRPr="00E36EBB">
        <w:rPr>
          <w:rFonts w:ascii="宋体" w:hAnsi="宋体" w:cs="宋体" w:hint="eastAsia"/>
          <w:sz w:val="24"/>
          <w:szCs w:val="24"/>
          <w:vertAlign w:val="superscript"/>
        </w:rPr>
        <w:t>-1</w:t>
      </w:r>
      <w:r w:rsidRPr="00E36EBB">
        <w:rPr>
          <w:rFonts w:ascii="宋体" w:hAnsi="宋体" w:cs="宋体" w:hint="eastAsia"/>
          <w:sz w:val="24"/>
          <w:szCs w:val="24"/>
        </w:rPr>
        <w:t>，燕麦模式显著高于高丹草和黑麦草模式（</w:t>
      </w:r>
      <w:r w:rsidRPr="00E36EBB">
        <w:rPr>
          <w:rFonts w:ascii="宋体" w:hAnsi="宋体" w:cs="宋体" w:hint="eastAsia"/>
          <w:i/>
          <w:sz w:val="24"/>
          <w:szCs w:val="24"/>
        </w:rPr>
        <w:t>p</w:t>
      </w:r>
      <w:r w:rsidRPr="00E36EBB">
        <w:rPr>
          <w:rFonts w:ascii="宋体" w:hAnsi="宋体" w:cs="宋体" w:hint="eastAsia"/>
          <w:sz w:val="24"/>
          <w:szCs w:val="24"/>
        </w:rPr>
        <w:t>&lt;0.05），与本底值相比，黑麦草模式和高丹草模式分别下降了39.98%（</w:t>
      </w:r>
      <w:r w:rsidRPr="00E36EBB">
        <w:rPr>
          <w:rFonts w:ascii="宋体" w:hAnsi="宋体" w:cs="宋体" w:hint="eastAsia"/>
          <w:i/>
          <w:sz w:val="24"/>
          <w:szCs w:val="24"/>
        </w:rPr>
        <w:t>p</w:t>
      </w:r>
      <w:r w:rsidRPr="00E36EBB">
        <w:rPr>
          <w:rFonts w:ascii="宋体" w:hAnsi="宋体" w:cs="宋体" w:hint="eastAsia"/>
          <w:sz w:val="24"/>
          <w:szCs w:val="24"/>
        </w:rPr>
        <w:t>&lt;0.05）和28.86%，而燕麦模式增加了97.67%（</w:t>
      </w:r>
      <w:r w:rsidRPr="00E36EBB">
        <w:rPr>
          <w:rFonts w:ascii="宋体" w:hAnsi="宋体" w:cs="宋体" w:hint="eastAsia"/>
          <w:i/>
          <w:sz w:val="24"/>
          <w:szCs w:val="24"/>
        </w:rPr>
        <w:t>p</w:t>
      </w:r>
      <w:r w:rsidRPr="00E36EBB">
        <w:rPr>
          <w:rFonts w:ascii="宋体" w:hAnsi="宋体" w:cs="宋体" w:hint="eastAsia"/>
          <w:sz w:val="24"/>
          <w:szCs w:val="24"/>
        </w:rPr>
        <w:t>&lt;0.05）。10-20 cm土壤速效磷变化范围为14.26-18.34mg kg</w:t>
      </w:r>
      <w:r w:rsidRPr="00E36EBB">
        <w:rPr>
          <w:rFonts w:ascii="宋体" w:hAnsi="宋体" w:cs="宋体" w:hint="eastAsia"/>
          <w:sz w:val="24"/>
          <w:szCs w:val="24"/>
          <w:vertAlign w:val="superscript"/>
        </w:rPr>
        <w:t>-1</w:t>
      </w:r>
      <w:r w:rsidRPr="00E36EBB">
        <w:rPr>
          <w:rFonts w:ascii="宋体" w:hAnsi="宋体" w:cs="宋体" w:hint="eastAsia"/>
          <w:sz w:val="24"/>
          <w:szCs w:val="24"/>
        </w:rPr>
        <w:t>，不同饲草模式成熟期土壤速效磷含量较本底值增加了23.10%-85.87%，燕麦模式增加幅度最大。20-40 cm土壤速效磷含量为15.44-17.59mg kg</w:t>
      </w:r>
      <w:r w:rsidRPr="00E36EBB">
        <w:rPr>
          <w:rFonts w:ascii="宋体" w:hAnsi="宋体" w:cs="宋体" w:hint="eastAsia"/>
          <w:sz w:val="24"/>
          <w:szCs w:val="24"/>
          <w:vertAlign w:val="superscript"/>
        </w:rPr>
        <w:t>-1</w:t>
      </w:r>
      <w:r w:rsidRPr="00E36EBB">
        <w:rPr>
          <w:rFonts w:ascii="宋体" w:hAnsi="宋体" w:cs="宋体" w:hint="eastAsia"/>
          <w:sz w:val="24"/>
          <w:szCs w:val="24"/>
        </w:rPr>
        <w:t>，黑麦草和高丹草分别增加了22.92%和34.70%，而燕麦模式减少了1.37%。</w:t>
      </w:r>
    </w:p>
    <w:p w14:paraId="7489F4F7" w14:textId="31972715" w:rsidR="00440305" w:rsidRPr="00E36EBB" w:rsidRDefault="00440305" w:rsidP="00E36EBB">
      <w:pPr>
        <w:spacing w:line="360" w:lineRule="auto"/>
        <w:rPr>
          <w:sz w:val="24"/>
          <w:szCs w:val="24"/>
        </w:rPr>
      </w:pPr>
      <w:r w:rsidRPr="00E36EBB">
        <w:rPr>
          <w:noProof/>
          <w:sz w:val="24"/>
          <w:szCs w:val="24"/>
        </w:rPr>
        <w:drawing>
          <wp:inline distT="0" distB="0" distL="0" distR="0" wp14:anchorId="346FC8CC" wp14:editId="5E064523">
            <wp:extent cx="5271770" cy="1367790"/>
            <wp:effectExtent l="0" t="0" r="0" b="0"/>
            <wp:docPr id="4615966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770" cy="1367790"/>
                    </a:xfrm>
                    <a:prstGeom prst="rect">
                      <a:avLst/>
                    </a:prstGeom>
                    <a:noFill/>
                    <a:ln>
                      <a:noFill/>
                    </a:ln>
                  </pic:spPr>
                </pic:pic>
              </a:graphicData>
            </a:graphic>
          </wp:inline>
        </w:drawing>
      </w:r>
    </w:p>
    <w:p w14:paraId="6B879C3E" w14:textId="77777777" w:rsidR="00440305" w:rsidRPr="00E36EBB" w:rsidRDefault="00440305" w:rsidP="00E36EBB">
      <w:pPr>
        <w:spacing w:line="360" w:lineRule="auto"/>
        <w:ind w:firstLineChars="200" w:firstLine="480"/>
        <w:jc w:val="center"/>
        <w:rPr>
          <w:rFonts w:eastAsia="仿宋"/>
          <w:bCs/>
          <w:color w:val="000000"/>
          <w:sz w:val="24"/>
          <w:szCs w:val="24"/>
        </w:rPr>
      </w:pPr>
      <w:r w:rsidRPr="00E36EBB">
        <w:rPr>
          <w:rFonts w:eastAsia="仿宋"/>
          <w:bCs/>
          <w:color w:val="000000"/>
          <w:sz w:val="24"/>
          <w:szCs w:val="24"/>
        </w:rPr>
        <w:t>图</w:t>
      </w:r>
      <w:r w:rsidRPr="00E36EBB">
        <w:rPr>
          <w:rFonts w:eastAsia="仿宋" w:hint="eastAsia"/>
          <w:bCs/>
          <w:color w:val="000000"/>
          <w:sz w:val="24"/>
          <w:szCs w:val="24"/>
        </w:rPr>
        <w:t>8</w:t>
      </w:r>
      <w:r w:rsidRPr="00E36EBB">
        <w:rPr>
          <w:rFonts w:eastAsia="仿宋"/>
          <w:bCs/>
          <w:color w:val="000000"/>
          <w:sz w:val="24"/>
          <w:szCs w:val="24"/>
        </w:rPr>
        <w:t xml:space="preserve"> </w:t>
      </w:r>
      <w:r w:rsidRPr="00E36EBB">
        <w:rPr>
          <w:rFonts w:eastAsia="仿宋" w:hint="eastAsia"/>
          <w:color w:val="000000"/>
          <w:sz w:val="24"/>
          <w:szCs w:val="24"/>
        </w:rPr>
        <w:t>不同轮作模式</w:t>
      </w:r>
      <w:r w:rsidRPr="00E36EBB">
        <w:rPr>
          <w:rFonts w:eastAsia="仿宋"/>
          <w:color w:val="000000"/>
          <w:sz w:val="24"/>
          <w:szCs w:val="24"/>
        </w:rPr>
        <w:t>土壤速效磷分布特征</w:t>
      </w:r>
    </w:p>
    <w:p w14:paraId="4C81E1BF"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不同饲草模式对0-10 cm土壤铵态氮无显著影响。在饲草成熟期0-10 cm土壤铵态氮变化范围为28.72-36.16mg kg</w:t>
      </w:r>
      <w:r w:rsidRPr="00E36EBB">
        <w:rPr>
          <w:rFonts w:ascii="宋体" w:hAnsi="宋体" w:cs="宋体" w:hint="eastAsia"/>
          <w:sz w:val="24"/>
          <w:szCs w:val="24"/>
          <w:vertAlign w:val="superscript"/>
        </w:rPr>
        <w:t>-1</w:t>
      </w:r>
      <w:r w:rsidRPr="00E36EBB">
        <w:rPr>
          <w:rFonts w:ascii="宋体" w:hAnsi="宋体" w:cs="宋体" w:hint="eastAsia"/>
          <w:sz w:val="24"/>
          <w:szCs w:val="24"/>
        </w:rPr>
        <w:t>，燕麦模式土壤铵态氮含量最高，与本底值相比，黑麦草模式和燕麦模式分别增加了5.89%和33.13%，而高丹草模式下降了4.02%。10-20 cm土壤铵态氮变化范围为24.51-32.53mg kg</w:t>
      </w:r>
      <w:r w:rsidRPr="00E36EBB">
        <w:rPr>
          <w:rFonts w:ascii="宋体" w:hAnsi="宋体" w:cs="宋体" w:hint="eastAsia"/>
          <w:sz w:val="24"/>
          <w:szCs w:val="24"/>
          <w:vertAlign w:val="superscript"/>
        </w:rPr>
        <w:t>-1</w:t>
      </w:r>
      <w:r w:rsidRPr="00E36EBB">
        <w:rPr>
          <w:rFonts w:ascii="宋体" w:hAnsi="宋体" w:cs="宋体" w:hint="eastAsia"/>
          <w:sz w:val="24"/>
          <w:szCs w:val="24"/>
        </w:rPr>
        <w:t>，黑麦草模式和燕麦模式分别减少了1.24%和15.75%，而高丹草模式增加了8.32%。20-40 cm土壤铵态氮含量为22.95-27.68mg kg</w:t>
      </w:r>
      <w:r w:rsidRPr="00E36EBB">
        <w:rPr>
          <w:rFonts w:ascii="宋体" w:hAnsi="宋体" w:cs="宋体" w:hint="eastAsia"/>
          <w:sz w:val="24"/>
          <w:szCs w:val="24"/>
          <w:vertAlign w:val="superscript"/>
        </w:rPr>
        <w:t>-1</w:t>
      </w:r>
      <w:r w:rsidRPr="00E36EBB">
        <w:rPr>
          <w:rFonts w:ascii="宋体" w:hAnsi="宋体" w:cs="宋体" w:hint="eastAsia"/>
          <w:sz w:val="24"/>
          <w:szCs w:val="24"/>
        </w:rPr>
        <w:t>，黑麦草和高丹草分别减少了22.16%和8.06%，而燕麦模式增加了8.98%。</w:t>
      </w:r>
    </w:p>
    <w:p w14:paraId="2DBE3388" w14:textId="2EF15BBC" w:rsidR="00440305" w:rsidRPr="00E36EBB" w:rsidRDefault="00440305" w:rsidP="00E36EBB">
      <w:pPr>
        <w:spacing w:line="360" w:lineRule="auto"/>
        <w:rPr>
          <w:sz w:val="24"/>
          <w:szCs w:val="24"/>
        </w:rPr>
      </w:pPr>
      <w:r w:rsidRPr="00E36EBB">
        <w:rPr>
          <w:noProof/>
          <w:sz w:val="24"/>
          <w:szCs w:val="24"/>
        </w:rPr>
        <w:drawing>
          <wp:inline distT="0" distB="0" distL="0" distR="0" wp14:anchorId="2D55B870" wp14:editId="46BBD544">
            <wp:extent cx="5271770" cy="1359535"/>
            <wp:effectExtent l="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770" cy="1359535"/>
                    </a:xfrm>
                    <a:prstGeom prst="rect">
                      <a:avLst/>
                    </a:prstGeom>
                    <a:noFill/>
                    <a:ln>
                      <a:noFill/>
                    </a:ln>
                  </pic:spPr>
                </pic:pic>
              </a:graphicData>
            </a:graphic>
          </wp:inline>
        </w:drawing>
      </w:r>
    </w:p>
    <w:p w14:paraId="74CBA565" w14:textId="77777777" w:rsidR="00440305" w:rsidRPr="00E36EBB" w:rsidRDefault="00440305" w:rsidP="00E36EBB">
      <w:pPr>
        <w:spacing w:line="360" w:lineRule="auto"/>
        <w:ind w:firstLineChars="200" w:firstLine="480"/>
        <w:jc w:val="center"/>
        <w:rPr>
          <w:rFonts w:eastAsia="仿宋"/>
          <w:bCs/>
          <w:color w:val="000000"/>
          <w:sz w:val="24"/>
          <w:szCs w:val="24"/>
        </w:rPr>
      </w:pPr>
      <w:r w:rsidRPr="00E36EBB">
        <w:rPr>
          <w:rFonts w:eastAsia="仿宋"/>
          <w:bCs/>
          <w:color w:val="000000"/>
          <w:sz w:val="24"/>
          <w:szCs w:val="24"/>
        </w:rPr>
        <w:t>图</w:t>
      </w:r>
      <w:r w:rsidRPr="00E36EBB">
        <w:rPr>
          <w:rFonts w:eastAsia="仿宋" w:hint="eastAsia"/>
          <w:bCs/>
          <w:color w:val="000000"/>
          <w:sz w:val="24"/>
          <w:szCs w:val="24"/>
        </w:rPr>
        <w:t>9</w:t>
      </w:r>
      <w:r w:rsidRPr="00E36EBB">
        <w:rPr>
          <w:rFonts w:eastAsia="仿宋"/>
          <w:bCs/>
          <w:color w:val="000000"/>
          <w:sz w:val="24"/>
          <w:szCs w:val="24"/>
        </w:rPr>
        <w:t xml:space="preserve"> </w:t>
      </w:r>
      <w:r w:rsidRPr="00E36EBB">
        <w:rPr>
          <w:rFonts w:eastAsia="仿宋" w:hint="eastAsia"/>
          <w:color w:val="000000"/>
          <w:sz w:val="24"/>
          <w:szCs w:val="24"/>
        </w:rPr>
        <w:t>不同轮作模式</w:t>
      </w:r>
      <w:r w:rsidRPr="00E36EBB">
        <w:rPr>
          <w:rFonts w:eastAsia="仿宋"/>
          <w:color w:val="000000"/>
          <w:sz w:val="24"/>
          <w:szCs w:val="24"/>
        </w:rPr>
        <w:t>土壤铵态氮分布特征</w:t>
      </w:r>
    </w:p>
    <w:p w14:paraId="43950E59"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不同饲草模式对0-10 cm土壤硝态氮有显著影响，且在成熟期土壤硝态氮含量呈下降趋势。在饲草成熟期0-10 cm土壤硝态氮变化范围为1.88-5.86mg kg</w:t>
      </w:r>
      <w:r w:rsidRPr="00E36EBB">
        <w:rPr>
          <w:rFonts w:ascii="宋体" w:hAnsi="宋体" w:cs="宋体" w:hint="eastAsia"/>
          <w:sz w:val="24"/>
          <w:szCs w:val="24"/>
          <w:vertAlign w:val="superscript"/>
        </w:rPr>
        <w:t>-1</w:t>
      </w:r>
      <w:r w:rsidRPr="00E36EBB">
        <w:rPr>
          <w:rFonts w:ascii="宋体" w:hAnsi="宋体" w:cs="宋体" w:hint="eastAsia"/>
          <w:sz w:val="24"/>
          <w:szCs w:val="24"/>
        </w:rPr>
        <w:t>，燕麦模式和高丹草模式显著高于黑麦草模式（</w:t>
      </w:r>
      <w:r w:rsidRPr="00E36EBB">
        <w:rPr>
          <w:rFonts w:ascii="宋体" w:hAnsi="宋体" w:cs="宋体" w:hint="eastAsia"/>
          <w:i/>
          <w:sz w:val="24"/>
          <w:szCs w:val="24"/>
        </w:rPr>
        <w:t>p</w:t>
      </w:r>
      <w:r w:rsidRPr="00E36EBB">
        <w:rPr>
          <w:rFonts w:ascii="宋体" w:hAnsi="宋体" w:cs="宋体" w:hint="eastAsia"/>
          <w:sz w:val="24"/>
          <w:szCs w:val="24"/>
        </w:rPr>
        <w:t>&lt;0.05），与本底值相比，不同饲草模式土壤硝态氮均呈显著下降趋势（</w:t>
      </w:r>
      <w:r w:rsidRPr="00E36EBB">
        <w:rPr>
          <w:rFonts w:ascii="宋体" w:hAnsi="宋体" w:cs="宋体" w:hint="eastAsia"/>
          <w:i/>
          <w:sz w:val="24"/>
          <w:szCs w:val="24"/>
        </w:rPr>
        <w:t>p</w:t>
      </w:r>
      <w:r w:rsidRPr="00E36EBB">
        <w:rPr>
          <w:rFonts w:ascii="宋体" w:hAnsi="宋体" w:cs="宋体" w:hint="eastAsia"/>
          <w:sz w:val="24"/>
          <w:szCs w:val="24"/>
        </w:rPr>
        <w:t>&lt;0.05），黑麦草模式下降了82.44%，其次为高丹草（67.27%）和燕麦（44.99%）。10-20 cm土壤硝态氮变化范围为2.14-3.42mg kg</w:t>
      </w:r>
      <w:r w:rsidRPr="00E36EBB">
        <w:rPr>
          <w:rFonts w:ascii="宋体" w:hAnsi="宋体" w:cs="宋体" w:hint="eastAsia"/>
          <w:sz w:val="24"/>
          <w:szCs w:val="24"/>
          <w:vertAlign w:val="superscript"/>
        </w:rPr>
        <w:t>-1</w:t>
      </w:r>
      <w:r w:rsidRPr="00E36EBB">
        <w:rPr>
          <w:rFonts w:ascii="宋体" w:hAnsi="宋体" w:cs="宋体" w:hint="eastAsia"/>
          <w:sz w:val="24"/>
          <w:szCs w:val="24"/>
        </w:rPr>
        <w:t>，不同饲草模式成熟期土壤硝态氮含量较本底值减少了32.17%-67.95%，黑麦草模式下降幅度最大。20-40 cm土壤硝态氮含量为1.66-2.80mg kg</w:t>
      </w:r>
      <w:r w:rsidRPr="00E36EBB">
        <w:rPr>
          <w:rFonts w:ascii="宋体" w:hAnsi="宋体" w:cs="宋体" w:hint="eastAsia"/>
          <w:sz w:val="24"/>
          <w:szCs w:val="24"/>
          <w:vertAlign w:val="superscript"/>
        </w:rPr>
        <w:t>-1</w:t>
      </w:r>
      <w:r w:rsidRPr="00E36EBB">
        <w:rPr>
          <w:rFonts w:ascii="宋体" w:hAnsi="宋体" w:cs="宋体" w:hint="eastAsia"/>
          <w:sz w:val="24"/>
          <w:szCs w:val="24"/>
        </w:rPr>
        <w:t>，黑麦草，燕麦和高丹草分别下降了49.65%（</w:t>
      </w:r>
      <w:r w:rsidRPr="00E36EBB">
        <w:rPr>
          <w:rFonts w:ascii="宋体" w:hAnsi="宋体" w:cs="宋体" w:hint="eastAsia"/>
          <w:i/>
          <w:sz w:val="24"/>
          <w:szCs w:val="24"/>
        </w:rPr>
        <w:t>p</w:t>
      </w:r>
      <w:r w:rsidRPr="00E36EBB">
        <w:rPr>
          <w:rFonts w:ascii="宋体" w:hAnsi="宋体" w:cs="宋体" w:hint="eastAsia"/>
          <w:sz w:val="24"/>
          <w:szCs w:val="24"/>
        </w:rPr>
        <w:t>&lt;0.05），26.41%和21.16%。</w:t>
      </w:r>
    </w:p>
    <w:p w14:paraId="48545382" w14:textId="74B695C3" w:rsidR="00440305" w:rsidRPr="00E36EBB" w:rsidRDefault="00440305" w:rsidP="00E36EBB">
      <w:pPr>
        <w:spacing w:line="360" w:lineRule="auto"/>
        <w:rPr>
          <w:sz w:val="24"/>
          <w:szCs w:val="24"/>
        </w:rPr>
      </w:pPr>
      <w:r w:rsidRPr="00E36EBB">
        <w:rPr>
          <w:noProof/>
          <w:sz w:val="24"/>
          <w:szCs w:val="24"/>
        </w:rPr>
        <w:drawing>
          <wp:inline distT="0" distB="0" distL="0" distR="0" wp14:anchorId="5575D7B4" wp14:editId="079EDDFB">
            <wp:extent cx="5279390" cy="1391285"/>
            <wp:effectExtent l="0" t="0" r="0" b="0"/>
            <wp:docPr id="2" name="图片 8" descr="C:\Users\wmb\Desktop\新建文件夹 (2)\NON农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wmb\Desktop\新建文件夹 (2)\NON农田.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390" cy="1391285"/>
                    </a:xfrm>
                    <a:prstGeom prst="rect">
                      <a:avLst/>
                    </a:prstGeom>
                    <a:noFill/>
                    <a:ln>
                      <a:noFill/>
                    </a:ln>
                  </pic:spPr>
                </pic:pic>
              </a:graphicData>
            </a:graphic>
          </wp:inline>
        </w:drawing>
      </w:r>
    </w:p>
    <w:p w14:paraId="661480A2" w14:textId="77777777" w:rsidR="00440305" w:rsidRPr="00E36EBB" w:rsidRDefault="00440305" w:rsidP="00E36EBB">
      <w:pPr>
        <w:spacing w:line="360" w:lineRule="auto"/>
        <w:ind w:firstLineChars="200" w:firstLine="480"/>
        <w:jc w:val="center"/>
        <w:rPr>
          <w:rFonts w:eastAsia="仿宋"/>
          <w:color w:val="000000"/>
          <w:sz w:val="24"/>
          <w:szCs w:val="24"/>
        </w:rPr>
      </w:pPr>
      <w:r w:rsidRPr="00E36EBB">
        <w:rPr>
          <w:rFonts w:eastAsia="仿宋"/>
          <w:bCs/>
          <w:color w:val="000000"/>
          <w:sz w:val="24"/>
          <w:szCs w:val="24"/>
        </w:rPr>
        <w:t>图</w:t>
      </w:r>
      <w:r w:rsidRPr="00E36EBB">
        <w:rPr>
          <w:rFonts w:eastAsia="仿宋"/>
          <w:bCs/>
          <w:color w:val="000000"/>
          <w:sz w:val="24"/>
          <w:szCs w:val="24"/>
        </w:rPr>
        <w:t>1</w:t>
      </w:r>
      <w:r w:rsidRPr="00E36EBB">
        <w:rPr>
          <w:rFonts w:eastAsia="仿宋" w:hint="eastAsia"/>
          <w:bCs/>
          <w:color w:val="000000"/>
          <w:sz w:val="24"/>
          <w:szCs w:val="24"/>
        </w:rPr>
        <w:t>0</w:t>
      </w:r>
      <w:r w:rsidRPr="00E36EBB">
        <w:rPr>
          <w:rFonts w:eastAsia="仿宋"/>
          <w:bCs/>
          <w:color w:val="000000"/>
          <w:sz w:val="24"/>
          <w:szCs w:val="24"/>
        </w:rPr>
        <w:t xml:space="preserve"> </w:t>
      </w:r>
      <w:r w:rsidRPr="00E36EBB">
        <w:rPr>
          <w:rFonts w:eastAsia="仿宋" w:hint="eastAsia"/>
          <w:color w:val="000000"/>
          <w:sz w:val="24"/>
          <w:szCs w:val="24"/>
        </w:rPr>
        <w:t>不同轮作模式</w:t>
      </w:r>
      <w:r w:rsidRPr="00E36EBB">
        <w:rPr>
          <w:rFonts w:eastAsia="仿宋"/>
          <w:color w:val="000000"/>
          <w:sz w:val="24"/>
          <w:szCs w:val="24"/>
        </w:rPr>
        <w:t>土壤硝态氮分布特征</w:t>
      </w:r>
    </w:p>
    <w:p w14:paraId="3B97C1F6" w14:textId="77777777" w:rsidR="00440305" w:rsidRPr="00E36EBB" w:rsidRDefault="00440305" w:rsidP="00E36EBB">
      <w:pPr>
        <w:pStyle w:val="2"/>
        <w:rPr>
          <w:rFonts w:hint="eastAsia"/>
        </w:rPr>
      </w:pPr>
      <w:bookmarkStart w:id="15" w:name="_Toc176458288"/>
      <w:r w:rsidRPr="00E36EBB">
        <w:rPr>
          <w:rFonts w:hint="eastAsia"/>
        </w:rPr>
        <w:t>（</w:t>
      </w:r>
      <w:r w:rsidRPr="00E36EBB">
        <w:rPr>
          <w:rFonts w:hint="eastAsia"/>
        </w:rPr>
        <w:t>8</w:t>
      </w:r>
      <w:r w:rsidRPr="00E36EBB">
        <w:rPr>
          <w:rFonts w:hint="eastAsia"/>
        </w:rPr>
        <w:t>）不同轮作模式土壤有机碳变化</w:t>
      </w:r>
      <w:bookmarkEnd w:id="15"/>
    </w:p>
    <w:p w14:paraId="47F8BE8D" w14:textId="77777777" w:rsidR="00440305" w:rsidRPr="00E36EBB" w:rsidRDefault="00440305" w:rsidP="00E36EBB">
      <w:pPr>
        <w:spacing w:line="360" w:lineRule="auto"/>
        <w:ind w:firstLineChars="200" w:firstLine="480"/>
        <w:rPr>
          <w:rFonts w:ascii="宋体" w:hAnsi="宋体" w:cs="宋体" w:hint="eastAsia"/>
          <w:sz w:val="24"/>
          <w:szCs w:val="24"/>
        </w:rPr>
      </w:pPr>
      <w:r w:rsidRPr="00E36EBB">
        <w:rPr>
          <w:rFonts w:ascii="宋体" w:hAnsi="宋体" w:cs="宋体" w:hint="eastAsia"/>
          <w:sz w:val="24"/>
          <w:szCs w:val="24"/>
        </w:rPr>
        <w:t>不同轮作模式对土壤有机碳含量无显著影响。然而，2022年结果表明通过饲草种植土壤有机碳均呈现增加趋势，其中，</w:t>
      </w:r>
      <w:r w:rsidRPr="00E36EBB">
        <w:rPr>
          <w:rFonts w:ascii="宋体" w:hAnsi="宋体" w:cs="宋体" w:hint="eastAsia"/>
          <w:i/>
          <w:iCs/>
          <w:sz w:val="24"/>
          <w:szCs w:val="24"/>
        </w:rPr>
        <w:t>S.S-Maize</w:t>
      </w:r>
      <w:r w:rsidRPr="00E36EBB">
        <w:rPr>
          <w:rFonts w:ascii="宋体" w:hAnsi="宋体" w:cs="宋体" w:hint="eastAsia"/>
          <w:sz w:val="24"/>
          <w:szCs w:val="24"/>
        </w:rPr>
        <w:t>模式增加了32.49%，其次为</w:t>
      </w:r>
      <w:r w:rsidRPr="00E36EBB">
        <w:rPr>
          <w:rFonts w:ascii="宋体" w:hAnsi="宋体" w:cs="宋体" w:hint="eastAsia"/>
          <w:i/>
          <w:iCs/>
          <w:sz w:val="24"/>
          <w:szCs w:val="24"/>
        </w:rPr>
        <w:t>Oat-Maize</w:t>
      </w:r>
      <w:r w:rsidRPr="00E36EBB">
        <w:rPr>
          <w:rFonts w:ascii="宋体" w:hAnsi="宋体" w:cs="宋体" w:hint="eastAsia"/>
          <w:sz w:val="24"/>
          <w:szCs w:val="24"/>
        </w:rPr>
        <w:t>模式（16.74%）和</w:t>
      </w:r>
      <w:r w:rsidRPr="00E36EBB">
        <w:rPr>
          <w:rFonts w:ascii="宋体" w:hAnsi="宋体" w:cs="宋体" w:hint="eastAsia"/>
          <w:i/>
          <w:iCs/>
          <w:sz w:val="24"/>
          <w:szCs w:val="24"/>
        </w:rPr>
        <w:t>Regrass-Maize</w:t>
      </w:r>
      <w:r w:rsidRPr="00E36EBB">
        <w:rPr>
          <w:rFonts w:ascii="宋体" w:hAnsi="宋体" w:cs="宋体" w:hint="eastAsia"/>
          <w:sz w:val="24"/>
          <w:szCs w:val="24"/>
        </w:rPr>
        <w:t>模式（2.53%）。2023年结果表明在粮饲轮作模式下玉米种植能够维持0-20 cm土壤有机碳，</w:t>
      </w:r>
      <w:r w:rsidRPr="00E36EBB">
        <w:rPr>
          <w:rFonts w:ascii="宋体" w:hAnsi="宋体" w:cs="宋体" w:hint="eastAsia"/>
          <w:i/>
          <w:iCs/>
          <w:sz w:val="24"/>
          <w:szCs w:val="24"/>
        </w:rPr>
        <w:t>Regrass-Maize</w:t>
      </w:r>
      <w:r w:rsidRPr="00E36EBB">
        <w:rPr>
          <w:rFonts w:ascii="宋体" w:hAnsi="宋体" w:cs="宋体" w:hint="eastAsia"/>
          <w:sz w:val="24"/>
          <w:szCs w:val="24"/>
        </w:rPr>
        <w:t>模式和</w:t>
      </w:r>
      <w:r w:rsidRPr="00E36EBB">
        <w:rPr>
          <w:rFonts w:ascii="宋体" w:hAnsi="宋体" w:cs="宋体" w:hint="eastAsia"/>
          <w:i/>
          <w:iCs/>
          <w:sz w:val="24"/>
          <w:szCs w:val="24"/>
        </w:rPr>
        <w:t>Oat-Maize</w:t>
      </w:r>
      <w:r w:rsidRPr="00E36EBB">
        <w:rPr>
          <w:rFonts w:ascii="宋体" w:hAnsi="宋体" w:cs="宋体" w:hint="eastAsia"/>
          <w:sz w:val="24"/>
          <w:szCs w:val="24"/>
        </w:rPr>
        <w:t>模式分别增加了2.83%和1.60%，而</w:t>
      </w:r>
      <w:r w:rsidRPr="00E36EBB">
        <w:rPr>
          <w:rFonts w:ascii="宋体" w:hAnsi="宋体" w:cs="宋体" w:hint="eastAsia"/>
          <w:i/>
          <w:iCs/>
          <w:sz w:val="24"/>
          <w:szCs w:val="24"/>
        </w:rPr>
        <w:t>S.S-Maize</w:t>
      </w:r>
      <w:r w:rsidRPr="00E36EBB">
        <w:rPr>
          <w:rFonts w:ascii="宋体" w:hAnsi="宋体" w:cs="宋体" w:hint="eastAsia"/>
          <w:sz w:val="24"/>
          <w:szCs w:val="24"/>
        </w:rPr>
        <w:t>模式减少了1.32%。如图2所示，不同轮作模式均能够增加土壤有机碳含量，</w:t>
      </w:r>
      <w:r w:rsidRPr="00E36EBB">
        <w:rPr>
          <w:rFonts w:ascii="宋体" w:hAnsi="宋体" w:cs="宋体" w:hint="eastAsia"/>
          <w:i/>
          <w:iCs/>
          <w:sz w:val="24"/>
          <w:szCs w:val="24"/>
        </w:rPr>
        <w:t>Oat-Maize</w:t>
      </w:r>
      <w:r w:rsidRPr="00E36EBB">
        <w:rPr>
          <w:rFonts w:ascii="宋体" w:hAnsi="宋体" w:cs="宋体" w:hint="eastAsia"/>
          <w:sz w:val="24"/>
          <w:szCs w:val="24"/>
        </w:rPr>
        <w:t>模式，</w:t>
      </w:r>
      <w:r w:rsidRPr="00E36EBB">
        <w:rPr>
          <w:rFonts w:ascii="宋体" w:hAnsi="宋体" w:cs="宋体" w:hint="eastAsia"/>
          <w:i/>
          <w:iCs/>
          <w:sz w:val="24"/>
          <w:szCs w:val="24"/>
        </w:rPr>
        <w:t>S.S-Maize</w:t>
      </w:r>
      <w:r w:rsidRPr="00E36EBB">
        <w:rPr>
          <w:rFonts w:ascii="宋体" w:hAnsi="宋体" w:cs="宋体" w:hint="eastAsia"/>
          <w:sz w:val="24"/>
          <w:szCs w:val="24"/>
        </w:rPr>
        <w:t>模式和</w:t>
      </w:r>
      <w:r w:rsidRPr="00E36EBB">
        <w:rPr>
          <w:rFonts w:ascii="宋体" w:hAnsi="宋体" w:cs="宋体" w:hint="eastAsia"/>
          <w:i/>
          <w:iCs/>
          <w:sz w:val="24"/>
          <w:szCs w:val="24"/>
        </w:rPr>
        <w:t>Regrass-Maize</w:t>
      </w:r>
      <w:r w:rsidRPr="00E36EBB">
        <w:rPr>
          <w:rFonts w:ascii="宋体" w:hAnsi="宋体" w:cs="宋体" w:hint="eastAsia"/>
          <w:sz w:val="24"/>
          <w:szCs w:val="24"/>
        </w:rPr>
        <w:t>模式分别增加了17.19%，9.67%和1.78%，土壤有机碳含量的增加主要表现在饲草种植阶段，而后整体趋于稳定。</w:t>
      </w:r>
    </w:p>
    <w:p w14:paraId="2CB30C4D" w14:textId="266B21F1" w:rsidR="00440305" w:rsidRPr="00E36EBB" w:rsidRDefault="00440305" w:rsidP="00E36EBB">
      <w:pPr>
        <w:spacing w:line="360" w:lineRule="auto"/>
        <w:jc w:val="center"/>
        <w:rPr>
          <w:sz w:val="24"/>
          <w:szCs w:val="24"/>
        </w:rPr>
      </w:pPr>
      <w:r w:rsidRPr="00E36EBB">
        <w:rPr>
          <w:noProof/>
          <w:sz w:val="24"/>
          <w:szCs w:val="24"/>
        </w:rPr>
        <w:drawing>
          <wp:inline distT="0" distB="0" distL="0" distR="0" wp14:anchorId="194AEF53" wp14:editId="52FE61A5">
            <wp:extent cx="4786630" cy="3689350"/>
            <wp:effectExtent l="0" t="0" r="0" b="0"/>
            <wp:docPr id="1" name="图片 311571333" descr="F:\11\SOC大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571333" descr="F:\11\SOC大田.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6630" cy="3689350"/>
                    </a:xfrm>
                    <a:prstGeom prst="rect">
                      <a:avLst/>
                    </a:prstGeom>
                    <a:noFill/>
                    <a:ln>
                      <a:noFill/>
                    </a:ln>
                  </pic:spPr>
                </pic:pic>
              </a:graphicData>
            </a:graphic>
          </wp:inline>
        </w:drawing>
      </w:r>
    </w:p>
    <w:p w14:paraId="6BEBC115" w14:textId="77777777" w:rsidR="00440305" w:rsidRPr="00E36EBB" w:rsidRDefault="00440305" w:rsidP="00E36EBB">
      <w:pPr>
        <w:autoSpaceDE w:val="0"/>
        <w:autoSpaceDN w:val="0"/>
        <w:adjustRightInd w:val="0"/>
        <w:spacing w:line="360" w:lineRule="auto"/>
        <w:jc w:val="center"/>
        <w:rPr>
          <w:rFonts w:ascii="仿宋" w:eastAsia="仿宋" w:hAnsi="仿宋" w:hint="eastAsia"/>
          <w:kern w:val="0"/>
          <w:sz w:val="24"/>
          <w:szCs w:val="24"/>
        </w:rPr>
      </w:pPr>
      <w:r w:rsidRPr="00E36EBB">
        <w:rPr>
          <w:rFonts w:ascii="仿宋" w:eastAsia="仿宋" w:hAnsi="仿宋" w:hint="eastAsia"/>
          <w:kern w:val="0"/>
          <w:sz w:val="24"/>
          <w:szCs w:val="24"/>
        </w:rPr>
        <w:t>图11</w:t>
      </w:r>
      <w:r w:rsidRPr="00E36EBB">
        <w:rPr>
          <w:rFonts w:ascii="仿宋" w:eastAsia="仿宋" w:hAnsi="仿宋"/>
          <w:kern w:val="0"/>
          <w:sz w:val="24"/>
          <w:szCs w:val="24"/>
        </w:rPr>
        <w:t xml:space="preserve"> </w:t>
      </w:r>
      <w:r w:rsidRPr="00E36EBB">
        <w:rPr>
          <w:rFonts w:ascii="仿宋" w:eastAsia="仿宋" w:hAnsi="仿宋" w:hint="eastAsia"/>
          <w:kern w:val="0"/>
          <w:sz w:val="24"/>
          <w:szCs w:val="24"/>
        </w:rPr>
        <w:t>粮饲轮作前后土壤有机碳含量变化</w:t>
      </w:r>
    </w:p>
    <w:p w14:paraId="4E5B3E09" w14:textId="77777777" w:rsidR="00440305" w:rsidRPr="00E36EBB" w:rsidRDefault="00440305" w:rsidP="00E36EBB">
      <w:pPr>
        <w:pStyle w:val="2"/>
        <w:rPr>
          <w:rFonts w:hint="eastAsia"/>
        </w:rPr>
      </w:pPr>
      <w:bookmarkStart w:id="16" w:name="_Toc176458289"/>
      <w:r w:rsidRPr="00E36EBB">
        <w:rPr>
          <w:rFonts w:hint="eastAsia"/>
        </w:rPr>
        <w:t>（</w:t>
      </w:r>
      <w:r w:rsidRPr="00E36EBB">
        <w:rPr>
          <w:rFonts w:hint="eastAsia"/>
        </w:rPr>
        <w:t>9</w:t>
      </w:r>
      <w:r w:rsidRPr="00E36EBB">
        <w:rPr>
          <w:rFonts w:hint="eastAsia"/>
        </w:rPr>
        <w:t>）不同轮作模式对玉米产量的影响</w:t>
      </w:r>
      <w:bookmarkEnd w:id="16"/>
    </w:p>
    <w:p w14:paraId="1D67BF68" w14:textId="77777777" w:rsidR="00440305" w:rsidRPr="00E36EBB" w:rsidRDefault="00440305" w:rsidP="00E36EBB">
      <w:pPr>
        <w:autoSpaceDE w:val="0"/>
        <w:autoSpaceDN w:val="0"/>
        <w:adjustRightInd w:val="0"/>
        <w:spacing w:line="360" w:lineRule="auto"/>
        <w:ind w:firstLineChars="200" w:firstLine="480"/>
        <w:rPr>
          <w:rFonts w:ascii="宋体" w:hAnsi="宋体" w:cs="宋体" w:hint="eastAsia"/>
          <w:kern w:val="0"/>
          <w:sz w:val="24"/>
          <w:szCs w:val="24"/>
        </w:rPr>
      </w:pPr>
      <w:r w:rsidRPr="00E36EBB">
        <w:rPr>
          <w:rFonts w:ascii="宋体" w:hAnsi="宋体" w:cs="宋体" w:hint="eastAsia"/>
          <w:kern w:val="0"/>
          <w:sz w:val="24"/>
          <w:szCs w:val="24"/>
        </w:rPr>
        <w:t>不同轮作模式的玉米产量为18098.67-19977.00 kg hm</w:t>
      </w:r>
      <w:r w:rsidRPr="00E36EBB">
        <w:rPr>
          <w:rFonts w:ascii="宋体" w:hAnsi="宋体" w:cs="宋体" w:hint="eastAsia"/>
          <w:kern w:val="0"/>
          <w:sz w:val="24"/>
          <w:szCs w:val="24"/>
          <w:vertAlign w:val="superscript"/>
        </w:rPr>
        <w:t>-1</w:t>
      </w:r>
      <w:r w:rsidRPr="00E36EBB">
        <w:rPr>
          <w:rFonts w:ascii="宋体" w:hAnsi="宋体" w:cs="宋体" w:hint="eastAsia"/>
          <w:kern w:val="0"/>
          <w:sz w:val="24"/>
          <w:szCs w:val="24"/>
        </w:rPr>
        <w:t>，</w:t>
      </w:r>
      <w:r w:rsidRPr="00E36EBB">
        <w:rPr>
          <w:rFonts w:ascii="宋体" w:hAnsi="宋体" w:cs="宋体" w:hint="eastAsia"/>
          <w:i/>
          <w:iCs/>
          <w:kern w:val="0"/>
          <w:sz w:val="24"/>
          <w:szCs w:val="24"/>
        </w:rPr>
        <w:t>S.S-Maize</w:t>
      </w:r>
      <w:r w:rsidRPr="00E36EBB">
        <w:rPr>
          <w:rFonts w:ascii="宋体" w:hAnsi="宋体" w:cs="宋体" w:hint="eastAsia"/>
          <w:kern w:val="0"/>
          <w:sz w:val="24"/>
          <w:szCs w:val="24"/>
        </w:rPr>
        <w:t>模式玉米产量最高，较</w:t>
      </w:r>
      <w:r w:rsidRPr="00E36EBB">
        <w:rPr>
          <w:rFonts w:ascii="宋体" w:hAnsi="宋体" w:cs="宋体" w:hint="eastAsia"/>
          <w:i/>
          <w:iCs/>
          <w:kern w:val="0"/>
          <w:sz w:val="24"/>
          <w:szCs w:val="24"/>
        </w:rPr>
        <w:t>Oat-Maize</w:t>
      </w:r>
      <w:r w:rsidRPr="00E36EBB">
        <w:rPr>
          <w:rFonts w:ascii="宋体" w:hAnsi="宋体" w:cs="宋体" w:hint="eastAsia"/>
          <w:kern w:val="0"/>
          <w:sz w:val="24"/>
          <w:szCs w:val="24"/>
        </w:rPr>
        <w:t>模式和</w:t>
      </w:r>
      <w:r w:rsidRPr="00E36EBB">
        <w:rPr>
          <w:rFonts w:ascii="宋体" w:hAnsi="宋体" w:cs="宋体" w:hint="eastAsia"/>
          <w:i/>
          <w:iCs/>
          <w:kern w:val="0"/>
          <w:sz w:val="24"/>
          <w:szCs w:val="24"/>
        </w:rPr>
        <w:t>Regrass-Maize</w:t>
      </w:r>
      <w:r w:rsidRPr="00E36EBB">
        <w:rPr>
          <w:rFonts w:ascii="宋体" w:hAnsi="宋体" w:cs="宋体" w:hint="eastAsia"/>
          <w:kern w:val="0"/>
          <w:sz w:val="24"/>
          <w:szCs w:val="24"/>
        </w:rPr>
        <w:t>模式分别高6.22%和10.38%。玉米产量为9263.00-10521.33 kg hm-1，产量大小依次为</w:t>
      </w:r>
      <w:r w:rsidRPr="00E36EBB">
        <w:rPr>
          <w:rFonts w:ascii="宋体" w:hAnsi="宋体" w:cs="宋体" w:hint="eastAsia"/>
          <w:i/>
          <w:iCs/>
          <w:kern w:val="0"/>
          <w:sz w:val="24"/>
          <w:szCs w:val="24"/>
        </w:rPr>
        <w:t>S.S-Maize</w:t>
      </w:r>
      <w:r w:rsidRPr="00E36EBB">
        <w:rPr>
          <w:rFonts w:ascii="宋体" w:hAnsi="宋体" w:cs="宋体" w:hint="eastAsia"/>
          <w:kern w:val="0"/>
          <w:sz w:val="24"/>
          <w:szCs w:val="24"/>
        </w:rPr>
        <w:t>模式&gt;</w:t>
      </w:r>
      <w:r w:rsidRPr="00E36EBB">
        <w:rPr>
          <w:rFonts w:ascii="宋体" w:hAnsi="宋体" w:cs="宋体" w:hint="eastAsia"/>
          <w:i/>
          <w:iCs/>
          <w:kern w:val="0"/>
          <w:sz w:val="24"/>
          <w:szCs w:val="24"/>
        </w:rPr>
        <w:t>Oat-Maize</w:t>
      </w:r>
      <w:r w:rsidRPr="00E36EBB">
        <w:rPr>
          <w:rFonts w:ascii="宋体" w:hAnsi="宋体" w:cs="宋体" w:hint="eastAsia"/>
          <w:kern w:val="0"/>
          <w:sz w:val="24"/>
          <w:szCs w:val="24"/>
        </w:rPr>
        <w:t>模式&gt;R</w:t>
      </w:r>
      <w:r w:rsidRPr="00E36EBB">
        <w:rPr>
          <w:rFonts w:ascii="宋体" w:hAnsi="宋体" w:cs="宋体" w:hint="eastAsia"/>
          <w:i/>
          <w:iCs/>
          <w:kern w:val="0"/>
          <w:sz w:val="24"/>
          <w:szCs w:val="24"/>
        </w:rPr>
        <w:t>egrass-Maize</w:t>
      </w:r>
      <w:r w:rsidRPr="00E36EBB">
        <w:rPr>
          <w:rFonts w:ascii="宋体" w:hAnsi="宋体" w:cs="宋体" w:hint="eastAsia"/>
          <w:kern w:val="0"/>
          <w:sz w:val="24"/>
          <w:szCs w:val="24"/>
        </w:rPr>
        <w:t>模式，但未达到显著差异。收获指数为0.51-0.55，Oat-Maize模式最（0.55），其次为S.S-Maize（0.52）模式和</w:t>
      </w:r>
      <w:r w:rsidRPr="00E36EBB">
        <w:rPr>
          <w:rFonts w:ascii="宋体" w:hAnsi="宋体" w:cs="宋体" w:hint="eastAsia"/>
          <w:i/>
          <w:iCs/>
          <w:kern w:val="0"/>
          <w:sz w:val="24"/>
          <w:szCs w:val="24"/>
        </w:rPr>
        <w:t>Regrass-Maize</w:t>
      </w:r>
      <w:r w:rsidRPr="00E36EBB">
        <w:rPr>
          <w:rFonts w:ascii="宋体" w:hAnsi="宋体" w:cs="宋体" w:hint="eastAsia"/>
          <w:kern w:val="0"/>
          <w:sz w:val="24"/>
          <w:szCs w:val="24"/>
        </w:rPr>
        <w:t>（0.51）模式。然而，通过比较玉米籽粒百粒重发现，</w:t>
      </w:r>
      <w:r w:rsidRPr="00E36EBB">
        <w:rPr>
          <w:rFonts w:ascii="宋体" w:hAnsi="宋体" w:cs="宋体" w:hint="eastAsia"/>
          <w:i/>
          <w:iCs/>
          <w:kern w:val="0"/>
          <w:sz w:val="24"/>
          <w:szCs w:val="24"/>
        </w:rPr>
        <w:t>Regrass-Maize</w:t>
      </w:r>
      <w:r w:rsidRPr="00E36EBB">
        <w:rPr>
          <w:rFonts w:ascii="宋体" w:hAnsi="宋体" w:cs="宋体" w:hint="eastAsia"/>
          <w:kern w:val="0"/>
          <w:sz w:val="24"/>
          <w:szCs w:val="24"/>
        </w:rPr>
        <w:t>模式最高，为34.93 g，较</w:t>
      </w:r>
      <w:r w:rsidRPr="00E36EBB">
        <w:rPr>
          <w:rFonts w:ascii="宋体" w:hAnsi="宋体" w:cs="宋体" w:hint="eastAsia"/>
          <w:i/>
          <w:iCs/>
          <w:kern w:val="0"/>
          <w:sz w:val="24"/>
          <w:szCs w:val="24"/>
        </w:rPr>
        <w:t>Oat-Maize</w:t>
      </w:r>
      <w:r w:rsidRPr="00E36EBB">
        <w:rPr>
          <w:rFonts w:ascii="宋体" w:hAnsi="宋体" w:cs="宋体" w:hint="eastAsia"/>
          <w:kern w:val="0"/>
          <w:sz w:val="24"/>
          <w:szCs w:val="24"/>
        </w:rPr>
        <w:t>模式和</w:t>
      </w:r>
      <w:r w:rsidRPr="00E36EBB">
        <w:rPr>
          <w:rFonts w:ascii="宋体" w:hAnsi="宋体" w:cs="宋体" w:hint="eastAsia"/>
          <w:i/>
          <w:iCs/>
          <w:kern w:val="0"/>
          <w:sz w:val="24"/>
          <w:szCs w:val="24"/>
        </w:rPr>
        <w:t>S.S-Maize</w:t>
      </w:r>
      <w:r w:rsidRPr="00E36EBB">
        <w:rPr>
          <w:rFonts w:ascii="宋体" w:hAnsi="宋体" w:cs="宋体" w:hint="eastAsia"/>
          <w:kern w:val="0"/>
          <w:sz w:val="24"/>
          <w:szCs w:val="24"/>
        </w:rPr>
        <w:t>模式分别高3.25%和3.44%。</w:t>
      </w:r>
    </w:p>
    <w:p w14:paraId="3026ADFB" w14:textId="77777777" w:rsidR="00440305" w:rsidRPr="00E36EBB" w:rsidRDefault="00440305" w:rsidP="00E36EBB">
      <w:pPr>
        <w:autoSpaceDE w:val="0"/>
        <w:autoSpaceDN w:val="0"/>
        <w:adjustRightInd w:val="0"/>
        <w:spacing w:line="360" w:lineRule="auto"/>
        <w:ind w:firstLineChars="200" w:firstLine="480"/>
        <w:jc w:val="center"/>
        <w:rPr>
          <w:rFonts w:ascii="仿宋" w:eastAsia="仿宋" w:hAnsi="仿宋" w:hint="eastAsia"/>
          <w:kern w:val="0"/>
          <w:sz w:val="24"/>
          <w:szCs w:val="24"/>
        </w:rPr>
      </w:pPr>
      <w:r w:rsidRPr="00E36EBB">
        <w:rPr>
          <w:rFonts w:ascii="仿宋" w:eastAsia="仿宋" w:hAnsi="仿宋" w:hint="eastAsia"/>
          <w:kern w:val="0"/>
          <w:sz w:val="24"/>
          <w:szCs w:val="24"/>
        </w:rPr>
        <w:t>表1</w:t>
      </w:r>
      <w:r w:rsidRPr="00E36EBB">
        <w:rPr>
          <w:rFonts w:ascii="仿宋" w:eastAsia="仿宋" w:hAnsi="仿宋"/>
          <w:kern w:val="0"/>
          <w:sz w:val="24"/>
          <w:szCs w:val="24"/>
        </w:rPr>
        <w:t xml:space="preserve"> </w:t>
      </w:r>
      <w:r w:rsidRPr="00E36EBB">
        <w:rPr>
          <w:rFonts w:ascii="仿宋" w:eastAsia="仿宋" w:hAnsi="仿宋" w:hint="eastAsia"/>
          <w:kern w:val="0"/>
          <w:sz w:val="24"/>
          <w:szCs w:val="24"/>
        </w:rPr>
        <w:t>不同轮作模式下玉米产量情况</w:t>
      </w:r>
    </w:p>
    <w:tbl>
      <w:tblPr>
        <w:tblW w:w="6975" w:type="dxa"/>
        <w:jc w:val="center"/>
        <w:tblInd w:w="0" w:type="dxa"/>
        <w:tblLook w:val="04A0" w:firstRow="1" w:lastRow="0" w:firstColumn="1" w:lastColumn="0" w:noHBand="0" w:noVBand="1"/>
      </w:tblPr>
      <w:tblGrid>
        <w:gridCol w:w="1701"/>
        <w:gridCol w:w="142"/>
        <w:gridCol w:w="992"/>
        <w:gridCol w:w="1305"/>
        <w:gridCol w:w="1417"/>
        <w:gridCol w:w="1418"/>
      </w:tblGrid>
      <w:tr w:rsidR="00440305" w:rsidRPr="00E36EBB" w14:paraId="2DB015EC" w14:textId="77777777" w:rsidTr="00950EC3">
        <w:trPr>
          <w:trHeight w:val="850"/>
          <w:jc w:val="center"/>
        </w:trPr>
        <w:tc>
          <w:tcPr>
            <w:tcW w:w="1701" w:type="dxa"/>
            <w:tcBorders>
              <w:top w:val="single" w:sz="12" w:space="0" w:color="auto"/>
              <w:left w:val="nil"/>
              <w:bottom w:val="single" w:sz="4" w:space="0" w:color="auto"/>
              <w:right w:val="nil"/>
            </w:tcBorders>
            <w:shd w:val="clear" w:color="auto" w:fill="auto"/>
            <w:noWrap/>
            <w:vAlign w:val="center"/>
          </w:tcPr>
          <w:p w14:paraId="56ED4EAC" w14:textId="77777777" w:rsidR="00440305" w:rsidRPr="00E36EBB" w:rsidRDefault="00440305" w:rsidP="00E36EBB">
            <w:pPr>
              <w:widowControl/>
              <w:spacing w:line="360" w:lineRule="auto"/>
              <w:rPr>
                <w:b/>
                <w:bCs/>
                <w:kern w:val="0"/>
                <w:sz w:val="24"/>
                <w:szCs w:val="24"/>
              </w:rPr>
            </w:pPr>
            <w:r w:rsidRPr="00E36EBB">
              <w:rPr>
                <w:b/>
                <w:bCs/>
                <w:kern w:val="0"/>
                <w:sz w:val="24"/>
                <w:szCs w:val="24"/>
              </w:rPr>
              <w:t>轮作模式</w:t>
            </w:r>
          </w:p>
        </w:tc>
        <w:tc>
          <w:tcPr>
            <w:tcW w:w="1134" w:type="dxa"/>
            <w:gridSpan w:val="2"/>
            <w:tcBorders>
              <w:top w:val="single" w:sz="12" w:space="0" w:color="auto"/>
              <w:left w:val="nil"/>
              <w:bottom w:val="single" w:sz="4" w:space="0" w:color="auto"/>
              <w:right w:val="nil"/>
            </w:tcBorders>
            <w:shd w:val="clear" w:color="auto" w:fill="auto"/>
            <w:noWrap/>
            <w:vAlign w:val="center"/>
          </w:tcPr>
          <w:p w14:paraId="68F00A2D" w14:textId="77777777" w:rsidR="00440305" w:rsidRPr="00E36EBB" w:rsidRDefault="00440305" w:rsidP="00E36EBB">
            <w:pPr>
              <w:widowControl/>
              <w:spacing w:line="360" w:lineRule="auto"/>
              <w:rPr>
                <w:b/>
                <w:bCs/>
                <w:kern w:val="0"/>
                <w:sz w:val="24"/>
                <w:szCs w:val="24"/>
              </w:rPr>
            </w:pPr>
            <w:r w:rsidRPr="00E36EBB">
              <w:rPr>
                <w:b/>
                <w:bCs/>
                <w:kern w:val="0"/>
                <w:sz w:val="24"/>
                <w:szCs w:val="24"/>
              </w:rPr>
              <w:t>百粒重</w:t>
            </w:r>
            <w:r w:rsidRPr="00E36EBB">
              <w:rPr>
                <w:b/>
                <w:bCs/>
                <w:kern w:val="0"/>
                <w:sz w:val="24"/>
                <w:szCs w:val="24"/>
              </w:rPr>
              <w:t>/g</w:t>
            </w:r>
          </w:p>
        </w:tc>
        <w:tc>
          <w:tcPr>
            <w:tcW w:w="1305" w:type="dxa"/>
            <w:tcBorders>
              <w:top w:val="single" w:sz="12" w:space="0" w:color="auto"/>
              <w:left w:val="nil"/>
              <w:bottom w:val="single" w:sz="4" w:space="0" w:color="auto"/>
              <w:right w:val="nil"/>
            </w:tcBorders>
            <w:shd w:val="clear" w:color="auto" w:fill="auto"/>
            <w:noWrap/>
            <w:vAlign w:val="center"/>
          </w:tcPr>
          <w:p w14:paraId="5BC35D8D" w14:textId="77777777" w:rsidR="00440305" w:rsidRPr="00E36EBB" w:rsidRDefault="00440305" w:rsidP="00E36EBB">
            <w:pPr>
              <w:widowControl/>
              <w:spacing w:line="360" w:lineRule="auto"/>
              <w:rPr>
                <w:b/>
                <w:bCs/>
                <w:kern w:val="0"/>
                <w:sz w:val="24"/>
                <w:szCs w:val="24"/>
              </w:rPr>
            </w:pPr>
            <w:r w:rsidRPr="00E36EBB">
              <w:rPr>
                <w:b/>
                <w:bCs/>
                <w:kern w:val="0"/>
                <w:sz w:val="24"/>
                <w:szCs w:val="24"/>
              </w:rPr>
              <w:t>干物质量</w:t>
            </w:r>
            <w:r w:rsidRPr="00E36EBB">
              <w:rPr>
                <w:b/>
                <w:bCs/>
                <w:kern w:val="0"/>
                <w:sz w:val="24"/>
                <w:szCs w:val="24"/>
              </w:rPr>
              <w:t>/(kg·hm</w:t>
            </w:r>
            <w:r w:rsidRPr="00E36EBB">
              <w:rPr>
                <w:b/>
                <w:bCs/>
                <w:kern w:val="0"/>
                <w:sz w:val="24"/>
                <w:szCs w:val="24"/>
                <w:vertAlign w:val="superscript"/>
              </w:rPr>
              <w:t>2</w:t>
            </w:r>
            <w:r w:rsidRPr="00E36EBB">
              <w:rPr>
                <w:b/>
                <w:bCs/>
                <w:kern w:val="0"/>
                <w:sz w:val="24"/>
                <w:szCs w:val="24"/>
              </w:rPr>
              <w:t>)</w:t>
            </w:r>
          </w:p>
        </w:tc>
        <w:tc>
          <w:tcPr>
            <w:tcW w:w="1417" w:type="dxa"/>
            <w:tcBorders>
              <w:top w:val="single" w:sz="12" w:space="0" w:color="auto"/>
              <w:left w:val="nil"/>
              <w:bottom w:val="single" w:sz="4" w:space="0" w:color="auto"/>
              <w:right w:val="nil"/>
            </w:tcBorders>
            <w:shd w:val="clear" w:color="auto" w:fill="auto"/>
            <w:noWrap/>
            <w:vAlign w:val="center"/>
          </w:tcPr>
          <w:p w14:paraId="70E8D811" w14:textId="77777777" w:rsidR="00440305" w:rsidRPr="00E36EBB" w:rsidRDefault="00440305" w:rsidP="00E36EBB">
            <w:pPr>
              <w:widowControl/>
              <w:spacing w:line="360" w:lineRule="auto"/>
              <w:rPr>
                <w:b/>
                <w:bCs/>
                <w:color w:val="000000"/>
                <w:kern w:val="0"/>
                <w:sz w:val="24"/>
                <w:szCs w:val="24"/>
              </w:rPr>
            </w:pPr>
            <w:r w:rsidRPr="00E36EBB">
              <w:rPr>
                <w:b/>
                <w:bCs/>
                <w:color w:val="000000"/>
                <w:kern w:val="0"/>
                <w:sz w:val="24"/>
                <w:szCs w:val="24"/>
              </w:rPr>
              <w:t>产量</w:t>
            </w:r>
          </w:p>
          <w:p w14:paraId="2FB5E8F5" w14:textId="77777777" w:rsidR="00440305" w:rsidRPr="00E36EBB" w:rsidRDefault="00440305" w:rsidP="00E36EBB">
            <w:pPr>
              <w:widowControl/>
              <w:spacing w:line="360" w:lineRule="auto"/>
              <w:rPr>
                <w:b/>
                <w:bCs/>
                <w:color w:val="000000"/>
                <w:kern w:val="0"/>
                <w:sz w:val="24"/>
                <w:szCs w:val="24"/>
              </w:rPr>
            </w:pPr>
            <w:r w:rsidRPr="00E36EBB">
              <w:rPr>
                <w:b/>
                <w:bCs/>
                <w:kern w:val="0"/>
                <w:sz w:val="24"/>
                <w:szCs w:val="24"/>
              </w:rPr>
              <w:t>/(kg·hm</w:t>
            </w:r>
            <w:r w:rsidRPr="00E36EBB">
              <w:rPr>
                <w:b/>
                <w:bCs/>
                <w:kern w:val="0"/>
                <w:sz w:val="24"/>
                <w:szCs w:val="24"/>
                <w:vertAlign w:val="superscript"/>
              </w:rPr>
              <w:t>2</w:t>
            </w:r>
            <w:r w:rsidRPr="00E36EBB">
              <w:rPr>
                <w:b/>
                <w:bCs/>
                <w:kern w:val="0"/>
                <w:sz w:val="24"/>
                <w:szCs w:val="24"/>
              </w:rPr>
              <w:t>)</w:t>
            </w:r>
          </w:p>
        </w:tc>
        <w:tc>
          <w:tcPr>
            <w:tcW w:w="1418" w:type="dxa"/>
            <w:tcBorders>
              <w:top w:val="single" w:sz="12" w:space="0" w:color="auto"/>
              <w:left w:val="nil"/>
              <w:bottom w:val="single" w:sz="4" w:space="0" w:color="auto"/>
              <w:right w:val="nil"/>
            </w:tcBorders>
            <w:vAlign w:val="center"/>
          </w:tcPr>
          <w:p w14:paraId="70B6BE51" w14:textId="77777777" w:rsidR="00440305" w:rsidRPr="00E36EBB" w:rsidRDefault="00440305" w:rsidP="00E36EBB">
            <w:pPr>
              <w:widowControl/>
              <w:spacing w:line="360" w:lineRule="auto"/>
              <w:rPr>
                <w:b/>
                <w:bCs/>
                <w:color w:val="000000"/>
                <w:kern w:val="0"/>
                <w:sz w:val="24"/>
                <w:szCs w:val="24"/>
              </w:rPr>
            </w:pPr>
            <w:r w:rsidRPr="00E36EBB">
              <w:rPr>
                <w:b/>
                <w:bCs/>
                <w:color w:val="000000"/>
                <w:sz w:val="24"/>
                <w:szCs w:val="24"/>
              </w:rPr>
              <w:t>收获指数</w:t>
            </w:r>
          </w:p>
        </w:tc>
      </w:tr>
      <w:tr w:rsidR="00440305" w:rsidRPr="00E36EBB" w14:paraId="3E2D8059" w14:textId="77777777" w:rsidTr="00950EC3">
        <w:trPr>
          <w:trHeight w:val="285"/>
          <w:jc w:val="center"/>
        </w:trPr>
        <w:tc>
          <w:tcPr>
            <w:tcW w:w="1843" w:type="dxa"/>
            <w:gridSpan w:val="2"/>
            <w:tcBorders>
              <w:top w:val="single" w:sz="4" w:space="0" w:color="auto"/>
              <w:left w:val="nil"/>
              <w:bottom w:val="nil"/>
              <w:right w:val="nil"/>
            </w:tcBorders>
            <w:shd w:val="clear" w:color="auto" w:fill="auto"/>
            <w:noWrap/>
            <w:vAlign w:val="center"/>
          </w:tcPr>
          <w:p w14:paraId="5745D92C" w14:textId="77777777" w:rsidR="00440305" w:rsidRPr="00E36EBB" w:rsidRDefault="00440305" w:rsidP="00E36EBB">
            <w:pPr>
              <w:widowControl/>
              <w:spacing w:line="360" w:lineRule="auto"/>
              <w:rPr>
                <w:rFonts w:eastAsia="等线"/>
                <w:i/>
                <w:iCs/>
                <w:color w:val="000000"/>
                <w:kern w:val="0"/>
                <w:sz w:val="24"/>
                <w:szCs w:val="24"/>
              </w:rPr>
            </w:pPr>
            <w:r w:rsidRPr="00E36EBB">
              <w:rPr>
                <w:rFonts w:eastAsia="等线"/>
                <w:i/>
                <w:iCs/>
                <w:color w:val="000000"/>
                <w:kern w:val="0"/>
                <w:sz w:val="24"/>
                <w:szCs w:val="24"/>
              </w:rPr>
              <w:t>Oat-Maize</w:t>
            </w:r>
          </w:p>
        </w:tc>
        <w:tc>
          <w:tcPr>
            <w:tcW w:w="992" w:type="dxa"/>
            <w:tcBorders>
              <w:top w:val="single" w:sz="4" w:space="0" w:color="auto"/>
              <w:left w:val="nil"/>
              <w:bottom w:val="nil"/>
              <w:right w:val="nil"/>
            </w:tcBorders>
            <w:shd w:val="clear" w:color="auto" w:fill="auto"/>
            <w:noWrap/>
            <w:vAlign w:val="center"/>
          </w:tcPr>
          <w:p w14:paraId="2DA9500B"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33.83</w:t>
            </w:r>
          </w:p>
        </w:tc>
        <w:tc>
          <w:tcPr>
            <w:tcW w:w="1305" w:type="dxa"/>
            <w:tcBorders>
              <w:top w:val="single" w:sz="4" w:space="0" w:color="auto"/>
              <w:left w:val="nil"/>
              <w:bottom w:val="nil"/>
              <w:right w:val="nil"/>
            </w:tcBorders>
            <w:shd w:val="clear" w:color="auto" w:fill="auto"/>
            <w:noWrap/>
            <w:vAlign w:val="center"/>
          </w:tcPr>
          <w:p w14:paraId="53706E6B" w14:textId="77777777" w:rsidR="00440305" w:rsidRPr="00E36EBB" w:rsidRDefault="00440305" w:rsidP="00E36EBB">
            <w:pPr>
              <w:widowControl/>
              <w:spacing w:line="360" w:lineRule="auto"/>
              <w:rPr>
                <w:color w:val="000000"/>
                <w:kern w:val="0"/>
                <w:sz w:val="24"/>
                <w:szCs w:val="24"/>
              </w:rPr>
            </w:pPr>
            <w:r w:rsidRPr="00E36EBB">
              <w:rPr>
                <w:rFonts w:hint="eastAsia"/>
                <w:color w:val="000000"/>
                <w:kern w:val="0"/>
                <w:sz w:val="24"/>
                <w:szCs w:val="24"/>
              </w:rPr>
              <w:t>1</w:t>
            </w:r>
            <w:r w:rsidRPr="00E36EBB">
              <w:rPr>
                <w:color w:val="000000"/>
                <w:kern w:val="0"/>
                <w:sz w:val="24"/>
                <w:szCs w:val="24"/>
              </w:rPr>
              <w:t>8806.67</w:t>
            </w:r>
          </w:p>
        </w:tc>
        <w:tc>
          <w:tcPr>
            <w:tcW w:w="1417" w:type="dxa"/>
            <w:tcBorders>
              <w:top w:val="single" w:sz="4" w:space="0" w:color="auto"/>
              <w:left w:val="nil"/>
              <w:bottom w:val="nil"/>
              <w:right w:val="nil"/>
            </w:tcBorders>
            <w:shd w:val="clear" w:color="auto" w:fill="auto"/>
            <w:noWrap/>
            <w:vAlign w:val="center"/>
          </w:tcPr>
          <w:p w14:paraId="1B48D019"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9263</w:t>
            </w:r>
          </w:p>
        </w:tc>
        <w:tc>
          <w:tcPr>
            <w:tcW w:w="1418" w:type="dxa"/>
            <w:tcBorders>
              <w:top w:val="single" w:sz="4" w:space="0" w:color="auto"/>
              <w:left w:val="nil"/>
              <w:bottom w:val="nil"/>
              <w:right w:val="nil"/>
            </w:tcBorders>
            <w:vAlign w:val="center"/>
          </w:tcPr>
          <w:p w14:paraId="5363FEA9" w14:textId="77777777" w:rsidR="00440305" w:rsidRPr="00E36EBB" w:rsidRDefault="00440305" w:rsidP="00E36EBB">
            <w:pPr>
              <w:widowControl/>
              <w:spacing w:line="360" w:lineRule="auto"/>
              <w:rPr>
                <w:color w:val="000000"/>
                <w:kern w:val="0"/>
                <w:sz w:val="24"/>
                <w:szCs w:val="24"/>
              </w:rPr>
            </w:pPr>
            <w:r w:rsidRPr="00E36EBB">
              <w:rPr>
                <w:color w:val="000000"/>
                <w:sz w:val="24"/>
                <w:szCs w:val="24"/>
              </w:rPr>
              <w:t>0.55</w:t>
            </w:r>
          </w:p>
        </w:tc>
      </w:tr>
      <w:tr w:rsidR="00440305" w:rsidRPr="00E36EBB" w14:paraId="7D3F6422" w14:textId="77777777" w:rsidTr="00950EC3">
        <w:trPr>
          <w:trHeight w:val="285"/>
          <w:jc w:val="center"/>
        </w:trPr>
        <w:tc>
          <w:tcPr>
            <w:tcW w:w="1843" w:type="dxa"/>
            <w:gridSpan w:val="2"/>
            <w:tcBorders>
              <w:top w:val="nil"/>
              <w:left w:val="nil"/>
              <w:right w:val="nil"/>
            </w:tcBorders>
            <w:shd w:val="clear" w:color="auto" w:fill="auto"/>
            <w:noWrap/>
            <w:vAlign w:val="center"/>
          </w:tcPr>
          <w:p w14:paraId="72A19FD5" w14:textId="77777777" w:rsidR="00440305" w:rsidRPr="00E36EBB" w:rsidRDefault="00440305" w:rsidP="00E36EBB">
            <w:pPr>
              <w:widowControl/>
              <w:spacing w:line="360" w:lineRule="auto"/>
              <w:rPr>
                <w:rFonts w:eastAsia="等线"/>
                <w:i/>
                <w:iCs/>
                <w:color w:val="000000"/>
                <w:kern w:val="0"/>
                <w:sz w:val="24"/>
                <w:szCs w:val="24"/>
              </w:rPr>
            </w:pPr>
            <w:r w:rsidRPr="00E36EBB">
              <w:rPr>
                <w:rFonts w:eastAsia="等线"/>
                <w:i/>
                <w:iCs/>
                <w:color w:val="000000"/>
                <w:kern w:val="0"/>
                <w:sz w:val="24"/>
                <w:szCs w:val="24"/>
              </w:rPr>
              <w:t>Ryegrass-Maize</w:t>
            </w:r>
          </w:p>
        </w:tc>
        <w:tc>
          <w:tcPr>
            <w:tcW w:w="992" w:type="dxa"/>
            <w:tcBorders>
              <w:top w:val="nil"/>
              <w:left w:val="nil"/>
              <w:right w:val="nil"/>
            </w:tcBorders>
            <w:shd w:val="clear" w:color="auto" w:fill="auto"/>
            <w:noWrap/>
            <w:vAlign w:val="center"/>
          </w:tcPr>
          <w:p w14:paraId="3D7DB5DA"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34.93</w:t>
            </w:r>
          </w:p>
        </w:tc>
        <w:tc>
          <w:tcPr>
            <w:tcW w:w="1305" w:type="dxa"/>
            <w:tcBorders>
              <w:top w:val="nil"/>
              <w:left w:val="nil"/>
              <w:right w:val="nil"/>
            </w:tcBorders>
            <w:shd w:val="clear" w:color="auto" w:fill="auto"/>
            <w:noWrap/>
            <w:vAlign w:val="center"/>
          </w:tcPr>
          <w:p w14:paraId="1AB62F42" w14:textId="77777777" w:rsidR="00440305" w:rsidRPr="00E36EBB" w:rsidRDefault="00440305" w:rsidP="00E36EBB">
            <w:pPr>
              <w:widowControl/>
              <w:spacing w:line="360" w:lineRule="auto"/>
              <w:rPr>
                <w:color w:val="000000"/>
                <w:kern w:val="0"/>
                <w:sz w:val="24"/>
                <w:szCs w:val="24"/>
              </w:rPr>
            </w:pPr>
            <w:r w:rsidRPr="00E36EBB">
              <w:rPr>
                <w:color w:val="000000"/>
                <w:sz w:val="24"/>
                <w:szCs w:val="24"/>
              </w:rPr>
              <w:t xml:space="preserve">18098.67 </w:t>
            </w:r>
          </w:p>
        </w:tc>
        <w:tc>
          <w:tcPr>
            <w:tcW w:w="1417" w:type="dxa"/>
            <w:tcBorders>
              <w:top w:val="nil"/>
              <w:left w:val="nil"/>
              <w:right w:val="nil"/>
            </w:tcBorders>
            <w:shd w:val="clear" w:color="auto" w:fill="auto"/>
            <w:noWrap/>
            <w:vAlign w:val="center"/>
          </w:tcPr>
          <w:p w14:paraId="5A3FC041"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10329.67</w:t>
            </w:r>
          </w:p>
        </w:tc>
        <w:tc>
          <w:tcPr>
            <w:tcW w:w="1418" w:type="dxa"/>
            <w:tcBorders>
              <w:top w:val="nil"/>
              <w:left w:val="nil"/>
              <w:right w:val="nil"/>
            </w:tcBorders>
            <w:vAlign w:val="center"/>
          </w:tcPr>
          <w:p w14:paraId="5ABF702D" w14:textId="77777777" w:rsidR="00440305" w:rsidRPr="00E36EBB" w:rsidRDefault="00440305" w:rsidP="00E36EBB">
            <w:pPr>
              <w:widowControl/>
              <w:spacing w:line="360" w:lineRule="auto"/>
              <w:rPr>
                <w:color w:val="000000"/>
                <w:kern w:val="0"/>
                <w:sz w:val="24"/>
                <w:szCs w:val="24"/>
              </w:rPr>
            </w:pPr>
            <w:r w:rsidRPr="00E36EBB">
              <w:rPr>
                <w:color w:val="000000"/>
                <w:sz w:val="24"/>
                <w:szCs w:val="24"/>
              </w:rPr>
              <w:t>0.51</w:t>
            </w:r>
          </w:p>
        </w:tc>
      </w:tr>
      <w:tr w:rsidR="00440305" w:rsidRPr="00E36EBB" w14:paraId="6E74E5E9" w14:textId="77777777" w:rsidTr="00950EC3">
        <w:trPr>
          <w:trHeight w:val="285"/>
          <w:jc w:val="center"/>
        </w:trPr>
        <w:tc>
          <w:tcPr>
            <w:tcW w:w="1843" w:type="dxa"/>
            <w:gridSpan w:val="2"/>
            <w:tcBorders>
              <w:top w:val="nil"/>
              <w:left w:val="nil"/>
              <w:bottom w:val="single" w:sz="12" w:space="0" w:color="auto"/>
              <w:right w:val="nil"/>
            </w:tcBorders>
            <w:shd w:val="clear" w:color="auto" w:fill="auto"/>
            <w:noWrap/>
            <w:vAlign w:val="center"/>
          </w:tcPr>
          <w:p w14:paraId="03F15AE0" w14:textId="77777777" w:rsidR="00440305" w:rsidRPr="00E36EBB" w:rsidRDefault="00440305" w:rsidP="00E36EBB">
            <w:pPr>
              <w:widowControl/>
              <w:spacing w:line="360" w:lineRule="auto"/>
              <w:rPr>
                <w:rFonts w:eastAsia="等线"/>
                <w:i/>
                <w:iCs/>
                <w:color w:val="000000"/>
                <w:kern w:val="0"/>
                <w:sz w:val="24"/>
                <w:szCs w:val="24"/>
              </w:rPr>
            </w:pPr>
            <w:r w:rsidRPr="00E36EBB">
              <w:rPr>
                <w:rFonts w:eastAsia="等线"/>
                <w:i/>
                <w:iCs/>
                <w:color w:val="000000"/>
                <w:kern w:val="0"/>
                <w:sz w:val="24"/>
                <w:szCs w:val="24"/>
              </w:rPr>
              <w:t>S.S-Maize</w:t>
            </w:r>
          </w:p>
        </w:tc>
        <w:tc>
          <w:tcPr>
            <w:tcW w:w="992" w:type="dxa"/>
            <w:tcBorders>
              <w:top w:val="nil"/>
              <w:left w:val="nil"/>
              <w:bottom w:val="single" w:sz="12" w:space="0" w:color="auto"/>
              <w:right w:val="nil"/>
            </w:tcBorders>
            <w:shd w:val="clear" w:color="auto" w:fill="auto"/>
            <w:noWrap/>
            <w:vAlign w:val="center"/>
          </w:tcPr>
          <w:p w14:paraId="5D37F3DA"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33.77</w:t>
            </w:r>
          </w:p>
        </w:tc>
        <w:tc>
          <w:tcPr>
            <w:tcW w:w="1305" w:type="dxa"/>
            <w:tcBorders>
              <w:top w:val="nil"/>
              <w:left w:val="nil"/>
              <w:bottom w:val="single" w:sz="12" w:space="0" w:color="auto"/>
              <w:right w:val="nil"/>
            </w:tcBorders>
            <w:shd w:val="clear" w:color="auto" w:fill="auto"/>
            <w:noWrap/>
            <w:vAlign w:val="center"/>
          </w:tcPr>
          <w:p w14:paraId="4692E00A" w14:textId="77777777" w:rsidR="00440305" w:rsidRPr="00E36EBB" w:rsidRDefault="00440305" w:rsidP="00E36EBB">
            <w:pPr>
              <w:widowControl/>
              <w:spacing w:line="360" w:lineRule="auto"/>
              <w:rPr>
                <w:color w:val="000000"/>
                <w:kern w:val="0"/>
                <w:sz w:val="24"/>
                <w:szCs w:val="24"/>
              </w:rPr>
            </w:pPr>
            <w:r w:rsidRPr="00E36EBB">
              <w:rPr>
                <w:color w:val="000000"/>
                <w:sz w:val="24"/>
                <w:szCs w:val="24"/>
              </w:rPr>
              <w:t>19977.00</w:t>
            </w:r>
          </w:p>
        </w:tc>
        <w:tc>
          <w:tcPr>
            <w:tcW w:w="1417" w:type="dxa"/>
            <w:tcBorders>
              <w:top w:val="nil"/>
              <w:left w:val="nil"/>
              <w:bottom w:val="single" w:sz="12" w:space="0" w:color="auto"/>
              <w:right w:val="nil"/>
            </w:tcBorders>
            <w:shd w:val="clear" w:color="auto" w:fill="auto"/>
            <w:noWrap/>
            <w:vAlign w:val="center"/>
          </w:tcPr>
          <w:p w14:paraId="0BA9C46A" w14:textId="77777777" w:rsidR="00440305" w:rsidRPr="00E36EBB" w:rsidRDefault="00440305" w:rsidP="00E36EBB">
            <w:pPr>
              <w:widowControl/>
              <w:spacing w:line="360" w:lineRule="auto"/>
              <w:rPr>
                <w:color w:val="000000"/>
                <w:kern w:val="0"/>
                <w:sz w:val="24"/>
                <w:szCs w:val="24"/>
              </w:rPr>
            </w:pPr>
            <w:r w:rsidRPr="00E36EBB">
              <w:rPr>
                <w:color w:val="000000"/>
                <w:kern w:val="0"/>
                <w:sz w:val="24"/>
                <w:szCs w:val="24"/>
              </w:rPr>
              <w:t>10521.33</w:t>
            </w:r>
          </w:p>
        </w:tc>
        <w:tc>
          <w:tcPr>
            <w:tcW w:w="1418" w:type="dxa"/>
            <w:tcBorders>
              <w:top w:val="nil"/>
              <w:left w:val="nil"/>
              <w:bottom w:val="single" w:sz="12" w:space="0" w:color="auto"/>
              <w:right w:val="nil"/>
            </w:tcBorders>
            <w:vAlign w:val="center"/>
          </w:tcPr>
          <w:p w14:paraId="0AE0D5C0" w14:textId="77777777" w:rsidR="00440305" w:rsidRPr="00E36EBB" w:rsidRDefault="00440305" w:rsidP="00E36EBB">
            <w:pPr>
              <w:widowControl/>
              <w:spacing w:line="360" w:lineRule="auto"/>
              <w:rPr>
                <w:color w:val="000000"/>
                <w:kern w:val="0"/>
                <w:sz w:val="24"/>
                <w:szCs w:val="24"/>
              </w:rPr>
            </w:pPr>
            <w:r w:rsidRPr="00E36EBB">
              <w:rPr>
                <w:color w:val="000000"/>
                <w:sz w:val="24"/>
                <w:szCs w:val="24"/>
              </w:rPr>
              <w:t>0.52</w:t>
            </w:r>
          </w:p>
        </w:tc>
      </w:tr>
    </w:tbl>
    <w:p w14:paraId="15A52092" w14:textId="77777777" w:rsidR="00440305" w:rsidRPr="00E36EBB" w:rsidRDefault="00440305" w:rsidP="00E36EBB">
      <w:pPr>
        <w:spacing w:line="360" w:lineRule="auto"/>
        <w:jc w:val="left"/>
        <w:rPr>
          <w:rFonts w:eastAsia="仿宋"/>
          <w:b/>
          <w:bCs/>
          <w:color w:val="000000"/>
          <w:sz w:val="24"/>
          <w:szCs w:val="24"/>
        </w:rPr>
      </w:pPr>
    </w:p>
    <w:p w14:paraId="7ADF3D81" w14:textId="72D1118C" w:rsidR="00440305" w:rsidRPr="00E36EBB" w:rsidRDefault="00E36EBB" w:rsidP="00E36EBB">
      <w:pPr>
        <w:pStyle w:val="1"/>
      </w:pPr>
      <w:bookmarkStart w:id="17" w:name="_Toc176458290"/>
      <w:r>
        <w:rPr>
          <w:rFonts w:hint="eastAsia"/>
        </w:rPr>
        <w:t>五、</w:t>
      </w:r>
      <w:r w:rsidR="00440305" w:rsidRPr="00E36EBB">
        <w:rPr>
          <w:rFonts w:hint="eastAsia"/>
        </w:rPr>
        <w:t>采用的国际标准</w:t>
      </w:r>
      <w:bookmarkEnd w:id="17"/>
    </w:p>
    <w:p w14:paraId="61476E1B" w14:textId="77777777" w:rsidR="00440305" w:rsidRPr="00E36EBB" w:rsidRDefault="00440305" w:rsidP="00E36EBB">
      <w:pPr>
        <w:spacing w:line="360" w:lineRule="auto"/>
        <w:ind w:firstLine="482"/>
        <w:rPr>
          <w:color w:val="000000"/>
          <w:sz w:val="24"/>
          <w:szCs w:val="24"/>
        </w:rPr>
      </w:pPr>
      <w:r w:rsidRPr="00E36EBB">
        <w:rPr>
          <w:color w:val="000000"/>
          <w:sz w:val="24"/>
          <w:szCs w:val="24"/>
        </w:rPr>
        <w:t>无。</w:t>
      </w:r>
    </w:p>
    <w:p w14:paraId="0C57DF8C" w14:textId="0D2D04BF" w:rsidR="00440305" w:rsidRPr="00E36EBB" w:rsidRDefault="00E36EBB" w:rsidP="00E36EBB">
      <w:pPr>
        <w:pStyle w:val="1"/>
      </w:pPr>
      <w:bookmarkStart w:id="18" w:name="_Toc176458291"/>
      <w:r>
        <w:rPr>
          <w:rFonts w:hint="eastAsia"/>
        </w:rPr>
        <w:t>六</w:t>
      </w:r>
      <w:r w:rsidR="00440305" w:rsidRPr="00E36EBB">
        <w:t>、</w:t>
      </w:r>
      <w:r w:rsidR="00440305" w:rsidRPr="00E36EBB">
        <w:rPr>
          <w:rFonts w:hint="eastAsia"/>
        </w:rPr>
        <w:t>与现行法律法规和强制性标准的关系</w:t>
      </w:r>
      <w:bookmarkEnd w:id="18"/>
    </w:p>
    <w:p w14:paraId="2227BA41" w14:textId="77777777" w:rsidR="00440305" w:rsidRPr="00E36EBB" w:rsidRDefault="00440305" w:rsidP="00E36EBB">
      <w:pPr>
        <w:spacing w:line="360" w:lineRule="auto"/>
        <w:ind w:firstLine="482"/>
        <w:rPr>
          <w:sz w:val="24"/>
          <w:szCs w:val="24"/>
        </w:rPr>
      </w:pPr>
      <w:r w:rsidRPr="00E36EBB">
        <w:rPr>
          <w:color w:val="000000"/>
          <w:sz w:val="24"/>
          <w:szCs w:val="24"/>
        </w:rPr>
        <w:t>本标准与现行法律法规和强制性标准没有冲突</w:t>
      </w:r>
      <w:r w:rsidRPr="00E36EBB">
        <w:rPr>
          <w:sz w:val="24"/>
          <w:szCs w:val="24"/>
        </w:rPr>
        <w:t>。</w:t>
      </w:r>
    </w:p>
    <w:p w14:paraId="69211286" w14:textId="735C069A" w:rsidR="00440305" w:rsidRPr="00E36EBB" w:rsidRDefault="00E36EBB" w:rsidP="00E36EBB">
      <w:pPr>
        <w:pStyle w:val="1"/>
      </w:pPr>
      <w:bookmarkStart w:id="19" w:name="_Toc176458292"/>
      <w:r>
        <w:rPr>
          <w:rFonts w:hint="eastAsia"/>
        </w:rPr>
        <w:t>七</w:t>
      </w:r>
      <w:r w:rsidR="00440305" w:rsidRPr="00E36EBB">
        <w:t>、</w:t>
      </w:r>
      <w:r w:rsidR="00440305" w:rsidRPr="00E36EBB">
        <w:rPr>
          <w:rFonts w:hint="eastAsia"/>
        </w:rPr>
        <w:t>重大分歧意见的处理经过和依据</w:t>
      </w:r>
      <w:bookmarkEnd w:id="19"/>
    </w:p>
    <w:p w14:paraId="34D08063" w14:textId="77777777" w:rsidR="00440305" w:rsidRPr="00E36EBB" w:rsidRDefault="00440305" w:rsidP="00E36EBB">
      <w:pPr>
        <w:spacing w:line="360" w:lineRule="auto"/>
        <w:ind w:firstLine="482"/>
        <w:rPr>
          <w:sz w:val="24"/>
          <w:szCs w:val="24"/>
        </w:rPr>
      </w:pPr>
      <w:r w:rsidRPr="00E36EBB">
        <w:rPr>
          <w:color w:val="000000"/>
          <w:sz w:val="24"/>
          <w:szCs w:val="24"/>
        </w:rPr>
        <w:t>无</w:t>
      </w:r>
      <w:r w:rsidRPr="00E36EBB">
        <w:rPr>
          <w:sz w:val="24"/>
          <w:szCs w:val="24"/>
        </w:rPr>
        <w:t>。</w:t>
      </w:r>
    </w:p>
    <w:p w14:paraId="3DDA2A69" w14:textId="121F4146" w:rsidR="00440305" w:rsidRPr="00E36EBB" w:rsidRDefault="00E36EBB" w:rsidP="00E36EBB">
      <w:pPr>
        <w:pStyle w:val="1"/>
      </w:pPr>
      <w:bookmarkStart w:id="20" w:name="_Toc176458293"/>
      <w:r>
        <w:rPr>
          <w:rFonts w:hint="eastAsia"/>
        </w:rPr>
        <w:t>八</w:t>
      </w:r>
      <w:r w:rsidR="00440305" w:rsidRPr="00E36EBB">
        <w:t>、标准作为强制性或推荐性标准的意见</w:t>
      </w:r>
      <w:bookmarkEnd w:id="20"/>
    </w:p>
    <w:p w14:paraId="7599CCD1" w14:textId="77777777" w:rsidR="00440305" w:rsidRPr="00E36EBB" w:rsidRDefault="00440305" w:rsidP="00E36EBB">
      <w:pPr>
        <w:spacing w:line="360" w:lineRule="auto"/>
        <w:ind w:firstLine="482"/>
        <w:rPr>
          <w:color w:val="000000"/>
          <w:sz w:val="24"/>
          <w:szCs w:val="24"/>
        </w:rPr>
      </w:pPr>
      <w:r w:rsidRPr="00E36EBB">
        <w:rPr>
          <w:color w:val="000000"/>
          <w:sz w:val="24"/>
          <w:szCs w:val="24"/>
        </w:rPr>
        <w:t>建议将本标准作为推荐性标准发布实施，并加强标准的宣贯。</w:t>
      </w:r>
    </w:p>
    <w:p w14:paraId="2853637D" w14:textId="0D77FBF2" w:rsidR="00440305" w:rsidRPr="00E36EBB" w:rsidRDefault="00E36EBB" w:rsidP="00E36EBB">
      <w:pPr>
        <w:pStyle w:val="1"/>
      </w:pPr>
      <w:bookmarkStart w:id="21" w:name="_Toc176458294"/>
      <w:r>
        <w:rPr>
          <w:rFonts w:hint="eastAsia"/>
        </w:rPr>
        <w:t>九</w:t>
      </w:r>
      <w:r w:rsidR="00440305" w:rsidRPr="00E36EBB">
        <w:t>、贯彻标准的要求和措施建议</w:t>
      </w:r>
      <w:bookmarkEnd w:id="21"/>
    </w:p>
    <w:p w14:paraId="221C8C1A" w14:textId="77777777" w:rsidR="00440305" w:rsidRPr="00E36EBB" w:rsidRDefault="00440305" w:rsidP="00E36EBB">
      <w:pPr>
        <w:spacing w:line="360" w:lineRule="auto"/>
        <w:ind w:firstLineChars="225" w:firstLine="540"/>
        <w:rPr>
          <w:sz w:val="24"/>
          <w:szCs w:val="24"/>
        </w:rPr>
      </w:pPr>
      <w:r w:rsidRPr="00E36EBB">
        <w:rPr>
          <w:rFonts w:hint="eastAsia"/>
          <w:sz w:val="24"/>
          <w:szCs w:val="24"/>
        </w:rPr>
        <w:t>1</w:t>
      </w:r>
      <w:r w:rsidRPr="00E36EBB">
        <w:rPr>
          <w:rFonts w:hint="eastAsia"/>
          <w:sz w:val="24"/>
          <w:szCs w:val="24"/>
        </w:rPr>
        <w:t>、</w:t>
      </w:r>
      <w:r w:rsidRPr="00E36EBB">
        <w:rPr>
          <w:sz w:val="24"/>
          <w:szCs w:val="24"/>
        </w:rPr>
        <w:t>本标准属于</w:t>
      </w:r>
      <w:r w:rsidRPr="00E36EBB">
        <w:rPr>
          <w:rFonts w:hint="eastAsia"/>
          <w:sz w:val="24"/>
          <w:szCs w:val="24"/>
        </w:rPr>
        <w:t>北京华夏草业产业技术创新战略联盟团体标准</w:t>
      </w:r>
      <w:r w:rsidRPr="00E36EBB">
        <w:rPr>
          <w:sz w:val="24"/>
          <w:szCs w:val="24"/>
        </w:rPr>
        <w:t>，</w:t>
      </w:r>
      <w:r w:rsidRPr="00E36EBB">
        <w:rPr>
          <w:rFonts w:hint="eastAsia"/>
          <w:sz w:val="24"/>
          <w:szCs w:val="24"/>
        </w:rPr>
        <w:t>为成功实施</w:t>
      </w:r>
      <w:r w:rsidRPr="00E36EBB">
        <w:rPr>
          <w:rFonts w:hAnsi="宋体" w:hint="eastAsia"/>
          <w:sz w:val="24"/>
          <w:szCs w:val="24"/>
        </w:rPr>
        <w:t>黑土区玉米轮作黑麦草与白三叶混播技术</w:t>
      </w:r>
      <w:r w:rsidRPr="00E36EBB">
        <w:rPr>
          <w:rFonts w:hint="eastAsia"/>
          <w:sz w:val="24"/>
          <w:szCs w:val="24"/>
        </w:rPr>
        <w:t>，应认真执行本标准的相关技术要求。</w:t>
      </w:r>
    </w:p>
    <w:p w14:paraId="3C37852E" w14:textId="77777777" w:rsidR="00440305" w:rsidRPr="00E36EBB" w:rsidRDefault="00440305" w:rsidP="00E36EBB">
      <w:pPr>
        <w:spacing w:line="360" w:lineRule="auto"/>
        <w:ind w:firstLineChars="225" w:firstLine="540"/>
        <w:rPr>
          <w:sz w:val="24"/>
          <w:szCs w:val="24"/>
        </w:rPr>
      </w:pPr>
      <w:r w:rsidRPr="00E36EBB">
        <w:rPr>
          <w:rFonts w:hint="eastAsia"/>
          <w:sz w:val="24"/>
          <w:szCs w:val="24"/>
        </w:rPr>
        <w:t>2</w:t>
      </w:r>
      <w:r w:rsidRPr="00E36EBB">
        <w:rPr>
          <w:rFonts w:hint="eastAsia"/>
          <w:sz w:val="24"/>
          <w:szCs w:val="24"/>
        </w:rPr>
        <w:t>、应</w:t>
      </w:r>
      <w:r w:rsidRPr="00E36EBB">
        <w:rPr>
          <w:sz w:val="24"/>
          <w:szCs w:val="24"/>
        </w:rPr>
        <w:t>加强对标准的宣传、讲解</w:t>
      </w:r>
      <w:r w:rsidRPr="00E36EBB">
        <w:rPr>
          <w:rFonts w:hint="eastAsia"/>
          <w:sz w:val="24"/>
          <w:szCs w:val="24"/>
        </w:rPr>
        <w:t>和技术指导，促进实施者</w:t>
      </w:r>
      <w:r w:rsidRPr="00E36EBB">
        <w:rPr>
          <w:sz w:val="24"/>
          <w:szCs w:val="24"/>
        </w:rPr>
        <w:t>熟练掌握标准中的技术规范，保证</w:t>
      </w:r>
      <w:r w:rsidRPr="00E36EBB">
        <w:rPr>
          <w:rFonts w:hint="eastAsia"/>
          <w:sz w:val="24"/>
          <w:szCs w:val="24"/>
        </w:rPr>
        <w:t>本标准的广泛推广应用</w:t>
      </w:r>
      <w:r w:rsidRPr="00E36EBB">
        <w:rPr>
          <w:sz w:val="24"/>
          <w:szCs w:val="24"/>
        </w:rPr>
        <w:t>。</w:t>
      </w:r>
    </w:p>
    <w:p w14:paraId="38FD1758" w14:textId="77777777" w:rsidR="00440305" w:rsidRPr="00E36EBB" w:rsidRDefault="00440305" w:rsidP="00E36EBB">
      <w:pPr>
        <w:spacing w:line="360" w:lineRule="auto"/>
        <w:ind w:firstLineChars="225" w:firstLine="540"/>
        <w:rPr>
          <w:sz w:val="24"/>
          <w:szCs w:val="24"/>
        </w:rPr>
      </w:pPr>
      <w:r w:rsidRPr="00E36EBB">
        <w:rPr>
          <w:rFonts w:hint="eastAsia"/>
          <w:sz w:val="24"/>
          <w:szCs w:val="24"/>
        </w:rPr>
        <w:t>3</w:t>
      </w:r>
      <w:r w:rsidRPr="00E36EBB">
        <w:rPr>
          <w:rFonts w:hint="eastAsia"/>
          <w:sz w:val="24"/>
          <w:szCs w:val="24"/>
        </w:rPr>
        <w:t>、</w:t>
      </w:r>
      <w:r w:rsidRPr="00E36EBB">
        <w:rPr>
          <w:sz w:val="24"/>
          <w:szCs w:val="24"/>
        </w:rPr>
        <w:t>随着</w:t>
      </w:r>
      <w:r w:rsidRPr="00E36EBB">
        <w:rPr>
          <w:rFonts w:hint="eastAsia"/>
          <w:sz w:val="24"/>
          <w:szCs w:val="24"/>
        </w:rPr>
        <w:t>科技发展，本标准中的技术规范势必会出现过时的情况，也会出现新的技术要求，因此本</w:t>
      </w:r>
      <w:r w:rsidRPr="00E36EBB">
        <w:rPr>
          <w:sz w:val="24"/>
          <w:szCs w:val="24"/>
        </w:rPr>
        <w:t>标准执行过程中</w:t>
      </w:r>
      <w:r w:rsidRPr="00E36EBB">
        <w:rPr>
          <w:rFonts w:hint="eastAsia"/>
          <w:sz w:val="24"/>
          <w:szCs w:val="24"/>
        </w:rPr>
        <w:t>要不断对</w:t>
      </w:r>
      <w:r w:rsidRPr="00E36EBB">
        <w:rPr>
          <w:sz w:val="24"/>
          <w:szCs w:val="24"/>
        </w:rPr>
        <w:t>内容进行修订</w:t>
      </w:r>
      <w:r w:rsidRPr="00E36EBB">
        <w:rPr>
          <w:rFonts w:hint="eastAsia"/>
          <w:sz w:val="24"/>
          <w:szCs w:val="24"/>
        </w:rPr>
        <w:t>和补充</w:t>
      </w:r>
      <w:r w:rsidRPr="00E36EBB">
        <w:rPr>
          <w:sz w:val="24"/>
          <w:szCs w:val="24"/>
        </w:rPr>
        <w:t>。</w:t>
      </w:r>
    </w:p>
    <w:p w14:paraId="60755871" w14:textId="77777777" w:rsidR="00440305" w:rsidRPr="00E36EBB" w:rsidRDefault="00440305" w:rsidP="00E36EBB">
      <w:pPr>
        <w:spacing w:line="360" w:lineRule="auto"/>
        <w:ind w:firstLine="482"/>
        <w:rPr>
          <w:sz w:val="24"/>
          <w:szCs w:val="24"/>
        </w:rPr>
      </w:pPr>
      <w:r w:rsidRPr="00E36EBB">
        <w:rPr>
          <w:rFonts w:hint="eastAsia"/>
          <w:sz w:val="24"/>
          <w:szCs w:val="24"/>
        </w:rPr>
        <w:t>4</w:t>
      </w:r>
      <w:r w:rsidRPr="00E36EBB">
        <w:rPr>
          <w:rFonts w:hint="eastAsia"/>
          <w:sz w:val="24"/>
          <w:szCs w:val="24"/>
        </w:rPr>
        <w:t>、</w:t>
      </w:r>
      <w:r w:rsidRPr="00E36EBB">
        <w:rPr>
          <w:sz w:val="24"/>
          <w:szCs w:val="24"/>
        </w:rPr>
        <w:t>希望</w:t>
      </w:r>
      <w:r w:rsidRPr="00E36EBB">
        <w:rPr>
          <w:rFonts w:hint="eastAsia"/>
          <w:sz w:val="24"/>
          <w:szCs w:val="24"/>
        </w:rPr>
        <w:t>应用本标准的</w:t>
      </w:r>
      <w:r w:rsidRPr="00E36EBB">
        <w:rPr>
          <w:sz w:val="24"/>
          <w:szCs w:val="24"/>
        </w:rPr>
        <w:t>单位</w:t>
      </w:r>
      <w:r w:rsidRPr="00E36EBB">
        <w:rPr>
          <w:rFonts w:hint="eastAsia"/>
          <w:sz w:val="24"/>
          <w:szCs w:val="24"/>
        </w:rPr>
        <w:t>在使用过程中</w:t>
      </w:r>
      <w:r w:rsidRPr="00E36EBB">
        <w:rPr>
          <w:sz w:val="24"/>
          <w:szCs w:val="24"/>
        </w:rPr>
        <w:t>对</w:t>
      </w:r>
      <w:r w:rsidRPr="00E36EBB">
        <w:rPr>
          <w:rFonts w:hint="eastAsia"/>
          <w:sz w:val="24"/>
          <w:szCs w:val="24"/>
        </w:rPr>
        <w:t>其</w:t>
      </w:r>
      <w:r w:rsidRPr="00E36EBB">
        <w:rPr>
          <w:sz w:val="24"/>
          <w:szCs w:val="24"/>
        </w:rPr>
        <w:t>中出现的问题</w:t>
      </w:r>
      <w:r w:rsidRPr="00E36EBB">
        <w:rPr>
          <w:rFonts w:hint="eastAsia"/>
          <w:sz w:val="24"/>
          <w:szCs w:val="24"/>
        </w:rPr>
        <w:t>和不足</w:t>
      </w:r>
      <w:r w:rsidRPr="00E36EBB">
        <w:rPr>
          <w:sz w:val="24"/>
          <w:szCs w:val="24"/>
        </w:rPr>
        <w:t>给予反馈，以便</w:t>
      </w:r>
      <w:r w:rsidRPr="00E36EBB">
        <w:rPr>
          <w:rFonts w:hint="eastAsia"/>
          <w:sz w:val="24"/>
          <w:szCs w:val="24"/>
        </w:rPr>
        <w:t>再进行</w:t>
      </w:r>
      <w:r w:rsidRPr="00E36EBB">
        <w:rPr>
          <w:sz w:val="24"/>
          <w:szCs w:val="24"/>
        </w:rPr>
        <w:t>修订</w:t>
      </w:r>
      <w:r w:rsidRPr="00E36EBB">
        <w:rPr>
          <w:rFonts w:hint="eastAsia"/>
          <w:sz w:val="24"/>
          <w:szCs w:val="24"/>
        </w:rPr>
        <w:t>和</w:t>
      </w:r>
      <w:r w:rsidRPr="00E36EBB">
        <w:rPr>
          <w:sz w:val="24"/>
          <w:szCs w:val="24"/>
        </w:rPr>
        <w:t>补充。</w:t>
      </w:r>
    </w:p>
    <w:p w14:paraId="10CEE037" w14:textId="77777777" w:rsidR="00440305" w:rsidRPr="00E36EBB" w:rsidRDefault="00440305" w:rsidP="00E36EBB">
      <w:pPr>
        <w:spacing w:line="360" w:lineRule="auto"/>
        <w:ind w:firstLine="482"/>
        <w:rPr>
          <w:color w:val="000000"/>
          <w:sz w:val="24"/>
          <w:szCs w:val="24"/>
        </w:rPr>
      </w:pPr>
      <w:r w:rsidRPr="00E36EBB">
        <w:rPr>
          <w:rFonts w:hint="eastAsia"/>
          <w:sz w:val="24"/>
          <w:szCs w:val="24"/>
        </w:rPr>
        <w:t>5</w:t>
      </w:r>
      <w:r w:rsidRPr="00E36EBB">
        <w:rPr>
          <w:rFonts w:hint="eastAsia"/>
          <w:sz w:val="24"/>
          <w:szCs w:val="24"/>
        </w:rPr>
        <w:t>、</w:t>
      </w:r>
      <w:r w:rsidRPr="00E36EBB">
        <w:rPr>
          <w:color w:val="000000"/>
          <w:sz w:val="24"/>
          <w:szCs w:val="24"/>
        </w:rPr>
        <w:t>组织学习</w:t>
      </w:r>
      <w:r w:rsidRPr="00E36EBB">
        <w:rPr>
          <w:rFonts w:hint="eastAsia"/>
          <w:color w:val="000000"/>
          <w:sz w:val="24"/>
          <w:szCs w:val="24"/>
        </w:rPr>
        <w:t>团体</w:t>
      </w:r>
      <w:r w:rsidRPr="00E36EBB">
        <w:rPr>
          <w:color w:val="000000"/>
          <w:sz w:val="24"/>
          <w:szCs w:val="24"/>
        </w:rPr>
        <w:t>标准，加大对标准的宣传及贯彻力度，标准委员会作为企业之间的桥梁，做好沟通，推进行业的进一步发展。</w:t>
      </w:r>
    </w:p>
    <w:p w14:paraId="6B7C4670" w14:textId="1CC5687E" w:rsidR="00440305" w:rsidRPr="00E36EBB" w:rsidRDefault="00E36EBB" w:rsidP="00E36EBB">
      <w:pPr>
        <w:pStyle w:val="1"/>
      </w:pPr>
      <w:bookmarkStart w:id="22" w:name="_Toc176458295"/>
      <w:r>
        <w:rPr>
          <w:rFonts w:hint="eastAsia"/>
        </w:rPr>
        <w:t>十</w:t>
      </w:r>
      <w:r w:rsidR="00440305" w:rsidRPr="00E36EBB">
        <w:t>、废止现行有关标准的建议</w:t>
      </w:r>
      <w:bookmarkEnd w:id="22"/>
    </w:p>
    <w:p w14:paraId="19A73A30" w14:textId="77777777" w:rsidR="00440305" w:rsidRPr="00E36EBB" w:rsidRDefault="00440305" w:rsidP="00E36EBB">
      <w:pPr>
        <w:spacing w:line="360" w:lineRule="auto"/>
        <w:ind w:firstLine="482"/>
        <w:rPr>
          <w:color w:val="000000"/>
          <w:sz w:val="24"/>
          <w:szCs w:val="24"/>
        </w:rPr>
      </w:pPr>
      <w:r w:rsidRPr="00E36EBB">
        <w:rPr>
          <w:color w:val="000000"/>
          <w:sz w:val="24"/>
          <w:szCs w:val="24"/>
        </w:rPr>
        <w:t>无。</w:t>
      </w:r>
    </w:p>
    <w:p w14:paraId="3F7014E3" w14:textId="214E4C12" w:rsidR="00440305" w:rsidRPr="00E36EBB" w:rsidRDefault="00440305" w:rsidP="00E36EBB">
      <w:pPr>
        <w:pStyle w:val="1"/>
      </w:pPr>
      <w:bookmarkStart w:id="23" w:name="_Toc176458296"/>
      <w:r w:rsidRPr="00E36EBB">
        <w:t>十</w:t>
      </w:r>
      <w:r w:rsidR="00E36EBB">
        <w:rPr>
          <w:rFonts w:hint="eastAsia"/>
        </w:rPr>
        <w:t>一</w:t>
      </w:r>
      <w:r w:rsidRPr="00E36EBB">
        <w:t>、其他应予说明的事项</w:t>
      </w:r>
      <w:bookmarkEnd w:id="23"/>
    </w:p>
    <w:p w14:paraId="49DE0CF3" w14:textId="77777777" w:rsidR="00440305" w:rsidRPr="00E36EBB" w:rsidRDefault="00440305" w:rsidP="00E36EBB">
      <w:pPr>
        <w:spacing w:line="360" w:lineRule="auto"/>
        <w:ind w:firstLine="482"/>
        <w:rPr>
          <w:color w:val="000000"/>
          <w:sz w:val="24"/>
          <w:szCs w:val="24"/>
        </w:rPr>
      </w:pPr>
      <w:r w:rsidRPr="00E36EBB">
        <w:rPr>
          <w:color w:val="000000"/>
          <w:sz w:val="24"/>
          <w:szCs w:val="24"/>
        </w:rPr>
        <w:t>无。</w:t>
      </w:r>
    </w:p>
    <w:p w14:paraId="27A9067A" w14:textId="66A3A0DD" w:rsidR="00487FAD" w:rsidRPr="00E36EBB" w:rsidRDefault="00000000" w:rsidP="00E36EBB">
      <w:pPr>
        <w:spacing w:line="360" w:lineRule="auto"/>
        <w:ind w:firstLine="482"/>
        <w:rPr>
          <w:color w:val="000000"/>
          <w:sz w:val="24"/>
          <w:szCs w:val="24"/>
        </w:rPr>
      </w:pPr>
      <w:r w:rsidRPr="00E36EBB">
        <w:rPr>
          <w:color w:val="000000"/>
          <w:sz w:val="24"/>
          <w:szCs w:val="24"/>
        </w:rPr>
        <w:fldChar w:fldCharType="begin"/>
      </w:r>
      <w:r w:rsidRPr="00E36EBB">
        <w:rPr>
          <w:color w:val="000000"/>
          <w:sz w:val="24"/>
          <w:szCs w:val="24"/>
        </w:rPr>
        <w:instrText xml:space="preserve"> ADDIN EN.REFLIST </w:instrText>
      </w:r>
      <w:r w:rsidRPr="00E36EBB">
        <w:rPr>
          <w:color w:val="000000"/>
          <w:sz w:val="24"/>
          <w:szCs w:val="24"/>
        </w:rPr>
        <w:fldChar w:fldCharType="separate"/>
      </w:r>
      <w:r w:rsidRPr="00E36EBB">
        <w:rPr>
          <w:color w:val="000000"/>
          <w:sz w:val="24"/>
          <w:szCs w:val="24"/>
        </w:rPr>
        <w:fldChar w:fldCharType="end"/>
      </w:r>
    </w:p>
    <w:sectPr w:rsidR="00487FAD" w:rsidRPr="00E36EBB">
      <w:footerReference w:type="even" r:id="rId23"/>
      <w:footerReference w:type="default" r:id="rId24"/>
      <w:pgSz w:w="11906" w:h="16838"/>
      <w:pgMar w:top="1843" w:right="1558" w:bottom="1702"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4382F" w14:textId="77777777" w:rsidR="003A62EE" w:rsidRDefault="003A62EE">
      <w:r>
        <w:separator/>
      </w:r>
    </w:p>
  </w:endnote>
  <w:endnote w:type="continuationSeparator" w:id="0">
    <w:p w14:paraId="785D6819" w14:textId="77777777" w:rsidR="003A62EE" w:rsidRDefault="003A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B19E" w14:textId="77777777" w:rsidR="00000000" w:rsidRDefault="00000000">
    <w:pPr>
      <w:pStyle w:val="a9"/>
      <w:framePr w:wrap="around" w:vAnchor="text" w:hAnchor="margin" w:xAlign="center" w:y="1"/>
      <w:rPr>
        <w:rStyle w:val="ae"/>
      </w:rPr>
    </w:pPr>
    <w:r>
      <w:fldChar w:fldCharType="begin"/>
    </w:r>
    <w:r>
      <w:rPr>
        <w:rStyle w:val="ae"/>
      </w:rPr>
      <w:instrText xml:space="preserve">PAGE  </w:instrText>
    </w:r>
    <w:r>
      <w:fldChar w:fldCharType="end"/>
    </w:r>
  </w:p>
  <w:p w14:paraId="4914C314" w14:textId="77777777" w:rsidR="00000000" w:rsidRDefault="0000000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680CE" w14:textId="77777777" w:rsidR="00000000" w:rsidRDefault="00000000">
    <w:pPr>
      <w:pStyle w:val="a9"/>
      <w:jc w:val="center"/>
    </w:pPr>
    <w:r>
      <w:fldChar w:fldCharType="begin"/>
    </w:r>
    <w:r>
      <w:instrText xml:space="preserve"> PAGE   \* MERGEFORMAT </w:instrText>
    </w:r>
    <w:r>
      <w:fldChar w:fldCharType="separate"/>
    </w:r>
    <w:r>
      <w:rPr>
        <w:lang w:val="zh-CN"/>
      </w:rPr>
      <w:t>8</w:t>
    </w:r>
    <w:r>
      <w:rPr>
        <w:lang w:val="zh-CN"/>
      </w:rPr>
      <w:fldChar w:fldCharType="end"/>
    </w:r>
  </w:p>
  <w:p w14:paraId="60684A5B" w14:textId="77777777" w:rsidR="00000000" w:rsidRDefault="000000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1894" w14:textId="77777777" w:rsidR="003A62EE" w:rsidRDefault="003A62EE">
      <w:r>
        <w:separator/>
      </w:r>
    </w:p>
  </w:footnote>
  <w:footnote w:type="continuationSeparator" w:id="0">
    <w:p w14:paraId="2D8819DD" w14:textId="77777777" w:rsidR="003A62EE" w:rsidRDefault="003A62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B95F2"/>
    <w:multiLevelType w:val="singleLevel"/>
    <w:tmpl w:val="155B95F2"/>
    <w:lvl w:ilvl="0">
      <w:start w:val="1"/>
      <w:numFmt w:val="decimal"/>
      <w:lvlText w:val="[%1]"/>
      <w:lvlJc w:val="left"/>
      <w:pPr>
        <w:tabs>
          <w:tab w:val="left" w:pos="312"/>
        </w:tabs>
      </w:pPr>
    </w:lvl>
  </w:abstractNum>
  <w:abstractNum w:abstractNumId="1" w15:restartNumberingAfterBreak="0">
    <w:nsid w:val="25EB5F88"/>
    <w:multiLevelType w:val="multilevel"/>
    <w:tmpl w:val="25EB5F88"/>
    <w:lvl w:ilvl="0">
      <w:start w:val="1"/>
      <w:numFmt w:val="japaneseCounting"/>
      <w:lvlText w:val="%1、"/>
      <w:lvlJc w:val="left"/>
      <w:pPr>
        <w:ind w:left="3128" w:hanging="576"/>
      </w:pPr>
      <w:rPr>
        <w:rFonts w:hint="default"/>
      </w:rPr>
    </w:lvl>
    <w:lvl w:ilvl="1">
      <w:start w:val="1"/>
      <w:numFmt w:val="lowerLetter"/>
      <w:lvlText w:val="%2)"/>
      <w:lvlJc w:val="left"/>
      <w:pPr>
        <w:ind w:left="3392" w:hanging="420"/>
      </w:pPr>
    </w:lvl>
    <w:lvl w:ilvl="2">
      <w:start w:val="1"/>
      <w:numFmt w:val="lowerRoman"/>
      <w:lvlText w:val="%3."/>
      <w:lvlJc w:val="right"/>
      <w:pPr>
        <w:ind w:left="3812" w:hanging="420"/>
      </w:pPr>
    </w:lvl>
    <w:lvl w:ilvl="3">
      <w:start w:val="1"/>
      <w:numFmt w:val="decimal"/>
      <w:lvlText w:val="%4."/>
      <w:lvlJc w:val="left"/>
      <w:pPr>
        <w:ind w:left="4232" w:hanging="420"/>
      </w:pPr>
    </w:lvl>
    <w:lvl w:ilvl="4">
      <w:start w:val="1"/>
      <w:numFmt w:val="lowerLetter"/>
      <w:lvlText w:val="%5)"/>
      <w:lvlJc w:val="left"/>
      <w:pPr>
        <w:ind w:left="4652" w:hanging="420"/>
      </w:pPr>
    </w:lvl>
    <w:lvl w:ilvl="5">
      <w:start w:val="1"/>
      <w:numFmt w:val="lowerRoman"/>
      <w:lvlText w:val="%6."/>
      <w:lvlJc w:val="right"/>
      <w:pPr>
        <w:ind w:left="5072" w:hanging="420"/>
      </w:pPr>
    </w:lvl>
    <w:lvl w:ilvl="6">
      <w:start w:val="1"/>
      <w:numFmt w:val="decimal"/>
      <w:lvlText w:val="%7."/>
      <w:lvlJc w:val="left"/>
      <w:pPr>
        <w:ind w:left="5492" w:hanging="420"/>
      </w:pPr>
    </w:lvl>
    <w:lvl w:ilvl="7">
      <w:start w:val="1"/>
      <w:numFmt w:val="lowerLetter"/>
      <w:lvlText w:val="%8)"/>
      <w:lvlJc w:val="left"/>
      <w:pPr>
        <w:ind w:left="5912" w:hanging="420"/>
      </w:pPr>
    </w:lvl>
    <w:lvl w:ilvl="8">
      <w:start w:val="1"/>
      <w:numFmt w:val="lowerRoman"/>
      <w:lvlText w:val="%9."/>
      <w:lvlJc w:val="right"/>
      <w:pPr>
        <w:ind w:left="6332" w:hanging="420"/>
      </w:pPr>
    </w:lvl>
  </w:abstractNum>
  <w:abstractNum w:abstractNumId="2" w15:restartNumberingAfterBreak="0">
    <w:nsid w:val="49FB719B"/>
    <w:multiLevelType w:val="singleLevel"/>
    <w:tmpl w:val="49FB719B"/>
    <w:lvl w:ilvl="0">
      <w:start w:val="1"/>
      <w:numFmt w:val="decimal"/>
      <w:suff w:val="space"/>
      <w:lvlText w:val="%1."/>
      <w:lvlJc w:val="left"/>
    </w:lvl>
  </w:abstractNum>
  <w:abstractNum w:abstractNumId="3" w15:restartNumberingAfterBreak="0">
    <w:nsid w:val="61182B26"/>
    <w:multiLevelType w:val="hybridMultilevel"/>
    <w:tmpl w:val="AFF28480"/>
    <w:lvl w:ilvl="0" w:tplc="2662D292">
      <w:start w:val="4"/>
      <w:numFmt w:val="japaneseCounting"/>
      <w:lvlText w:val="%1、"/>
      <w:lvlJc w:val="left"/>
      <w:pPr>
        <w:ind w:left="500" w:hanging="50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BC7AE01"/>
    <w:multiLevelType w:val="singleLevel"/>
    <w:tmpl w:val="6BC7AE01"/>
    <w:lvl w:ilvl="0">
      <w:start w:val="1"/>
      <w:numFmt w:val="decimal"/>
      <w:lvlText w:val="%1."/>
      <w:lvlJc w:val="left"/>
      <w:pPr>
        <w:tabs>
          <w:tab w:val="left" w:pos="312"/>
        </w:tabs>
        <w:ind w:left="240" w:firstLine="0"/>
      </w:pPr>
    </w:lvl>
  </w:abstractNum>
  <w:num w:numId="1" w16cid:durableId="1813715128">
    <w:abstractNumId w:val="1"/>
  </w:num>
  <w:num w:numId="2" w16cid:durableId="1083717256">
    <w:abstractNumId w:val="0"/>
  </w:num>
  <w:num w:numId="3" w16cid:durableId="536086837">
    <w:abstractNumId w:val="4"/>
  </w:num>
  <w:num w:numId="4" w16cid:durableId="2001274371">
    <w:abstractNumId w:val="2"/>
  </w:num>
  <w:num w:numId="5" w16cid:durableId="298271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NkMzVhNTA1NWMzZDc0MDk3Nzc1ODUzODEwMDUwODEifQ=="/>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0xw9a5ksss2bepfpxv2exzapw0pspfxrrs&quot;&gt;发酵TMR小论文&lt;record-ids&gt;&lt;item&gt;228&lt;/item&gt;&lt;/record-ids&gt;&lt;/item&gt;&lt;/Libraries&gt;"/>
  </w:docVars>
  <w:rsids>
    <w:rsidRoot w:val="00416669"/>
    <w:rsid w:val="000155DB"/>
    <w:rsid w:val="00017D16"/>
    <w:rsid w:val="000308A3"/>
    <w:rsid w:val="00032402"/>
    <w:rsid w:val="00036A34"/>
    <w:rsid w:val="000429E1"/>
    <w:rsid w:val="000434FB"/>
    <w:rsid w:val="00044247"/>
    <w:rsid w:val="0004735E"/>
    <w:rsid w:val="00057930"/>
    <w:rsid w:val="000610CF"/>
    <w:rsid w:val="00061E22"/>
    <w:rsid w:val="00076D67"/>
    <w:rsid w:val="0008074C"/>
    <w:rsid w:val="000B474F"/>
    <w:rsid w:val="000E0375"/>
    <w:rsid w:val="000F7801"/>
    <w:rsid w:val="00112EE8"/>
    <w:rsid w:val="00113F8F"/>
    <w:rsid w:val="001155D9"/>
    <w:rsid w:val="0012627C"/>
    <w:rsid w:val="00126374"/>
    <w:rsid w:val="0013098F"/>
    <w:rsid w:val="001372F7"/>
    <w:rsid w:val="00137BD4"/>
    <w:rsid w:val="00140742"/>
    <w:rsid w:val="00147E5E"/>
    <w:rsid w:val="001650ED"/>
    <w:rsid w:val="00173D9B"/>
    <w:rsid w:val="0017441B"/>
    <w:rsid w:val="001877A5"/>
    <w:rsid w:val="001A3DFC"/>
    <w:rsid w:val="001A3E3C"/>
    <w:rsid w:val="001A6550"/>
    <w:rsid w:val="001D0503"/>
    <w:rsid w:val="001E428B"/>
    <w:rsid w:val="001E72A2"/>
    <w:rsid w:val="001F1BFE"/>
    <w:rsid w:val="001F5979"/>
    <w:rsid w:val="001F6496"/>
    <w:rsid w:val="00230B2D"/>
    <w:rsid w:val="002313E0"/>
    <w:rsid w:val="00231604"/>
    <w:rsid w:val="00232FFF"/>
    <w:rsid w:val="00237F30"/>
    <w:rsid w:val="00240E83"/>
    <w:rsid w:val="00246C40"/>
    <w:rsid w:val="002538BD"/>
    <w:rsid w:val="00255BC8"/>
    <w:rsid w:val="00256EDA"/>
    <w:rsid w:val="00257083"/>
    <w:rsid w:val="00257498"/>
    <w:rsid w:val="002574A2"/>
    <w:rsid w:val="00264E4C"/>
    <w:rsid w:val="00266508"/>
    <w:rsid w:val="002679DB"/>
    <w:rsid w:val="002A2BE5"/>
    <w:rsid w:val="002A38D8"/>
    <w:rsid w:val="002B5E17"/>
    <w:rsid w:val="002C3275"/>
    <w:rsid w:val="002C5FEC"/>
    <w:rsid w:val="002D17E1"/>
    <w:rsid w:val="002D653D"/>
    <w:rsid w:val="002E35C6"/>
    <w:rsid w:val="002F1A92"/>
    <w:rsid w:val="002F773B"/>
    <w:rsid w:val="002F78D3"/>
    <w:rsid w:val="00301EF9"/>
    <w:rsid w:val="00315468"/>
    <w:rsid w:val="00324544"/>
    <w:rsid w:val="0033768E"/>
    <w:rsid w:val="00353076"/>
    <w:rsid w:val="00355292"/>
    <w:rsid w:val="00357EA9"/>
    <w:rsid w:val="003616FA"/>
    <w:rsid w:val="0036445F"/>
    <w:rsid w:val="003647ED"/>
    <w:rsid w:val="00371521"/>
    <w:rsid w:val="00377593"/>
    <w:rsid w:val="00384379"/>
    <w:rsid w:val="00395E51"/>
    <w:rsid w:val="00397219"/>
    <w:rsid w:val="003A467C"/>
    <w:rsid w:val="003A62EE"/>
    <w:rsid w:val="003A7FFA"/>
    <w:rsid w:val="003B4101"/>
    <w:rsid w:val="003B4925"/>
    <w:rsid w:val="003C0E69"/>
    <w:rsid w:val="003D5430"/>
    <w:rsid w:val="003E41F0"/>
    <w:rsid w:val="004008BE"/>
    <w:rsid w:val="00401F02"/>
    <w:rsid w:val="00403501"/>
    <w:rsid w:val="0041174A"/>
    <w:rsid w:val="00412FA3"/>
    <w:rsid w:val="00416243"/>
    <w:rsid w:val="00416669"/>
    <w:rsid w:val="004262B4"/>
    <w:rsid w:val="00434FDA"/>
    <w:rsid w:val="0043644F"/>
    <w:rsid w:val="004369B7"/>
    <w:rsid w:val="00440305"/>
    <w:rsid w:val="00441546"/>
    <w:rsid w:val="00441DDE"/>
    <w:rsid w:val="00443A22"/>
    <w:rsid w:val="0045024A"/>
    <w:rsid w:val="004558C5"/>
    <w:rsid w:val="0048331E"/>
    <w:rsid w:val="00487AD2"/>
    <w:rsid w:val="00487FAD"/>
    <w:rsid w:val="004A3AE7"/>
    <w:rsid w:val="004A4D6E"/>
    <w:rsid w:val="004B6B44"/>
    <w:rsid w:val="004C3612"/>
    <w:rsid w:val="004C40C4"/>
    <w:rsid w:val="004C500C"/>
    <w:rsid w:val="004C7768"/>
    <w:rsid w:val="004D3A8C"/>
    <w:rsid w:val="004D7696"/>
    <w:rsid w:val="004E670F"/>
    <w:rsid w:val="004F338A"/>
    <w:rsid w:val="004F7B86"/>
    <w:rsid w:val="00503FBF"/>
    <w:rsid w:val="00527ABD"/>
    <w:rsid w:val="00530419"/>
    <w:rsid w:val="00532D0E"/>
    <w:rsid w:val="0055067B"/>
    <w:rsid w:val="0055090C"/>
    <w:rsid w:val="005573B1"/>
    <w:rsid w:val="00564B6D"/>
    <w:rsid w:val="00571127"/>
    <w:rsid w:val="00571E77"/>
    <w:rsid w:val="0057251D"/>
    <w:rsid w:val="00572906"/>
    <w:rsid w:val="00576CFC"/>
    <w:rsid w:val="005850C6"/>
    <w:rsid w:val="00594619"/>
    <w:rsid w:val="00595AF8"/>
    <w:rsid w:val="0059745A"/>
    <w:rsid w:val="00597601"/>
    <w:rsid w:val="005A3DE9"/>
    <w:rsid w:val="005B3678"/>
    <w:rsid w:val="005C1DB7"/>
    <w:rsid w:val="005C3740"/>
    <w:rsid w:val="005D70F9"/>
    <w:rsid w:val="005E25C4"/>
    <w:rsid w:val="005F21F2"/>
    <w:rsid w:val="005F7967"/>
    <w:rsid w:val="006136A1"/>
    <w:rsid w:val="00613B1E"/>
    <w:rsid w:val="00617DE2"/>
    <w:rsid w:val="00617E82"/>
    <w:rsid w:val="006237C9"/>
    <w:rsid w:val="006274F4"/>
    <w:rsid w:val="006359DA"/>
    <w:rsid w:val="00642959"/>
    <w:rsid w:val="00644454"/>
    <w:rsid w:val="0064625B"/>
    <w:rsid w:val="00647006"/>
    <w:rsid w:val="006615F3"/>
    <w:rsid w:val="00662C30"/>
    <w:rsid w:val="00673243"/>
    <w:rsid w:val="00676D14"/>
    <w:rsid w:val="00677237"/>
    <w:rsid w:val="006801B7"/>
    <w:rsid w:val="006876D1"/>
    <w:rsid w:val="00692CFC"/>
    <w:rsid w:val="006A1F6A"/>
    <w:rsid w:val="006C0880"/>
    <w:rsid w:val="006C11CD"/>
    <w:rsid w:val="006C52CD"/>
    <w:rsid w:val="006D3074"/>
    <w:rsid w:val="006D5BF9"/>
    <w:rsid w:val="006E08FA"/>
    <w:rsid w:val="006E0E00"/>
    <w:rsid w:val="006E4C06"/>
    <w:rsid w:val="006F1DD4"/>
    <w:rsid w:val="006F3702"/>
    <w:rsid w:val="006F740A"/>
    <w:rsid w:val="00701F8B"/>
    <w:rsid w:val="007038ED"/>
    <w:rsid w:val="00706039"/>
    <w:rsid w:val="007227A4"/>
    <w:rsid w:val="00722A10"/>
    <w:rsid w:val="00732883"/>
    <w:rsid w:val="007356A0"/>
    <w:rsid w:val="007508FD"/>
    <w:rsid w:val="0075399B"/>
    <w:rsid w:val="00757F83"/>
    <w:rsid w:val="007665CB"/>
    <w:rsid w:val="00777351"/>
    <w:rsid w:val="00792549"/>
    <w:rsid w:val="00793A3A"/>
    <w:rsid w:val="007A1632"/>
    <w:rsid w:val="007A1885"/>
    <w:rsid w:val="007A2731"/>
    <w:rsid w:val="007B11B3"/>
    <w:rsid w:val="007B6620"/>
    <w:rsid w:val="007B75B7"/>
    <w:rsid w:val="007C4CB1"/>
    <w:rsid w:val="007D1E41"/>
    <w:rsid w:val="007E63DA"/>
    <w:rsid w:val="007F0C38"/>
    <w:rsid w:val="007F5CB8"/>
    <w:rsid w:val="007F7B8C"/>
    <w:rsid w:val="008114DA"/>
    <w:rsid w:val="008127BC"/>
    <w:rsid w:val="00814B61"/>
    <w:rsid w:val="008242BD"/>
    <w:rsid w:val="0082475F"/>
    <w:rsid w:val="00827333"/>
    <w:rsid w:val="00835A6F"/>
    <w:rsid w:val="00836F37"/>
    <w:rsid w:val="00837F17"/>
    <w:rsid w:val="0084113C"/>
    <w:rsid w:val="00847886"/>
    <w:rsid w:val="00847A63"/>
    <w:rsid w:val="008535A7"/>
    <w:rsid w:val="00860918"/>
    <w:rsid w:val="0086606A"/>
    <w:rsid w:val="008678ED"/>
    <w:rsid w:val="00873984"/>
    <w:rsid w:val="0088082F"/>
    <w:rsid w:val="008961C2"/>
    <w:rsid w:val="008962BA"/>
    <w:rsid w:val="00897E59"/>
    <w:rsid w:val="008A2DD2"/>
    <w:rsid w:val="008A2E71"/>
    <w:rsid w:val="008A3069"/>
    <w:rsid w:val="008A49C3"/>
    <w:rsid w:val="008B3504"/>
    <w:rsid w:val="008B7E15"/>
    <w:rsid w:val="008C3EDA"/>
    <w:rsid w:val="008E5F14"/>
    <w:rsid w:val="008E5F71"/>
    <w:rsid w:val="008E66D9"/>
    <w:rsid w:val="008F08FA"/>
    <w:rsid w:val="008F2E1B"/>
    <w:rsid w:val="008F773A"/>
    <w:rsid w:val="00904055"/>
    <w:rsid w:val="00907DBA"/>
    <w:rsid w:val="00914A4F"/>
    <w:rsid w:val="0091549B"/>
    <w:rsid w:val="009215F0"/>
    <w:rsid w:val="00922670"/>
    <w:rsid w:val="00935406"/>
    <w:rsid w:val="00945B8A"/>
    <w:rsid w:val="0095204F"/>
    <w:rsid w:val="0095404A"/>
    <w:rsid w:val="00973876"/>
    <w:rsid w:val="00980FDD"/>
    <w:rsid w:val="009812CC"/>
    <w:rsid w:val="00986C80"/>
    <w:rsid w:val="009951C7"/>
    <w:rsid w:val="009966C3"/>
    <w:rsid w:val="0099687E"/>
    <w:rsid w:val="009A13B4"/>
    <w:rsid w:val="009A300F"/>
    <w:rsid w:val="009B09CB"/>
    <w:rsid w:val="009C1890"/>
    <w:rsid w:val="009C1E98"/>
    <w:rsid w:val="009E25E4"/>
    <w:rsid w:val="009F110C"/>
    <w:rsid w:val="009F31FF"/>
    <w:rsid w:val="009F64A3"/>
    <w:rsid w:val="00A1717E"/>
    <w:rsid w:val="00A21B84"/>
    <w:rsid w:val="00A255CB"/>
    <w:rsid w:val="00A26331"/>
    <w:rsid w:val="00A2746C"/>
    <w:rsid w:val="00A27F7F"/>
    <w:rsid w:val="00A447CB"/>
    <w:rsid w:val="00A44C95"/>
    <w:rsid w:val="00A464AD"/>
    <w:rsid w:val="00A46547"/>
    <w:rsid w:val="00A542B0"/>
    <w:rsid w:val="00A5557B"/>
    <w:rsid w:val="00A56B82"/>
    <w:rsid w:val="00A75672"/>
    <w:rsid w:val="00A8486E"/>
    <w:rsid w:val="00AA2DCB"/>
    <w:rsid w:val="00AA3DF7"/>
    <w:rsid w:val="00AA7CED"/>
    <w:rsid w:val="00AB1FC9"/>
    <w:rsid w:val="00AB4133"/>
    <w:rsid w:val="00AB46A2"/>
    <w:rsid w:val="00AD492B"/>
    <w:rsid w:val="00AD5C1F"/>
    <w:rsid w:val="00AD5E18"/>
    <w:rsid w:val="00AD78F8"/>
    <w:rsid w:val="00AE1937"/>
    <w:rsid w:val="00AE3118"/>
    <w:rsid w:val="00AE3591"/>
    <w:rsid w:val="00AE35CB"/>
    <w:rsid w:val="00AF7E56"/>
    <w:rsid w:val="00B04616"/>
    <w:rsid w:val="00B072C7"/>
    <w:rsid w:val="00B101AB"/>
    <w:rsid w:val="00B27E34"/>
    <w:rsid w:val="00B30B48"/>
    <w:rsid w:val="00B337E6"/>
    <w:rsid w:val="00B34441"/>
    <w:rsid w:val="00B34D79"/>
    <w:rsid w:val="00B35BB0"/>
    <w:rsid w:val="00B36B7A"/>
    <w:rsid w:val="00B438C1"/>
    <w:rsid w:val="00B559A4"/>
    <w:rsid w:val="00B63763"/>
    <w:rsid w:val="00B756D2"/>
    <w:rsid w:val="00B915FB"/>
    <w:rsid w:val="00B92DBA"/>
    <w:rsid w:val="00B97595"/>
    <w:rsid w:val="00BA2455"/>
    <w:rsid w:val="00BA2A59"/>
    <w:rsid w:val="00BA706B"/>
    <w:rsid w:val="00BA7DAE"/>
    <w:rsid w:val="00BB0513"/>
    <w:rsid w:val="00BB71D2"/>
    <w:rsid w:val="00BC0C02"/>
    <w:rsid w:val="00BD1027"/>
    <w:rsid w:val="00BD385F"/>
    <w:rsid w:val="00BD39E2"/>
    <w:rsid w:val="00BD3CA0"/>
    <w:rsid w:val="00BE0B0E"/>
    <w:rsid w:val="00BE3F98"/>
    <w:rsid w:val="00BF1329"/>
    <w:rsid w:val="00BF72F5"/>
    <w:rsid w:val="00BF7605"/>
    <w:rsid w:val="00C04DE6"/>
    <w:rsid w:val="00C0677E"/>
    <w:rsid w:val="00C16421"/>
    <w:rsid w:val="00C22140"/>
    <w:rsid w:val="00C31237"/>
    <w:rsid w:val="00C35D5A"/>
    <w:rsid w:val="00C42D41"/>
    <w:rsid w:val="00C43B8F"/>
    <w:rsid w:val="00C43FAD"/>
    <w:rsid w:val="00C45F48"/>
    <w:rsid w:val="00C474C8"/>
    <w:rsid w:val="00C54D42"/>
    <w:rsid w:val="00C679AC"/>
    <w:rsid w:val="00C758D8"/>
    <w:rsid w:val="00C81D94"/>
    <w:rsid w:val="00C900AE"/>
    <w:rsid w:val="00C9570B"/>
    <w:rsid w:val="00CA1927"/>
    <w:rsid w:val="00CA3AB7"/>
    <w:rsid w:val="00CB619E"/>
    <w:rsid w:val="00CD6231"/>
    <w:rsid w:val="00CE53AB"/>
    <w:rsid w:val="00D00CC8"/>
    <w:rsid w:val="00D22D66"/>
    <w:rsid w:val="00D250E5"/>
    <w:rsid w:val="00D253BE"/>
    <w:rsid w:val="00D26985"/>
    <w:rsid w:val="00D3529E"/>
    <w:rsid w:val="00D46F1D"/>
    <w:rsid w:val="00D53C06"/>
    <w:rsid w:val="00D60D26"/>
    <w:rsid w:val="00D60EB5"/>
    <w:rsid w:val="00D73891"/>
    <w:rsid w:val="00D749ED"/>
    <w:rsid w:val="00D81652"/>
    <w:rsid w:val="00D81CB9"/>
    <w:rsid w:val="00D90078"/>
    <w:rsid w:val="00D9528D"/>
    <w:rsid w:val="00DA3ED9"/>
    <w:rsid w:val="00DA4986"/>
    <w:rsid w:val="00DC10BE"/>
    <w:rsid w:val="00DD550E"/>
    <w:rsid w:val="00DD56EA"/>
    <w:rsid w:val="00DD694C"/>
    <w:rsid w:val="00DF0229"/>
    <w:rsid w:val="00DF3DAB"/>
    <w:rsid w:val="00DF4E14"/>
    <w:rsid w:val="00DF666A"/>
    <w:rsid w:val="00DF6EA3"/>
    <w:rsid w:val="00DF7946"/>
    <w:rsid w:val="00E1686F"/>
    <w:rsid w:val="00E33DCF"/>
    <w:rsid w:val="00E36EBB"/>
    <w:rsid w:val="00E373AD"/>
    <w:rsid w:val="00E4036C"/>
    <w:rsid w:val="00E418B3"/>
    <w:rsid w:val="00E52D55"/>
    <w:rsid w:val="00E56FB6"/>
    <w:rsid w:val="00E57815"/>
    <w:rsid w:val="00E62DD5"/>
    <w:rsid w:val="00E8551F"/>
    <w:rsid w:val="00E923DA"/>
    <w:rsid w:val="00E93DBA"/>
    <w:rsid w:val="00E9519E"/>
    <w:rsid w:val="00E96678"/>
    <w:rsid w:val="00E967AE"/>
    <w:rsid w:val="00EB7CF2"/>
    <w:rsid w:val="00EE1047"/>
    <w:rsid w:val="00EF0176"/>
    <w:rsid w:val="00EF4463"/>
    <w:rsid w:val="00F10D01"/>
    <w:rsid w:val="00F143A4"/>
    <w:rsid w:val="00F21D5B"/>
    <w:rsid w:val="00F2339E"/>
    <w:rsid w:val="00F266DE"/>
    <w:rsid w:val="00F33865"/>
    <w:rsid w:val="00F4018F"/>
    <w:rsid w:val="00F46585"/>
    <w:rsid w:val="00F465B9"/>
    <w:rsid w:val="00F50FA6"/>
    <w:rsid w:val="00F62E99"/>
    <w:rsid w:val="00F65A3A"/>
    <w:rsid w:val="00F70A79"/>
    <w:rsid w:val="00F73820"/>
    <w:rsid w:val="00F75167"/>
    <w:rsid w:val="00F765AB"/>
    <w:rsid w:val="00F810F1"/>
    <w:rsid w:val="00F85661"/>
    <w:rsid w:val="00F938C1"/>
    <w:rsid w:val="00FA3307"/>
    <w:rsid w:val="00FB5B64"/>
    <w:rsid w:val="00FC2299"/>
    <w:rsid w:val="00FC7766"/>
    <w:rsid w:val="00FD2844"/>
    <w:rsid w:val="00FD4EFA"/>
    <w:rsid w:val="00FD55D6"/>
    <w:rsid w:val="00FD6815"/>
    <w:rsid w:val="00FD6B91"/>
    <w:rsid w:val="00FE01AF"/>
    <w:rsid w:val="00FE6C94"/>
    <w:rsid w:val="00FF48BF"/>
    <w:rsid w:val="00FF5684"/>
    <w:rsid w:val="01885582"/>
    <w:rsid w:val="02D3570F"/>
    <w:rsid w:val="035769A3"/>
    <w:rsid w:val="040D0C24"/>
    <w:rsid w:val="0A0E7F26"/>
    <w:rsid w:val="166F5222"/>
    <w:rsid w:val="1E711A49"/>
    <w:rsid w:val="20A67D62"/>
    <w:rsid w:val="2AA17567"/>
    <w:rsid w:val="2C8376D8"/>
    <w:rsid w:val="30A071CD"/>
    <w:rsid w:val="3100387E"/>
    <w:rsid w:val="32F41833"/>
    <w:rsid w:val="35D66C79"/>
    <w:rsid w:val="363F0E23"/>
    <w:rsid w:val="366F04F9"/>
    <w:rsid w:val="391F59BB"/>
    <w:rsid w:val="39707CB8"/>
    <w:rsid w:val="3EF33504"/>
    <w:rsid w:val="43712A92"/>
    <w:rsid w:val="482C3F1D"/>
    <w:rsid w:val="4AD420FB"/>
    <w:rsid w:val="4D9E3FA3"/>
    <w:rsid w:val="52BD4306"/>
    <w:rsid w:val="52C935E2"/>
    <w:rsid w:val="5420452F"/>
    <w:rsid w:val="560D45D3"/>
    <w:rsid w:val="5BC14BBB"/>
    <w:rsid w:val="5C9D7268"/>
    <w:rsid w:val="5F97769F"/>
    <w:rsid w:val="615A37DE"/>
    <w:rsid w:val="63B36E26"/>
    <w:rsid w:val="64B659E6"/>
    <w:rsid w:val="66AA38F8"/>
    <w:rsid w:val="694960C1"/>
    <w:rsid w:val="69F152C0"/>
    <w:rsid w:val="6F9E5BF8"/>
    <w:rsid w:val="73CE5A0F"/>
    <w:rsid w:val="77785FC7"/>
    <w:rsid w:val="78EC7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B0A3A"/>
  <w15:chartTrackingRefBased/>
  <w15:docId w15:val="{AB0B9254-D630-4402-992B-2D8A72A3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paragraph" w:styleId="1">
    <w:name w:val="heading 1"/>
    <w:basedOn w:val="a"/>
    <w:next w:val="a"/>
    <w:link w:val="10"/>
    <w:uiPriority w:val="9"/>
    <w:qFormat/>
    <w:rsid w:val="00264E4C"/>
    <w:pPr>
      <w:keepNext/>
      <w:keepLines/>
      <w:spacing w:before="240" w:after="240" w:line="360" w:lineRule="auto"/>
      <w:outlineLvl w:val="0"/>
    </w:pPr>
    <w:rPr>
      <w:b/>
      <w:bCs/>
      <w:kern w:val="44"/>
      <w:sz w:val="28"/>
      <w:szCs w:val="44"/>
    </w:rPr>
  </w:style>
  <w:style w:type="paragraph" w:styleId="2">
    <w:name w:val="heading 2"/>
    <w:basedOn w:val="a"/>
    <w:next w:val="a"/>
    <w:link w:val="20"/>
    <w:uiPriority w:val="9"/>
    <w:qFormat/>
    <w:rsid w:val="00264E4C"/>
    <w:pPr>
      <w:keepNext/>
      <w:keepLines/>
      <w:spacing w:before="240" w:after="240" w:line="360" w:lineRule="auto"/>
      <w:outlineLvl w:val="1"/>
    </w:pPr>
    <w:rPr>
      <w:rFonts w:ascii="等线 Light" w:eastAsia="黑体" w:hAnsi="等线 Light"/>
      <w:bCs/>
      <w:sz w:val="24"/>
      <w:szCs w:val="32"/>
    </w:rPr>
  </w:style>
  <w:style w:type="paragraph" w:styleId="3">
    <w:name w:val="heading 3"/>
    <w:basedOn w:val="a"/>
    <w:next w:val="a"/>
    <w:link w:val="30"/>
    <w:uiPriority w:val="9"/>
    <w:unhideWhenUsed/>
    <w:qFormat/>
    <w:rsid w:val="00264E4C"/>
    <w:pPr>
      <w:keepNext/>
      <w:keepLines/>
      <w:spacing w:line="360" w:lineRule="auto"/>
      <w:outlineLvl w:val="2"/>
    </w:pPr>
    <w:rPr>
      <w:b/>
      <w:bCs/>
      <w:sz w:val="24"/>
      <w:szCs w:val="32"/>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uiPriority w:val="9"/>
    <w:rsid w:val="00264E4C"/>
    <w:rPr>
      <w:rFonts w:ascii="等线 Light" w:eastAsia="黑体" w:hAnsi="等线 Light"/>
      <w:bCs/>
      <w:kern w:val="2"/>
      <w:sz w:val="24"/>
      <w:szCs w:val="32"/>
    </w:rPr>
  </w:style>
  <w:style w:type="paragraph" w:styleId="a3">
    <w:name w:val="caption"/>
    <w:basedOn w:val="a"/>
    <w:next w:val="a"/>
    <w:qFormat/>
    <w:rPr>
      <w:rFonts w:ascii="等线 Light" w:eastAsia="黑体" w:hAnsi="等线 Light"/>
      <w:sz w:val="20"/>
      <w:szCs w:val="20"/>
    </w:rPr>
  </w:style>
  <w:style w:type="paragraph" w:styleId="a4">
    <w:name w:val="Plain Text"/>
    <w:basedOn w:val="a"/>
    <w:uiPriority w:val="99"/>
    <w:qFormat/>
    <w:rPr>
      <w:rFonts w:ascii="宋体" w:hAnsi="Courier New" w:cs="宋体"/>
    </w:rPr>
  </w:style>
  <w:style w:type="paragraph" w:styleId="a5">
    <w:name w:val="Date"/>
    <w:basedOn w:val="a"/>
    <w:next w:val="a"/>
    <w:link w:val="a6"/>
    <w:qFormat/>
    <w:pPr>
      <w:ind w:leftChars="2500" w:left="100"/>
    </w:pPr>
    <w:rPr>
      <w:szCs w:val="24"/>
    </w:rPr>
  </w:style>
  <w:style w:type="character" w:customStyle="1" w:styleId="a6">
    <w:name w:val="日期 字符"/>
    <w:link w:val="a5"/>
    <w:qFormat/>
    <w:rPr>
      <w:rFonts w:ascii="Times New Roman" w:eastAsia="宋体" w:hAnsi="Times New Roman" w:cs="Times New Roman"/>
      <w:kern w:val="2"/>
      <w:sz w:val="21"/>
      <w:szCs w:val="24"/>
    </w:rPr>
  </w:style>
  <w:style w:type="paragraph" w:styleId="a7">
    <w:name w:val="Balloon Text"/>
    <w:basedOn w:val="a"/>
    <w:link w:val="a8"/>
    <w:unhideWhenUsed/>
    <w:qFormat/>
    <w:rPr>
      <w:sz w:val="18"/>
      <w:szCs w:val="18"/>
    </w:rPr>
  </w:style>
  <w:style w:type="character" w:customStyle="1" w:styleId="a8">
    <w:name w:val="批注框文本 字符"/>
    <w:link w:val="a7"/>
    <w:uiPriority w:val="99"/>
    <w:semiHidden/>
    <w:qFormat/>
    <w:rPr>
      <w:rFonts w:ascii="Times New Roman" w:eastAsia="宋体" w:hAnsi="Times New Roman" w:cs="Times New Roman"/>
      <w:kern w:val="2"/>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character" w:customStyle="1" w:styleId="aa">
    <w:name w:val="页脚 字符"/>
    <w:link w:val="a9"/>
    <w:uiPriority w:val="99"/>
    <w:qFormat/>
    <w:rPr>
      <w:rFonts w:ascii="Times New Roman" w:eastAsia="宋体" w:hAnsi="Times New Roman" w:cs="Times New Roman"/>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qFormat/>
    <w:rPr>
      <w:rFonts w:ascii="Times New Roman" w:eastAsia="宋体" w:hAnsi="Times New Roman" w:cs="Times New Roman"/>
      <w:sz w:val="18"/>
      <w:szCs w:val="18"/>
    </w:rPr>
  </w:style>
  <w:style w:type="character" w:styleId="ad">
    <w:name w:val="Strong"/>
    <w:qFormat/>
    <w:rPr>
      <w:b/>
    </w:rPr>
  </w:style>
  <w:style w:type="character" w:styleId="ae">
    <w:name w:val="page number"/>
    <w:qFormat/>
  </w:style>
  <w:style w:type="character" w:styleId="af">
    <w:name w:val="Hyperlink"/>
    <w:uiPriority w:val="99"/>
    <w:unhideWhenUsed/>
    <w:qFormat/>
    <w:rPr>
      <w:color w:val="0563C1"/>
      <w:u w:val="single"/>
    </w:rPr>
  </w:style>
  <w:style w:type="character" w:customStyle="1" w:styleId="fontstyle01">
    <w:name w:val="fontstyle01"/>
    <w:qFormat/>
    <w:rPr>
      <w:rFonts w:ascii="黑体" w:eastAsia="黑体" w:hAnsi="黑体" w:hint="eastAsia"/>
      <w:color w:val="000000"/>
      <w:sz w:val="32"/>
      <w:szCs w:val="32"/>
    </w:rPr>
  </w:style>
  <w:style w:type="character" w:customStyle="1" w:styleId="11">
    <w:name w:val="未处理的提及1"/>
    <w:uiPriority w:val="99"/>
    <w:unhideWhenUsed/>
    <w:qFormat/>
    <w:rPr>
      <w:color w:val="605E5C"/>
      <w:shd w:val="clear" w:color="auto" w:fill="E1DFDD"/>
    </w:rPr>
  </w:style>
  <w:style w:type="character" w:customStyle="1" w:styleId="Char">
    <w:name w:val="段 Char"/>
    <w:link w:val="af0"/>
    <w:qFormat/>
    <w:rPr>
      <w:rFonts w:ascii="宋体" w:eastAsia="宋体" w:hAnsi="Times New Roman" w:cs="Times New Roman"/>
      <w:kern w:val="0"/>
      <w:szCs w:val="20"/>
    </w:rPr>
  </w:style>
  <w:style w:type="paragraph" w:customStyle="1" w:styleId="af0">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fontstyle11">
    <w:name w:val="fontstyle11"/>
    <w:qFormat/>
    <w:rPr>
      <w:rFonts w:ascii="TimesNewRomanPSMT" w:hAnsi="TimesNewRomanPSMT" w:hint="default"/>
      <w:color w:val="000000"/>
      <w:sz w:val="22"/>
      <w:szCs w:val="22"/>
    </w:rPr>
  </w:style>
  <w:style w:type="character" w:customStyle="1" w:styleId="apple-style-span">
    <w:name w:val="apple-style-span"/>
    <w:semiHidden/>
    <w:qFormat/>
  </w:style>
  <w:style w:type="paragraph" w:styleId="af1">
    <w:name w:val="List Paragraph"/>
    <w:basedOn w:val="a"/>
    <w:uiPriority w:val="34"/>
    <w:qFormat/>
    <w:pPr>
      <w:ind w:firstLineChars="200" w:firstLine="420"/>
    </w:pPr>
  </w:style>
  <w:style w:type="paragraph" w:customStyle="1" w:styleId="Char1CharCharCharCharCharCharCharCharChar">
    <w:name w:val="Char1 Char Char Char Char Char Char Char Char Char"/>
    <w:basedOn w:val="a"/>
    <w:qFormat/>
    <w:pPr>
      <w:spacing w:line="360" w:lineRule="auto"/>
    </w:pPr>
    <w:rPr>
      <w:rFonts w:ascii="Tahoma" w:hAnsi="Tahoma"/>
      <w:sz w:val="24"/>
      <w:szCs w:val="20"/>
    </w:rPr>
  </w:style>
  <w:style w:type="paragraph" w:customStyle="1" w:styleId="af2">
    <w:name w:val="图标标题"/>
    <w:basedOn w:val="a3"/>
    <w:qFormat/>
    <w:pPr>
      <w:jc w:val="center"/>
    </w:pPr>
    <w:rPr>
      <w:sz w:val="21"/>
    </w:rPr>
  </w:style>
  <w:style w:type="paragraph" w:styleId="af3">
    <w:name w:val="Revision"/>
    <w:uiPriority w:val="99"/>
    <w:unhideWhenUsed/>
    <w:rPr>
      <w:kern w:val="2"/>
      <w:sz w:val="21"/>
      <w:szCs w:val="21"/>
    </w:rPr>
  </w:style>
  <w:style w:type="paragraph" w:customStyle="1" w:styleId="EndNoteBibliography">
    <w:name w:val="EndNote Bibliography"/>
    <w:basedOn w:val="a"/>
    <w:link w:val="EndNoteBibliography0"/>
    <w:qFormat/>
    <w:rPr>
      <w:rFonts w:eastAsia="等线"/>
      <w:sz w:val="20"/>
      <w:szCs w:val="22"/>
    </w:rPr>
  </w:style>
  <w:style w:type="character" w:customStyle="1" w:styleId="EndNoteBibliography0">
    <w:name w:val="EndNote Bibliography 字符"/>
    <w:link w:val="EndNoteBibliography"/>
    <w:qFormat/>
    <w:rPr>
      <w:rFonts w:eastAsia="等线"/>
      <w:kern w:val="2"/>
      <w:szCs w:val="22"/>
    </w:rPr>
  </w:style>
  <w:style w:type="paragraph" w:customStyle="1" w:styleId="EndNoteBibliographyTitle">
    <w:name w:val="EndNote Bibliography Title"/>
    <w:basedOn w:val="a"/>
    <w:link w:val="EndNoteBibliographyTitle0"/>
    <w:pPr>
      <w:jc w:val="center"/>
    </w:pPr>
    <w:rPr>
      <w:sz w:val="20"/>
      <w:lang w:val="en-US" w:eastAsia="zh-CN"/>
    </w:rPr>
  </w:style>
  <w:style w:type="character" w:customStyle="1" w:styleId="EndNoteBibliographyTitle0">
    <w:name w:val="EndNote Bibliography Title 字符"/>
    <w:link w:val="EndNoteBibliographyTitle"/>
    <w:rPr>
      <w:kern w:val="2"/>
      <w:szCs w:val="21"/>
      <w:lang w:val="en-US" w:eastAsia="zh-CN"/>
    </w:rPr>
  </w:style>
  <w:style w:type="character" w:customStyle="1" w:styleId="10">
    <w:name w:val="标题 1 字符"/>
    <w:link w:val="1"/>
    <w:uiPriority w:val="9"/>
    <w:rsid w:val="00264E4C"/>
    <w:rPr>
      <w:b/>
      <w:bCs/>
      <w:kern w:val="44"/>
      <w:sz w:val="28"/>
      <w:szCs w:val="44"/>
    </w:rPr>
  </w:style>
  <w:style w:type="paragraph" w:styleId="TOC">
    <w:name w:val="TOC Heading"/>
    <w:basedOn w:val="1"/>
    <w:next w:val="a"/>
    <w:uiPriority w:val="39"/>
    <w:unhideWhenUsed/>
    <w:qFormat/>
    <w:rsid w:val="00264E4C"/>
    <w:pPr>
      <w:widowControl/>
      <w:spacing w:after="0" w:line="259" w:lineRule="auto"/>
      <w:jc w:val="left"/>
      <w:outlineLvl w:val="9"/>
    </w:pPr>
    <w:rPr>
      <w:rFonts w:ascii="等线 Light" w:eastAsia="等线 Light" w:hAnsi="等线 Light"/>
      <w:b w:val="0"/>
      <w:bCs w:val="0"/>
      <w:color w:val="2F5496"/>
      <w:kern w:val="0"/>
      <w:sz w:val="32"/>
      <w:szCs w:val="32"/>
    </w:rPr>
  </w:style>
  <w:style w:type="character" w:customStyle="1" w:styleId="30">
    <w:name w:val="标题 3 字符"/>
    <w:link w:val="3"/>
    <w:uiPriority w:val="9"/>
    <w:rsid w:val="00264E4C"/>
    <w:rPr>
      <w:b/>
      <w:bCs/>
      <w:kern w:val="2"/>
      <w:sz w:val="24"/>
      <w:szCs w:val="32"/>
    </w:rPr>
  </w:style>
  <w:style w:type="paragraph" w:styleId="TOC1">
    <w:name w:val="toc 1"/>
    <w:basedOn w:val="a"/>
    <w:next w:val="a"/>
    <w:autoRedefine/>
    <w:uiPriority w:val="39"/>
    <w:unhideWhenUsed/>
    <w:rsid w:val="00264E4C"/>
  </w:style>
  <w:style w:type="paragraph" w:styleId="TOC2">
    <w:name w:val="toc 2"/>
    <w:basedOn w:val="a"/>
    <w:next w:val="a"/>
    <w:autoRedefine/>
    <w:uiPriority w:val="39"/>
    <w:unhideWhenUsed/>
    <w:rsid w:val="00264E4C"/>
    <w:pPr>
      <w:ind w:leftChars="200" w:left="420"/>
    </w:pPr>
  </w:style>
  <w:style w:type="paragraph" w:styleId="TOC3">
    <w:name w:val="toc 3"/>
    <w:basedOn w:val="a"/>
    <w:next w:val="a"/>
    <w:autoRedefine/>
    <w:uiPriority w:val="39"/>
    <w:unhideWhenUsed/>
    <w:rsid w:val="00264E4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BFD8C-1850-47D2-BE5D-0813EAA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1623</Words>
  <Characters>9254</Characters>
  <Application>Microsoft Office Word</Application>
  <DocSecurity>0</DocSecurity>
  <Lines>77</Lines>
  <Paragraphs>21</Paragraphs>
  <ScaleCrop>false</ScaleCrop>
  <Company>Lenovo</Company>
  <LinksUpToDate>false</LinksUpToDate>
  <CharactersWithSpaces>10856</CharactersWithSpaces>
  <SharedDoc>false</SharedDoc>
  <HLinks>
    <vt:vector size="126" baseType="variant">
      <vt:variant>
        <vt:i4>1441846</vt:i4>
      </vt:variant>
      <vt:variant>
        <vt:i4>122</vt:i4>
      </vt:variant>
      <vt:variant>
        <vt:i4>0</vt:i4>
      </vt:variant>
      <vt:variant>
        <vt:i4>5</vt:i4>
      </vt:variant>
      <vt:variant>
        <vt:lpwstr/>
      </vt:variant>
      <vt:variant>
        <vt:lpwstr>_Toc176453410</vt:lpwstr>
      </vt:variant>
      <vt:variant>
        <vt:i4>1507382</vt:i4>
      </vt:variant>
      <vt:variant>
        <vt:i4>116</vt:i4>
      </vt:variant>
      <vt:variant>
        <vt:i4>0</vt:i4>
      </vt:variant>
      <vt:variant>
        <vt:i4>5</vt:i4>
      </vt:variant>
      <vt:variant>
        <vt:lpwstr/>
      </vt:variant>
      <vt:variant>
        <vt:lpwstr>_Toc176453409</vt:lpwstr>
      </vt:variant>
      <vt:variant>
        <vt:i4>1507382</vt:i4>
      </vt:variant>
      <vt:variant>
        <vt:i4>110</vt:i4>
      </vt:variant>
      <vt:variant>
        <vt:i4>0</vt:i4>
      </vt:variant>
      <vt:variant>
        <vt:i4>5</vt:i4>
      </vt:variant>
      <vt:variant>
        <vt:lpwstr/>
      </vt:variant>
      <vt:variant>
        <vt:lpwstr>_Toc176453408</vt:lpwstr>
      </vt:variant>
      <vt:variant>
        <vt:i4>1507382</vt:i4>
      </vt:variant>
      <vt:variant>
        <vt:i4>104</vt:i4>
      </vt:variant>
      <vt:variant>
        <vt:i4>0</vt:i4>
      </vt:variant>
      <vt:variant>
        <vt:i4>5</vt:i4>
      </vt:variant>
      <vt:variant>
        <vt:lpwstr/>
      </vt:variant>
      <vt:variant>
        <vt:lpwstr>_Toc176453407</vt:lpwstr>
      </vt:variant>
      <vt:variant>
        <vt:i4>1507382</vt:i4>
      </vt:variant>
      <vt:variant>
        <vt:i4>98</vt:i4>
      </vt:variant>
      <vt:variant>
        <vt:i4>0</vt:i4>
      </vt:variant>
      <vt:variant>
        <vt:i4>5</vt:i4>
      </vt:variant>
      <vt:variant>
        <vt:lpwstr/>
      </vt:variant>
      <vt:variant>
        <vt:lpwstr>_Toc176453406</vt:lpwstr>
      </vt:variant>
      <vt:variant>
        <vt:i4>1507382</vt:i4>
      </vt:variant>
      <vt:variant>
        <vt:i4>92</vt:i4>
      </vt:variant>
      <vt:variant>
        <vt:i4>0</vt:i4>
      </vt:variant>
      <vt:variant>
        <vt:i4>5</vt:i4>
      </vt:variant>
      <vt:variant>
        <vt:lpwstr/>
      </vt:variant>
      <vt:variant>
        <vt:lpwstr>_Toc176453405</vt:lpwstr>
      </vt:variant>
      <vt:variant>
        <vt:i4>1507382</vt:i4>
      </vt:variant>
      <vt:variant>
        <vt:i4>86</vt:i4>
      </vt:variant>
      <vt:variant>
        <vt:i4>0</vt:i4>
      </vt:variant>
      <vt:variant>
        <vt:i4>5</vt:i4>
      </vt:variant>
      <vt:variant>
        <vt:lpwstr/>
      </vt:variant>
      <vt:variant>
        <vt:lpwstr>_Toc176453404</vt:lpwstr>
      </vt:variant>
      <vt:variant>
        <vt:i4>1507382</vt:i4>
      </vt:variant>
      <vt:variant>
        <vt:i4>80</vt:i4>
      </vt:variant>
      <vt:variant>
        <vt:i4>0</vt:i4>
      </vt:variant>
      <vt:variant>
        <vt:i4>5</vt:i4>
      </vt:variant>
      <vt:variant>
        <vt:lpwstr/>
      </vt:variant>
      <vt:variant>
        <vt:lpwstr>_Toc176453403</vt:lpwstr>
      </vt:variant>
      <vt:variant>
        <vt:i4>1507382</vt:i4>
      </vt:variant>
      <vt:variant>
        <vt:i4>74</vt:i4>
      </vt:variant>
      <vt:variant>
        <vt:i4>0</vt:i4>
      </vt:variant>
      <vt:variant>
        <vt:i4>5</vt:i4>
      </vt:variant>
      <vt:variant>
        <vt:lpwstr/>
      </vt:variant>
      <vt:variant>
        <vt:lpwstr>_Toc176453402</vt:lpwstr>
      </vt:variant>
      <vt:variant>
        <vt:i4>1507382</vt:i4>
      </vt:variant>
      <vt:variant>
        <vt:i4>68</vt:i4>
      </vt:variant>
      <vt:variant>
        <vt:i4>0</vt:i4>
      </vt:variant>
      <vt:variant>
        <vt:i4>5</vt:i4>
      </vt:variant>
      <vt:variant>
        <vt:lpwstr/>
      </vt:variant>
      <vt:variant>
        <vt:lpwstr>_Toc176453401</vt:lpwstr>
      </vt:variant>
      <vt:variant>
        <vt:i4>1507382</vt:i4>
      </vt:variant>
      <vt:variant>
        <vt:i4>62</vt:i4>
      </vt:variant>
      <vt:variant>
        <vt:i4>0</vt:i4>
      </vt:variant>
      <vt:variant>
        <vt:i4>5</vt:i4>
      </vt:variant>
      <vt:variant>
        <vt:lpwstr/>
      </vt:variant>
      <vt:variant>
        <vt:lpwstr>_Toc176453400</vt:lpwstr>
      </vt:variant>
      <vt:variant>
        <vt:i4>1966129</vt:i4>
      </vt:variant>
      <vt:variant>
        <vt:i4>56</vt:i4>
      </vt:variant>
      <vt:variant>
        <vt:i4>0</vt:i4>
      </vt:variant>
      <vt:variant>
        <vt:i4>5</vt:i4>
      </vt:variant>
      <vt:variant>
        <vt:lpwstr/>
      </vt:variant>
      <vt:variant>
        <vt:lpwstr>_Toc176453399</vt:lpwstr>
      </vt:variant>
      <vt:variant>
        <vt:i4>1966129</vt:i4>
      </vt:variant>
      <vt:variant>
        <vt:i4>50</vt:i4>
      </vt:variant>
      <vt:variant>
        <vt:i4>0</vt:i4>
      </vt:variant>
      <vt:variant>
        <vt:i4>5</vt:i4>
      </vt:variant>
      <vt:variant>
        <vt:lpwstr/>
      </vt:variant>
      <vt:variant>
        <vt:lpwstr>_Toc176453398</vt:lpwstr>
      </vt:variant>
      <vt:variant>
        <vt:i4>1966129</vt:i4>
      </vt:variant>
      <vt:variant>
        <vt:i4>44</vt:i4>
      </vt:variant>
      <vt:variant>
        <vt:i4>0</vt:i4>
      </vt:variant>
      <vt:variant>
        <vt:i4>5</vt:i4>
      </vt:variant>
      <vt:variant>
        <vt:lpwstr/>
      </vt:variant>
      <vt:variant>
        <vt:lpwstr>_Toc176453397</vt:lpwstr>
      </vt:variant>
      <vt:variant>
        <vt:i4>1966129</vt:i4>
      </vt:variant>
      <vt:variant>
        <vt:i4>38</vt:i4>
      </vt:variant>
      <vt:variant>
        <vt:i4>0</vt:i4>
      </vt:variant>
      <vt:variant>
        <vt:i4>5</vt:i4>
      </vt:variant>
      <vt:variant>
        <vt:lpwstr/>
      </vt:variant>
      <vt:variant>
        <vt:lpwstr>_Toc176453396</vt:lpwstr>
      </vt:variant>
      <vt:variant>
        <vt:i4>1966129</vt:i4>
      </vt:variant>
      <vt:variant>
        <vt:i4>32</vt:i4>
      </vt:variant>
      <vt:variant>
        <vt:i4>0</vt:i4>
      </vt:variant>
      <vt:variant>
        <vt:i4>5</vt:i4>
      </vt:variant>
      <vt:variant>
        <vt:lpwstr/>
      </vt:variant>
      <vt:variant>
        <vt:lpwstr>_Toc176453395</vt:lpwstr>
      </vt:variant>
      <vt:variant>
        <vt:i4>1966129</vt:i4>
      </vt:variant>
      <vt:variant>
        <vt:i4>26</vt:i4>
      </vt:variant>
      <vt:variant>
        <vt:i4>0</vt:i4>
      </vt:variant>
      <vt:variant>
        <vt:i4>5</vt:i4>
      </vt:variant>
      <vt:variant>
        <vt:lpwstr/>
      </vt:variant>
      <vt:variant>
        <vt:lpwstr>_Toc176453394</vt:lpwstr>
      </vt:variant>
      <vt:variant>
        <vt:i4>1966129</vt:i4>
      </vt:variant>
      <vt:variant>
        <vt:i4>20</vt:i4>
      </vt:variant>
      <vt:variant>
        <vt:i4>0</vt:i4>
      </vt:variant>
      <vt:variant>
        <vt:i4>5</vt:i4>
      </vt:variant>
      <vt:variant>
        <vt:lpwstr/>
      </vt:variant>
      <vt:variant>
        <vt:lpwstr>_Toc176453393</vt:lpwstr>
      </vt:variant>
      <vt:variant>
        <vt:i4>1966129</vt:i4>
      </vt:variant>
      <vt:variant>
        <vt:i4>14</vt:i4>
      </vt:variant>
      <vt:variant>
        <vt:i4>0</vt:i4>
      </vt:variant>
      <vt:variant>
        <vt:i4>5</vt:i4>
      </vt:variant>
      <vt:variant>
        <vt:lpwstr/>
      </vt:variant>
      <vt:variant>
        <vt:lpwstr>_Toc176453392</vt:lpwstr>
      </vt:variant>
      <vt:variant>
        <vt:i4>1966129</vt:i4>
      </vt:variant>
      <vt:variant>
        <vt:i4>8</vt:i4>
      </vt:variant>
      <vt:variant>
        <vt:i4>0</vt:i4>
      </vt:variant>
      <vt:variant>
        <vt:i4>5</vt:i4>
      </vt:variant>
      <vt:variant>
        <vt:lpwstr/>
      </vt:variant>
      <vt:variant>
        <vt:lpwstr>_Toc176453391</vt:lpwstr>
      </vt:variant>
      <vt:variant>
        <vt:i4>1966129</vt:i4>
      </vt:variant>
      <vt:variant>
        <vt:i4>2</vt:i4>
      </vt:variant>
      <vt:variant>
        <vt:i4>0</vt:i4>
      </vt:variant>
      <vt:variant>
        <vt:i4>5</vt:i4>
      </vt:variant>
      <vt:variant>
        <vt:lpwstr/>
      </vt:variant>
      <vt:variant>
        <vt:lpwstr>_Toc176453390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cp:lastModifiedBy>ThinkPad</cp:lastModifiedBy>
  <cp:revision>3</cp:revision>
  <cp:lastPrinted>2021-10-27T07:09:00Z</cp:lastPrinted>
  <dcterms:created xsi:type="dcterms:W3CDTF">2024-09-05T11:42:00Z</dcterms:created>
  <dcterms:modified xsi:type="dcterms:W3CDTF">2024-09-05T11:52:00Z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E53E6B1C3EA740DDBAE84C8C12F76B73_13</vt:lpwstr>
  </property>
</Properties>
</file>