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E6557" w14:textId="77777777" w:rsidR="00D250E5" w:rsidRDefault="00D250E5" w:rsidP="00D250E5">
      <w:pPr>
        <w:spacing w:line="360" w:lineRule="auto"/>
        <w:jc w:val="center"/>
        <w:rPr>
          <w:bCs/>
          <w:color w:val="C00000"/>
          <w:sz w:val="36"/>
          <w:szCs w:val="36"/>
        </w:rPr>
      </w:pPr>
      <w:bookmarkStart w:id="0" w:name="_Hlk528261495"/>
    </w:p>
    <w:p w14:paraId="2742AE99" w14:textId="77777777" w:rsidR="00D250E5" w:rsidRDefault="00D250E5" w:rsidP="00D250E5">
      <w:pPr>
        <w:spacing w:line="360" w:lineRule="auto"/>
        <w:jc w:val="center"/>
        <w:rPr>
          <w:bCs/>
          <w:color w:val="C00000"/>
          <w:sz w:val="36"/>
          <w:szCs w:val="36"/>
        </w:rPr>
      </w:pPr>
    </w:p>
    <w:p w14:paraId="4430E96A" w14:textId="77777777" w:rsidR="00D250E5" w:rsidRDefault="00D250E5" w:rsidP="00D250E5">
      <w:pPr>
        <w:spacing w:line="360" w:lineRule="auto"/>
        <w:jc w:val="center"/>
        <w:rPr>
          <w:bCs/>
          <w:color w:val="C00000"/>
          <w:sz w:val="48"/>
          <w:szCs w:val="48"/>
        </w:rPr>
      </w:pPr>
    </w:p>
    <w:p w14:paraId="23776C70" w14:textId="77777777" w:rsidR="00D250E5" w:rsidRDefault="00D250E5" w:rsidP="00D250E5">
      <w:pPr>
        <w:spacing w:line="360" w:lineRule="auto"/>
        <w:jc w:val="center"/>
        <w:rPr>
          <w:bCs/>
          <w:color w:val="C00000"/>
          <w:sz w:val="48"/>
          <w:szCs w:val="48"/>
        </w:rPr>
      </w:pPr>
    </w:p>
    <w:p w14:paraId="3787D1DD" w14:textId="77777777" w:rsidR="00D250E5" w:rsidRPr="007A2731" w:rsidRDefault="00D250E5" w:rsidP="00D250E5">
      <w:pPr>
        <w:jc w:val="center"/>
        <w:rPr>
          <w:sz w:val="52"/>
          <w:szCs w:val="52"/>
        </w:rPr>
      </w:pPr>
      <w:r w:rsidRPr="007A2731">
        <w:rPr>
          <w:sz w:val="52"/>
          <w:szCs w:val="52"/>
        </w:rPr>
        <w:t>团</w:t>
      </w:r>
      <w:r w:rsidRPr="007A2731">
        <w:rPr>
          <w:sz w:val="52"/>
          <w:szCs w:val="52"/>
        </w:rPr>
        <w:t xml:space="preserve"> </w:t>
      </w:r>
      <w:r w:rsidRPr="007A2731">
        <w:rPr>
          <w:sz w:val="52"/>
          <w:szCs w:val="52"/>
        </w:rPr>
        <w:t>体</w:t>
      </w:r>
      <w:r w:rsidRPr="007A2731">
        <w:rPr>
          <w:sz w:val="52"/>
          <w:szCs w:val="52"/>
        </w:rPr>
        <w:t xml:space="preserve"> </w:t>
      </w:r>
      <w:r w:rsidRPr="007A2731">
        <w:rPr>
          <w:sz w:val="52"/>
          <w:szCs w:val="52"/>
        </w:rPr>
        <w:t>标</w:t>
      </w:r>
      <w:r w:rsidRPr="007A2731">
        <w:rPr>
          <w:sz w:val="52"/>
          <w:szCs w:val="52"/>
        </w:rPr>
        <w:t xml:space="preserve"> </w:t>
      </w:r>
      <w:r w:rsidRPr="007A2731">
        <w:rPr>
          <w:sz w:val="52"/>
          <w:szCs w:val="52"/>
        </w:rPr>
        <w:t>准</w:t>
      </w:r>
    </w:p>
    <w:p w14:paraId="708AE891" w14:textId="77777777" w:rsidR="00D250E5" w:rsidRPr="00D250E5" w:rsidRDefault="00D250E5" w:rsidP="00D250E5">
      <w:pPr>
        <w:jc w:val="center"/>
        <w:rPr>
          <w:rFonts w:ascii="黑体" w:eastAsia="黑体" w:hAnsi="黑体"/>
          <w:sz w:val="48"/>
          <w:szCs w:val="48"/>
        </w:rPr>
      </w:pPr>
    </w:p>
    <w:p w14:paraId="1C09085A" w14:textId="6F151901" w:rsidR="007A2731" w:rsidRPr="007A2731" w:rsidRDefault="00D250E5" w:rsidP="007A2731">
      <w:pPr>
        <w:spacing w:beforeLines="100" w:before="312" w:afterLines="100" w:after="312" w:line="480" w:lineRule="auto"/>
        <w:ind w:leftChars="-67" w:rightChars="-182" w:right="-382" w:hangingChars="32" w:hanging="141"/>
        <w:jc w:val="center"/>
        <w:rPr>
          <w:rFonts w:ascii="黑体" w:eastAsia="黑体" w:hAnsi="黑体"/>
          <w:sz w:val="44"/>
          <w:szCs w:val="44"/>
        </w:rPr>
      </w:pPr>
      <w:r w:rsidRPr="007A2731">
        <w:rPr>
          <w:rFonts w:ascii="黑体" w:eastAsia="黑体" w:hAnsi="黑体" w:hint="eastAsia"/>
          <w:sz w:val="44"/>
          <w:szCs w:val="44"/>
        </w:rPr>
        <w:t>《</w:t>
      </w:r>
      <w:r w:rsidR="0086421E" w:rsidRPr="0086421E">
        <w:rPr>
          <w:rFonts w:ascii="黑体" w:eastAsia="黑体" w:hAnsi="黑体" w:hint="eastAsia"/>
          <w:sz w:val="44"/>
          <w:szCs w:val="44"/>
        </w:rPr>
        <w:t>攀西高寒地区一年生豆科牧草与马铃薯轮作技术规程</w:t>
      </w:r>
      <w:r w:rsidRPr="007A2731">
        <w:rPr>
          <w:rFonts w:ascii="黑体" w:eastAsia="黑体" w:hAnsi="黑体" w:hint="eastAsia"/>
          <w:sz w:val="44"/>
          <w:szCs w:val="44"/>
        </w:rPr>
        <w:t>》</w:t>
      </w:r>
    </w:p>
    <w:p w14:paraId="219219F9" w14:textId="77777777" w:rsidR="00D250E5" w:rsidRPr="007A2731" w:rsidRDefault="00D250E5" w:rsidP="007A2731">
      <w:pPr>
        <w:spacing w:beforeLines="100" w:before="312" w:afterLines="100" w:after="312" w:line="480" w:lineRule="auto"/>
        <w:ind w:left="-67"/>
        <w:jc w:val="center"/>
        <w:rPr>
          <w:rFonts w:ascii="黑体" w:eastAsia="黑体" w:hAnsi="黑体" w:hint="eastAsia"/>
          <w:sz w:val="44"/>
          <w:szCs w:val="44"/>
        </w:rPr>
      </w:pPr>
      <w:r w:rsidRPr="007A2731">
        <w:rPr>
          <w:rFonts w:ascii="黑体" w:eastAsia="黑体" w:hAnsi="黑体"/>
          <w:sz w:val="44"/>
          <w:szCs w:val="44"/>
        </w:rPr>
        <w:t>编制说明</w:t>
      </w:r>
    </w:p>
    <w:p w14:paraId="7CFB1E8D" w14:textId="77777777" w:rsidR="00D250E5" w:rsidRDefault="00D250E5" w:rsidP="00D250E5">
      <w:pPr>
        <w:spacing w:line="360" w:lineRule="auto"/>
        <w:jc w:val="center"/>
        <w:rPr>
          <w:bCs/>
          <w:sz w:val="36"/>
          <w:szCs w:val="36"/>
        </w:rPr>
      </w:pPr>
    </w:p>
    <w:p w14:paraId="48CFF0CC" w14:textId="77777777" w:rsidR="00D250E5" w:rsidRDefault="00D250E5" w:rsidP="00D250E5">
      <w:pPr>
        <w:spacing w:line="360" w:lineRule="auto"/>
        <w:jc w:val="center"/>
        <w:rPr>
          <w:bCs/>
          <w:sz w:val="36"/>
          <w:szCs w:val="36"/>
        </w:rPr>
      </w:pPr>
    </w:p>
    <w:p w14:paraId="6C559966" w14:textId="77777777" w:rsidR="00D250E5" w:rsidRDefault="00D250E5" w:rsidP="00D250E5">
      <w:pPr>
        <w:spacing w:line="360" w:lineRule="auto"/>
        <w:jc w:val="center"/>
        <w:rPr>
          <w:bCs/>
          <w:sz w:val="36"/>
          <w:szCs w:val="36"/>
        </w:rPr>
      </w:pPr>
    </w:p>
    <w:p w14:paraId="2AEACF59" w14:textId="77777777" w:rsidR="00D250E5" w:rsidRDefault="00D250E5" w:rsidP="00D250E5">
      <w:pPr>
        <w:spacing w:line="360" w:lineRule="auto"/>
        <w:jc w:val="center"/>
        <w:rPr>
          <w:bCs/>
          <w:sz w:val="36"/>
          <w:szCs w:val="36"/>
        </w:rPr>
      </w:pPr>
    </w:p>
    <w:p w14:paraId="0D215563" w14:textId="77777777" w:rsidR="00D250E5" w:rsidRDefault="00D250E5" w:rsidP="00D250E5">
      <w:pPr>
        <w:spacing w:line="360" w:lineRule="auto"/>
        <w:jc w:val="center"/>
        <w:rPr>
          <w:bCs/>
          <w:sz w:val="36"/>
          <w:szCs w:val="36"/>
        </w:rPr>
      </w:pPr>
    </w:p>
    <w:p w14:paraId="52D57874" w14:textId="77777777" w:rsidR="00D250E5" w:rsidRDefault="00D250E5" w:rsidP="00D250E5">
      <w:pPr>
        <w:spacing w:line="360" w:lineRule="auto"/>
        <w:jc w:val="center"/>
        <w:rPr>
          <w:bCs/>
          <w:sz w:val="36"/>
          <w:szCs w:val="36"/>
        </w:rPr>
      </w:pPr>
    </w:p>
    <w:p w14:paraId="627ACA89" w14:textId="77777777" w:rsidR="00D250E5" w:rsidRDefault="00D250E5" w:rsidP="00D250E5">
      <w:pPr>
        <w:spacing w:line="360" w:lineRule="auto"/>
        <w:jc w:val="center"/>
        <w:rPr>
          <w:bCs/>
          <w:sz w:val="36"/>
          <w:szCs w:val="36"/>
        </w:rPr>
      </w:pPr>
    </w:p>
    <w:p w14:paraId="1BB8E627" w14:textId="77777777" w:rsidR="00D250E5" w:rsidRDefault="00D250E5" w:rsidP="00D250E5">
      <w:pPr>
        <w:widowControl/>
        <w:jc w:val="center"/>
        <w:rPr>
          <w:bCs/>
          <w:sz w:val="44"/>
          <w:szCs w:val="44"/>
        </w:rPr>
      </w:pPr>
    </w:p>
    <w:p w14:paraId="1480FDF5" w14:textId="3AC25048" w:rsidR="00D250E5" w:rsidRPr="005B7C9E" w:rsidRDefault="007A2731" w:rsidP="007A2731">
      <w:pPr>
        <w:ind w:leftChars="-67" w:left="-51" w:rightChars="-182" w:right="-382" w:hangingChars="32" w:hanging="90"/>
        <w:jc w:val="center"/>
        <w:rPr>
          <w:rFonts w:ascii="黑体" w:eastAsia="黑体" w:hAnsi="黑体" w:hint="eastAsia"/>
          <w:bCs/>
          <w:sz w:val="28"/>
          <w:szCs w:val="28"/>
        </w:rPr>
      </w:pPr>
      <w:r w:rsidRPr="007A2731">
        <w:rPr>
          <w:rFonts w:ascii="黑体" w:eastAsia="黑体" w:hAnsi="黑体" w:hint="eastAsia"/>
          <w:bCs/>
          <w:sz w:val="28"/>
          <w:szCs w:val="28"/>
        </w:rPr>
        <w:t>《</w:t>
      </w:r>
      <w:r w:rsidR="0086421E" w:rsidRPr="0086421E">
        <w:rPr>
          <w:rFonts w:ascii="黑体" w:eastAsia="黑体" w:hAnsi="黑体" w:hint="eastAsia"/>
          <w:bCs/>
          <w:sz w:val="28"/>
          <w:szCs w:val="28"/>
        </w:rPr>
        <w:t>攀西高寒地区一年生豆科牧草与马铃薯轮作技术规程</w:t>
      </w:r>
      <w:r w:rsidRPr="007A2731">
        <w:rPr>
          <w:rFonts w:ascii="黑体" w:eastAsia="黑体" w:hAnsi="黑体" w:hint="eastAsia"/>
          <w:bCs/>
          <w:sz w:val="28"/>
          <w:szCs w:val="28"/>
        </w:rPr>
        <w:t>》</w:t>
      </w:r>
      <w:proofErr w:type="gramStart"/>
      <w:r w:rsidRPr="007A2731">
        <w:rPr>
          <w:rFonts w:ascii="黑体" w:eastAsia="黑体" w:hAnsi="黑体" w:hint="eastAsia"/>
          <w:bCs/>
          <w:sz w:val="28"/>
          <w:szCs w:val="28"/>
        </w:rPr>
        <w:t>团标制定</w:t>
      </w:r>
      <w:proofErr w:type="gramEnd"/>
      <w:r w:rsidRPr="007A2731">
        <w:rPr>
          <w:rFonts w:ascii="黑体" w:eastAsia="黑体" w:hAnsi="黑体" w:hint="eastAsia"/>
          <w:bCs/>
          <w:sz w:val="28"/>
          <w:szCs w:val="28"/>
        </w:rPr>
        <w:t>组</w:t>
      </w:r>
    </w:p>
    <w:p w14:paraId="339B5B20" w14:textId="77777777" w:rsidR="00D250E5" w:rsidRPr="005B7C9E" w:rsidRDefault="00D250E5" w:rsidP="007A2731">
      <w:pPr>
        <w:widowControl/>
        <w:jc w:val="center"/>
        <w:rPr>
          <w:rFonts w:ascii="黑体" w:eastAsia="黑体" w:hAnsi="黑体" w:hint="eastAsia"/>
          <w:bCs/>
          <w:sz w:val="28"/>
          <w:szCs w:val="28"/>
        </w:rPr>
      </w:pPr>
      <w:r w:rsidRPr="005B7C9E">
        <w:rPr>
          <w:rFonts w:ascii="黑体" w:eastAsia="黑体" w:hAnsi="黑体"/>
          <w:bCs/>
          <w:sz w:val="28"/>
          <w:szCs w:val="28"/>
        </w:rPr>
        <w:t>二</w:t>
      </w:r>
      <w:r w:rsidRPr="005B7C9E">
        <w:rPr>
          <w:rFonts w:ascii="黑体" w:eastAsia="黑体" w:hAnsi="黑体"/>
          <w:sz w:val="28"/>
          <w:szCs w:val="28"/>
        </w:rPr>
        <w:t>〇</w:t>
      </w:r>
      <w:r w:rsidRPr="005B7C9E">
        <w:rPr>
          <w:rFonts w:ascii="黑体" w:eastAsia="黑体" w:hAnsi="黑体"/>
          <w:bCs/>
          <w:sz w:val="28"/>
          <w:szCs w:val="28"/>
        </w:rPr>
        <w:t>二四年八月</w:t>
      </w:r>
    </w:p>
    <w:bookmarkEnd w:id="0"/>
    <w:p w14:paraId="6A039A29" w14:textId="77777777" w:rsidR="00264E4C" w:rsidRDefault="00264E4C" w:rsidP="00264E4C">
      <w:pPr>
        <w:pStyle w:val="af1"/>
        <w:spacing w:beforeLines="100" w:before="312" w:afterLines="100" w:after="312" w:line="420" w:lineRule="exact"/>
        <w:ind w:firstLineChars="0"/>
        <w:jc w:val="center"/>
        <w:rPr>
          <w:b/>
          <w:color w:val="000000"/>
          <w:sz w:val="28"/>
          <w:szCs w:val="28"/>
        </w:rPr>
      </w:pPr>
      <w:r>
        <w:rPr>
          <w:b/>
          <w:color w:val="000000"/>
          <w:sz w:val="28"/>
          <w:szCs w:val="28"/>
        </w:rPr>
        <w:br w:type="page"/>
      </w:r>
      <w:r>
        <w:rPr>
          <w:rFonts w:hint="eastAsia"/>
          <w:b/>
          <w:color w:val="000000"/>
          <w:sz w:val="28"/>
          <w:szCs w:val="28"/>
        </w:rPr>
        <w:lastRenderedPageBreak/>
        <w:t>目</w:t>
      </w:r>
      <w:r>
        <w:rPr>
          <w:rFonts w:hint="eastAsia"/>
          <w:b/>
          <w:color w:val="000000"/>
          <w:sz w:val="28"/>
          <w:szCs w:val="28"/>
        </w:rPr>
        <w:t xml:space="preserve">  </w:t>
      </w:r>
      <w:r w:rsidR="00986C80">
        <w:rPr>
          <w:rFonts w:hint="eastAsia"/>
          <w:b/>
          <w:color w:val="000000"/>
          <w:sz w:val="28"/>
          <w:szCs w:val="28"/>
        </w:rPr>
        <w:t>次</w:t>
      </w:r>
    </w:p>
    <w:p w14:paraId="273E184C" w14:textId="77777777" w:rsidR="00264E4C" w:rsidRPr="00264E4C" w:rsidRDefault="00264E4C" w:rsidP="00264E4C">
      <w:pPr>
        <w:pStyle w:val="af1"/>
        <w:spacing w:beforeLines="100" w:before="312" w:afterLines="100" w:after="312" w:line="420" w:lineRule="exact"/>
        <w:ind w:firstLineChars="0"/>
        <w:jc w:val="center"/>
        <w:rPr>
          <w:rFonts w:hint="eastAsia"/>
          <w:b/>
          <w:color w:val="000000"/>
          <w:sz w:val="28"/>
          <w:szCs w:val="28"/>
        </w:rPr>
      </w:pPr>
    </w:p>
    <w:p w14:paraId="68D6846C" w14:textId="33AD12F8" w:rsidR="0086421E" w:rsidRDefault="00264E4C" w:rsidP="0086421E">
      <w:pPr>
        <w:pStyle w:val="TOC1"/>
        <w:rPr>
          <w:rFonts w:asciiTheme="minorHAnsi" w:eastAsiaTheme="minorEastAsia" w:hAnsiTheme="minorHAnsi" w:cstheme="minorBidi" w:hint="eastAsia"/>
          <w:noProof/>
          <w:szCs w:val="22"/>
          <w14:ligatures w14:val="standardContextual"/>
        </w:rPr>
      </w:pPr>
      <w:r w:rsidRPr="00264E4C">
        <w:rPr>
          <w:sz w:val="24"/>
          <w:szCs w:val="24"/>
        </w:rPr>
        <w:fldChar w:fldCharType="begin"/>
      </w:r>
      <w:r w:rsidRPr="00264E4C">
        <w:rPr>
          <w:sz w:val="24"/>
          <w:szCs w:val="24"/>
        </w:rPr>
        <w:instrText xml:space="preserve"> TOC \o "1-3" \h \z \u </w:instrText>
      </w:r>
      <w:r w:rsidRPr="00264E4C">
        <w:rPr>
          <w:rFonts w:hint="eastAsia"/>
          <w:sz w:val="24"/>
          <w:szCs w:val="24"/>
        </w:rPr>
        <w:fldChar w:fldCharType="separate"/>
      </w:r>
      <w:hyperlink w:anchor="_Toc176464727" w:history="1">
        <w:r w:rsidR="0086421E" w:rsidRPr="00140963">
          <w:rPr>
            <w:rStyle w:val="af"/>
            <w:rFonts w:hint="eastAsia"/>
            <w:noProof/>
          </w:rPr>
          <w:t>一、标准制定背景及任务来源</w:t>
        </w:r>
        <w:r w:rsidR="0086421E">
          <w:rPr>
            <w:rFonts w:hint="eastAsia"/>
            <w:noProof/>
            <w:webHidden/>
          </w:rPr>
          <w:tab/>
        </w:r>
        <w:r w:rsidR="0086421E">
          <w:rPr>
            <w:rFonts w:hint="eastAsia"/>
            <w:noProof/>
            <w:webHidden/>
          </w:rPr>
          <w:fldChar w:fldCharType="begin"/>
        </w:r>
        <w:r w:rsidR="0086421E">
          <w:rPr>
            <w:rFonts w:hint="eastAsia"/>
            <w:noProof/>
            <w:webHidden/>
          </w:rPr>
          <w:instrText xml:space="preserve"> </w:instrText>
        </w:r>
        <w:r w:rsidR="0086421E">
          <w:rPr>
            <w:noProof/>
            <w:webHidden/>
          </w:rPr>
          <w:instrText>PAGEREF _Toc176464727 \h</w:instrText>
        </w:r>
        <w:r w:rsidR="0086421E">
          <w:rPr>
            <w:rFonts w:hint="eastAsia"/>
            <w:noProof/>
            <w:webHidden/>
          </w:rPr>
          <w:instrText xml:space="preserve"> </w:instrText>
        </w:r>
        <w:r w:rsidR="0086421E">
          <w:rPr>
            <w:rFonts w:hint="eastAsia"/>
            <w:noProof/>
            <w:webHidden/>
          </w:rPr>
        </w:r>
        <w:r w:rsidR="0086421E">
          <w:rPr>
            <w:noProof/>
            <w:webHidden/>
          </w:rPr>
          <w:fldChar w:fldCharType="separate"/>
        </w:r>
        <w:r w:rsidR="0086421E">
          <w:rPr>
            <w:noProof/>
            <w:webHidden/>
          </w:rPr>
          <w:t>3</w:t>
        </w:r>
        <w:r w:rsidR="0086421E">
          <w:rPr>
            <w:rFonts w:hint="eastAsia"/>
            <w:noProof/>
            <w:webHidden/>
          </w:rPr>
          <w:fldChar w:fldCharType="end"/>
        </w:r>
      </w:hyperlink>
    </w:p>
    <w:p w14:paraId="08A32490" w14:textId="615CD246" w:rsidR="0086421E" w:rsidRDefault="0086421E">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728" w:history="1">
        <w:r w:rsidRPr="00140963">
          <w:rPr>
            <w:rStyle w:val="af"/>
            <w:rFonts w:hint="eastAsia"/>
            <w:noProof/>
          </w:rPr>
          <w:t xml:space="preserve">1. </w:t>
        </w:r>
        <w:r w:rsidRPr="00140963">
          <w:rPr>
            <w:rStyle w:val="af"/>
            <w:rFonts w:hint="eastAsia"/>
            <w:noProof/>
          </w:rPr>
          <w:t>标准制定背景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_Toc176464728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75BE6F6B" w14:textId="1F21B0C4" w:rsidR="0086421E" w:rsidRDefault="0086421E">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729" w:history="1">
        <w:r w:rsidRPr="00140963">
          <w:rPr>
            <w:rStyle w:val="af"/>
            <w:rFonts w:hint="eastAsia"/>
            <w:noProof/>
          </w:rPr>
          <w:t xml:space="preserve">2. </w:t>
        </w:r>
        <w:r w:rsidRPr="00140963">
          <w:rPr>
            <w:rStyle w:val="af"/>
            <w:rFonts w:hint="eastAsia"/>
            <w:noProof/>
          </w:rPr>
          <w:t>任务来源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_Toc176464729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25C5442C" w14:textId="494B52F8" w:rsidR="0086421E" w:rsidRDefault="0086421E" w:rsidP="0086421E">
      <w:pPr>
        <w:pStyle w:val="TOC1"/>
        <w:rPr>
          <w:rFonts w:asciiTheme="minorHAnsi" w:eastAsiaTheme="minorEastAsia" w:hAnsiTheme="minorHAnsi" w:cstheme="minorBidi" w:hint="eastAsia"/>
          <w:noProof/>
          <w:szCs w:val="22"/>
          <w14:ligatures w14:val="standardContextual"/>
        </w:rPr>
      </w:pPr>
      <w:hyperlink w:anchor="_Toc176464730" w:history="1">
        <w:r w:rsidRPr="00140963">
          <w:rPr>
            <w:rStyle w:val="af"/>
            <w:rFonts w:hint="eastAsia"/>
            <w:noProof/>
          </w:rPr>
          <w:t>二、主要工作过程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_Toc176464730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1BD51FD5" w14:textId="64DF0ED1" w:rsidR="0086421E" w:rsidRDefault="0086421E">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731" w:history="1">
        <w:r w:rsidRPr="00140963">
          <w:rPr>
            <w:rStyle w:val="af"/>
            <w:rFonts w:hint="eastAsia"/>
            <w:noProof/>
          </w:rPr>
          <w:t xml:space="preserve">1. </w:t>
        </w:r>
        <w:r w:rsidRPr="00140963">
          <w:rPr>
            <w:rStyle w:val="af"/>
            <w:rFonts w:hint="eastAsia"/>
            <w:noProof/>
          </w:rPr>
          <w:t>收集文献资料及国内外相关一年生豆科牧草与马铃薯轮作的技术标准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_Toc176464731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5A32EBAB" w14:textId="72752E34" w:rsidR="0086421E" w:rsidRDefault="0086421E">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732" w:history="1">
        <w:r w:rsidRPr="00140963">
          <w:rPr>
            <w:rStyle w:val="af"/>
            <w:rFonts w:hint="eastAsia"/>
            <w:noProof/>
          </w:rPr>
          <w:t xml:space="preserve">2. </w:t>
        </w:r>
        <w:r w:rsidRPr="00140963">
          <w:rPr>
            <w:rStyle w:val="af"/>
            <w:rFonts w:hint="eastAsia"/>
            <w:noProof/>
          </w:rPr>
          <w:t>讨论确定标准适用范围及主要技术指标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_Toc176464732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6E87EF49" w14:textId="654D2FDB" w:rsidR="0086421E" w:rsidRDefault="0086421E">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733" w:history="1">
        <w:r w:rsidRPr="00140963">
          <w:rPr>
            <w:rStyle w:val="af"/>
            <w:rFonts w:hint="eastAsia"/>
            <w:noProof/>
          </w:rPr>
          <w:t xml:space="preserve">3. </w:t>
        </w:r>
        <w:r w:rsidRPr="00140963">
          <w:rPr>
            <w:rStyle w:val="af"/>
            <w:rFonts w:hint="eastAsia"/>
            <w:noProof/>
          </w:rPr>
          <w:t>获得基础数据确定指标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_Toc176464733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6FF3C07F" w14:textId="551CCF9F" w:rsidR="0086421E" w:rsidRDefault="0086421E" w:rsidP="0086421E">
      <w:pPr>
        <w:pStyle w:val="TOC1"/>
        <w:rPr>
          <w:rFonts w:asciiTheme="minorHAnsi" w:eastAsiaTheme="minorEastAsia" w:hAnsiTheme="minorHAnsi" w:cstheme="minorBidi" w:hint="eastAsia"/>
          <w:noProof/>
          <w:szCs w:val="22"/>
          <w14:ligatures w14:val="standardContextual"/>
        </w:rPr>
      </w:pPr>
      <w:hyperlink w:anchor="_Toc176464734" w:history="1">
        <w:r w:rsidRPr="00140963">
          <w:rPr>
            <w:rStyle w:val="af"/>
            <w:rFonts w:hint="eastAsia"/>
            <w:noProof/>
          </w:rPr>
          <w:t>三、标准编制原则和主要技术内容的确定依据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_Toc176464734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752CC770" w14:textId="7C4C0404" w:rsidR="0086421E" w:rsidRDefault="0086421E">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735" w:history="1">
        <w:r w:rsidRPr="00140963">
          <w:rPr>
            <w:rStyle w:val="af"/>
            <w:rFonts w:hint="eastAsia"/>
            <w:noProof/>
          </w:rPr>
          <w:t>1.</w:t>
        </w:r>
        <w:r w:rsidRPr="00140963">
          <w:rPr>
            <w:rStyle w:val="af"/>
            <w:rFonts w:hint="eastAsia"/>
            <w:noProof/>
          </w:rPr>
          <w:t>一年生豆科牧草与马铃薯轮作茬口对接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_Toc176464735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51EC04E7" w14:textId="2AB7F5C8" w:rsidR="0086421E" w:rsidRDefault="0086421E">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736" w:history="1">
        <w:r w:rsidRPr="00140963">
          <w:rPr>
            <w:rStyle w:val="af"/>
            <w:rFonts w:hint="eastAsia"/>
            <w:noProof/>
          </w:rPr>
          <w:t>2.</w:t>
        </w:r>
        <w:r w:rsidRPr="00140963">
          <w:rPr>
            <w:rStyle w:val="af"/>
            <w:rFonts w:hint="eastAsia"/>
            <w:noProof/>
          </w:rPr>
          <w:t>马铃薯种植阶段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_Toc176464736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6684FD70" w14:textId="5C0AA22B" w:rsidR="0086421E" w:rsidRDefault="0086421E">
      <w:pPr>
        <w:pStyle w:val="TOC2"/>
        <w:tabs>
          <w:tab w:val="right" w:leader="dot" w:pos="8538"/>
        </w:tabs>
        <w:rPr>
          <w:rFonts w:asciiTheme="minorHAnsi" w:eastAsiaTheme="minorEastAsia" w:hAnsiTheme="minorHAnsi" w:cstheme="minorBidi" w:hint="eastAsia"/>
          <w:noProof/>
          <w:szCs w:val="22"/>
          <w14:ligatures w14:val="standardContextual"/>
        </w:rPr>
      </w:pPr>
      <w:hyperlink w:anchor="_Toc176464737" w:history="1">
        <w:r w:rsidRPr="00140963">
          <w:rPr>
            <w:rStyle w:val="af"/>
            <w:rFonts w:hint="eastAsia"/>
            <w:noProof/>
          </w:rPr>
          <w:t>3.</w:t>
        </w:r>
        <w:r w:rsidRPr="00140963">
          <w:rPr>
            <w:rStyle w:val="af"/>
            <w:rFonts w:hint="eastAsia"/>
            <w:noProof/>
          </w:rPr>
          <w:t>一年生豆科牧草种植阶段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_Toc176464737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16FBA4A1" w14:textId="419AD357" w:rsidR="0086421E" w:rsidRDefault="0086421E" w:rsidP="0086421E">
      <w:pPr>
        <w:pStyle w:val="TOC1"/>
        <w:rPr>
          <w:rFonts w:asciiTheme="minorHAnsi" w:eastAsiaTheme="minorEastAsia" w:hAnsiTheme="minorHAnsi" w:cstheme="minorBidi" w:hint="eastAsia"/>
          <w:noProof/>
          <w:szCs w:val="22"/>
          <w14:ligatures w14:val="standardContextual"/>
        </w:rPr>
      </w:pPr>
      <w:hyperlink w:anchor="_Toc176464738" w:history="1">
        <w:r w:rsidRPr="00140963">
          <w:rPr>
            <w:rStyle w:val="af"/>
            <w:rFonts w:hint="eastAsia"/>
            <w:noProof/>
          </w:rPr>
          <w:t>四、采用国际标准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_Toc176464738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4EE78064" w14:textId="660F3F76" w:rsidR="0086421E" w:rsidRDefault="0086421E" w:rsidP="0086421E">
      <w:pPr>
        <w:pStyle w:val="TOC1"/>
        <w:rPr>
          <w:rFonts w:asciiTheme="minorHAnsi" w:eastAsiaTheme="minorEastAsia" w:hAnsiTheme="minorHAnsi" w:cstheme="minorBidi" w:hint="eastAsia"/>
          <w:noProof/>
          <w:szCs w:val="22"/>
          <w14:ligatures w14:val="standardContextual"/>
        </w:rPr>
      </w:pPr>
      <w:hyperlink w:anchor="_Toc176464739" w:history="1">
        <w:r w:rsidRPr="00140963">
          <w:rPr>
            <w:rStyle w:val="af"/>
            <w:rFonts w:hint="eastAsia"/>
            <w:noProof/>
          </w:rPr>
          <w:t>五、与现行法律法规和强制性标准的关系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_Toc176464739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2235563F" w14:textId="7C079AED" w:rsidR="0086421E" w:rsidRDefault="0086421E" w:rsidP="0086421E">
      <w:pPr>
        <w:pStyle w:val="TOC1"/>
        <w:rPr>
          <w:rFonts w:asciiTheme="minorHAnsi" w:eastAsiaTheme="minorEastAsia" w:hAnsiTheme="minorHAnsi" w:cstheme="minorBidi" w:hint="eastAsia"/>
          <w:noProof/>
          <w:szCs w:val="22"/>
          <w14:ligatures w14:val="standardContextual"/>
        </w:rPr>
      </w:pPr>
      <w:hyperlink w:anchor="_Toc176464740" w:history="1">
        <w:r w:rsidRPr="00140963">
          <w:rPr>
            <w:rStyle w:val="af"/>
            <w:rFonts w:hint="eastAsia"/>
            <w:noProof/>
          </w:rPr>
          <w:t>六、其他应予说明的事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_Toc176464740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4E05275B" w14:textId="733A6129" w:rsidR="00264E4C" w:rsidRPr="00264E4C" w:rsidRDefault="00264E4C" w:rsidP="00264E4C">
      <w:pPr>
        <w:spacing w:line="360" w:lineRule="auto"/>
        <w:rPr>
          <w:rFonts w:hint="eastAsia"/>
          <w:sz w:val="24"/>
          <w:szCs w:val="24"/>
        </w:rPr>
      </w:pPr>
      <w:r w:rsidRPr="00264E4C">
        <w:rPr>
          <w:b/>
          <w:bCs/>
          <w:sz w:val="24"/>
          <w:szCs w:val="24"/>
          <w:lang w:val="zh-CN"/>
        </w:rPr>
        <w:fldChar w:fldCharType="end"/>
      </w:r>
    </w:p>
    <w:p w14:paraId="36C3BD07" w14:textId="77777777" w:rsidR="00264E4C" w:rsidRDefault="00264E4C" w:rsidP="00264E4C">
      <w:pPr>
        <w:pStyle w:val="af1"/>
        <w:spacing w:beforeLines="100" w:before="312" w:afterLines="100" w:after="312" w:line="420" w:lineRule="exact"/>
        <w:ind w:firstLineChars="0"/>
        <w:jc w:val="center"/>
        <w:rPr>
          <w:rFonts w:hint="eastAsia"/>
          <w:b/>
          <w:color w:val="000000"/>
          <w:sz w:val="28"/>
          <w:szCs w:val="28"/>
        </w:rPr>
      </w:pPr>
    </w:p>
    <w:p w14:paraId="7CF6DD8F" w14:textId="77777777" w:rsidR="0086421E" w:rsidRPr="00402B1B" w:rsidRDefault="00264E4C" w:rsidP="0086421E">
      <w:pPr>
        <w:pStyle w:val="1"/>
        <w:rPr>
          <w:rFonts w:hint="eastAsia"/>
          <w:b w:val="0"/>
          <w:sz w:val="24"/>
        </w:rPr>
      </w:pPr>
      <w:r>
        <w:br w:type="page"/>
      </w:r>
      <w:bookmarkStart w:id="1" w:name="_Toc176464727"/>
      <w:r w:rsidR="0086421E" w:rsidRPr="0086421E">
        <w:rPr>
          <w:rFonts w:hint="eastAsia"/>
        </w:rPr>
        <w:t>一、标准制定背景及任务来源</w:t>
      </w:r>
      <w:bookmarkEnd w:id="1"/>
    </w:p>
    <w:p w14:paraId="259EAE80" w14:textId="77777777" w:rsidR="0086421E" w:rsidRPr="003C3793" w:rsidRDefault="0086421E" w:rsidP="0086421E">
      <w:pPr>
        <w:pStyle w:val="2"/>
      </w:pPr>
      <w:bookmarkStart w:id="2" w:name="_Toc176464728"/>
      <w:r w:rsidRPr="00402B1B">
        <w:rPr>
          <w:rFonts w:hint="eastAsia"/>
        </w:rPr>
        <w:t xml:space="preserve">1. </w:t>
      </w:r>
      <w:r w:rsidRPr="003C3793">
        <w:t>标准制定背景</w:t>
      </w:r>
      <w:bookmarkEnd w:id="2"/>
    </w:p>
    <w:p w14:paraId="539923D0" w14:textId="77777777" w:rsidR="0086421E" w:rsidRPr="003C3793" w:rsidRDefault="0086421E" w:rsidP="0086421E">
      <w:pPr>
        <w:spacing w:beforeLines="50" w:before="156" w:line="360" w:lineRule="auto"/>
        <w:ind w:firstLineChars="200" w:firstLine="480"/>
        <w:rPr>
          <w:sz w:val="24"/>
        </w:rPr>
      </w:pPr>
      <w:r w:rsidRPr="003C3793">
        <w:rPr>
          <w:sz w:val="24"/>
        </w:rPr>
        <w:t>攀西地区是指攀枝花市、凉山彝族自治州的</w:t>
      </w:r>
      <w:r w:rsidRPr="003C3793">
        <w:rPr>
          <w:sz w:val="24"/>
        </w:rPr>
        <w:t>22</w:t>
      </w:r>
      <w:r w:rsidRPr="003C3793">
        <w:rPr>
          <w:sz w:val="24"/>
        </w:rPr>
        <w:t>个县（</w:t>
      </w:r>
      <w:r w:rsidRPr="003C3793">
        <w:rPr>
          <w:sz w:val="24"/>
        </w:rPr>
        <w:t xml:space="preserve"> </w:t>
      </w:r>
      <w:r w:rsidRPr="003C3793">
        <w:rPr>
          <w:sz w:val="24"/>
        </w:rPr>
        <w:t>市、区）</w:t>
      </w:r>
      <w:r w:rsidRPr="003C3793">
        <w:rPr>
          <w:sz w:val="24"/>
        </w:rPr>
        <w:t xml:space="preserve"> </w:t>
      </w:r>
      <w:r w:rsidRPr="003C3793">
        <w:rPr>
          <w:sz w:val="24"/>
        </w:rPr>
        <w:t>，位于东经</w:t>
      </w:r>
      <w:r w:rsidRPr="003C3793">
        <w:rPr>
          <w:sz w:val="24"/>
        </w:rPr>
        <w:t>100°15</w:t>
      </w:r>
      <w:proofErr w:type="gramStart"/>
      <w:r w:rsidRPr="003C3793">
        <w:rPr>
          <w:sz w:val="24"/>
        </w:rPr>
        <w:t>’</w:t>
      </w:r>
      <w:proofErr w:type="gramEnd"/>
      <w:r w:rsidRPr="003C3793">
        <w:rPr>
          <w:sz w:val="24"/>
        </w:rPr>
        <w:t>至</w:t>
      </w:r>
      <w:r w:rsidRPr="003C3793">
        <w:rPr>
          <w:sz w:val="24"/>
        </w:rPr>
        <w:t>103°53</w:t>
      </w:r>
      <w:proofErr w:type="gramStart"/>
      <w:r w:rsidRPr="003C3793">
        <w:rPr>
          <w:sz w:val="24"/>
        </w:rPr>
        <w:t>’</w:t>
      </w:r>
      <w:proofErr w:type="gramEnd"/>
      <w:r w:rsidRPr="003C3793">
        <w:rPr>
          <w:sz w:val="24"/>
        </w:rPr>
        <w:t>、北纬</w:t>
      </w:r>
      <w:r w:rsidRPr="003C3793">
        <w:rPr>
          <w:sz w:val="24"/>
        </w:rPr>
        <w:t>25°03</w:t>
      </w:r>
      <w:proofErr w:type="gramStart"/>
      <w:r w:rsidRPr="003C3793">
        <w:rPr>
          <w:sz w:val="24"/>
        </w:rPr>
        <w:t>’</w:t>
      </w:r>
      <w:proofErr w:type="gramEnd"/>
      <w:r w:rsidRPr="003C3793">
        <w:rPr>
          <w:sz w:val="24"/>
        </w:rPr>
        <w:t>至</w:t>
      </w:r>
      <w:r w:rsidRPr="003C3793">
        <w:rPr>
          <w:sz w:val="24"/>
        </w:rPr>
        <w:t>29°27</w:t>
      </w:r>
      <w:proofErr w:type="gramStart"/>
      <w:r w:rsidRPr="003C3793">
        <w:rPr>
          <w:sz w:val="24"/>
        </w:rPr>
        <w:t>’</w:t>
      </w:r>
      <w:proofErr w:type="gramEnd"/>
      <w:r w:rsidRPr="003C3793">
        <w:rPr>
          <w:sz w:val="24"/>
        </w:rPr>
        <w:t>，面积</w:t>
      </w:r>
      <w:r w:rsidRPr="003C3793">
        <w:rPr>
          <w:sz w:val="24"/>
        </w:rPr>
        <w:t>6.75</w:t>
      </w:r>
      <w:r w:rsidRPr="003C3793">
        <w:rPr>
          <w:sz w:val="24"/>
        </w:rPr>
        <w:t>万</w:t>
      </w:r>
      <w:r w:rsidRPr="003C3793">
        <w:rPr>
          <w:sz w:val="24"/>
        </w:rPr>
        <w:t>km</w:t>
      </w:r>
      <w:r w:rsidRPr="003C3793">
        <w:rPr>
          <w:sz w:val="24"/>
          <w:vertAlign w:val="superscript"/>
        </w:rPr>
        <w:t>2</w:t>
      </w:r>
      <w:r w:rsidRPr="003C3793">
        <w:rPr>
          <w:sz w:val="24"/>
        </w:rPr>
        <w:t>。该区域的高</w:t>
      </w:r>
      <w:proofErr w:type="gramStart"/>
      <w:r w:rsidRPr="003C3793">
        <w:rPr>
          <w:sz w:val="24"/>
        </w:rPr>
        <w:t>寒</w:t>
      </w:r>
      <w:proofErr w:type="gramEnd"/>
      <w:r w:rsidRPr="003C3793">
        <w:rPr>
          <w:sz w:val="24"/>
        </w:rPr>
        <w:t>地区是我国马铃薯种植的主要区域之一，生产的马铃薯品质好，有</w:t>
      </w:r>
      <w:r w:rsidRPr="003C3793">
        <w:rPr>
          <w:sz w:val="24"/>
        </w:rPr>
        <w:t>“</w:t>
      </w:r>
      <w:r w:rsidRPr="003C3793">
        <w:rPr>
          <w:sz w:val="24"/>
        </w:rPr>
        <w:t>布拖乌洋芋</w:t>
      </w:r>
      <w:r w:rsidRPr="003C3793">
        <w:rPr>
          <w:sz w:val="24"/>
        </w:rPr>
        <w:t>”</w:t>
      </w:r>
      <w:r w:rsidRPr="003C3793">
        <w:rPr>
          <w:sz w:val="24"/>
        </w:rPr>
        <w:t>等国家地理标识产品，</w:t>
      </w:r>
      <w:r w:rsidRPr="003C3793">
        <w:rPr>
          <w:sz w:val="24"/>
        </w:rPr>
        <w:t>“</w:t>
      </w:r>
      <w:r w:rsidRPr="003C3793">
        <w:rPr>
          <w:sz w:val="24"/>
        </w:rPr>
        <w:t>凉山马铃薯</w:t>
      </w:r>
      <w:r w:rsidRPr="003C3793">
        <w:rPr>
          <w:sz w:val="24"/>
        </w:rPr>
        <w:t>”</w:t>
      </w:r>
      <w:r w:rsidRPr="003C3793">
        <w:rPr>
          <w:sz w:val="24"/>
        </w:rPr>
        <w:t>获全国农产品地理标志和农产品地理标志登记保护。马铃薯产业一直是该区域的主导产业，在脱贫攻坚中展现了巨大的产业力量，也是乡村振兴的重点特色产业之一。同时该区域是四川最适合牛羊养殖的区域，具有布拖黑绵羊、</w:t>
      </w:r>
      <w:proofErr w:type="gramStart"/>
      <w:r w:rsidRPr="003C3793">
        <w:rPr>
          <w:sz w:val="24"/>
        </w:rPr>
        <w:t>凉山半</w:t>
      </w:r>
      <w:proofErr w:type="gramEnd"/>
      <w:r w:rsidRPr="003C3793">
        <w:rPr>
          <w:sz w:val="24"/>
        </w:rPr>
        <w:t>细毛羊、建昌黑山羊、凉山黄牛、木里牦牛、德昌水牛等优质的畜禽资源和品种，其相关产业的发展势必为该区域的乡村振兴注入巨大活力。</w:t>
      </w:r>
    </w:p>
    <w:p w14:paraId="34FFCF0F" w14:textId="77777777" w:rsidR="0086421E" w:rsidRPr="003C3793" w:rsidRDefault="0086421E" w:rsidP="0086421E">
      <w:pPr>
        <w:spacing w:beforeLines="50" w:before="156" w:line="360" w:lineRule="auto"/>
        <w:ind w:firstLineChars="200" w:firstLine="480"/>
        <w:rPr>
          <w:sz w:val="24"/>
        </w:rPr>
      </w:pPr>
      <w:r w:rsidRPr="003C3793">
        <w:rPr>
          <w:sz w:val="24"/>
        </w:rPr>
        <w:t>目前由于马铃薯长期种植形成的连作障碍、牛羊产业发展的饲草短期、饲草生产的农田紧张等系列问题，严重影响了马铃薯产业和牛羊产业的发展，在破解这些问题上，饲草与马铃薯轮作是一个非常好的解决方案，也在生产中长期使用，但是由于草种选择的不合理、茬口衔接的不科学、田间管理的不规范，使得马铃薯与牧草轮作的种植技术效应未能充分发挥，因此急需制定攀西高寒地一年生豆科牧草与马铃薯轮作技术规程，对牧草与马铃薯轮作的草种搭配、茬口衔接、田间管理等系列技术进行规范，促进该区域马铃薯产业和草牧业高质量发展。</w:t>
      </w:r>
    </w:p>
    <w:p w14:paraId="54B74CE3" w14:textId="77777777" w:rsidR="0086421E" w:rsidRPr="003C3793" w:rsidRDefault="0086421E" w:rsidP="0086421E">
      <w:pPr>
        <w:spacing w:beforeLines="50" w:before="156" w:line="360" w:lineRule="auto"/>
        <w:ind w:firstLineChars="200" w:firstLine="480"/>
        <w:rPr>
          <w:kern w:val="0"/>
          <w:sz w:val="24"/>
        </w:rPr>
      </w:pPr>
      <w:r w:rsidRPr="003C3793">
        <w:rPr>
          <w:kern w:val="0"/>
          <w:sz w:val="24"/>
        </w:rPr>
        <w:t>在此背景下，项目组根据</w:t>
      </w:r>
      <w:bookmarkStart w:id="3" w:name="_Hlk40824447"/>
      <w:r w:rsidRPr="003C3793">
        <w:rPr>
          <w:kern w:val="0"/>
          <w:sz w:val="24"/>
        </w:rPr>
        <w:t>四川省</w:t>
      </w:r>
      <w:r w:rsidRPr="003C3793">
        <w:rPr>
          <w:color w:val="000000"/>
          <w:sz w:val="24"/>
        </w:rPr>
        <w:t>科技进步奖</w:t>
      </w:r>
      <w:r w:rsidRPr="003C3793">
        <w:rPr>
          <w:color w:val="000000"/>
          <w:sz w:val="24"/>
        </w:rPr>
        <w:t>“</w:t>
      </w:r>
      <w:r w:rsidRPr="003C3793">
        <w:rPr>
          <w:color w:val="000000"/>
          <w:sz w:val="24"/>
        </w:rPr>
        <w:t>凉山光叶紫花</w:t>
      </w:r>
      <w:proofErr w:type="gramStart"/>
      <w:r w:rsidRPr="003C3793">
        <w:rPr>
          <w:color w:val="000000"/>
          <w:sz w:val="24"/>
        </w:rPr>
        <w:t>苕</w:t>
      </w:r>
      <w:proofErr w:type="gramEnd"/>
      <w:r w:rsidRPr="003C3793">
        <w:rPr>
          <w:color w:val="000000"/>
          <w:sz w:val="24"/>
        </w:rPr>
        <w:t>配套技术研究与集成应用</w:t>
      </w:r>
      <w:r w:rsidRPr="003C3793">
        <w:rPr>
          <w:color w:val="000000"/>
          <w:sz w:val="24"/>
        </w:rPr>
        <w:t>”</w:t>
      </w:r>
      <w:r w:rsidRPr="003C3793">
        <w:rPr>
          <w:kern w:val="0"/>
          <w:sz w:val="24"/>
        </w:rPr>
        <w:t>和</w:t>
      </w:r>
      <w:r w:rsidRPr="003C3793">
        <w:rPr>
          <w:color w:val="000000"/>
          <w:sz w:val="24"/>
        </w:rPr>
        <w:t>全国农牧渔业丰收奖</w:t>
      </w:r>
      <w:r w:rsidRPr="003C3793">
        <w:rPr>
          <w:kern w:val="0"/>
          <w:sz w:val="24"/>
        </w:rPr>
        <w:t>“</w:t>
      </w:r>
      <w:r w:rsidRPr="003C3793">
        <w:rPr>
          <w:color w:val="000000"/>
          <w:sz w:val="24"/>
        </w:rPr>
        <w:t>国审牧草品种凉山光叶紫花</w:t>
      </w:r>
      <w:proofErr w:type="gramStart"/>
      <w:r w:rsidRPr="003C3793">
        <w:rPr>
          <w:color w:val="000000"/>
          <w:sz w:val="24"/>
        </w:rPr>
        <w:t>苕</w:t>
      </w:r>
      <w:proofErr w:type="gramEnd"/>
      <w:r w:rsidRPr="003C3793">
        <w:rPr>
          <w:color w:val="000000"/>
          <w:sz w:val="24"/>
        </w:rPr>
        <w:t>选育与产业化推广应用</w:t>
      </w:r>
      <w:r w:rsidRPr="003C3793">
        <w:rPr>
          <w:kern w:val="0"/>
          <w:sz w:val="24"/>
        </w:rPr>
        <w:t>”2</w:t>
      </w:r>
      <w:r w:rsidRPr="003C3793">
        <w:rPr>
          <w:kern w:val="0"/>
          <w:sz w:val="24"/>
        </w:rPr>
        <w:t>个重要成果及国家重点研发项目</w:t>
      </w:r>
      <w:r w:rsidRPr="003C3793">
        <w:rPr>
          <w:kern w:val="0"/>
          <w:sz w:val="24"/>
        </w:rPr>
        <w:t>“</w:t>
      </w:r>
      <w:r w:rsidRPr="003C3793">
        <w:rPr>
          <w:kern w:val="0"/>
          <w:sz w:val="24"/>
        </w:rPr>
        <w:t>优质饲草供给及草畜种养循环关键技术研发</w:t>
      </w:r>
      <w:r w:rsidRPr="003C3793">
        <w:rPr>
          <w:kern w:val="0"/>
          <w:sz w:val="24"/>
        </w:rPr>
        <w:t>”“</w:t>
      </w:r>
      <w:r w:rsidRPr="003C3793">
        <w:rPr>
          <w:kern w:val="0"/>
          <w:sz w:val="24"/>
        </w:rPr>
        <w:t>布拖县牧草绿色增产增效技术集成与示范</w:t>
      </w:r>
      <w:r w:rsidRPr="003C3793">
        <w:rPr>
          <w:kern w:val="0"/>
          <w:sz w:val="24"/>
        </w:rPr>
        <w:t>”</w:t>
      </w:r>
      <w:r w:rsidRPr="003C3793">
        <w:t xml:space="preserve"> </w:t>
      </w:r>
      <w:r w:rsidRPr="003C3793">
        <w:t>、</w:t>
      </w:r>
      <w:r w:rsidRPr="003C3793">
        <w:rPr>
          <w:kern w:val="0"/>
          <w:sz w:val="24"/>
        </w:rPr>
        <w:t>农业部</w:t>
      </w:r>
      <w:r w:rsidRPr="003C3793">
        <w:rPr>
          <w:kern w:val="0"/>
          <w:sz w:val="24"/>
        </w:rPr>
        <w:t>“</w:t>
      </w:r>
      <w:r w:rsidRPr="003C3793">
        <w:rPr>
          <w:kern w:val="0"/>
          <w:sz w:val="24"/>
        </w:rPr>
        <w:t>四川省光叶紫花</w:t>
      </w:r>
      <w:proofErr w:type="gramStart"/>
      <w:r w:rsidRPr="003C3793">
        <w:rPr>
          <w:kern w:val="0"/>
          <w:sz w:val="24"/>
        </w:rPr>
        <w:t>苕</w:t>
      </w:r>
      <w:proofErr w:type="gramEnd"/>
      <w:r w:rsidRPr="003C3793">
        <w:rPr>
          <w:kern w:val="0"/>
          <w:sz w:val="24"/>
        </w:rPr>
        <w:t>种子繁育基地建设项目</w:t>
      </w:r>
      <w:r w:rsidRPr="003C3793">
        <w:rPr>
          <w:kern w:val="0"/>
          <w:sz w:val="24"/>
        </w:rPr>
        <w:t>”</w:t>
      </w:r>
      <w:r w:rsidRPr="003C3793">
        <w:rPr>
          <w:kern w:val="0"/>
          <w:sz w:val="24"/>
        </w:rPr>
        <w:t>、</w:t>
      </w:r>
      <w:r w:rsidRPr="003C3793">
        <w:rPr>
          <w:kern w:val="0"/>
          <w:sz w:val="24"/>
        </w:rPr>
        <w:t>“</w:t>
      </w:r>
      <w:r w:rsidRPr="003C3793">
        <w:rPr>
          <w:kern w:val="0"/>
          <w:sz w:val="24"/>
        </w:rPr>
        <w:t>国家天然草原退牧还草工程项目人工种草部分</w:t>
      </w:r>
      <w:r w:rsidRPr="003C3793">
        <w:rPr>
          <w:kern w:val="0"/>
          <w:sz w:val="24"/>
        </w:rPr>
        <w:t>”</w:t>
      </w:r>
      <w:r w:rsidRPr="003C3793">
        <w:rPr>
          <w:kern w:val="0"/>
          <w:sz w:val="24"/>
        </w:rPr>
        <w:t>、公益性行业（农业）科研专项</w:t>
      </w:r>
      <w:r w:rsidRPr="003C3793">
        <w:rPr>
          <w:kern w:val="0"/>
          <w:sz w:val="24"/>
        </w:rPr>
        <w:t xml:space="preserve"> “</w:t>
      </w:r>
      <w:r w:rsidRPr="003C3793">
        <w:rPr>
          <w:kern w:val="0"/>
          <w:sz w:val="24"/>
        </w:rPr>
        <w:t>牧区饲草饲料资源开发利用技术研究与示范</w:t>
      </w:r>
      <w:r w:rsidRPr="003C3793">
        <w:rPr>
          <w:kern w:val="0"/>
          <w:sz w:val="24"/>
        </w:rPr>
        <w:t>”</w:t>
      </w:r>
      <w:r w:rsidRPr="003C3793">
        <w:rPr>
          <w:kern w:val="0"/>
          <w:sz w:val="24"/>
        </w:rPr>
        <w:t>等项目</w:t>
      </w:r>
      <w:bookmarkEnd w:id="3"/>
      <w:r w:rsidRPr="003C3793">
        <w:rPr>
          <w:kern w:val="0"/>
          <w:sz w:val="24"/>
        </w:rPr>
        <w:t>的相关研究成果，制定了</w:t>
      </w:r>
      <w:r w:rsidRPr="003C3793">
        <w:rPr>
          <w:kern w:val="0"/>
          <w:sz w:val="24"/>
        </w:rPr>
        <w:t>“</w:t>
      </w:r>
      <w:r w:rsidRPr="003C3793">
        <w:rPr>
          <w:kern w:val="0"/>
          <w:sz w:val="24"/>
        </w:rPr>
        <w:t>攀西高寒地区一年生豆科牧草与马铃薯轮作技术规程</w:t>
      </w:r>
      <w:r w:rsidRPr="003C3793">
        <w:rPr>
          <w:kern w:val="0"/>
          <w:sz w:val="24"/>
        </w:rPr>
        <w:t>”</w:t>
      </w:r>
      <w:r w:rsidRPr="003C3793">
        <w:rPr>
          <w:kern w:val="0"/>
          <w:sz w:val="24"/>
        </w:rPr>
        <w:t>。</w:t>
      </w:r>
    </w:p>
    <w:p w14:paraId="170D8386" w14:textId="77777777" w:rsidR="0086421E" w:rsidRPr="003C3793" w:rsidRDefault="0086421E" w:rsidP="0086421E">
      <w:pPr>
        <w:pStyle w:val="2"/>
        <w:rPr>
          <w:b/>
        </w:rPr>
      </w:pPr>
      <w:bookmarkStart w:id="4" w:name="_Toc176464729"/>
      <w:r w:rsidRPr="0086421E">
        <w:t xml:space="preserve">2. </w:t>
      </w:r>
      <w:r w:rsidRPr="0086421E">
        <w:t>任务来源</w:t>
      </w:r>
      <w:bookmarkEnd w:id="4"/>
    </w:p>
    <w:p w14:paraId="7C7B6419" w14:textId="77777777" w:rsidR="0086421E" w:rsidRPr="003C3793" w:rsidRDefault="0086421E" w:rsidP="0086421E">
      <w:pPr>
        <w:pStyle w:val="af4"/>
        <w:spacing w:line="360" w:lineRule="auto"/>
        <w:ind w:firstLineChars="200" w:firstLine="480"/>
        <w:rPr>
          <w:sz w:val="24"/>
        </w:rPr>
      </w:pPr>
      <w:r w:rsidRPr="003C3793">
        <w:rPr>
          <w:kern w:val="0"/>
          <w:sz w:val="24"/>
        </w:rPr>
        <w:t>在北京华夏草业产业技术创新战略联盟前期发表团体标准征集的基础上，于</w:t>
      </w:r>
      <w:r w:rsidRPr="003C3793">
        <w:rPr>
          <w:sz w:val="24"/>
        </w:rPr>
        <w:t>2023</w:t>
      </w:r>
      <w:r w:rsidRPr="003C3793">
        <w:rPr>
          <w:sz w:val="24"/>
        </w:rPr>
        <w:t>年</w:t>
      </w:r>
      <w:r w:rsidRPr="003C3793">
        <w:rPr>
          <w:sz w:val="24"/>
        </w:rPr>
        <w:t>6</w:t>
      </w:r>
      <w:r w:rsidRPr="003C3793">
        <w:rPr>
          <w:sz w:val="24"/>
        </w:rPr>
        <w:t>月发布《北京华夏草业产业技术创新战略联盟团体标准制修订项目建议书》，确定编制联盟团体标准</w:t>
      </w:r>
      <w:r w:rsidRPr="003C3793">
        <w:rPr>
          <w:sz w:val="24"/>
        </w:rPr>
        <w:t>“</w:t>
      </w:r>
      <w:r w:rsidRPr="003C3793">
        <w:rPr>
          <w:kern w:val="0"/>
          <w:sz w:val="24"/>
        </w:rPr>
        <w:t>攀西高寒地区一年生豆科牧草与马铃薯轮作技术规程</w:t>
      </w:r>
      <w:r w:rsidRPr="003C3793">
        <w:rPr>
          <w:sz w:val="24"/>
        </w:rPr>
        <w:t>”</w:t>
      </w:r>
      <w:r w:rsidRPr="003C3793">
        <w:rPr>
          <w:sz w:val="24"/>
        </w:rPr>
        <w:t>。由四川省草原科学研究院主持，于</w:t>
      </w:r>
      <w:r w:rsidRPr="003C3793">
        <w:rPr>
          <w:sz w:val="24"/>
        </w:rPr>
        <w:t>2024</w:t>
      </w:r>
      <w:r w:rsidRPr="003C3793">
        <w:rPr>
          <w:sz w:val="24"/>
        </w:rPr>
        <w:t>年</w:t>
      </w:r>
      <w:r w:rsidRPr="003C3793">
        <w:rPr>
          <w:sz w:val="24"/>
        </w:rPr>
        <w:t>8</w:t>
      </w:r>
      <w:r w:rsidRPr="003C3793">
        <w:rPr>
          <w:sz w:val="24"/>
        </w:rPr>
        <w:t>月底完成该标准的制定任务。</w:t>
      </w:r>
    </w:p>
    <w:p w14:paraId="24BC0AAB" w14:textId="77777777" w:rsidR="0086421E" w:rsidRPr="0086421E" w:rsidRDefault="0086421E" w:rsidP="0086421E">
      <w:pPr>
        <w:pStyle w:val="1"/>
      </w:pPr>
      <w:bookmarkStart w:id="5" w:name="_Toc176464730"/>
      <w:r w:rsidRPr="0086421E">
        <w:t>二、主要工作过程</w:t>
      </w:r>
      <w:bookmarkEnd w:id="5"/>
    </w:p>
    <w:p w14:paraId="5CF21810" w14:textId="77777777" w:rsidR="0086421E" w:rsidRPr="003C3793" w:rsidRDefault="0086421E" w:rsidP="0086421E">
      <w:pPr>
        <w:pStyle w:val="af4"/>
        <w:spacing w:line="460" w:lineRule="exact"/>
        <w:ind w:firstLineChars="200" w:firstLine="480"/>
        <w:rPr>
          <w:sz w:val="24"/>
        </w:rPr>
      </w:pPr>
      <w:r w:rsidRPr="003C3793">
        <w:rPr>
          <w:sz w:val="24"/>
        </w:rPr>
        <w:t>经过一年多的资料收集、实验检测和技术分析、讨论、起草初稿，预评审及修改，形成标准征求意见稿。工作过程简述如下：</w:t>
      </w:r>
    </w:p>
    <w:p w14:paraId="4E9204C3" w14:textId="77777777" w:rsidR="0086421E" w:rsidRPr="0086421E" w:rsidRDefault="0086421E" w:rsidP="0086421E">
      <w:pPr>
        <w:pStyle w:val="2"/>
      </w:pPr>
      <w:bookmarkStart w:id="6" w:name="_Toc176464731"/>
      <w:r w:rsidRPr="0086421E">
        <w:t xml:space="preserve">1. </w:t>
      </w:r>
      <w:r w:rsidRPr="0086421E">
        <w:t>收集文献资料及国内外相关一年生豆科牧草与马铃薯轮作的技术标准</w:t>
      </w:r>
      <w:bookmarkEnd w:id="6"/>
    </w:p>
    <w:p w14:paraId="52CD9CB5" w14:textId="77777777" w:rsidR="0086421E" w:rsidRPr="003C3793" w:rsidRDefault="0086421E" w:rsidP="0086421E">
      <w:pPr>
        <w:pStyle w:val="ListParagraph"/>
        <w:spacing w:line="360" w:lineRule="auto"/>
        <w:ind w:firstLine="480"/>
        <w:rPr>
          <w:rFonts w:ascii="Times New Roman" w:hAnsi="Times New Roman"/>
          <w:sz w:val="24"/>
          <w:szCs w:val="24"/>
        </w:rPr>
      </w:pPr>
      <w:r w:rsidRPr="003C3793">
        <w:rPr>
          <w:rFonts w:ascii="Times New Roman" w:hAnsi="Times New Roman"/>
          <w:sz w:val="24"/>
          <w:szCs w:val="24"/>
        </w:rPr>
        <w:t>文献资料是起草标准的基础。为了做好此标准的起草工作，标准</w:t>
      </w:r>
      <w:r w:rsidRPr="003C3793">
        <w:rPr>
          <w:rFonts w:ascii="Times New Roman" w:hAnsi="Times New Roman"/>
          <w:sz w:val="24"/>
        </w:rPr>
        <w:t>起草小组</w:t>
      </w:r>
      <w:r w:rsidRPr="003C3793">
        <w:rPr>
          <w:rFonts w:ascii="Times New Roman" w:hAnsi="Times New Roman"/>
          <w:sz w:val="24"/>
          <w:szCs w:val="24"/>
        </w:rPr>
        <w:t>广泛收集了国内外一年生牧草与马铃薯轮作及其他作物与马铃薯轮作的相关资料，并认真整理并总结相关的研究成果。从文献中可以发现牧草与马铃薯轮作的相关研究较少，主要有紫花苜蓿和光叶紫花</w:t>
      </w:r>
      <w:proofErr w:type="gramStart"/>
      <w:r w:rsidRPr="003C3793">
        <w:rPr>
          <w:rFonts w:ascii="Times New Roman" w:hAnsi="Times New Roman"/>
          <w:sz w:val="24"/>
          <w:szCs w:val="24"/>
        </w:rPr>
        <w:t>苕</w:t>
      </w:r>
      <w:proofErr w:type="gramEnd"/>
      <w:r w:rsidRPr="003C3793">
        <w:rPr>
          <w:rFonts w:ascii="Times New Roman" w:hAnsi="Times New Roman"/>
          <w:sz w:val="24"/>
          <w:szCs w:val="24"/>
        </w:rPr>
        <w:t>与马铃薯轮作能破解马铃薯的连作障碍、提高马铃薯的产量，但是系统的一年生豆科牧草与马铃薯轮作的研究还较少，在生产中还没有规范的技术参照执行。</w:t>
      </w:r>
    </w:p>
    <w:p w14:paraId="3501ACDD" w14:textId="77777777" w:rsidR="0086421E" w:rsidRPr="003C3793" w:rsidRDefault="0086421E" w:rsidP="0086421E">
      <w:pPr>
        <w:pStyle w:val="2"/>
        <w:rPr>
          <w:b/>
        </w:rPr>
      </w:pPr>
      <w:bookmarkStart w:id="7" w:name="_Toc176464732"/>
      <w:r w:rsidRPr="0086421E">
        <w:t xml:space="preserve">2. </w:t>
      </w:r>
      <w:r w:rsidRPr="0086421E">
        <w:t>讨论确定标准适用范围及主要技术指标</w:t>
      </w:r>
      <w:bookmarkEnd w:id="7"/>
    </w:p>
    <w:p w14:paraId="1C515D59" w14:textId="77777777" w:rsidR="0086421E" w:rsidRPr="003C3793" w:rsidRDefault="0086421E" w:rsidP="0086421E">
      <w:pPr>
        <w:pStyle w:val="af4"/>
        <w:spacing w:line="460" w:lineRule="exact"/>
        <w:ind w:firstLineChars="200" w:firstLine="480"/>
        <w:rPr>
          <w:sz w:val="24"/>
        </w:rPr>
      </w:pPr>
      <w:r w:rsidRPr="003C3793">
        <w:rPr>
          <w:sz w:val="24"/>
        </w:rPr>
        <w:t>适用范围。标准规定一年生豆科牧草与马铃薯轮作技术规程，适用于攀西高寒地区的一年生豆科牧草与马铃薯轮作种植模式。</w:t>
      </w:r>
    </w:p>
    <w:p w14:paraId="7876E89C" w14:textId="77777777" w:rsidR="0086421E" w:rsidRPr="003C3793" w:rsidRDefault="0086421E" w:rsidP="0086421E">
      <w:pPr>
        <w:pStyle w:val="af4"/>
        <w:spacing w:line="460" w:lineRule="exact"/>
        <w:ind w:firstLineChars="200" w:firstLine="480"/>
        <w:rPr>
          <w:kern w:val="0"/>
          <w:sz w:val="24"/>
        </w:rPr>
      </w:pPr>
      <w:r w:rsidRPr="003C3793">
        <w:rPr>
          <w:sz w:val="24"/>
        </w:rPr>
        <w:t>技术标准。根据生产实践理论与整理的科研成果资料确定。</w:t>
      </w:r>
      <w:r w:rsidRPr="003C3793">
        <w:rPr>
          <w:kern w:val="0"/>
          <w:sz w:val="24"/>
        </w:rPr>
        <w:t>攀西高寒地区一年生豆科牧草与马铃薯轮作主要技术指标有：马铃薯与光叶紫花</w:t>
      </w:r>
      <w:proofErr w:type="gramStart"/>
      <w:r w:rsidRPr="003C3793">
        <w:rPr>
          <w:kern w:val="0"/>
          <w:sz w:val="24"/>
        </w:rPr>
        <w:t>苕</w:t>
      </w:r>
      <w:proofErr w:type="gramEnd"/>
      <w:r w:rsidRPr="003C3793">
        <w:rPr>
          <w:kern w:val="0"/>
          <w:sz w:val="24"/>
        </w:rPr>
        <w:t>轮作茬口对接，马铃薯种植阶段的品种选择、种薯质量、播种前准备、播种、田间管理、收获等，一年生豆科牧草种植阶段的播种前准备、播种时间、草种选择、播种、田间管理、收割等。</w:t>
      </w:r>
    </w:p>
    <w:p w14:paraId="04C69B3E" w14:textId="77777777" w:rsidR="0086421E" w:rsidRPr="0086421E" w:rsidRDefault="0086421E" w:rsidP="0086421E">
      <w:pPr>
        <w:pStyle w:val="2"/>
      </w:pPr>
      <w:bookmarkStart w:id="8" w:name="_Toc176464733"/>
      <w:r w:rsidRPr="0086421E">
        <w:t xml:space="preserve">3. </w:t>
      </w:r>
      <w:r w:rsidRPr="0086421E">
        <w:t>获得基础数据确定指标</w:t>
      </w:r>
      <w:bookmarkEnd w:id="8"/>
    </w:p>
    <w:p w14:paraId="523E42A9" w14:textId="77777777" w:rsidR="0086421E" w:rsidRPr="003C3793" w:rsidRDefault="0086421E" w:rsidP="0086421E">
      <w:pPr>
        <w:pStyle w:val="af4"/>
        <w:spacing w:line="460" w:lineRule="exact"/>
        <w:ind w:firstLineChars="200" w:firstLine="480"/>
        <w:rPr>
          <w:sz w:val="24"/>
        </w:rPr>
      </w:pPr>
      <w:r w:rsidRPr="003C3793">
        <w:rPr>
          <w:sz w:val="24"/>
        </w:rPr>
        <w:t>为了确定一年生豆科牧草与马铃薯轮作技术的各项指标数据，</w:t>
      </w:r>
      <w:r w:rsidRPr="003C3793">
        <w:rPr>
          <w:bCs/>
          <w:sz w:val="24"/>
        </w:rPr>
        <w:t>标准起草小组调查和分析了国内外科研院校、企业的相关试验以及文献资料，并结合标准起草小组获得的</w:t>
      </w:r>
      <w:r w:rsidRPr="003C3793">
        <w:rPr>
          <w:kern w:val="0"/>
          <w:sz w:val="24"/>
        </w:rPr>
        <w:t>四川省科技进步奖</w:t>
      </w:r>
      <w:r w:rsidRPr="003C3793">
        <w:rPr>
          <w:kern w:val="0"/>
          <w:sz w:val="24"/>
        </w:rPr>
        <w:t>“</w:t>
      </w:r>
      <w:r w:rsidRPr="003C3793">
        <w:rPr>
          <w:kern w:val="0"/>
          <w:sz w:val="24"/>
        </w:rPr>
        <w:t>凉山光叶紫花</w:t>
      </w:r>
      <w:proofErr w:type="gramStart"/>
      <w:r w:rsidRPr="003C3793">
        <w:rPr>
          <w:kern w:val="0"/>
          <w:sz w:val="24"/>
        </w:rPr>
        <w:t>苕</w:t>
      </w:r>
      <w:proofErr w:type="gramEnd"/>
      <w:r w:rsidRPr="003C3793">
        <w:rPr>
          <w:kern w:val="0"/>
          <w:sz w:val="24"/>
        </w:rPr>
        <w:t>配套技术研究与集成应用</w:t>
      </w:r>
      <w:r w:rsidRPr="003C3793">
        <w:rPr>
          <w:kern w:val="0"/>
          <w:sz w:val="24"/>
        </w:rPr>
        <w:t>”</w:t>
      </w:r>
      <w:r w:rsidRPr="003C3793">
        <w:rPr>
          <w:kern w:val="0"/>
          <w:sz w:val="24"/>
        </w:rPr>
        <w:t>和全国农牧渔业丰收奖</w:t>
      </w:r>
      <w:r w:rsidRPr="003C3793">
        <w:rPr>
          <w:kern w:val="0"/>
          <w:sz w:val="24"/>
        </w:rPr>
        <w:t>“</w:t>
      </w:r>
      <w:r w:rsidRPr="003C3793">
        <w:rPr>
          <w:kern w:val="0"/>
          <w:sz w:val="24"/>
        </w:rPr>
        <w:t>国审牧草品种凉山光叶紫花</w:t>
      </w:r>
      <w:proofErr w:type="gramStart"/>
      <w:r w:rsidRPr="003C3793">
        <w:rPr>
          <w:kern w:val="0"/>
          <w:sz w:val="24"/>
        </w:rPr>
        <w:t>苕</w:t>
      </w:r>
      <w:proofErr w:type="gramEnd"/>
      <w:r w:rsidRPr="003C3793">
        <w:rPr>
          <w:kern w:val="0"/>
          <w:sz w:val="24"/>
        </w:rPr>
        <w:t>选育与产业化推广应用</w:t>
      </w:r>
      <w:r w:rsidRPr="003C3793">
        <w:rPr>
          <w:kern w:val="0"/>
          <w:sz w:val="24"/>
        </w:rPr>
        <w:t>”</w:t>
      </w:r>
      <w:r w:rsidRPr="003C3793">
        <w:rPr>
          <w:kern w:val="0"/>
          <w:sz w:val="24"/>
        </w:rPr>
        <w:t>等重要成果，国家重点研发项目</w:t>
      </w:r>
      <w:r w:rsidRPr="003C3793">
        <w:rPr>
          <w:kern w:val="0"/>
          <w:sz w:val="24"/>
        </w:rPr>
        <w:t>“</w:t>
      </w:r>
      <w:r w:rsidRPr="003C3793">
        <w:rPr>
          <w:kern w:val="0"/>
          <w:sz w:val="24"/>
        </w:rPr>
        <w:t>优质饲草供给及草畜种养循环关键技术研发</w:t>
      </w:r>
      <w:r w:rsidRPr="003C3793">
        <w:rPr>
          <w:kern w:val="0"/>
          <w:sz w:val="24"/>
        </w:rPr>
        <w:t>”</w:t>
      </w:r>
      <w:r w:rsidRPr="003C3793">
        <w:rPr>
          <w:kern w:val="0"/>
          <w:sz w:val="24"/>
        </w:rPr>
        <w:t>、</w:t>
      </w:r>
      <w:r w:rsidRPr="003C3793">
        <w:rPr>
          <w:kern w:val="0"/>
          <w:sz w:val="24"/>
        </w:rPr>
        <w:t>“</w:t>
      </w:r>
      <w:r w:rsidRPr="003C3793">
        <w:rPr>
          <w:kern w:val="0"/>
          <w:sz w:val="24"/>
        </w:rPr>
        <w:t>布拖县牧草绿色增产增效技术集成与示范</w:t>
      </w:r>
      <w:r w:rsidRPr="003C3793">
        <w:rPr>
          <w:kern w:val="0"/>
          <w:sz w:val="24"/>
        </w:rPr>
        <w:t>”</w:t>
      </w:r>
      <w:r w:rsidRPr="003C3793">
        <w:t>、</w:t>
      </w:r>
      <w:r w:rsidRPr="003C3793">
        <w:rPr>
          <w:kern w:val="0"/>
          <w:sz w:val="24"/>
        </w:rPr>
        <w:t>农业部</w:t>
      </w:r>
      <w:r w:rsidRPr="003C3793">
        <w:rPr>
          <w:kern w:val="0"/>
          <w:sz w:val="24"/>
        </w:rPr>
        <w:t>“</w:t>
      </w:r>
      <w:r w:rsidRPr="003C3793">
        <w:rPr>
          <w:kern w:val="0"/>
          <w:sz w:val="24"/>
        </w:rPr>
        <w:t>四川省光叶紫花</w:t>
      </w:r>
      <w:proofErr w:type="gramStart"/>
      <w:r w:rsidRPr="003C3793">
        <w:rPr>
          <w:kern w:val="0"/>
          <w:sz w:val="24"/>
        </w:rPr>
        <w:t>苕</w:t>
      </w:r>
      <w:proofErr w:type="gramEnd"/>
      <w:r w:rsidRPr="003C3793">
        <w:rPr>
          <w:kern w:val="0"/>
          <w:sz w:val="24"/>
        </w:rPr>
        <w:t>种子繁育基地建设项目</w:t>
      </w:r>
      <w:r w:rsidRPr="003C3793">
        <w:rPr>
          <w:kern w:val="0"/>
          <w:sz w:val="24"/>
        </w:rPr>
        <w:t>”</w:t>
      </w:r>
      <w:r w:rsidRPr="003C3793">
        <w:rPr>
          <w:kern w:val="0"/>
          <w:sz w:val="24"/>
        </w:rPr>
        <w:t>、</w:t>
      </w:r>
      <w:r w:rsidRPr="003C3793">
        <w:rPr>
          <w:kern w:val="0"/>
          <w:sz w:val="24"/>
        </w:rPr>
        <w:t>“</w:t>
      </w:r>
      <w:r w:rsidRPr="003C3793">
        <w:rPr>
          <w:kern w:val="0"/>
          <w:sz w:val="24"/>
        </w:rPr>
        <w:t>国家天然草原退牧还草工程项目人工种草部分</w:t>
      </w:r>
      <w:r w:rsidRPr="003C3793">
        <w:rPr>
          <w:kern w:val="0"/>
          <w:sz w:val="24"/>
        </w:rPr>
        <w:t>”</w:t>
      </w:r>
      <w:r w:rsidRPr="003C3793">
        <w:rPr>
          <w:kern w:val="0"/>
          <w:sz w:val="24"/>
        </w:rPr>
        <w:t>、公益性行业（农业）科研专项</w:t>
      </w:r>
      <w:r w:rsidRPr="003C3793">
        <w:rPr>
          <w:kern w:val="0"/>
          <w:sz w:val="24"/>
        </w:rPr>
        <w:t xml:space="preserve"> “</w:t>
      </w:r>
      <w:r w:rsidRPr="003C3793">
        <w:rPr>
          <w:kern w:val="0"/>
          <w:sz w:val="24"/>
        </w:rPr>
        <w:t>牧区饲草饲料资源开发利用技术研究与示范</w:t>
      </w:r>
      <w:r w:rsidRPr="003C3793">
        <w:rPr>
          <w:kern w:val="0"/>
          <w:sz w:val="24"/>
        </w:rPr>
        <w:t>”</w:t>
      </w:r>
      <w:r w:rsidRPr="003C3793">
        <w:rPr>
          <w:kern w:val="0"/>
          <w:sz w:val="24"/>
        </w:rPr>
        <w:t>等项目</w:t>
      </w:r>
      <w:r w:rsidRPr="003C3793">
        <w:rPr>
          <w:bCs/>
          <w:sz w:val="24"/>
        </w:rPr>
        <w:t>的研究成果</w:t>
      </w:r>
      <w:r w:rsidRPr="003C3793">
        <w:rPr>
          <w:sz w:val="24"/>
        </w:rPr>
        <w:t>，为标准的最终制定奠定了坚实的基础。</w:t>
      </w:r>
    </w:p>
    <w:p w14:paraId="39901C85" w14:textId="77777777" w:rsidR="0086421E" w:rsidRPr="0086421E" w:rsidRDefault="0086421E" w:rsidP="0086421E">
      <w:pPr>
        <w:pStyle w:val="1"/>
      </w:pPr>
      <w:bookmarkStart w:id="9" w:name="_Toc176464734"/>
      <w:r w:rsidRPr="0086421E">
        <w:t>三、标准编制原则和主要技术内容的确定依据</w:t>
      </w:r>
      <w:bookmarkEnd w:id="9"/>
    </w:p>
    <w:p w14:paraId="68A2ECF6" w14:textId="77777777" w:rsidR="0086421E" w:rsidRPr="003C3793" w:rsidRDefault="0086421E" w:rsidP="0086421E">
      <w:pPr>
        <w:pStyle w:val="ListParagraph"/>
        <w:spacing w:line="360" w:lineRule="auto"/>
        <w:ind w:firstLineChars="225" w:firstLine="540"/>
        <w:rPr>
          <w:rFonts w:ascii="Times New Roman" w:hAnsi="Times New Roman"/>
          <w:kern w:val="0"/>
          <w:sz w:val="24"/>
          <w:szCs w:val="24"/>
        </w:rPr>
      </w:pPr>
      <w:r w:rsidRPr="003C3793">
        <w:rPr>
          <w:rFonts w:ascii="Times New Roman" w:hAnsi="Times New Roman"/>
          <w:kern w:val="0"/>
          <w:sz w:val="24"/>
          <w:szCs w:val="24"/>
        </w:rPr>
        <w:t>在标准制定过程中，我们始终遵循密切联系生产实践，确保标准具有较强的科学性、可操作性，坚持促进行业规范发展的基本原则。根据</w:t>
      </w:r>
      <w:r w:rsidRPr="003C3793">
        <w:rPr>
          <w:rFonts w:ascii="Times New Roman" w:hAnsi="Times New Roman"/>
          <w:kern w:val="0"/>
          <w:sz w:val="24"/>
        </w:rPr>
        <w:t>茬口对接、马铃薯种植（品种选择、种薯质量、播种前准备、播种、田间管理、收获）、一年生豆科牧草种植（播种前准备、播种时间、草种选择、播种、田间管理、收割）等技术提出要求，</w:t>
      </w:r>
      <w:r w:rsidRPr="003C3793">
        <w:rPr>
          <w:rFonts w:ascii="Times New Roman" w:hAnsi="Times New Roman"/>
          <w:kern w:val="0"/>
          <w:sz w:val="24"/>
          <w:szCs w:val="24"/>
        </w:rPr>
        <w:t>形成本标准中的技术内容和指标。</w:t>
      </w:r>
    </w:p>
    <w:p w14:paraId="4D69809E" w14:textId="5637F2CD" w:rsidR="0086421E" w:rsidRPr="003C3793" w:rsidRDefault="0086421E" w:rsidP="0086421E">
      <w:pPr>
        <w:pStyle w:val="2"/>
        <w:rPr>
          <w:rFonts w:ascii="Times New Roman" w:hAnsi="Times New Roman"/>
          <w:kern w:val="0"/>
          <w:szCs w:val="24"/>
        </w:rPr>
      </w:pPr>
      <w:bookmarkStart w:id="10" w:name="_Toc176464735"/>
      <w:r>
        <w:rPr>
          <w:rFonts w:hint="eastAsia"/>
        </w:rPr>
        <w:t>1.</w:t>
      </w:r>
      <w:r w:rsidRPr="0086421E">
        <w:t>一年生豆科牧草与马铃薯轮作茬口对接</w:t>
      </w:r>
      <w:bookmarkEnd w:id="10"/>
    </w:p>
    <w:p w14:paraId="637812C6" w14:textId="77777777" w:rsidR="0086421E" w:rsidRPr="003C3793" w:rsidRDefault="0086421E" w:rsidP="0086421E">
      <w:pPr>
        <w:pStyle w:val="ListParagraph"/>
        <w:spacing w:line="360" w:lineRule="auto"/>
        <w:ind w:firstLineChars="225" w:firstLine="540"/>
        <w:rPr>
          <w:rFonts w:ascii="Times New Roman" w:hAnsi="Times New Roman"/>
          <w:kern w:val="0"/>
          <w:sz w:val="24"/>
        </w:rPr>
      </w:pPr>
      <w:r w:rsidRPr="003C3793">
        <w:rPr>
          <w:rFonts w:ascii="Times New Roman" w:hAnsi="Times New Roman"/>
          <w:kern w:val="0"/>
          <w:sz w:val="24"/>
          <w:szCs w:val="24"/>
        </w:rPr>
        <w:t>攀西地区高寒地区不同海拔的温度和气候不相同，为了满足马铃薯的正常生长与收获，需要对不同海拔的一年生豆科牧草与马铃薯轮作的茬口对接进行规范，并在不同的海拔区域对马铃薯的品种和一年生豆科牧草的草种进行选择。此标准通过</w:t>
      </w:r>
      <w:r w:rsidRPr="003C3793">
        <w:rPr>
          <w:rFonts w:ascii="Times New Roman" w:hAnsi="Times New Roman"/>
          <w:kern w:val="0"/>
          <w:sz w:val="24"/>
        </w:rPr>
        <w:t>四川省科技进步奖</w:t>
      </w:r>
      <w:r w:rsidRPr="003C3793">
        <w:rPr>
          <w:rFonts w:ascii="Times New Roman" w:hAnsi="Times New Roman"/>
          <w:kern w:val="0"/>
          <w:sz w:val="24"/>
        </w:rPr>
        <w:t>“</w:t>
      </w:r>
      <w:r w:rsidRPr="003C3793">
        <w:rPr>
          <w:rFonts w:ascii="Times New Roman" w:hAnsi="Times New Roman"/>
          <w:kern w:val="0"/>
          <w:sz w:val="24"/>
        </w:rPr>
        <w:t>凉山光叶紫花</w:t>
      </w:r>
      <w:proofErr w:type="gramStart"/>
      <w:r w:rsidRPr="003C3793">
        <w:rPr>
          <w:rFonts w:ascii="Times New Roman" w:hAnsi="Times New Roman"/>
          <w:kern w:val="0"/>
          <w:sz w:val="24"/>
        </w:rPr>
        <w:t>苕</w:t>
      </w:r>
      <w:proofErr w:type="gramEnd"/>
      <w:r w:rsidRPr="003C3793">
        <w:rPr>
          <w:rFonts w:ascii="Times New Roman" w:hAnsi="Times New Roman"/>
          <w:kern w:val="0"/>
          <w:sz w:val="24"/>
        </w:rPr>
        <w:t>配套技术研究与集成应用</w:t>
      </w:r>
      <w:r w:rsidRPr="003C3793">
        <w:rPr>
          <w:rFonts w:ascii="Times New Roman" w:hAnsi="Times New Roman"/>
          <w:kern w:val="0"/>
          <w:sz w:val="24"/>
        </w:rPr>
        <w:t>”</w:t>
      </w:r>
      <w:r w:rsidRPr="003C3793">
        <w:rPr>
          <w:rFonts w:ascii="Times New Roman" w:hAnsi="Times New Roman"/>
          <w:kern w:val="0"/>
          <w:sz w:val="24"/>
        </w:rPr>
        <w:t>和全国农牧渔业丰收奖</w:t>
      </w:r>
      <w:r w:rsidRPr="003C3793">
        <w:rPr>
          <w:rFonts w:ascii="Times New Roman" w:hAnsi="Times New Roman"/>
          <w:kern w:val="0"/>
          <w:sz w:val="24"/>
        </w:rPr>
        <w:t>“</w:t>
      </w:r>
      <w:r w:rsidRPr="003C3793">
        <w:rPr>
          <w:rFonts w:ascii="Times New Roman" w:hAnsi="Times New Roman"/>
          <w:kern w:val="0"/>
          <w:sz w:val="24"/>
        </w:rPr>
        <w:t>国审牧草品种凉山光叶紫花</w:t>
      </w:r>
      <w:proofErr w:type="gramStart"/>
      <w:r w:rsidRPr="003C3793">
        <w:rPr>
          <w:rFonts w:ascii="Times New Roman" w:hAnsi="Times New Roman"/>
          <w:kern w:val="0"/>
          <w:sz w:val="24"/>
        </w:rPr>
        <w:t>苕</w:t>
      </w:r>
      <w:proofErr w:type="gramEnd"/>
      <w:r w:rsidRPr="003C3793">
        <w:rPr>
          <w:rFonts w:ascii="Times New Roman" w:hAnsi="Times New Roman"/>
          <w:kern w:val="0"/>
          <w:sz w:val="24"/>
        </w:rPr>
        <w:t>选育与产业化推广应用</w:t>
      </w:r>
      <w:r w:rsidRPr="003C3793">
        <w:rPr>
          <w:rFonts w:ascii="Times New Roman" w:hAnsi="Times New Roman"/>
          <w:kern w:val="0"/>
          <w:sz w:val="24"/>
        </w:rPr>
        <w:t>”</w:t>
      </w:r>
      <w:r w:rsidRPr="003C3793">
        <w:rPr>
          <w:rFonts w:ascii="Times New Roman" w:hAnsi="Times New Roman"/>
          <w:kern w:val="0"/>
          <w:sz w:val="24"/>
        </w:rPr>
        <w:t>等重要成果、国家重点研发项目</w:t>
      </w:r>
      <w:r w:rsidRPr="003C3793">
        <w:rPr>
          <w:rFonts w:ascii="Times New Roman" w:hAnsi="Times New Roman"/>
          <w:kern w:val="0"/>
          <w:sz w:val="24"/>
        </w:rPr>
        <w:t>“</w:t>
      </w:r>
      <w:r w:rsidRPr="003C3793">
        <w:rPr>
          <w:rFonts w:ascii="Times New Roman" w:hAnsi="Times New Roman"/>
          <w:kern w:val="0"/>
          <w:sz w:val="24"/>
        </w:rPr>
        <w:t>优质饲草供给及草畜种养循环关键技术研发</w:t>
      </w:r>
      <w:r w:rsidRPr="003C3793">
        <w:rPr>
          <w:rFonts w:ascii="Times New Roman" w:hAnsi="Times New Roman"/>
          <w:kern w:val="0"/>
          <w:sz w:val="24"/>
        </w:rPr>
        <w:t xml:space="preserve">” </w:t>
      </w:r>
      <w:r w:rsidRPr="003C3793">
        <w:rPr>
          <w:rFonts w:ascii="Times New Roman" w:hAnsi="Times New Roman"/>
          <w:kern w:val="0"/>
          <w:sz w:val="24"/>
        </w:rPr>
        <w:t>和</w:t>
      </w:r>
      <w:r w:rsidRPr="003C3793">
        <w:rPr>
          <w:rFonts w:ascii="Times New Roman" w:hAnsi="Times New Roman"/>
          <w:kern w:val="0"/>
          <w:sz w:val="24"/>
        </w:rPr>
        <w:t>“</w:t>
      </w:r>
      <w:r w:rsidRPr="003C3793">
        <w:rPr>
          <w:rFonts w:ascii="Times New Roman" w:hAnsi="Times New Roman"/>
          <w:kern w:val="0"/>
          <w:sz w:val="24"/>
        </w:rPr>
        <w:t>布拖县牧草绿色增产增效技术集成与示范</w:t>
      </w:r>
      <w:r w:rsidRPr="003C3793">
        <w:rPr>
          <w:rFonts w:ascii="Times New Roman" w:hAnsi="Times New Roman"/>
          <w:kern w:val="0"/>
          <w:sz w:val="24"/>
        </w:rPr>
        <w:t>”</w:t>
      </w:r>
      <w:r w:rsidRPr="003C3793">
        <w:rPr>
          <w:rFonts w:ascii="Times New Roman" w:hAnsi="Times New Roman"/>
          <w:kern w:val="0"/>
          <w:sz w:val="24"/>
        </w:rPr>
        <w:t>等项目的研究成果，以及相关文献所述的技术，明确了在海拔</w:t>
      </w:r>
      <w:r w:rsidRPr="003C3793">
        <w:rPr>
          <w:rFonts w:ascii="Times New Roman" w:hAnsi="Times New Roman"/>
          <w:kern w:val="0"/>
          <w:sz w:val="24"/>
        </w:rPr>
        <w:t>2000-2500m</w:t>
      </w:r>
      <w:r w:rsidRPr="003C3793">
        <w:rPr>
          <w:rFonts w:ascii="Times New Roman" w:hAnsi="Times New Roman"/>
          <w:kern w:val="0"/>
          <w:sz w:val="24"/>
        </w:rPr>
        <w:t>区域适宜种植马铃薯中、早熟品种和光叶紫花</w:t>
      </w:r>
      <w:proofErr w:type="gramStart"/>
      <w:r w:rsidRPr="003C3793">
        <w:rPr>
          <w:rFonts w:ascii="Times New Roman" w:hAnsi="Times New Roman"/>
          <w:kern w:val="0"/>
          <w:sz w:val="24"/>
        </w:rPr>
        <w:t>苕</w:t>
      </w:r>
      <w:proofErr w:type="gramEnd"/>
      <w:r w:rsidRPr="003C3793">
        <w:rPr>
          <w:rFonts w:ascii="Times New Roman" w:hAnsi="Times New Roman"/>
          <w:kern w:val="0"/>
          <w:sz w:val="24"/>
        </w:rPr>
        <w:t>、箭筈豌豆、毛苕子、金花菜、紫云英</w:t>
      </w:r>
      <w:r w:rsidRPr="003C3793">
        <w:rPr>
          <w:rFonts w:ascii="Times New Roman" w:hAnsi="Times New Roman"/>
          <w:kern w:val="0"/>
          <w:sz w:val="24"/>
        </w:rPr>
        <w:t>5</w:t>
      </w:r>
      <w:r w:rsidRPr="003C3793">
        <w:rPr>
          <w:rFonts w:ascii="Times New Roman" w:hAnsi="Times New Roman"/>
          <w:kern w:val="0"/>
          <w:sz w:val="24"/>
        </w:rPr>
        <w:t>种一年生豆科牧草，在海拔</w:t>
      </w:r>
      <w:r w:rsidRPr="003C3793">
        <w:rPr>
          <w:rFonts w:ascii="Times New Roman" w:hAnsi="Times New Roman"/>
          <w:kern w:val="0"/>
          <w:sz w:val="24"/>
        </w:rPr>
        <w:t>2000-2500m</w:t>
      </w:r>
      <w:r w:rsidRPr="003C3793">
        <w:rPr>
          <w:rFonts w:ascii="Times New Roman" w:hAnsi="Times New Roman"/>
          <w:kern w:val="0"/>
          <w:sz w:val="24"/>
        </w:rPr>
        <w:t>的区域只适宜种植马铃薯早熟品种和光叶紫花</w:t>
      </w:r>
      <w:proofErr w:type="gramStart"/>
      <w:r w:rsidRPr="003C3793">
        <w:rPr>
          <w:rFonts w:ascii="Times New Roman" w:hAnsi="Times New Roman"/>
          <w:kern w:val="0"/>
          <w:sz w:val="24"/>
        </w:rPr>
        <w:t>苕</w:t>
      </w:r>
      <w:proofErr w:type="gramEnd"/>
      <w:r w:rsidRPr="003C3793">
        <w:rPr>
          <w:rFonts w:ascii="Times New Roman" w:hAnsi="Times New Roman"/>
          <w:kern w:val="0"/>
          <w:sz w:val="24"/>
        </w:rPr>
        <w:t>、箭筈豌豆、毛苕子</w:t>
      </w:r>
      <w:r w:rsidRPr="003C3793">
        <w:rPr>
          <w:rFonts w:ascii="Times New Roman" w:hAnsi="Times New Roman"/>
          <w:kern w:val="0"/>
          <w:sz w:val="24"/>
        </w:rPr>
        <w:t>3</w:t>
      </w:r>
      <w:r w:rsidRPr="003C3793">
        <w:rPr>
          <w:rFonts w:ascii="Times New Roman" w:hAnsi="Times New Roman"/>
          <w:kern w:val="0"/>
          <w:sz w:val="24"/>
        </w:rPr>
        <w:t>种一年生豆科牧草，且明确了马铃薯和一年生豆科牧草的种植周期，这样的组合才能保障马铃薯能正常收获且能有较高的牧草产量。</w:t>
      </w:r>
    </w:p>
    <w:p w14:paraId="10752CEB" w14:textId="5575654F" w:rsidR="0086421E" w:rsidRPr="003C3793" w:rsidRDefault="0086421E" w:rsidP="0086421E">
      <w:pPr>
        <w:pStyle w:val="2"/>
      </w:pPr>
      <w:bookmarkStart w:id="11" w:name="_Toc176464736"/>
      <w:r>
        <w:rPr>
          <w:rFonts w:hint="eastAsia"/>
        </w:rPr>
        <w:t>2.</w:t>
      </w:r>
      <w:r w:rsidRPr="003C3793">
        <w:t>马铃薯种植阶段</w:t>
      </w:r>
      <w:bookmarkEnd w:id="11"/>
    </w:p>
    <w:p w14:paraId="7A48F7ED" w14:textId="77777777" w:rsidR="0086421E" w:rsidRPr="003C3793" w:rsidRDefault="0086421E" w:rsidP="0086421E">
      <w:pPr>
        <w:pStyle w:val="af4"/>
        <w:spacing w:line="460" w:lineRule="exact"/>
        <w:ind w:firstLineChars="200" w:firstLine="480"/>
        <w:rPr>
          <w:sz w:val="24"/>
        </w:rPr>
      </w:pPr>
      <w:r w:rsidRPr="003C3793">
        <w:rPr>
          <w:sz w:val="24"/>
        </w:rPr>
        <w:t>制定了马铃薯的品种选择原则、根据</w:t>
      </w:r>
      <w:r w:rsidRPr="003C3793">
        <w:rPr>
          <w:sz w:val="24"/>
        </w:rPr>
        <w:t>GB18133</w:t>
      </w:r>
      <w:r w:rsidRPr="003C3793">
        <w:rPr>
          <w:sz w:val="24"/>
        </w:rPr>
        <w:t>制定了种</w:t>
      </w:r>
      <w:proofErr w:type="gramStart"/>
      <w:r w:rsidRPr="003C3793">
        <w:rPr>
          <w:sz w:val="24"/>
        </w:rPr>
        <w:t>薯质量</w:t>
      </w:r>
      <w:proofErr w:type="gramEnd"/>
      <w:r w:rsidRPr="003C3793">
        <w:rPr>
          <w:sz w:val="24"/>
        </w:rPr>
        <w:t>的选择标准，对播种前准（整地、催芽、切块）、播种（播种时间、种植密度、播种方式）、基肥（肥料的种类和施用量）、田间管理（除杂草、中耕与追肥、病虫害防治）和收获等种植技术进行了规范，通过这些关键技术的规范，保障了马铃薯在该区域的丰产稳产。</w:t>
      </w:r>
    </w:p>
    <w:p w14:paraId="5C5C4704" w14:textId="5B26229D" w:rsidR="0086421E" w:rsidRPr="003C3793" w:rsidRDefault="0086421E" w:rsidP="0086421E">
      <w:pPr>
        <w:pStyle w:val="2"/>
      </w:pPr>
      <w:bookmarkStart w:id="12" w:name="_Toc176464737"/>
      <w:r>
        <w:rPr>
          <w:rFonts w:hint="eastAsia"/>
        </w:rPr>
        <w:t>3.</w:t>
      </w:r>
      <w:r w:rsidRPr="003C3793">
        <w:t>一年生豆科牧草种植阶段</w:t>
      </w:r>
      <w:bookmarkEnd w:id="12"/>
    </w:p>
    <w:p w14:paraId="5B1D5179" w14:textId="77777777" w:rsidR="0086421E" w:rsidRPr="003C3793" w:rsidRDefault="0086421E" w:rsidP="0086421E">
      <w:pPr>
        <w:spacing w:line="360" w:lineRule="auto"/>
        <w:ind w:firstLineChars="200" w:firstLine="480"/>
        <w:rPr>
          <w:sz w:val="24"/>
        </w:rPr>
      </w:pPr>
      <w:r w:rsidRPr="003C3793">
        <w:rPr>
          <w:color w:val="000000"/>
          <w:sz w:val="24"/>
        </w:rPr>
        <w:t>制定了</w:t>
      </w:r>
      <w:r w:rsidRPr="003C3793">
        <w:rPr>
          <w:sz w:val="24"/>
        </w:rPr>
        <w:t>一年生豆科牧草</w:t>
      </w:r>
      <w:r w:rsidRPr="003C3793">
        <w:rPr>
          <w:color w:val="000000"/>
          <w:sz w:val="24"/>
        </w:rPr>
        <w:t>的播种前准备（土地清理、翻耕整地）、播种时间、草种选择、播种（种子质量、播种量、播种方式）、田间管理（除杂草、病虫害防治）和收割等技术要求，</w:t>
      </w:r>
      <w:r w:rsidRPr="003C3793">
        <w:rPr>
          <w:sz w:val="24"/>
        </w:rPr>
        <w:t>通过这些关键技术的规范，在确保马铃薯产量下收割更多的牧草，并且土壤的有机质能够提高</w:t>
      </w:r>
      <w:r w:rsidRPr="003C3793">
        <w:rPr>
          <w:sz w:val="24"/>
        </w:rPr>
        <w:t>5%</w:t>
      </w:r>
      <w:r w:rsidRPr="003C3793">
        <w:rPr>
          <w:sz w:val="24"/>
        </w:rPr>
        <w:t>左右、马铃薯的病害显著降低。</w:t>
      </w:r>
    </w:p>
    <w:p w14:paraId="0ECB73D0" w14:textId="77777777" w:rsidR="0086421E" w:rsidRPr="0086421E" w:rsidRDefault="0086421E" w:rsidP="0086421E">
      <w:pPr>
        <w:pStyle w:val="1"/>
      </w:pPr>
      <w:bookmarkStart w:id="13" w:name="_Toc176464738"/>
      <w:r w:rsidRPr="0086421E">
        <w:t>四、采用国际标准</w:t>
      </w:r>
      <w:bookmarkEnd w:id="13"/>
      <w:r w:rsidRPr="0086421E">
        <w:t xml:space="preserve"> </w:t>
      </w:r>
    </w:p>
    <w:p w14:paraId="2E26B8C6" w14:textId="77777777" w:rsidR="0086421E" w:rsidRPr="003C3793" w:rsidRDefault="0086421E" w:rsidP="0086421E">
      <w:pPr>
        <w:pStyle w:val="af4"/>
        <w:spacing w:line="460" w:lineRule="exact"/>
        <w:ind w:firstLine="420"/>
        <w:rPr>
          <w:sz w:val="24"/>
        </w:rPr>
      </w:pPr>
      <w:r w:rsidRPr="003C3793">
        <w:rPr>
          <w:sz w:val="24"/>
        </w:rPr>
        <w:t>本标准根据一年生豆科牧草与马铃薯轮作实际而制定，没有引用国际标准。</w:t>
      </w:r>
    </w:p>
    <w:p w14:paraId="1E8B3EFA" w14:textId="77777777" w:rsidR="0086421E" w:rsidRPr="003C3793" w:rsidRDefault="0086421E" w:rsidP="0086421E">
      <w:pPr>
        <w:pStyle w:val="1"/>
      </w:pPr>
      <w:bookmarkStart w:id="14" w:name="_Toc176464739"/>
      <w:r w:rsidRPr="003C3793">
        <w:t>五、与现行法律法规和强制性标准的关系</w:t>
      </w:r>
      <w:bookmarkEnd w:id="14"/>
    </w:p>
    <w:p w14:paraId="5EFBB564" w14:textId="77777777" w:rsidR="0086421E" w:rsidRPr="003C3793" w:rsidRDefault="0086421E" w:rsidP="0086421E">
      <w:pPr>
        <w:pStyle w:val="af4"/>
        <w:spacing w:line="460" w:lineRule="exact"/>
        <w:ind w:firstLineChars="200" w:firstLine="480"/>
        <w:rPr>
          <w:sz w:val="24"/>
        </w:rPr>
      </w:pPr>
      <w:r w:rsidRPr="003C3793">
        <w:rPr>
          <w:sz w:val="24"/>
        </w:rPr>
        <w:t>该标准与现行法律法规无冲突，并保证了对该标准最新版本的引用。</w:t>
      </w:r>
    </w:p>
    <w:p w14:paraId="796A9C7C" w14:textId="77777777" w:rsidR="0086421E" w:rsidRPr="003C3793" w:rsidRDefault="0086421E" w:rsidP="0086421E">
      <w:pPr>
        <w:pStyle w:val="1"/>
      </w:pPr>
      <w:bookmarkStart w:id="15" w:name="_Toc176464740"/>
      <w:r w:rsidRPr="003C3793">
        <w:t>六、其他应予说明的事</w:t>
      </w:r>
      <w:bookmarkEnd w:id="15"/>
    </w:p>
    <w:p w14:paraId="5581D8DF" w14:textId="610AB94D" w:rsidR="00487FAD" w:rsidRPr="0086421E" w:rsidRDefault="0086421E" w:rsidP="0086421E">
      <w:pPr>
        <w:pStyle w:val="af4"/>
        <w:spacing w:line="460" w:lineRule="exact"/>
        <w:rPr>
          <w:color w:val="000000"/>
          <w:sz w:val="24"/>
        </w:rPr>
      </w:pPr>
      <w:r w:rsidRPr="003C3793">
        <w:rPr>
          <w:b/>
          <w:sz w:val="24"/>
        </w:rPr>
        <w:t xml:space="preserve">    </w:t>
      </w:r>
      <w:r w:rsidRPr="003C3793">
        <w:rPr>
          <w:sz w:val="24"/>
        </w:rPr>
        <w:t>无</w:t>
      </w:r>
    </w:p>
    <w:sectPr w:rsidR="00487FAD" w:rsidRPr="0086421E">
      <w:footerReference w:type="even" r:id="rId8"/>
      <w:footerReference w:type="default" r:id="rId9"/>
      <w:pgSz w:w="11906" w:h="16838"/>
      <w:pgMar w:top="1843" w:right="1558" w:bottom="1702"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4E675" w14:textId="77777777" w:rsidR="00A054F6" w:rsidRDefault="00A054F6">
      <w:r>
        <w:separator/>
      </w:r>
    </w:p>
  </w:endnote>
  <w:endnote w:type="continuationSeparator" w:id="0">
    <w:p w14:paraId="43D056F1" w14:textId="77777777" w:rsidR="00A054F6" w:rsidRDefault="00A0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18792" w14:textId="77777777" w:rsidR="00000000" w:rsidRDefault="00000000">
    <w:pPr>
      <w:pStyle w:val="a9"/>
      <w:framePr w:wrap="around" w:vAnchor="text" w:hAnchor="margin" w:xAlign="center" w:y="1"/>
      <w:rPr>
        <w:rStyle w:val="ae"/>
      </w:rPr>
    </w:pPr>
    <w:r>
      <w:fldChar w:fldCharType="begin"/>
    </w:r>
    <w:r>
      <w:rPr>
        <w:rStyle w:val="ae"/>
      </w:rPr>
      <w:instrText xml:space="preserve">PAGE  </w:instrText>
    </w:r>
    <w:r>
      <w:fldChar w:fldCharType="end"/>
    </w:r>
  </w:p>
  <w:p w14:paraId="348ABAA4" w14:textId="77777777" w:rsidR="00000000" w:rsidRDefault="000000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DFBEE" w14:textId="77777777" w:rsidR="00000000" w:rsidRDefault="00000000">
    <w:pPr>
      <w:pStyle w:val="a9"/>
      <w:jc w:val="center"/>
    </w:pPr>
    <w:r>
      <w:fldChar w:fldCharType="begin"/>
    </w:r>
    <w:r>
      <w:instrText xml:space="preserve"> PAGE   \* MERGEFORMAT </w:instrText>
    </w:r>
    <w:r>
      <w:fldChar w:fldCharType="separate"/>
    </w:r>
    <w:r>
      <w:rPr>
        <w:lang w:val="zh-CN"/>
      </w:rPr>
      <w:t>8</w:t>
    </w:r>
    <w:r>
      <w:rPr>
        <w:lang w:val="zh-CN"/>
      </w:rPr>
      <w:fldChar w:fldCharType="end"/>
    </w:r>
  </w:p>
  <w:p w14:paraId="7D36E294" w14:textId="77777777" w:rsidR="00000000" w:rsidRDefault="00000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05CF8" w14:textId="77777777" w:rsidR="00A054F6" w:rsidRDefault="00A054F6">
      <w:r>
        <w:separator/>
      </w:r>
    </w:p>
  </w:footnote>
  <w:footnote w:type="continuationSeparator" w:id="0">
    <w:p w14:paraId="79D6B213" w14:textId="77777777" w:rsidR="00A054F6" w:rsidRDefault="00A05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B5F88"/>
    <w:multiLevelType w:val="multilevel"/>
    <w:tmpl w:val="25EB5F88"/>
    <w:lvl w:ilvl="0">
      <w:start w:val="1"/>
      <w:numFmt w:val="japaneseCounting"/>
      <w:lvlText w:val="%1、"/>
      <w:lvlJc w:val="left"/>
      <w:pPr>
        <w:ind w:left="3128" w:hanging="576"/>
      </w:pPr>
      <w:rPr>
        <w:rFonts w:hint="default"/>
      </w:rPr>
    </w:lvl>
    <w:lvl w:ilvl="1">
      <w:start w:val="1"/>
      <w:numFmt w:val="lowerLetter"/>
      <w:lvlText w:val="%2)"/>
      <w:lvlJc w:val="left"/>
      <w:pPr>
        <w:ind w:left="3392" w:hanging="420"/>
      </w:pPr>
    </w:lvl>
    <w:lvl w:ilvl="2">
      <w:start w:val="1"/>
      <w:numFmt w:val="lowerRoman"/>
      <w:lvlText w:val="%3."/>
      <w:lvlJc w:val="right"/>
      <w:pPr>
        <w:ind w:left="3812" w:hanging="420"/>
      </w:pPr>
    </w:lvl>
    <w:lvl w:ilvl="3">
      <w:start w:val="1"/>
      <w:numFmt w:val="decimal"/>
      <w:lvlText w:val="%4."/>
      <w:lvlJc w:val="left"/>
      <w:pPr>
        <w:ind w:left="4232" w:hanging="420"/>
      </w:pPr>
    </w:lvl>
    <w:lvl w:ilvl="4">
      <w:start w:val="1"/>
      <w:numFmt w:val="lowerLetter"/>
      <w:lvlText w:val="%5)"/>
      <w:lvlJc w:val="left"/>
      <w:pPr>
        <w:ind w:left="4652" w:hanging="420"/>
      </w:pPr>
    </w:lvl>
    <w:lvl w:ilvl="5">
      <w:start w:val="1"/>
      <w:numFmt w:val="lowerRoman"/>
      <w:lvlText w:val="%6."/>
      <w:lvlJc w:val="right"/>
      <w:pPr>
        <w:ind w:left="5072" w:hanging="420"/>
      </w:pPr>
    </w:lvl>
    <w:lvl w:ilvl="6">
      <w:start w:val="1"/>
      <w:numFmt w:val="decimal"/>
      <w:lvlText w:val="%7."/>
      <w:lvlJc w:val="left"/>
      <w:pPr>
        <w:ind w:left="5492" w:hanging="420"/>
      </w:pPr>
    </w:lvl>
    <w:lvl w:ilvl="7">
      <w:start w:val="1"/>
      <w:numFmt w:val="lowerLetter"/>
      <w:lvlText w:val="%8)"/>
      <w:lvlJc w:val="left"/>
      <w:pPr>
        <w:ind w:left="5912" w:hanging="420"/>
      </w:pPr>
    </w:lvl>
    <w:lvl w:ilvl="8">
      <w:start w:val="1"/>
      <w:numFmt w:val="lowerRoman"/>
      <w:lvlText w:val="%9."/>
      <w:lvlJc w:val="right"/>
      <w:pPr>
        <w:ind w:left="6332" w:hanging="420"/>
      </w:pPr>
    </w:lvl>
  </w:abstractNum>
  <w:abstractNum w:abstractNumId="1" w15:restartNumberingAfterBreak="0">
    <w:nsid w:val="33CF52EE"/>
    <w:multiLevelType w:val="hybridMultilevel"/>
    <w:tmpl w:val="CFE88034"/>
    <w:lvl w:ilvl="0" w:tplc="CC7C51C8">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16cid:durableId="809521992">
    <w:abstractNumId w:val="0"/>
  </w:num>
  <w:num w:numId="2" w16cid:durableId="1047796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NkMzVhNTA1NWMzZDc0MDk3Nzc1ODUzODEwMDUwODEifQ=="/>
    <w:docVar w:name="EN.InstantFormat" w:val="&lt;ENInstantFormat&gt;&lt;Enabled&gt;1&lt;/Enabled&gt;&lt;ScanUnformatted&gt;1&lt;/ScanUnformatted&gt;&lt;ScanChanges&gt;1&lt;/ScanChanges&gt;&lt;Suspended&gt;0&lt;/Suspended&gt;&lt;/ENInstantFormat&gt;"/>
    <w:docVar w:name="EN.Layout" w:val="&lt;ENLayout&gt;&lt;Style&gt;Chinese Std GBT7714 (numeric)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0xw9a5ksss2bepfpxv2exzapw0pspfxrrs&quot;&gt;发酵TMR小论文&lt;record-ids&gt;&lt;item&gt;228&lt;/item&gt;&lt;/record-ids&gt;&lt;/item&gt;&lt;/Libraries&gt;"/>
  </w:docVars>
  <w:rsids>
    <w:rsidRoot w:val="00416669"/>
    <w:rsid w:val="000155DB"/>
    <w:rsid w:val="00017D16"/>
    <w:rsid w:val="000308A3"/>
    <w:rsid w:val="00032402"/>
    <w:rsid w:val="00036A34"/>
    <w:rsid w:val="000429E1"/>
    <w:rsid w:val="000434FB"/>
    <w:rsid w:val="00044247"/>
    <w:rsid w:val="0004735E"/>
    <w:rsid w:val="00057930"/>
    <w:rsid w:val="000610CF"/>
    <w:rsid w:val="00061E22"/>
    <w:rsid w:val="00076D67"/>
    <w:rsid w:val="0008074C"/>
    <w:rsid w:val="000B474F"/>
    <w:rsid w:val="000E0375"/>
    <w:rsid w:val="000F7801"/>
    <w:rsid w:val="00112EE8"/>
    <w:rsid w:val="00113F8F"/>
    <w:rsid w:val="001155D9"/>
    <w:rsid w:val="0012627C"/>
    <w:rsid w:val="00126374"/>
    <w:rsid w:val="0013098F"/>
    <w:rsid w:val="001372F7"/>
    <w:rsid w:val="00137BD4"/>
    <w:rsid w:val="00140742"/>
    <w:rsid w:val="00147E5E"/>
    <w:rsid w:val="001650ED"/>
    <w:rsid w:val="00173D9B"/>
    <w:rsid w:val="0017441B"/>
    <w:rsid w:val="001877A5"/>
    <w:rsid w:val="001A3DFC"/>
    <w:rsid w:val="001A3E3C"/>
    <w:rsid w:val="001A6550"/>
    <w:rsid w:val="001D0503"/>
    <w:rsid w:val="001E428B"/>
    <w:rsid w:val="001E72A2"/>
    <w:rsid w:val="001F1BFE"/>
    <w:rsid w:val="001F5979"/>
    <w:rsid w:val="001F6496"/>
    <w:rsid w:val="00230B2D"/>
    <w:rsid w:val="002313E0"/>
    <w:rsid w:val="00231604"/>
    <w:rsid w:val="00232FFF"/>
    <w:rsid w:val="00237F30"/>
    <w:rsid w:val="00240E83"/>
    <w:rsid w:val="00246C40"/>
    <w:rsid w:val="002538BD"/>
    <w:rsid w:val="00255BC8"/>
    <w:rsid w:val="00256EDA"/>
    <w:rsid w:val="00257083"/>
    <w:rsid w:val="00257498"/>
    <w:rsid w:val="002574A2"/>
    <w:rsid w:val="00264E4C"/>
    <w:rsid w:val="00266508"/>
    <w:rsid w:val="002679DB"/>
    <w:rsid w:val="002A2BE5"/>
    <w:rsid w:val="002A38D8"/>
    <w:rsid w:val="002B5E17"/>
    <w:rsid w:val="002C3275"/>
    <w:rsid w:val="002C5FEC"/>
    <w:rsid w:val="002D17E1"/>
    <w:rsid w:val="002D653D"/>
    <w:rsid w:val="002E35C6"/>
    <w:rsid w:val="002F1A92"/>
    <w:rsid w:val="002F773B"/>
    <w:rsid w:val="002F78D3"/>
    <w:rsid w:val="00301EF9"/>
    <w:rsid w:val="00315468"/>
    <w:rsid w:val="00324544"/>
    <w:rsid w:val="0033768E"/>
    <w:rsid w:val="00353076"/>
    <w:rsid w:val="00355292"/>
    <w:rsid w:val="00357EA9"/>
    <w:rsid w:val="003616FA"/>
    <w:rsid w:val="0036445F"/>
    <w:rsid w:val="003647ED"/>
    <w:rsid w:val="00371521"/>
    <w:rsid w:val="00377593"/>
    <w:rsid w:val="00384379"/>
    <w:rsid w:val="00395E51"/>
    <w:rsid w:val="00397219"/>
    <w:rsid w:val="003A467C"/>
    <w:rsid w:val="003A7FFA"/>
    <w:rsid w:val="003B4101"/>
    <w:rsid w:val="003B4925"/>
    <w:rsid w:val="003C0E69"/>
    <w:rsid w:val="003D5430"/>
    <w:rsid w:val="003E41F0"/>
    <w:rsid w:val="004008BE"/>
    <w:rsid w:val="00401F02"/>
    <w:rsid w:val="00403501"/>
    <w:rsid w:val="0041174A"/>
    <w:rsid w:val="00412FA3"/>
    <w:rsid w:val="00416243"/>
    <w:rsid w:val="00416669"/>
    <w:rsid w:val="004262B4"/>
    <w:rsid w:val="00434FDA"/>
    <w:rsid w:val="0043644F"/>
    <w:rsid w:val="004369B7"/>
    <w:rsid w:val="00441546"/>
    <w:rsid w:val="00441DDE"/>
    <w:rsid w:val="00443A22"/>
    <w:rsid w:val="0045024A"/>
    <w:rsid w:val="004558C5"/>
    <w:rsid w:val="0048331E"/>
    <w:rsid w:val="00487AD2"/>
    <w:rsid w:val="00487FAD"/>
    <w:rsid w:val="004A3AE7"/>
    <w:rsid w:val="004A4D6E"/>
    <w:rsid w:val="004B6B44"/>
    <w:rsid w:val="004C3612"/>
    <w:rsid w:val="004C40C4"/>
    <w:rsid w:val="004C500C"/>
    <w:rsid w:val="004C7768"/>
    <w:rsid w:val="004D3A8C"/>
    <w:rsid w:val="004D7696"/>
    <w:rsid w:val="004E670F"/>
    <w:rsid w:val="004F338A"/>
    <w:rsid w:val="004F7B86"/>
    <w:rsid w:val="00503FBF"/>
    <w:rsid w:val="00527ABD"/>
    <w:rsid w:val="00530419"/>
    <w:rsid w:val="00532D0E"/>
    <w:rsid w:val="0055067B"/>
    <w:rsid w:val="0055090C"/>
    <w:rsid w:val="005573B1"/>
    <w:rsid w:val="00564B6D"/>
    <w:rsid w:val="00571127"/>
    <w:rsid w:val="00571E77"/>
    <w:rsid w:val="0057251D"/>
    <w:rsid w:val="00572906"/>
    <w:rsid w:val="00576CFC"/>
    <w:rsid w:val="005850C6"/>
    <w:rsid w:val="00594619"/>
    <w:rsid w:val="00595AF8"/>
    <w:rsid w:val="0059745A"/>
    <w:rsid w:val="00597601"/>
    <w:rsid w:val="005A3DE9"/>
    <w:rsid w:val="005B3678"/>
    <w:rsid w:val="005C1DB7"/>
    <w:rsid w:val="005C3740"/>
    <w:rsid w:val="005D70F9"/>
    <w:rsid w:val="005E25C4"/>
    <w:rsid w:val="005F21F2"/>
    <w:rsid w:val="005F7967"/>
    <w:rsid w:val="006136A1"/>
    <w:rsid w:val="00613B1E"/>
    <w:rsid w:val="00617DE2"/>
    <w:rsid w:val="00617E82"/>
    <w:rsid w:val="006237C9"/>
    <w:rsid w:val="006274F4"/>
    <w:rsid w:val="006359DA"/>
    <w:rsid w:val="00642959"/>
    <w:rsid w:val="00644454"/>
    <w:rsid w:val="0064625B"/>
    <w:rsid w:val="00647006"/>
    <w:rsid w:val="006615F3"/>
    <w:rsid w:val="00662C30"/>
    <w:rsid w:val="00673243"/>
    <w:rsid w:val="00676D14"/>
    <w:rsid w:val="00677237"/>
    <w:rsid w:val="006801B7"/>
    <w:rsid w:val="006876D1"/>
    <w:rsid w:val="00692CFC"/>
    <w:rsid w:val="006A1F6A"/>
    <w:rsid w:val="006C0880"/>
    <w:rsid w:val="006C11CD"/>
    <w:rsid w:val="006C52CD"/>
    <w:rsid w:val="006D3074"/>
    <w:rsid w:val="006D5BF9"/>
    <w:rsid w:val="006E08FA"/>
    <w:rsid w:val="006E0E00"/>
    <w:rsid w:val="006E4C06"/>
    <w:rsid w:val="006F1DD4"/>
    <w:rsid w:val="006F3702"/>
    <w:rsid w:val="006F740A"/>
    <w:rsid w:val="00701F8B"/>
    <w:rsid w:val="007038ED"/>
    <w:rsid w:val="00706039"/>
    <w:rsid w:val="007227A4"/>
    <w:rsid w:val="00722A10"/>
    <w:rsid w:val="00732883"/>
    <w:rsid w:val="007356A0"/>
    <w:rsid w:val="007508FD"/>
    <w:rsid w:val="0075399B"/>
    <w:rsid w:val="00757F83"/>
    <w:rsid w:val="007665CB"/>
    <w:rsid w:val="00777351"/>
    <w:rsid w:val="00792549"/>
    <w:rsid w:val="00793A3A"/>
    <w:rsid w:val="007A1632"/>
    <w:rsid w:val="007A1885"/>
    <w:rsid w:val="007A2731"/>
    <w:rsid w:val="007B11B3"/>
    <w:rsid w:val="007B6620"/>
    <w:rsid w:val="007B75B7"/>
    <w:rsid w:val="007C4CB1"/>
    <w:rsid w:val="007D1E41"/>
    <w:rsid w:val="007E63DA"/>
    <w:rsid w:val="007F0C38"/>
    <w:rsid w:val="007F5CB8"/>
    <w:rsid w:val="007F7B8C"/>
    <w:rsid w:val="008114DA"/>
    <w:rsid w:val="008127BC"/>
    <w:rsid w:val="00814B61"/>
    <w:rsid w:val="008242BD"/>
    <w:rsid w:val="0082475F"/>
    <w:rsid w:val="00827333"/>
    <w:rsid w:val="00835A6F"/>
    <w:rsid w:val="00836F37"/>
    <w:rsid w:val="00837F17"/>
    <w:rsid w:val="0084113C"/>
    <w:rsid w:val="00847886"/>
    <w:rsid w:val="00847A63"/>
    <w:rsid w:val="008535A7"/>
    <w:rsid w:val="00860918"/>
    <w:rsid w:val="0086421E"/>
    <w:rsid w:val="0086606A"/>
    <w:rsid w:val="008678ED"/>
    <w:rsid w:val="00873984"/>
    <w:rsid w:val="0088082F"/>
    <w:rsid w:val="008961C2"/>
    <w:rsid w:val="008962BA"/>
    <w:rsid w:val="00897E59"/>
    <w:rsid w:val="008A2DD2"/>
    <w:rsid w:val="008A2E71"/>
    <w:rsid w:val="008A3069"/>
    <w:rsid w:val="008A49C3"/>
    <w:rsid w:val="008B3504"/>
    <w:rsid w:val="008B7E15"/>
    <w:rsid w:val="008C3EDA"/>
    <w:rsid w:val="008E5F14"/>
    <w:rsid w:val="008E5F71"/>
    <w:rsid w:val="008E66D9"/>
    <w:rsid w:val="008F08FA"/>
    <w:rsid w:val="008F2E1B"/>
    <w:rsid w:val="008F773A"/>
    <w:rsid w:val="00904055"/>
    <w:rsid w:val="00907DBA"/>
    <w:rsid w:val="00914A4F"/>
    <w:rsid w:val="0091549B"/>
    <w:rsid w:val="009215F0"/>
    <w:rsid w:val="00922670"/>
    <w:rsid w:val="00935406"/>
    <w:rsid w:val="00945B8A"/>
    <w:rsid w:val="0095204F"/>
    <w:rsid w:val="0095404A"/>
    <w:rsid w:val="00973876"/>
    <w:rsid w:val="00980FDD"/>
    <w:rsid w:val="009812CC"/>
    <w:rsid w:val="00986C80"/>
    <w:rsid w:val="009951C7"/>
    <w:rsid w:val="009966C3"/>
    <w:rsid w:val="0099687E"/>
    <w:rsid w:val="009A13B4"/>
    <w:rsid w:val="009A300F"/>
    <w:rsid w:val="009B09CB"/>
    <w:rsid w:val="009C1890"/>
    <w:rsid w:val="009C1E98"/>
    <w:rsid w:val="009E25E4"/>
    <w:rsid w:val="009F110C"/>
    <w:rsid w:val="009F31FF"/>
    <w:rsid w:val="009F64A3"/>
    <w:rsid w:val="00A054F6"/>
    <w:rsid w:val="00A1717E"/>
    <w:rsid w:val="00A21B84"/>
    <w:rsid w:val="00A255CB"/>
    <w:rsid w:val="00A26331"/>
    <w:rsid w:val="00A2746C"/>
    <w:rsid w:val="00A27F7F"/>
    <w:rsid w:val="00A447CB"/>
    <w:rsid w:val="00A44C95"/>
    <w:rsid w:val="00A464AD"/>
    <w:rsid w:val="00A46547"/>
    <w:rsid w:val="00A542B0"/>
    <w:rsid w:val="00A5557B"/>
    <w:rsid w:val="00A56B82"/>
    <w:rsid w:val="00A75672"/>
    <w:rsid w:val="00A8486E"/>
    <w:rsid w:val="00AA2DCB"/>
    <w:rsid w:val="00AA3DF7"/>
    <w:rsid w:val="00AA7CED"/>
    <w:rsid w:val="00AB1FC9"/>
    <w:rsid w:val="00AB4133"/>
    <w:rsid w:val="00AB46A2"/>
    <w:rsid w:val="00AD492B"/>
    <w:rsid w:val="00AD5C1F"/>
    <w:rsid w:val="00AD5E18"/>
    <w:rsid w:val="00AD78F8"/>
    <w:rsid w:val="00AE1937"/>
    <w:rsid w:val="00AE3118"/>
    <w:rsid w:val="00AE3591"/>
    <w:rsid w:val="00AE35CB"/>
    <w:rsid w:val="00AF7E56"/>
    <w:rsid w:val="00B04616"/>
    <w:rsid w:val="00B072C7"/>
    <w:rsid w:val="00B101AB"/>
    <w:rsid w:val="00B27E34"/>
    <w:rsid w:val="00B30B48"/>
    <w:rsid w:val="00B337E6"/>
    <w:rsid w:val="00B34441"/>
    <w:rsid w:val="00B34D79"/>
    <w:rsid w:val="00B35BB0"/>
    <w:rsid w:val="00B36B7A"/>
    <w:rsid w:val="00B438C1"/>
    <w:rsid w:val="00B559A4"/>
    <w:rsid w:val="00B63763"/>
    <w:rsid w:val="00B756D2"/>
    <w:rsid w:val="00B915FB"/>
    <w:rsid w:val="00B92DBA"/>
    <w:rsid w:val="00B97595"/>
    <w:rsid w:val="00BA2455"/>
    <w:rsid w:val="00BA2A59"/>
    <w:rsid w:val="00BA706B"/>
    <w:rsid w:val="00BA7DAE"/>
    <w:rsid w:val="00BB0513"/>
    <w:rsid w:val="00BB71D2"/>
    <w:rsid w:val="00BC0C02"/>
    <w:rsid w:val="00BD1027"/>
    <w:rsid w:val="00BD385F"/>
    <w:rsid w:val="00BD39E2"/>
    <w:rsid w:val="00BD3CA0"/>
    <w:rsid w:val="00BE0B0E"/>
    <w:rsid w:val="00BE3F98"/>
    <w:rsid w:val="00BF1329"/>
    <w:rsid w:val="00BF72F5"/>
    <w:rsid w:val="00BF7605"/>
    <w:rsid w:val="00C04DE6"/>
    <w:rsid w:val="00C0677E"/>
    <w:rsid w:val="00C16421"/>
    <w:rsid w:val="00C22140"/>
    <w:rsid w:val="00C31237"/>
    <w:rsid w:val="00C35D5A"/>
    <w:rsid w:val="00C42D41"/>
    <w:rsid w:val="00C43B8F"/>
    <w:rsid w:val="00C43FAD"/>
    <w:rsid w:val="00C45F48"/>
    <w:rsid w:val="00C474C8"/>
    <w:rsid w:val="00C54D42"/>
    <w:rsid w:val="00C679AC"/>
    <w:rsid w:val="00C758D8"/>
    <w:rsid w:val="00C81D94"/>
    <w:rsid w:val="00C900AE"/>
    <w:rsid w:val="00C9570B"/>
    <w:rsid w:val="00CA1927"/>
    <w:rsid w:val="00CA3AB7"/>
    <w:rsid w:val="00CB619E"/>
    <w:rsid w:val="00CD6231"/>
    <w:rsid w:val="00CE53AB"/>
    <w:rsid w:val="00D00CC8"/>
    <w:rsid w:val="00D22D66"/>
    <w:rsid w:val="00D250E5"/>
    <w:rsid w:val="00D253BE"/>
    <w:rsid w:val="00D26985"/>
    <w:rsid w:val="00D3529E"/>
    <w:rsid w:val="00D46F1D"/>
    <w:rsid w:val="00D53C06"/>
    <w:rsid w:val="00D60D26"/>
    <w:rsid w:val="00D60EB5"/>
    <w:rsid w:val="00D73891"/>
    <w:rsid w:val="00D749ED"/>
    <w:rsid w:val="00D81652"/>
    <w:rsid w:val="00D81CB9"/>
    <w:rsid w:val="00D90078"/>
    <w:rsid w:val="00D9528D"/>
    <w:rsid w:val="00DA3ED9"/>
    <w:rsid w:val="00DA4986"/>
    <w:rsid w:val="00DC10BE"/>
    <w:rsid w:val="00DD550E"/>
    <w:rsid w:val="00DD56EA"/>
    <w:rsid w:val="00DD694C"/>
    <w:rsid w:val="00DF0229"/>
    <w:rsid w:val="00DF3DAB"/>
    <w:rsid w:val="00DF4E14"/>
    <w:rsid w:val="00DF666A"/>
    <w:rsid w:val="00DF6EA3"/>
    <w:rsid w:val="00DF7946"/>
    <w:rsid w:val="00E1686F"/>
    <w:rsid w:val="00E33DCF"/>
    <w:rsid w:val="00E373AD"/>
    <w:rsid w:val="00E4036C"/>
    <w:rsid w:val="00E418B3"/>
    <w:rsid w:val="00E52D55"/>
    <w:rsid w:val="00E56FB6"/>
    <w:rsid w:val="00E57815"/>
    <w:rsid w:val="00E62DD5"/>
    <w:rsid w:val="00E8551F"/>
    <w:rsid w:val="00E923DA"/>
    <w:rsid w:val="00E93DBA"/>
    <w:rsid w:val="00E9519E"/>
    <w:rsid w:val="00E96678"/>
    <w:rsid w:val="00E967AE"/>
    <w:rsid w:val="00EB7CF2"/>
    <w:rsid w:val="00EE1047"/>
    <w:rsid w:val="00EF0176"/>
    <w:rsid w:val="00EF4463"/>
    <w:rsid w:val="00F10D01"/>
    <w:rsid w:val="00F143A4"/>
    <w:rsid w:val="00F21D5B"/>
    <w:rsid w:val="00F2339E"/>
    <w:rsid w:val="00F266DE"/>
    <w:rsid w:val="00F33865"/>
    <w:rsid w:val="00F4018F"/>
    <w:rsid w:val="00F46585"/>
    <w:rsid w:val="00F465B9"/>
    <w:rsid w:val="00F50FA6"/>
    <w:rsid w:val="00F62E99"/>
    <w:rsid w:val="00F65A3A"/>
    <w:rsid w:val="00F70A79"/>
    <w:rsid w:val="00F73820"/>
    <w:rsid w:val="00F75167"/>
    <w:rsid w:val="00F765AB"/>
    <w:rsid w:val="00F810F1"/>
    <w:rsid w:val="00F85661"/>
    <w:rsid w:val="00F938C1"/>
    <w:rsid w:val="00FA3307"/>
    <w:rsid w:val="00FB5B64"/>
    <w:rsid w:val="00FC2299"/>
    <w:rsid w:val="00FC7766"/>
    <w:rsid w:val="00FD2844"/>
    <w:rsid w:val="00FD4EFA"/>
    <w:rsid w:val="00FD55D6"/>
    <w:rsid w:val="00FD6815"/>
    <w:rsid w:val="00FD6B91"/>
    <w:rsid w:val="00FE01AF"/>
    <w:rsid w:val="00FE6C94"/>
    <w:rsid w:val="00FF48BF"/>
    <w:rsid w:val="00FF5684"/>
    <w:rsid w:val="01885582"/>
    <w:rsid w:val="02D3570F"/>
    <w:rsid w:val="035769A3"/>
    <w:rsid w:val="040D0C24"/>
    <w:rsid w:val="0A0E7F26"/>
    <w:rsid w:val="166F5222"/>
    <w:rsid w:val="1E711A49"/>
    <w:rsid w:val="20A67D62"/>
    <w:rsid w:val="2AA17567"/>
    <w:rsid w:val="2C8376D8"/>
    <w:rsid w:val="30A071CD"/>
    <w:rsid w:val="3100387E"/>
    <w:rsid w:val="32F41833"/>
    <w:rsid w:val="35D66C79"/>
    <w:rsid w:val="363F0E23"/>
    <w:rsid w:val="366F04F9"/>
    <w:rsid w:val="391F59BB"/>
    <w:rsid w:val="39707CB8"/>
    <w:rsid w:val="3EF33504"/>
    <w:rsid w:val="43712A92"/>
    <w:rsid w:val="482C3F1D"/>
    <w:rsid w:val="4AD420FB"/>
    <w:rsid w:val="4D9E3FA3"/>
    <w:rsid w:val="52BD4306"/>
    <w:rsid w:val="52C935E2"/>
    <w:rsid w:val="5420452F"/>
    <w:rsid w:val="560D45D3"/>
    <w:rsid w:val="5BC14BBB"/>
    <w:rsid w:val="5C9D7268"/>
    <w:rsid w:val="5F97769F"/>
    <w:rsid w:val="615A37DE"/>
    <w:rsid w:val="63B36E26"/>
    <w:rsid w:val="64B659E6"/>
    <w:rsid w:val="66AA38F8"/>
    <w:rsid w:val="694960C1"/>
    <w:rsid w:val="69F152C0"/>
    <w:rsid w:val="6F9E5BF8"/>
    <w:rsid w:val="73CE5A0F"/>
    <w:rsid w:val="77785FC7"/>
    <w:rsid w:val="78EC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28FB1"/>
  <w15:chartTrackingRefBased/>
  <w15:docId w15:val="{007094C8-AE38-4EFE-9C0B-69CADA72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rsid w:val="00264E4C"/>
    <w:pPr>
      <w:keepNext/>
      <w:keepLines/>
      <w:spacing w:before="240" w:after="240" w:line="360" w:lineRule="auto"/>
      <w:outlineLvl w:val="0"/>
    </w:pPr>
    <w:rPr>
      <w:b/>
      <w:bCs/>
      <w:kern w:val="44"/>
      <w:sz w:val="28"/>
      <w:szCs w:val="44"/>
    </w:rPr>
  </w:style>
  <w:style w:type="paragraph" w:styleId="2">
    <w:name w:val="heading 2"/>
    <w:basedOn w:val="a"/>
    <w:next w:val="a"/>
    <w:link w:val="20"/>
    <w:uiPriority w:val="9"/>
    <w:qFormat/>
    <w:rsid w:val="00264E4C"/>
    <w:pPr>
      <w:keepNext/>
      <w:keepLines/>
      <w:spacing w:before="240" w:after="240" w:line="360" w:lineRule="auto"/>
      <w:outlineLvl w:val="1"/>
    </w:pPr>
    <w:rPr>
      <w:rFonts w:ascii="等线 Light" w:eastAsia="黑体" w:hAnsi="等线 Light"/>
      <w:bCs/>
      <w:sz w:val="24"/>
      <w:szCs w:val="32"/>
    </w:rPr>
  </w:style>
  <w:style w:type="paragraph" w:styleId="3">
    <w:name w:val="heading 3"/>
    <w:basedOn w:val="a"/>
    <w:next w:val="a"/>
    <w:link w:val="30"/>
    <w:uiPriority w:val="9"/>
    <w:unhideWhenUsed/>
    <w:qFormat/>
    <w:rsid w:val="00264E4C"/>
    <w:pPr>
      <w:keepNext/>
      <w:keepLines/>
      <w:spacing w:line="360" w:lineRule="auto"/>
      <w:outlineLvl w:val="2"/>
    </w:pPr>
    <w:rPr>
      <w:b/>
      <w:bCs/>
      <w:sz w:val="24"/>
      <w:szCs w:val="3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sid w:val="00264E4C"/>
    <w:rPr>
      <w:rFonts w:ascii="等线 Light" w:eastAsia="黑体" w:hAnsi="等线 Light"/>
      <w:bCs/>
      <w:kern w:val="2"/>
      <w:sz w:val="24"/>
      <w:szCs w:val="32"/>
    </w:rPr>
  </w:style>
  <w:style w:type="paragraph" w:styleId="a3">
    <w:name w:val="caption"/>
    <w:basedOn w:val="a"/>
    <w:next w:val="a"/>
    <w:qFormat/>
    <w:rPr>
      <w:rFonts w:ascii="等线 Light" w:eastAsia="黑体" w:hAnsi="等线 Light"/>
      <w:sz w:val="20"/>
      <w:szCs w:val="20"/>
    </w:rPr>
  </w:style>
  <w:style w:type="paragraph" w:styleId="a4">
    <w:name w:val="Plain Text"/>
    <w:basedOn w:val="a"/>
    <w:uiPriority w:val="99"/>
    <w:qFormat/>
    <w:rPr>
      <w:rFonts w:ascii="宋体" w:hAnsi="Courier New" w:cs="宋体"/>
    </w:rPr>
  </w:style>
  <w:style w:type="paragraph" w:styleId="a5">
    <w:name w:val="Date"/>
    <w:basedOn w:val="a"/>
    <w:next w:val="a"/>
    <w:link w:val="a6"/>
    <w:qFormat/>
    <w:pPr>
      <w:ind w:leftChars="2500" w:left="100"/>
    </w:pPr>
    <w:rPr>
      <w:szCs w:val="24"/>
    </w:rPr>
  </w:style>
  <w:style w:type="character" w:customStyle="1" w:styleId="a6">
    <w:name w:val="日期 字符"/>
    <w:link w:val="a5"/>
    <w:qFormat/>
    <w:rPr>
      <w:rFonts w:ascii="Times New Roman" w:eastAsia="宋体" w:hAnsi="Times New Roman" w:cs="Times New Roman"/>
      <w:kern w:val="2"/>
      <w:sz w:val="21"/>
      <w:szCs w:val="24"/>
    </w:rPr>
  </w:style>
  <w:style w:type="paragraph" w:styleId="a7">
    <w:name w:val="Balloon Text"/>
    <w:basedOn w:val="a"/>
    <w:link w:val="a8"/>
    <w:unhideWhenUsed/>
    <w:qFormat/>
    <w:rPr>
      <w:sz w:val="18"/>
      <w:szCs w:val="18"/>
    </w:rPr>
  </w:style>
  <w:style w:type="character" w:customStyle="1" w:styleId="a8">
    <w:name w:val="批注框文本 字符"/>
    <w:link w:val="a7"/>
    <w:uiPriority w:val="99"/>
    <w:semiHidden/>
    <w:qFormat/>
    <w:rPr>
      <w:rFonts w:ascii="Times New Roman" w:eastAsia="宋体" w:hAnsi="Times New Roman" w:cs="Times New Roman"/>
      <w:kern w:val="2"/>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character" w:customStyle="1" w:styleId="aa">
    <w:name w:val="页脚 字符"/>
    <w:link w:val="a9"/>
    <w:uiPriority w:val="99"/>
    <w:qFormat/>
    <w:rPr>
      <w:rFonts w:ascii="Times New Roman" w:eastAsia="宋体" w:hAnsi="Times New Roman" w:cs="Times New Roman"/>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qFormat/>
    <w:rPr>
      <w:rFonts w:ascii="Times New Roman" w:eastAsia="宋体" w:hAnsi="Times New Roman" w:cs="Times New Roman"/>
      <w:sz w:val="18"/>
      <w:szCs w:val="18"/>
    </w:rPr>
  </w:style>
  <w:style w:type="character" w:styleId="ad">
    <w:name w:val="Strong"/>
    <w:qFormat/>
    <w:rPr>
      <w:b/>
    </w:rPr>
  </w:style>
  <w:style w:type="character" w:styleId="ae">
    <w:name w:val="page number"/>
    <w:qFormat/>
  </w:style>
  <w:style w:type="character" w:styleId="af">
    <w:name w:val="Hyperlink"/>
    <w:uiPriority w:val="99"/>
    <w:unhideWhenUsed/>
    <w:qFormat/>
    <w:rPr>
      <w:color w:val="0563C1"/>
      <w:u w:val="single"/>
    </w:rPr>
  </w:style>
  <w:style w:type="character" w:customStyle="1" w:styleId="fontstyle01">
    <w:name w:val="fontstyle01"/>
    <w:qFormat/>
    <w:rPr>
      <w:rFonts w:ascii="黑体" w:eastAsia="黑体" w:hAnsi="黑体" w:hint="eastAsia"/>
      <w:color w:val="000000"/>
      <w:sz w:val="32"/>
      <w:szCs w:val="32"/>
    </w:rPr>
  </w:style>
  <w:style w:type="character" w:customStyle="1" w:styleId="11">
    <w:name w:val="未处理的提及1"/>
    <w:uiPriority w:val="99"/>
    <w:unhideWhenUsed/>
    <w:qFormat/>
    <w:rPr>
      <w:color w:val="605E5C"/>
      <w:shd w:val="clear" w:color="auto" w:fill="E1DFDD"/>
    </w:rPr>
  </w:style>
  <w:style w:type="character" w:customStyle="1" w:styleId="Char">
    <w:name w:val="段 Char"/>
    <w:link w:val="af0"/>
    <w:qFormat/>
    <w:rPr>
      <w:rFonts w:ascii="宋体" w:eastAsia="宋体" w:hAnsi="Times New Roman" w:cs="Times New Roman"/>
      <w:kern w:val="0"/>
      <w:szCs w:val="20"/>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fontstyle11">
    <w:name w:val="fontstyle11"/>
    <w:qFormat/>
    <w:rPr>
      <w:rFonts w:ascii="TimesNewRomanPSMT" w:hAnsi="TimesNewRomanPSMT" w:hint="default"/>
      <w:color w:val="000000"/>
      <w:sz w:val="22"/>
      <w:szCs w:val="22"/>
    </w:rPr>
  </w:style>
  <w:style w:type="character" w:customStyle="1" w:styleId="apple-style-span">
    <w:name w:val="apple-style-span"/>
    <w:semiHidden/>
    <w:qFormat/>
  </w:style>
  <w:style w:type="paragraph" w:styleId="af1">
    <w:name w:val="List Paragraph"/>
    <w:basedOn w:val="a"/>
    <w:uiPriority w:val="34"/>
    <w:qFormat/>
    <w:pPr>
      <w:ind w:firstLineChars="200" w:firstLine="420"/>
    </w:pPr>
  </w:style>
  <w:style w:type="paragraph" w:customStyle="1" w:styleId="Char1CharCharCharCharCharCharCharCharChar">
    <w:name w:val="Char1 Char Char Char Char Char Char Char Char Char"/>
    <w:basedOn w:val="a"/>
    <w:qFormat/>
    <w:pPr>
      <w:spacing w:line="360" w:lineRule="auto"/>
    </w:pPr>
    <w:rPr>
      <w:rFonts w:ascii="Tahoma" w:hAnsi="Tahoma"/>
      <w:sz w:val="24"/>
      <w:szCs w:val="20"/>
    </w:rPr>
  </w:style>
  <w:style w:type="paragraph" w:customStyle="1" w:styleId="af2">
    <w:name w:val="图标标题"/>
    <w:basedOn w:val="a3"/>
    <w:qFormat/>
    <w:pPr>
      <w:jc w:val="center"/>
    </w:pPr>
    <w:rPr>
      <w:sz w:val="21"/>
    </w:rPr>
  </w:style>
  <w:style w:type="paragraph" w:styleId="af3">
    <w:name w:val="Revision"/>
    <w:uiPriority w:val="99"/>
    <w:unhideWhenUsed/>
    <w:rPr>
      <w:kern w:val="2"/>
      <w:sz w:val="21"/>
      <w:szCs w:val="21"/>
    </w:rPr>
  </w:style>
  <w:style w:type="paragraph" w:customStyle="1" w:styleId="EndNoteBibliography">
    <w:name w:val="EndNote Bibliography"/>
    <w:basedOn w:val="a"/>
    <w:link w:val="EndNoteBibliography0"/>
    <w:qFormat/>
    <w:rPr>
      <w:rFonts w:eastAsia="等线"/>
      <w:sz w:val="20"/>
      <w:szCs w:val="22"/>
    </w:rPr>
  </w:style>
  <w:style w:type="character" w:customStyle="1" w:styleId="EndNoteBibliography0">
    <w:name w:val="EndNote Bibliography 字符"/>
    <w:link w:val="EndNoteBibliography"/>
    <w:qFormat/>
    <w:rPr>
      <w:rFonts w:eastAsia="等线"/>
      <w:kern w:val="2"/>
      <w:szCs w:val="22"/>
    </w:rPr>
  </w:style>
  <w:style w:type="paragraph" w:customStyle="1" w:styleId="EndNoteBibliographyTitle">
    <w:name w:val="EndNote Bibliography Title"/>
    <w:basedOn w:val="a"/>
    <w:link w:val="EndNoteBibliographyTitle0"/>
    <w:pPr>
      <w:jc w:val="center"/>
    </w:pPr>
    <w:rPr>
      <w:sz w:val="20"/>
      <w:lang w:val="en-US" w:eastAsia="zh-CN"/>
    </w:rPr>
  </w:style>
  <w:style w:type="character" w:customStyle="1" w:styleId="EndNoteBibliographyTitle0">
    <w:name w:val="EndNote Bibliography Title 字符"/>
    <w:link w:val="EndNoteBibliographyTitle"/>
    <w:rPr>
      <w:kern w:val="2"/>
      <w:szCs w:val="21"/>
      <w:lang w:val="en-US" w:eastAsia="zh-CN"/>
    </w:rPr>
  </w:style>
  <w:style w:type="character" w:customStyle="1" w:styleId="10">
    <w:name w:val="标题 1 字符"/>
    <w:link w:val="1"/>
    <w:uiPriority w:val="9"/>
    <w:rsid w:val="00264E4C"/>
    <w:rPr>
      <w:b/>
      <w:bCs/>
      <w:kern w:val="44"/>
      <w:sz w:val="28"/>
      <w:szCs w:val="44"/>
    </w:rPr>
  </w:style>
  <w:style w:type="paragraph" w:styleId="TOC">
    <w:name w:val="TOC Heading"/>
    <w:basedOn w:val="1"/>
    <w:next w:val="a"/>
    <w:uiPriority w:val="39"/>
    <w:unhideWhenUsed/>
    <w:qFormat/>
    <w:rsid w:val="00264E4C"/>
    <w:pPr>
      <w:widowControl/>
      <w:spacing w:after="0" w:line="259" w:lineRule="auto"/>
      <w:jc w:val="left"/>
      <w:outlineLvl w:val="9"/>
    </w:pPr>
    <w:rPr>
      <w:rFonts w:ascii="等线 Light" w:eastAsia="等线 Light" w:hAnsi="等线 Light"/>
      <w:b w:val="0"/>
      <w:bCs w:val="0"/>
      <w:color w:val="2F5496"/>
      <w:kern w:val="0"/>
      <w:sz w:val="32"/>
      <w:szCs w:val="32"/>
    </w:rPr>
  </w:style>
  <w:style w:type="character" w:customStyle="1" w:styleId="30">
    <w:name w:val="标题 3 字符"/>
    <w:link w:val="3"/>
    <w:uiPriority w:val="9"/>
    <w:rsid w:val="00264E4C"/>
    <w:rPr>
      <w:b/>
      <w:bCs/>
      <w:kern w:val="2"/>
      <w:sz w:val="24"/>
      <w:szCs w:val="32"/>
    </w:rPr>
  </w:style>
  <w:style w:type="paragraph" w:styleId="TOC1">
    <w:name w:val="toc 1"/>
    <w:basedOn w:val="a"/>
    <w:next w:val="a"/>
    <w:autoRedefine/>
    <w:uiPriority w:val="39"/>
    <w:unhideWhenUsed/>
    <w:rsid w:val="0086421E"/>
    <w:pPr>
      <w:tabs>
        <w:tab w:val="right" w:leader="dot" w:pos="8538"/>
      </w:tabs>
      <w:spacing w:line="360" w:lineRule="auto"/>
    </w:pPr>
  </w:style>
  <w:style w:type="paragraph" w:styleId="TOC2">
    <w:name w:val="toc 2"/>
    <w:basedOn w:val="a"/>
    <w:next w:val="a"/>
    <w:autoRedefine/>
    <w:uiPriority w:val="39"/>
    <w:unhideWhenUsed/>
    <w:rsid w:val="00264E4C"/>
    <w:pPr>
      <w:ind w:leftChars="200" w:left="420"/>
    </w:pPr>
  </w:style>
  <w:style w:type="paragraph" w:styleId="TOC3">
    <w:name w:val="toc 3"/>
    <w:basedOn w:val="a"/>
    <w:next w:val="a"/>
    <w:autoRedefine/>
    <w:uiPriority w:val="39"/>
    <w:unhideWhenUsed/>
    <w:rsid w:val="00264E4C"/>
    <w:pPr>
      <w:ind w:leftChars="400" w:left="840"/>
    </w:pPr>
  </w:style>
  <w:style w:type="paragraph" w:customStyle="1" w:styleId="CharCharCharCharCharCharCharCharChar">
    <w:name w:val="Char Char Char Char Char Char Char Char Char"/>
    <w:basedOn w:val="a"/>
    <w:autoRedefine/>
    <w:locked/>
    <w:rsid w:val="0086421E"/>
    <w:pPr>
      <w:widowControl/>
      <w:spacing w:after="160" w:line="240" w:lineRule="exact"/>
      <w:jc w:val="left"/>
    </w:pPr>
    <w:rPr>
      <w:rFonts w:ascii="Verdana" w:eastAsia="仿宋_GB2312" w:hAnsi="Verdana" w:cs="Verdana"/>
      <w:kern w:val="0"/>
      <w:sz w:val="24"/>
      <w:szCs w:val="24"/>
      <w:lang w:eastAsia="en-US"/>
    </w:rPr>
  </w:style>
  <w:style w:type="paragraph" w:styleId="af4">
    <w:name w:val="Body Text"/>
    <w:basedOn w:val="a"/>
    <w:link w:val="af5"/>
    <w:rsid w:val="0086421E"/>
    <w:rPr>
      <w:sz w:val="28"/>
      <w:szCs w:val="24"/>
    </w:rPr>
  </w:style>
  <w:style w:type="character" w:customStyle="1" w:styleId="af5">
    <w:name w:val="正文文本 字符"/>
    <w:basedOn w:val="a0"/>
    <w:link w:val="af4"/>
    <w:rsid w:val="0086421E"/>
    <w:rPr>
      <w:kern w:val="2"/>
      <w:sz w:val="28"/>
      <w:szCs w:val="24"/>
    </w:rPr>
  </w:style>
  <w:style w:type="paragraph" w:customStyle="1" w:styleId="ListParagraph">
    <w:name w:val="List Paragraph"/>
    <w:basedOn w:val="a"/>
    <w:rsid w:val="0086421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FD8C-1850-47D2-BE5D-0813EAA0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613</Words>
  <Characters>3495</Characters>
  <Application>Microsoft Office Word</Application>
  <DocSecurity>0</DocSecurity>
  <Lines>29</Lines>
  <Paragraphs>8</Paragraphs>
  <ScaleCrop>false</ScaleCrop>
  <Company>Lenovo</Company>
  <LinksUpToDate>false</LinksUpToDate>
  <CharactersWithSpaces>4100</CharactersWithSpaces>
  <SharedDoc>false</SharedDoc>
  <HLinks>
    <vt:vector size="126" baseType="variant">
      <vt:variant>
        <vt:i4>1441846</vt:i4>
      </vt:variant>
      <vt:variant>
        <vt:i4>122</vt:i4>
      </vt:variant>
      <vt:variant>
        <vt:i4>0</vt:i4>
      </vt:variant>
      <vt:variant>
        <vt:i4>5</vt:i4>
      </vt:variant>
      <vt:variant>
        <vt:lpwstr/>
      </vt:variant>
      <vt:variant>
        <vt:lpwstr>_Toc176453410</vt:lpwstr>
      </vt:variant>
      <vt:variant>
        <vt:i4>1507382</vt:i4>
      </vt:variant>
      <vt:variant>
        <vt:i4>116</vt:i4>
      </vt:variant>
      <vt:variant>
        <vt:i4>0</vt:i4>
      </vt:variant>
      <vt:variant>
        <vt:i4>5</vt:i4>
      </vt:variant>
      <vt:variant>
        <vt:lpwstr/>
      </vt:variant>
      <vt:variant>
        <vt:lpwstr>_Toc176453409</vt:lpwstr>
      </vt:variant>
      <vt:variant>
        <vt:i4>1507382</vt:i4>
      </vt:variant>
      <vt:variant>
        <vt:i4>110</vt:i4>
      </vt:variant>
      <vt:variant>
        <vt:i4>0</vt:i4>
      </vt:variant>
      <vt:variant>
        <vt:i4>5</vt:i4>
      </vt:variant>
      <vt:variant>
        <vt:lpwstr/>
      </vt:variant>
      <vt:variant>
        <vt:lpwstr>_Toc176453408</vt:lpwstr>
      </vt:variant>
      <vt:variant>
        <vt:i4>1507382</vt:i4>
      </vt:variant>
      <vt:variant>
        <vt:i4>104</vt:i4>
      </vt:variant>
      <vt:variant>
        <vt:i4>0</vt:i4>
      </vt:variant>
      <vt:variant>
        <vt:i4>5</vt:i4>
      </vt:variant>
      <vt:variant>
        <vt:lpwstr/>
      </vt:variant>
      <vt:variant>
        <vt:lpwstr>_Toc176453407</vt:lpwstr>
      </vt:variant>
      <vt:variant>
        <vt:i4>1507382</vt:i4>
      </vt:variant>
      <vt:variant>
        <vt:i4>98</vt:i4>
      </vt:variant>
      <vt:variant>
        <vt:i4>0</vt:i4>
      </vt:variant>
      <vt:variant>
        <vt:i4>5</vt:i4>
      </vt:variant>
      <vt:variant>
        <vt:lpwstr/>
      </vt:variant>
      <vt:variant>
        <vt:lpwstr>_Toc176453406</vt:lpwstr>
      </vt:variant>
      <vt:variant>
        <vt:i4>1507382</vt:i4>
      </vt:variant>
      <vt:variant>
        <vt:i4>92</vt:i4>
      </vt:variant>
      <vt:variant>
        <vt:i4>0</vt:i4>
      </vt:variant>
      <vt:variant>
        <vt:i4>5</vt:i4>
      </vt:variant>
      <vt:variant>
        <vt:lpwstr/>
      </vt:variant>
      <vt:variant>
        <vt:lpwstr>_Toc176453405</vt:lpwstr>
      </vt:variant>
      <vt:variant>
        <vt:i4>1507382</vt:i4>
      </vt:variant>
      <vt:variant>
        <vt:i4>86</vt:i4>
      </vt:variant>
      <vt:variant>
        <vt:i4>0</vt:i4>
      </vt:variant>
      <vt:variant>
        <vt:i4>5</vt:i4>
      </vt:variant>
      <vt:variant>
        <vt:lpwstr/>
      </vt:variant>
      <vt:variant>
        <vt:lpwstr>_Toc176453404</vt:lpwstr>
      </vt:variant>
      <vt:variant>
        <vt:i4>1507382</vt:i4>
      </vt:variant>
      <vt:variant>
        <vt:i4>80</vt:i4>
      </vt:variant>
      <vt:variant>
        <vt:i4>0</vt:i4>
      </vt:variant>
      <vt:variant>
        <vt:i4>5</vt:i4>
      </vt:variant>
      <vt:variant>
        <vt:lpwstr/>
      </vt:variant>
      <vt:variant>
        <vt:lpwstr>_Toc176453403</vt:lpwstr>
      </vt:variant>
      <vt:variant>
        <vt:i4>1507382</vt:i4>
      </vt:variant>
      <vt:variant>
        <vt:i4>74</vt:i4>
      </vt:variant>
      <vt:variant>
        <vt:i4>0</vt:i4>
      </vt:variant>
      <vt:variant>
        <vt:i4>5</vt:i4>
      </vt:variant>
      <vt:variant>
        <vt:lpwstr/>
      </vt:variant>
      <vt:variant>
        <vt:lpwstr>_Toc176453402</vt:lpwstr>
      </vt:variant>
      <vt:variant>
        <vt:i4>1507382</vt:i4>
      </vt:variant>
      <vt:variant>
        <vt:i4>68</vt:i4>
      </vt:variant>
      <vt:variant>
        <vt:i4>0</vt:i4>
      </vt:variant>
      <vt:variant>
        <vt:i4>5</vt:i4>
      </vt:variant>
      <vt:variant>
        <vt:lpwstr/>
      </vt:variant>
      <vt:variant>
        <vt:lpwstr>_Toc176453401</vt:lpwstr>
      </vt:variant>
      <vt:variant>
        <vt:i4>1507382</vt:i4>
      </vt:variant>
      <vt:variant>
        <vt:i4>62</vt:i4>
      </vt:variant>
      <vt:variant>
        <vt:i4>0</vt:i4>
      </vt:variant>
      <vt:variant>
        <vt:i4>5</vt:i4>
      </vt:variant>
      <vt:variant>
        <vt:lpwstr/>
      </vt:variant>
      <vt:variant>
        <vt:lpwstr>_Toc176453400</vt:lpwstr>
      </vt:variant>
      <vt:variant>
        <vt:i4>1966129</vt:i4>
      </vt:variant>
      <vt:variant>
        <vt:i4>56</vt:i4>
      </vt:variant>
      <vt:variant>
        <vt:i4>0</vt:i4>
      </vt:variant>
      <vt:variant>
        <vt:i4>5</vt:i4>
      </vt:variant>
      <vt:variant>
        <vt:lpwstr/>
      </vt:variant>
      <vt:variant>
        <vt:lpwstr>_Toc176453399</vt:lpwstr>
      </vt:variant>
      <vt:variant>
        <vt:i4>1966129</vt:i4>
      </vt:variant>
      <vt:variant>
        <vt:i4>50</vt:i4>
      </vt:variant>
      <vt:variant>
        <vt:i4>0</vt:i4>
      </vt:variant>
      <vt:variant>
        <vt:i4>5</vt:i4>
      </vt:variant>
      <vt:variant>
        <vt:lpwstr/>
      </vt:variant>
      <vt:variant>
        <vt:lpwstr>_Toc176453398</vt:lpwstr>
      </vt:variant>
      <vt:variant>
        <vt:i4>1966129</vt:i4>
      </vt:variant>
      <vt:variant>
        <vt:i4>44</vt:i4>
      </vt:variant>
      <vt:variant>
        <vt:i4>0</vt:i4>
      </vt:variant>
      <vt:variant>
        <vt:i4>5</vt:i4>
      </vt:variant>
      <vt:variant>
        <vt:lpwstr/>
      </vt:variant>
      <vt:variant>
        <vt:lpwstr>_Toc176453397</vt:lpwstr>
      </vt:variant>
      <vt:variant>
        <vt:i4>1966129</vt:i4>
      </vt:variant>
      <vt:variant>
        <vt:i4>38</vt:i4>
      </vt:variant>
      <vt:variant>
        <vt:i4>0</vt:i4>
      </vt:variant>
      <vt:variant>
        <vt:i4>5</vt:i4>
      </vt:variant>
      <vt:variant>
        <vt:lpwstr/>
      </vt:variant>
      <vt:variant>
        <vt:lpwstr>_Toc176453396</vt:lpwstr>
      </vt:variant>
      <vt:variant>
        <vt:i4>1966129</vt:i4>
      </vt:variant>
      <vt:variant>
        <vt:i4>32</vt:i4>
      </vt:variant>
      <vt:variant>
        <vt:i4>0</vt:i4>
      </vt:variant>
      <vt:variant>
        <vt:i4>5</vt:i4>
      </vt:variant>
      <vt:variant>
        <vt:lpwstr/>
      </vt:variant>
      <vt:variant>
        <vt:lpwstr>_Toc176453395</vt:lpwstr>
      </vt:variant>
      <vt:variant>
        <vt:i4>1966129</vt:i4>
      </vt:variant>
      <vt:variant>
        <vt:i4>26</vt:i4>
      </vt:variant>
      <vt:variant>
        <vt:i4>0</vt:i4>
      </vt:variant>
      <vt:variant>
        <vt:i4>5</vt:i4>
      </vt:variant>
      <vt:variant>
        <vt:lpwstr/>
      </vt:variant>
      <vt:variant>
        <vt:lpwstr>_Toc176453394</vt:lpwstr>
      </vt:variant>
      <vt:variant>
        <vt:i4>1966129</vt:i4>
      </vt:variant>
      <vt:variant>
        <vt:i4>20</vt:i4>
      </vt:variant>
      <vt:variant>
        <vt:i4>0</vt:i4>
      </vt:variant>
      <vt:variant>
        <vt:i4>5</vt:i4>
      </vt:variant>
      <vt:variant>
        <vt:lpwstr/>
      </vt:variant>
      <vt:variant>
        <vt:lpwstr>_Toc176453393</vt:lpwstr>
      </vt:variant>
      <vt:variant>
        <vt:i4>1966129</vt:i4>
      </vt:variant>
      <vt:variant>
        <vt:i4>14</vt:i4>
      </vt:variant>
      <vt:variant>
        <vt:i4>0</vt:i4>
      </vt:variant>
      <vt:variant>
        <vt:i4>5</vt:i4>
      </vt:variant>
      <vt:variant>
        <vt:lpwstr/>
      </vt:variant>
      <vt:variant>
        <vt:lpwstr>_Toc176453392</vt:lpwstr>
      </vt:variant>
      <vt:variant>
        <vt:i4>1966129</vt:i4>
      </vt:variant>
      <vt:variant>
        <vt:i4>8</vt:i4>
      </vt:variant>
      <vt:variant>
        <vt:i4>0</vt:i4>
      </vt:variant>
      <vt:variant>
        <vt:i4>5</vt:i4>
      </vt:variant>
      <vt:variant>
        <vt:lpwstr/>
      </vt:variant>
      <vt:variant>
        <vt:lpwstr>_Toc176453391</vt:lpwstr>
      </vt:variant>
      <vt:variant>
        <vt:i4>1966129</vt:i4>
      </vt:variant>
      <vt:variant>
        <vt:i4>2</vt:i4>
      </vt:variant>
      <vt:variant>
        <vt:i4>0</vt:i4>
      </vt:variant>
      <vt:variant>
        <vt:i4>5</vt:i4>
      </vt:variant>
      <vt:variant>
        <vt:lpwstr/>
      </vt:variant>
      <vt:variant>
        <vt:lpwstr>_Toc176453390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cp:lastModifiedBy>ThinkPad</cp:lastModifiedBy>
  <cp:revision>2</cp:revision>
  <cp:lastPrinted>2021-10-27T07:09:00Z</cp:lastPrinted>
  <dcterms:created xsi:type="dcterms:W3CDTF">2024-09-05T13:39:00Z</dcterms:created>
  <dcterms:modified xsi:type="dcterms:W3CDTF">2024-09-05T13:39:00Z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E53E6B1C3EA740DDBAE84C8C12F76B73_13</vt:lpwstr>
  </property>
</Properties>
</file>