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92C9" w14:textId="77777777" w:rsidR="00D250E5" w:rsidRDefault="00D250E5" w:rsidP="00D250E5">
      <w:pPr>
        <w:spacing w:line="360" w:lineRule="auto"/>
        <w:jc w:val="center"/>
        <w:rPr>
          <w:bCs/>
          <w:color w:val="C00000"/>
          <w:sz w:val="36"/>
          <w:szCs w:val="36"/>
        </w:rPr>
      </w:pPr>
      <w:bookmarkStart w:id="0" w:name="_Hlk528261495"/>
    </w:p>
    <w:p w14:paraId="424F1657" w14:textId="77777777" w:rsidR="00D250E5" w:rsidRDefault="00D250E5" w:rsidP="00D250E5">
      <w:pPr>
        <w:spacing w:line="360" w:lineRule="auto"/>
        <w:jc w:val="center"/>
        <w:rPr>
          <w:bCs/>
          <w:color w:val="C00000"/>
          <w:sz w:val="36"/>
          <w:szCs w:val="36"/>
        </w:rPr>
      </w:pPr>
    </w:p>
    <w:p w14:paraId="6F18E1F7" w14:textId="77777777" w:rsidR="00D250E5" w:rsidRDefault="00D250E5" w:rsidP="00D250E5">
      <w:pPr>
        <w:spacing w:line="360" w:lineRule="auto"/>
        <w:jc w:val="center"/>
        <w:rPr>
          <w:bCs/>
          <w:color w:val="C00000"/>
          <w:sz w:val="48"/>
          <w:szCs w:val="48"/>
        </w:rPr>
      </w:pPr>
    </w:p>
    <w:p w14:paraId="28A1C32F" w14:textId="77777777" w:rsidR="00D250E5" w:rsidRDefault="00D250E5" w:rsidP="00D250E5">
      <w:pPr>
        <w:spacing w:line="360" w:lineRule="auto"/>
        <w:jc w:val="center"/>
        <w:rPr>
          <w:bCs/>
          <w:color w:val="C00000"/>
          <w:sz w:val="48"/>
          <w:szCs w:val="48"/>
        </w:rPr>
      </w:pPr>
    </w:p>
    <w:p w14:paraId="60C99EB1"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31D9C41E" w14:textId="77777777" w:rsidR="00D250E5" w:rsidRPr="00D250E5" w:rsidRDefault="00D250E5" w:rsidP="00D250E5">
      <w:pPr>
        <w:jc w:val="center"/>
        <w:rPr>
          <w:rFonts w:ascii="黑体" w:eastAsia="黑体" w:hAnsi="黑体"/>
          <w:sz w:val="48"/>
          <w:szCs w:val="48"/>
        </w:rPr>
      </w:pPr>
    </w:p>
    <w:p w14:paraId="0DE807A6" w14:textId="5EAD7040" w:rsidR="00242282" w:rsidRPr="00242282" w:rsidRDefault="00242282" w:rsidP="00242282">
      <w:pPr>
        <w:jc w:val="center"/>
        <w:rPr>
          <w:rFonts w:ascii="黑体" w:eastAsia="黑体" w:hAnsi="黑体" w:hint="eastAsia"/>
          <w:sz w:val="44"/>
          <w:szCs w:val="44"/>
        </w:rPr>
      </w:pPr>
      <w:r w:rsidRPr="00D70B6D">
        <w:rPr>
          <w:rFonts w:ascii="黑体" w:eastAsia="黑体" w:hAnsi="黑体" w:hint="eastAsia"/>
          <w:sz w:val="44"/>
          <w:szCs w:val="44"/>
        </w:rPr>
        <w:t>《柠条发酵蛋白饲料加工技术规程》</w:t>
      </w:r>
    </w:p>
    <w:p w14:paraId="28888818"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18D9C4D5" w14:textId="77777777" w:rsidR="00D250E5" w:rsidRDefault="00D250E5" w:rsidP="00D250E5">
      <w:pPr>
        <w:spacing w:line="360" w:lineRule="auto"/>
        <w:jc w:val="center"/>
        <w:rPr>
          <w:bCs/>
          <w:sz w:val="36"/>
          <w:szCs w:val="36"/>
        </w:rPr>
      </w:pPr>
    </w:p>
    <w:p w14:paraId="7560D71F" w14:textId="77777777" w:rsidR="00D250E5" w:rsidRDefault="00D250E5" w:rsidP="00D250E5">
      <w:pPr>
        <w:spacing w:line="360" w:lineRule="auto"/>
        <w:jc w:val="center"/>
        <w:rPr>
          <w:bCs/>
          <w:sz w:val="36"/>
          <w:szCs w:val="36"/>
        </w:rPr>
      </w:pPr>
    </w:p>
    <w:p w14:paraId="1F29C5DC" w14:textId="77777777" w:rsidR="00D250E5" w:rsidRDefault="00D250E5" w:rsidP="00D250E5">
      <w:pPr>
        <w:spacing w:line="360" w:lineRule="auto"/>
        <w:jc w:val="center"/>
        <w:rPr>
          <w:bCs/>
          <w:sz w:val="36"/>
          <w:szCs w:val="36"/>
        </w:rPr>
      </w:pPr>
    </w:p>
    <w:p w14:paraId="20985DAB" w14:textId="77777777" w:rsidR="00D250E5" w:rsidRDefault="00D250E5" w:rsidP="00D250E5">
      <w:pPr>
        <w:spacing w:line="360" w:lineRule="auto"/>
        <w:jc w:val="center"/>
        <w:rPr>
          <w:bCs/>
          <w:sz w:val="36"/>
          <w:szCs w:val="36"/>
        </w:rPr>
      </w:pPr>
    </w:p>
    <w:p w14:paraId="104E2D4F" w14:textId="77777777" w:rsidR="00D250E5" w:rsidRDefault="00D250E5" w:rsidP="00D250E5">
      <w:pPr>
        <w:spacing w:line="360" w:lineRule="auto"/>
        <w:jc w:val="center"/>
        <w:rPr>
          <w:bCs/>
          <w:sz w:val="36"/>
          <w:szCs w:val="36"/>
        </w:rPr>
      </w:pPr>
    </w:p>
    <w:p w14:paraId="222CEE6B" w14:textId="77777777" w:rsidR="00D250E5" w:rsidRDefault="00D250E5" w:rsidP="00D250E5">
      <w:pPr>
        <w:spacing w:line="360" w:lineRule="auto"/>
        <w:jc w:val="center"/>
        <w:rPr>
          <w:bCs/>
          <w:sz w:val="36"/>
          <w:szCs w:val="36"/>
        </w:rPr>
      </w:pPr>
    </w:p>
    <w:p w14:paraId="30C3339F" w14:textId="77777777" w:rsidR="00D250E5" w:rsidRDefault="00D250E5" w:rsidP="00D250E5">
      <w:pPr>
        <w:spacing w:line="360" w:lineRule="auto"/>
        <w:jc w:val="center"/>
        <w:rPr>
          <w:bCs/>
          <w:sz w:val="36"/>
          <w:szCs w:val="36"/>
        </w:rPr>
      </w:pPr>
    </w:p>
    <w:p w14:paraId="4BA02FCE" w14:textId="77777777" w:rsidR="00D250E5" w:rsidRDefault="00D250E5" w:rsidP="00D250E5">
      <w:pPr>
        <w:widowControl/>
        <w:jc w:val="center"/>
        <w:rPr>
          <w:bCs/>
          <w:sz w:val="44"/>
          <w:szCs w:val="44"/>
        </w:rPr>
      </w:pPr>
    </w:p>
    <w:p w14:paraId="5B56D1E5" w14:textId="77777777" w:rsidR="007A2731" w:rsidRPr="00242282" w:rsidRDefault="007A2731" w:rsidP="00242282">
      <w:pPr>
        <w:ind w:leftChars="-67" w:left="-51" w:rightChars="-182" w:right="-382" w:hangingChars="32" w:hanging="90"/>
        <w:jc w:val="center"/>
        <w:rPr>
          <w:rFonts w:ascii="黑体" w:eastAsia="黑体" w:hAnsi="黑体" w:hint="eastAsia"/>
          <w:bCs/>
          <w:sz w:val="28"/>
          <w:szCs w:val="28"/>
        </w:rPr>
      </w:pPr>
    </w:p>
    <w:p w14:paraId="2CBF12C9" w14:textId="4C41FCE5" w:rsidR="00D250E5" w:rsidRPr="005B7C9E" w:rsidRDefault="00242282" w:rsidP="007A2731">
      <w:pPr>
        <w:ind w:leftChars="-67" w:left="-51" w:rightChars="-182" w:right="-382" w:hangingChars="32" w:hanging="90"/>
        <w:jc w:val="center"/>
        <w:rPr>
          <w:rFonts w:ascii="黑体" w:eastAsia="黑体" w:hAnsi="黑体" w:hint="eastAsia"/>
          <w:bCs/>
          <w:sz w:val="28"/>
          <w:szCs w:val="28"/>
        </w:rPr>
      </w:pPr>
      <w:r w:rsidRPr="00242282">
        <w:rPr>
          <w:rFonts w:ascii="黑体" w:eastAsia="黑体" w:hAnsi="黑体" w:hint="eastAsia"/>
          <w:bCs/>
          <w:sz w:val="28"/>
          <w:szCs w:val="28"/>
        </w:rPr>
        <w:t>《柠条发酵蛋白饲料加工技术规程》</w:t>
      </w:r>
      <w:proofErr w:type="gramStart"/>
      <w:r w:rsidR="007A2731" w:rsidRPr="007A2731">
        <w:rPr>
          <w:rFonts w:ascii="黑体" w:eastAsia="黑体" w:hAnsi="黑体" w:hint="eastAsia"/>
          <w:bCs/>
          <w:sz w:val="28"/>
          <w:szCs w:val="28"/>
        </w:rPr>
        <w:t>团标制定</w:t>
      </w:r>
      <w:proofErr w:type="gramEnd"/>
      <w:r w:rsidR="007A2731" w:rsidRPr="007A2731">
        <w:rPr>
          <w:rFonts w:ascii="黑体" w:eastAsia="黑体" w:hAnsi="黑体" w:hint="eastAsia"/>
          <w:bCs/>
          <w:sz w:val="28"/>
          <w:szCs w:val="28"/>
        </w:rPr>
        <w:t>组</w:t>
      </w:r>
    </w:p>
    <w:p w14:paraId="394085A2" w14:textId="77777777"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p>
    <w:bookmarkEnd w:id="0"/>
    <w:p w14:paraId="7B535ECE" w14:textId="77777777" w:rsidR="00264E4C" w:rsidRDefault="00264E4C" w:rsidP="00264E4C">
      <w:pPr>
        <w:pStyle w:val="af1"/>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48690590" w14:textId="77777777" w:rsidR="00264E4C" w:rsidRPr="00264E4C" w:rsidRDefault="00264E4C" w:rsidP="00264E4C">
      <w:pPr>
        <w:pStyle w:val="af1"/>
        <w:spacing w:beforeLines="100" w:before="312" w:afterLines="100" w:after="312" w:line="420" w:lineRule="exact"/>
        <w:ind w:firstLineChars="0"/>
        <w:jc w:val="center"/>
        <w:rPr>
          <w:rFonts w:hint="eastAsia"/>
          <w:b/>
          <w:color w:val="000000"/>
          <w:sz w:val="28"/>
          <w:szCs w:val="28"/>
        </w:rPr>
      </w:pPr>
    </w:p>
    <w:p w14:paraId="7049C95D" w14:textId="13116485" w:rsidR="00242282" w:rsidRPr="00242282" w:rsidRDefault="00264E4C"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r w:rsidRPr="00264E4C">
        <w:rPr>
          <w:sz w:val="24"/>
          <w:szCs w:val="24"/>
        </w:rPr>
        <w:fldChar w:fldCharType="begin"/>
      </w:r>
      <w:r w:rsidRPr="00264E4C">
        <w:rPr>
          <w:sz w:val="24"/>
          <w:szCs w:val="24"/>
        </w:rPr>
        <w:instrText xml:space="preserve"> TOC \o "1-3" \h \z \u </w:instrText>
      </w:r>
      <w:r w:rsidRPr="00264E4C">
        <w:rPr>
          <w:rFonts w:hint="eastAsia"/>
          <w:sz w:val="24"/>
          <w:szCs w:val="24"/>
        </w:rPr>
        <w:fldChar w:fldCharType="separate"/>
      </w:r>
      <w:hyperlink w:anchor="_Toc176463942" w:history="1">
        <w:r w:rsidR="00242282" w:rsidRPr="00242282">
          <w:rPr>
            <w:rStyle w:val="af"/>
            <w:rFonts w:hint="eastAsia"/>
            <w:noProof/>
            <w:sz w:val="24"/>
            <w:szCs w:val="24"/>
          </w:rPr>
          <w:t>一、任务来源与制定背景</w:t>
        </w:r>
        <w:r w:rsidR="00242282" w:rsidRPr="00242282">
          <w:rPr>
            <w:rFonts w:hint="eastAsia"/>
            <w:noProof/>
            <w:webHidden/>
            <w:sz w:val="24"/>
            <w:szCs w:val="24"/>
          </w:rPr>
          <w:tab/>
        </w:r>
        <w:r w:rsidR="00242282" w:rsidRPr="00242282">
          <w:rPr>
            <w:rFonts w:hint="eastAsia"/>
            <w:noProof/>
            <w:webHidden/>
            <w:sz w:val="24"/>
            <w:szCs w:val="24"/>
          </w:rPr>
          <w:fldChar w:fldCharType="begin"/>
        </w:r>
        <w:r w:rsidR="00242282" w:rsidRPr="00242282">
          <w:rPr>
            <w:rFonts w:hint="eastAsia"/>
            <w:noProof/>
            <w:webHidden/>
            <w:sz w:val="24"/>
            <w:szCs w:val="24"/>
          </w:rPr>
          <w:instrText xml:space="preserve"> </w:instrText>
        </w:r>
        <w:r w:rsidR="00242282" w:rsidRPr="00242282">
          <w:rPr>
            <w:noProof/>
            <w:webHidden/>
            <w:sz w:val="24"/>
            <w:szCs w:val="24"/>
          </w:rPr>
          <w:instrText>PAGEREF _Toc176463942 \h</w:instrText>
        </w:r>
        <w:r w:rsidR="00242282" w:rsidRPr="00242282">
          <w:rPr>
            <w:rFonts w:hint="eastAsia"/>
            <w:noProof/>
            <w:webHidden/>
            <w:sz w:val="24"/>
            <w:szCs w:val="24"/>
          </w:rPr>
          <w:instrText xml:space="preserve"> </w:instrText>
        </w:r>
        <w:r w:rsidR="00242282" w:rsidRPr="00242282">
          <w:rPr>
            <w:rFonts w:hint="eastAsia"/>
            <w:noProof/>
            <w:webHidden/>
            <w:sz w:val="24"/>
            <w:szCs w:val="24"/>
          </w:rPr>
        </w:r>
        <w:r w:rsidR="00242282" w:rsidRPr="00242282">
          <w:rPr>
            <w:noProof/>
            <w:webHidden/>
            <w:sz w:val="24"/>
            <w:szCs w:val="24"/>
          </w:rPr>
          <w:fldChar w:fldCharType="separate"/>
        </w:r>
        <w:r w:rsidR="00242282" w:rsidRPr="00242282">
          <w:rPr>
            <w:noProof/>
            <w:webHidden/>
            <w:sz w:val="24"/>
            <w:szCs w:val="24"/>
          </w:rPr>
          <w:t>3</w:t>
        </w:r>
        <w:r w:rsidR="00242282" w:rsidRPr="00242282">
          <w:rPr>
            <w:rFonts w:hint="eastAsia"/>
            <w:noProof/>
            <w:webHidden/>
            <w:sz w:val="24"/>
            <w:szCs w:val="24"/>
          </w:rPr>
          <w:fldChar w:fldCharType="end"/>
        </w:r>
      </w:hyperlink>
    </w:p>
    <w:p w14:paraId="59BEF5BC" w14:textId="0F7A867D" w:rsidR="00242282" w:rsidRPr="00242282" w:rsidRDefault="00242282" w:rsidP="00242282">
      <w:pPr>
        <w:pStyle w:val="TOC2"/>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43" w:history="1">
        <w:r w:rsidRPr="00242282">
          <w:rPr>
            <w:rStyle w:val="af"/>
            <w:rFonts w:hint="eastAsia"/>
            <w:noProof/>
            <w:sz w:val="24"/>
            <w:szCs w:val="24"/>
          </w:rPr>
          <w:t>1</w:t>
        </w:r>
        <w:r w:rsidRPr="00242282">
          <w:rPr>
            <w:rStyle w:val="af"/>
            <w:rFonts w:hint="eastAsia"/>
            <w:noProof/>
            <w:sz w:val="24"/>
            <w:szCs w:val="24"/>
          </w:rPr>
          <w:t>、任务来源</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_Toc176463943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3</w:t>
        </w:r>
        <w:r w:rsidRPr="00242282">
          <w:rPr>
            <w:rFonts w:hint="eastAsia"/>
            <w:noProof/>
            <w:webHidden/>
            <w:sz w:val="24"/>
            <w:szCs w:val="24"/>
          </w:rPr>
          <w:fldChar w:fldCharType="end"/>
        </w:r>
      </w:hyperlink>
    </w:p>
    <w:p w14:paraId="0DE61E5E" w14:textId="08A48427" w:rsidR="00242282" w:rsidRPr="00242282" w:rsidRDefault="00242282" w:rsidP="00242282">
      <w:pPr>
        <w:pStyle w:val="TOC2"/>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44" w:history="1">
        <w:r w:rsidRPr="00242282">
          <w:rPr>
            <w:rStyle w:val="af"/>
            <w:rFonts w:hint="eastAsia"/>
            <w:noProof/>
            <w:sz w:val="24"/>
            <w:szCs w:val="24"/>
          </w:rPr>
          <w:t>2</w:t>
        </w:r>
        <w:r w:rsidRPr="00242282">
          <w:rPr>
            <w:rStyle w:val="af"/>
            <w:rFonts w:hint="eastAsia"/>
            <w:noProof/>
            <w:sz w:val="24"/>
            <w:szCs w:val="24"/>
          </w:rPr>
          <w:t>、标准制定背景</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_Toc176463944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3</w:t>
        </w:r>
        <w:r w:rsidRPr="00242282">
          <w:rPr>
            <w:rFonts w:hint="eastAsia"/>
            <w:noProof/>
            <w:webHidden/>
            <w:sz w:val="24"/>
            <w:szCs w:val="24"/>
          </w:rPr>
          <w:fldChar w:fldCharType="end"/>
        </w:r>
      </w:hyperlink>
    </w:p>
    <w:p w14:paraId="5027B34C" w14:textId="473DBB9E"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45" w:history="1">
        <w:r w:rsidRPr="00242282">
          <w:rPr>
            <w:rStyle w:val="af"/>
            <w:rFonts w:hint="eastAsia"/>
            <w:noProof/>
            <w:sz w:val="24"/>
            <w:szCs w:val="24"/>
          </w:rPr>
          <w:t>二、主要工作过程</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_Toc176463945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3</w:t>
        </w:r>
        <w:r w:rsidRPr="00242282">
          <w:rPr>
            <w:rFonts w:hint="eastAsia"/>
            <w:noProof/>
            <w:webHidden/>
            <w:sz w:val="24"/>
            <w:szCs w:val="24"/>
          </w:rPr>
          <w:fldChar w:fldCharType="end"/>
        </w:r>
      </w:hyperlink>
    </w:p>
    <w:p w14:paraId="1E163876" w14:textId="0586AA90"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46" w:history="1">
        <w:r w:rsidRPr="00242282">
          <w:rPr>
            <w:rStyle w:val="af"/>
            <w:rFonts w:hint="eastAsia"/>
            <w:noProof/>
            <w:sz w:val="24"/>
            <w:szCs w:val="24"/>
          </w:rPr>
          <w:t>三、标准编制原则和主要技术内容确定的依据</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_Toc176463946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4</w:t>
        </w:r>
        <w:r w:rsidRPr="00242282">
          <w:rPr>
            <w:rFonts w:hint="eastAsia"/>
            <w:noProof/>
            <w:webHidden/>
            <w:sz w:val="24"/>
            <w:szCs w:val="24"/>
          </w:rPr>
          <w:fldChar w:fldCharType="end"/>
        </w:r>
      </w:hyperlink>
    </w:p>
    <w:p w14:paraId="5580D624" w14:textId="49B05538" w:rsidR="00242282" w:rsidRPr="00242282" w:rsidRDefault="00242282" w:rsidP="00242282">
      <w:pPr>
        <w:pStyle w:val="TOC2"/>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47" w:history="1">
        <w:r w:rsidRPr="00242282">
          <w:rPr>
            <w:rStyle w:val="af"/>
            <w:rFonts w:hint="eastAsia"/>
            <w:noProof/>
            <w:sz w:val="24"/>
            <w:szCs w:val="24"/>
          </w:rPr>
          <w:t>1</w:t>
        </w:r>
        <w:r w:rsidRPr="00242282">
          <w:rPr>
            <w:rStyle w:val="af"/>
            <w:rFonts w:hint="eastAsia"/>
            <w:noProof/>
            <w:sz w:val="24"/>
            <w:szCs w:val="24"/>
          </w:rPr>
          <w:t>、总体编制原则</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_Toc176463947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4</w:t>
        </w:r>
        <w:r w:rsidRPr="00242282">
          <w:rPr>
            <w:rFonts w:hint="eastAsia"/>
            <w:noProof/>
            <w:webHidden/>
            <w:sz w:val="24"/>
            <w:szCs w:val="24"/>
          </w:rPr>
          <w:fldChar w:fldCharType="end"/>
        </w:r>
      </w:hyperlink>
    </w:p>
    <w:p w14:paraId="4AA403A9" w14:textId="314D0079" w:rsidR="00242282" w:rsidRPr="00242282" w:rsidRDefault="00242282" w:rsidP="00242282">
      <w:pPr>
        <w:pStyle w:val="TOC2"/>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48" w:history="1">
        <w:r w:rsidRPr="00242282">
          <w:rPr>
            <w:rStyle w:val="af"/>
            <w:rFonts w:hint="eastAsia"/>
            <w:noProof/>
            <w:sz w:val="24"/>
            <w:szCs w:val="24"/>
          </w:rPr>
          <w:t>2</w:t>
        </w:r>
        <w:r w:rsidRPr="00242282">
          <w:rPr>
            <w:rStyle w:val="af"/>
            <w:rFonts w:hint="eastAsia"/>
            <w:noProof/>
            <w:sz w:val="24"/>
            <w:szCs w:val="24"/>
          </w:rPr>
          <w:t>、主要技术内容的确定</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_Toc176463948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5</w:t>
        </w:r>
        <w:r w:rsidRPr="00242282">
          <w:rPr>
            <w:rFonts w:hint="eastAsia"/>
            <w:noProof/>
            <w:webHidden/>
            <w:sz w:val="24"/>
            <w:szCs w:val="24"/>
          </w:rPr>
          <w:fldChar w:fldCharType="end"/>
        </w:r>
      </w:hyperlink>
    </w:p>
    <w:p w14:paraId="112D4968" w14:textId="009CA685"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49" w:history="1">
        <w:r w:rsidRPr="00242282">
          <w:rPr>
            <w:rStyle w:val="af"/>
            <w:rFonts w:hint="eastAsia"/>
            <w:noProof/>
            <w:sz w:val="24"/>
            <w:szCs w:val="24"/>
          </w:rPr>
          <w:t>四、采用的国际标准</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_Toc176463949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6</w:t>
        </w:r>
        <w:r w:rsidRPr="00242282">
          <w:rPr>
            <w:rFonts w:hint="eastAsia"/>
            <w:noProof/>
            <w:webHidden/>
            <w:sz w:val="24"/>
            <w:szCs w:val="24"/>
          </w:rPr>
          <w:fldChar w:fldCharType="end"/>
        </w:r>
      </w:hyperlink>
    </w:p>
    <w:p w14:paraId="1165DA8C" w14:textId="00B9950F"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50" w:history="1">
        <w:r w:rsidRPr="00242282">
          <w:rPr>
            <w:rStyle w:val="af"/>
            <w:rFonts w:hint="eastAsia"/>
            <w:noProof/>
            <w:sz w:val="24"/>
            <w:szCs w:val="24"/>
          </w:rPr>
          <w:t>五、与现行法律法规和强制性标准的关系</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_Toc176463950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6</w:t>
        </w:r>
        <w:r w:rsidRPr="00242282">
          <w:rPr>
            <w:rFonts w:hint="eastAsia"/>
            <w:noProof/>
            <w:webHidden/>
            <w:sz w:val="24"/>
            <w:szCs w:val="24"/>
          </w:rPr>
          <w:fldChar w:fldCharType="end"/>
        </w:r>
      </w:hyperlink>
    </w:p>
    <w:p w14:paraId="0B7DF671" w14:textId="01B3BE8A"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51" w:history="1">
        <w:r w:rsidRPr="00242282">
          <w:rPr>
            <w:rStyle w:val="af"/>
            <w:rFonts w:hint="eastAsia"/>
            <w:noProof/>
            <w:sz w:val="24"/>
            <w:szCs w:val="24"/>
          </w:rPr>
          <w:t>六、重大分歧意见的处理经过和依据</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_Toc176463951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6</w:t>
        </w:r>
        <w:r w:rsidRPr="00242282">
          <w:rPr>
            <w:rFonts w:hint="eastAsia"/>
            <w:noProof/>
            <w:webHidden/>
            <w:sz w:val="24"/>
            <w:szCs w:val="24"/>
          </w:rPr>
          <w:fldChar w:fldCharType="end"/>
        </w:r>
      </w:hyperlink>
    </w:p>
    <w:p w14:paraId="7A640EC2" w14:textId="5635AA8F"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52" w:history="1">
        <w:r w:rsidRPr="00242282">
          <w:rPr>
            <w:rStyle w:val="af"/>
            <w:rFonts w:hint="eastAsia"/>
            <w:noProof/>
            <w:sz w:val="24"/>
            <w:szCs w:val="24"/>
          </w:rPr>
          <w:t>七、标准作为强制性或推荐性标准的意见</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_Toc176463952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7</w:t>
        </w:r>
        <w:r w:rsidRPr="00242282">
          <w:rPr>
            <w:rFonts w:hint="eastAsia"/>
            <w:noProof/>
            <w:webHidden/>
            <w:sz w:val="24"/>
            <w:szCs w:val="24"/>
          </w:rPr>
          <w:fldChar w:fldCharType="end"/>
        </w:r>
      </w:hyperlink>
    </w:p>
    <w:p w14:paraId="6B973424" w14:textId="02E54AAF"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53" w:history="1">
        <w:r w:rsidRPr="00242282">
          <w:rPr>
            <w:rStyle w:val="af"/>
            <w:rFonts w:hint="eastAsia"/>
            <w:noProof/>
            <w:sz w:val="24"/>
            <w:szCs w:val="24"/>
          </w:rPr>
          <w:t>八、贯彻标准的要求和措施建议</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_Toc176463953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7</w:t>
        </w:r>
        <w:r w:rsidRPr="00242282">
          <w:rPr>
            <w:rFonts w:hint="eastAsia"/>
            <w:noProof/>
            <w:webHidden/>
            <w:sz w:val="24"/>
            <w:szCs w:val="24"/>
          </w:rPr>
          <w:fldChar w:fldCharType="end"/>
        </w:r>
      </w:hyperlink>
    </w:p>
    <w:p w14:paraId="22B83919" w14:textId="12A64E0F" w:rsidR="00242282" w:rsidRPr="00242282" w:rsidRDefault="00242282" w:rsidP="00242282">
      <w:pPr>
        <w:pStyle w:val="TOC1"/>
        <w:tabs>
          <w:tab w:val="right" w:leader="dot" w:pos="8538"/>
        </w:tabs>
        <w:spacing w:line="360" w:lineRule="auto"/>
        <w:rPr>
          <w:rFonts w:asciiTheme="minorHAnsi" w:eastAsiaTheme="minorEastAsia" w:hAnsiTheme="minorHAnsi" w:cstheme="minorBidi" w:hint="eastAsia"/>
          <w:noProof/>
          <w:sz w:val="24"/>
          <w:szCs w:val="28"/>
          <w14:ligatures w14:val="standardContextual"/>
        </w:rPr>
      </w:pPr>
      <w:hyperlink w:anchor="_Toc176463954" w:history="1">
        <w:r w:rsidRPr="00242282">
          <w:rPr>
            <w:rStyle w:val="af"/>
            <w:rFonts w:hint="eastAsia"/>
            <w:noProof/>
            <w:sz w:val="24"/>
            <w:szCs w:val="24"/>
          </w:rPr>
          <w:t>九、废止现行有关标准的建议</w:t>
        </w:r>
        <w:r w:rsidRPr="00242282">
          <w:rPr>
            <w:rFonts w:hint="eastAsia"/>
            <w:noProof/>
            <w:webHidden/>
            <w:sz w:val="24"/>
            <w:szCs w:val="24"/>
          </w:rPr>
          <w:tab/>
        </w:r>
        <w:r w:rsidRPr="00242282">
          <w:rPr>
            <w:rFonts w:hint="eastAsia"/>
            <w:noProof/>
            <w:webHidden/>
            <w:sz w:val="24"/>
            <w:szCs w:val="24"/>
          </w:rPr>
          <w:fldChar w:fldCharType="begin"/>
        </w:r>
        <w:r w:rsidRPr="00242282">
          <w:rPr>
            <w:rFonts w:hint="eastAsia"/>
            <w:noProof/>
            <w:webHidden/>
            <w:sz w:val="24"/>
            <w:szCs w:val="24"/>
          </w:rPr>
          <w:instrText xml:space="preserve"> </w:instrText>
        </w:r>
        <w:r w:rsidRPr="00242282">
          <w:rPr>
            <w:noProof/>
            <w:webHidden/>
            <w:sz w:val="24"/>
            <w:szCs w:val="24"/>
          </w:rPr>
          <w:instrText>PAGEREF _Toc176463954 \h</w:instrText>
        </w:r>
        <w:r w:rsidRPr="00242282">
          <w:rPr>
            <w:rFonts w:hint="eastAsia"/>
            <w:noProof/>
            <w:webHidden/>
            <w:sz w:val="24"/>
            <w:szCs w:val="24"/>
          </w:rPr>
          <w:instrText xml:space="preserve"> </w:instrText>
        </w:r>
        <w:r w:rsidRPr="00242282">
          <w:rPr>
            <w:rFonts w:hint="eastAsia"/>
            <w:noProof/>
            <w:webHidden/>
            <w:sz w:val="24"/>
            <w:szCs w:val="24"/>
          </w:rPr>
        </w:r>
        <w:r w:rsidRPr="00242282">
          <w:rPr>
            <w:noProof/>
            <w:webHidden/>
            <w:sz w:val="24"/>
            <w:szCs w:val="24"/>
          </w:rPr>
          <w:fldChar w:fldCharType="separate"/>
        </w:r>
        <w:r w:rsidRPr="00242282">
          <w:rPr>
            <w:noProof/>
            <w:webHidden/>
            <w:sz w:val="24"/>
            <w:szCs w:val="24"/>
          </w:rPr>
          <w:t>7</w:t>
        </w:r>
        <w:r w:rsidRPr="00242282">
          <w:rPr>
            <w:rFonts w:hint="eastAsia"/>
            <w:noProof/>
            <w:webHidden/>
            <w:sz w:val="24"/>
            <w:szCs w:val="24"/>
          </w:rPr>
          <w:fldChar w:fldCharType="end"/>
        </w:r>
      </w:hyperlink>
    </w:p>
    <w:p w14:paraId="7553431D" w14:textId="10733CD7" w:rsidR="00264E4C" w:rsidRPr="00264E4C" w:rsidRDefault="00264E4C" w:rsidP="00264E4C">
      <w:pPr>
        <w:spacing w:line="360" w:lineRule="auto"/>
        <w:rPr>
          <w:rFonts w:hint="eastAsia"/>
          <w:sz w:val="24"/>
          <w:szCs w:val="24"/>
        </w:rPr>
      </w:pPr>
      <w:r w:rsidRPr="00264E4C">
        <w:rPr>
          <w:b/>
          <w:bCs/>
          <w:sz w:val="24"/>
          <w:szCs w:val="24"/>
          <w:lang w:val="zh-CN"/>
        </w:rPr>
        <w:fldChar w:fldCharType="end"/>
      </w:r>
    </w:p>
    <w:p w14:paraId="1642A267" w14:textId="77777777" w:rsidR="00264E4C" w:rsidRDefault="00264E4C" w:rsidP="00264E4C">
      <w:pPr>
        <w:pStyle w:val="af1"/>
        <w:spacing w:beforeLines="100" w:before="312" w:afterLines="100" w:after="312" w:line="420" w:lineRule="exact"/>
        <w:ind w:firstLineChars="0"/>
        <w:jc w:val="center"/>
        <w:rPr>
          <w:rFonts w:hint="eastAsia"/>
          <w:b/>
          <w:color w:val="000000"/>
          <w:sz w:val="28"/>
          <w:szCs w:val="28"/>
        </w:rPr>
      </w:pPr>
    </w:p>
    <w:p w14:paraId="3EA0FB89" w14:textId="23FCE84E" w:rsidR="00242282" w:rsidRPr="00242282" w:rsidRDefault="00264E4C" w:rsidP="00242282">
      <w:pPr>
        <w:pStyle w:val="1"/>
        <w:rPr>
          <w:rFonts w:hint="eastAsia"/>
          <w:sz w:val="24"/>
          <w:szCs w:val="28"/>
        </w:rPr>
      </w:pPr>
      <w:r>
        <w:br w:type="page"/>
      </w:r>
      <w:bookmarkStart w:id="1" w:name="_Toc176463942"/>
      <w:r w:rsidR="00242282">
        <w:rPr>
          <w:rFonts w:hint="eastAsia"/>
        </w:rPr>
        <w:t>一、</w:t>
      </w:r>
      <w:r w:rsidR="00242282" w:rsidRPr="00242282">
        <w:rPr>
          <w:rFonts w:hint="eastAsia"/>
          <w:sz w:val="24"/>
          <w:szCs w:val="28"/>
        </w:rPr>
        <w:t>任务来源与制定背景</w:t>
      </w:r>
      <w:bookmarkEnd w:id="1"/>
    </w:p>
    <w:p w14:paraId="40DE9A33" w14:textId="733B3A63" w:rsidR="00242282" w:rsidRPr="00242282" w:rsidRDefault="00242282" w:rsidP="00242282">
      <w:pPr>
        <w:pStyle w:val="2"/>
        <w:rPr>
          <w:rFonts w:hint="eastAsia"/>
        </w:rPr>
      </w:pPr>
      <w:bookmarkStart w:id="2" w:name="_Toc176463943"/>
      <w:r>
        <w:rPr>
          <w:rFonts w:hint="eastAsia"/>
        </w:rPr>
        <w:t>1</w:t>
      </w:r>
      <w:r>
        <w:rPr>
          <w:rFonts w:hint="eastAsia"/>
        </w:rPr>
        <w:t>、</w:t>
      </w:r>
      <w:r w:rsidRPr="00242282">
        <w:rPr>
          <w:rFonts w:hint="eastAsia"/>
        </w:rPr>
        <w:t>任务来源</w:t>
      </w:r>
      <w:bookmarkEnd w:id="2"/>
    </w:p>
    <w:p w14:paraId="36CE71CA" w14:textId="77777777" w:rsidR="00242282" w:rsidRPr="00242282" w:rsidRDefault="00242282" w:rsidP="00242282">
      <w:pPr>
        <w:spacing w:line="360" w:lineRule="auto"/>
        <w:ind w:firstLineChars="202" w:firstLine="485"/>
        <w:jc w:val="left"/>
        <w:rPr>
          <w:rFonts w:ascii="宋体" w:hAnsi="宋体" w:hint="eastAsia"/>
          <w:sz w:val="24"/>
          <w:szCs w:val="28"/>
        </w:rPr>
      </w:pPr>
      <w:r w:rsidRPr="00242282">
        <w:rPr>
          <w:rFonts w:ascii="宋体" w:hAnsi="宋体" w:hint="eastAsia"/>
          <w:sz w:val="24"/>
          <w:szCs w:val="28"/>
        </w:rPr>
        <w:t>本标准起草单位</w:t>
      </w:r>
      <w:bookmarkStart w:id="3" w:name="_Hlk175756616"/>
      <w:r w:rsidRPr="00242282">
        <w:rPr>
          <w:rFonts w:ascii="宋体" w:hAnsi="宋体" w:hint="eastAsia"/>
          <w:sz w:val="24"/>
          <w:szCs w:val="28"/>
        </w:rPr>
        <w:t>中国农业大学、南京林业大学</w:t>
      </w:r>
      <w:bookmarkEnd w:id="3"/>
      <w:r w:rsidRPr="00242282">
        <w:rPr>
          <w:rFonts w:ascii="宋体" w:hAnsi="宋体" w:hint="eastAsia"/>
          <w:sz w:val="24"/>
          <w:szCs w:val="28"/>
        </w:rPr>
        <w:t>等承担了国家十四五科技计划项目《木本源新型蛋白饲料加工与高效转化技术》中关于“木本源饲料及林源剩余物加工关键技术研究”的课题，由中国农业大学、南京林业大学、贵州大学等单位提议，北京华夏草业产业技术创新战略联盟组织行业</w:t>
      </w:r>
      <w:proofErr w:type="gramStart"/>
      <w:r w:rsidRPr="00242282">
        <w:rPr>
          <w:rFonts w:ascii="宋体" w:hAnsi="宋体" w:hint="eastAsia"/>
          <w:sz w:val="24"/>
          <w:szCs w:val="28"/>
        </w:rPr>
        <w:t>内专家</w:t>
      </w:r>
      <w:proofErr w:type="gramEnd"/>
      <w:r w:rsidRPr="00242282">
        <w:rPr>
          <w:rFonts w:ascii="宋体" w:hAnsi="宋体" w:hint="eastAsia"/>
          <w:sz w:val="24"/>
          <w:szCs w:val="28"/>
        </w:rPr>
        <w:t>开展《柠条发酵蛋白饲料加工技术规程》团体标准的制定工作。</w:t>
      </w:r>
    </w:p>
    <w:p w14:paraId="28F0355D" w14:textId="77777777" w:rsidR="00242282" w:rsidRPr="00242282" w:rsidRDefault="00242282" w:rsidP="00242282">
      <w:pPr>
        <w:pStyle w:val="2"/>
        <w:rPr>
          <w:rFonts w:hint="eastAsia"/>
        </w:rPr>
      </w:pPr>
      <w:bookmarkStart w:id="4" w:name="_Toc176463944"/>
      <w:r w:rsidRPr="00242282">
        <w:rPr>
          <w:rFonts w:hint="eastAsia"/>
        </w:rPr>
        <w:t>2</w:t>
      </w:r>
      <w:r w:rsidRPr="00242282">
        <w:rPr>
          <w:rFonts w:hint="eastAsia"/>
        </w:rPr>
        <w:t>、标准制定背景</w:t>
      </w:r>
      <w:bookmarkEnd w:id="4"/>
    </w:p>
    <w:p w14:paraId="223C089A"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我国每年进口大豆1亿吨左右，蛋白饲料资源短缺是长期制约我国畜牧业可持续发展的瓶颈。为了解决我国优质饲料资源短缺的问题，国务院、农业农村部相继发布《关于促进畜牧业高质量发展的意见》、《饲料中玉米豆粕减量替代工作方案》，对我国饲草业发展提出了进一步要求。推荐使用</w:t>
      </w:r>
      <w:proofErr w:type="gramStart"/>
      <w:r w:rsidRPr="00242282">
        <w:rPr>
          <w:rFonts w:ascii="宋体" w:hAnsi="宋体" w:hint="eastAsia"/>
          <w:sz w:val="24"/>
          <w:szCs w:val="28"/>
        </w:rPr>
        <w:t>柠</w:t>
      </w:r>
      <w:proofErr w:type="gramEnd"/>
      <w:r w:rsidRPr="00242282">
        <w:rPr>
          <w:rFonts w:ascii="宋体" w:hAnsi="宋体" w:hint="eastAsia"/>
          <w:sz w:val="24"/>
          <w:szCs w:val="28"/>
        </w:rPr>
        <w:t>条、饲料桑、</w:t>
      </w:r>
      <w:proofErr w:type="gramStart"/>
      <w:r w:rsidRPr="00242282">
        <w:rPr>
          <w:rFonts w:ascii="宋体" w:hAnsi="宋体" w:hint="eastAsia"/>
          <w:sz w:val="24"/>
          <w:szCs w:val="28"/>
        </w:rPr>
        <w:t>杂交构树等</w:t>
      </w:r>
      <w:proofErr w:type="gramEnd"/>
      <w:r w:rsidRPr="00242282">
        <w:rPr>
          <w:rFonts w:ascii="宋体" w:hAnsi="宋体" w:hint="eastAsia"/>
          <w:sz w:val="24"/>
          <w:szCs w:val="28"/>
        </w:rPr>
        <w:t>具有区域特色的木本植物性蛋白原料，促进豆</w:t>
      </w:r>
      <w:proofErr w:type="gramStart"/>
      <w:r w:rsidRPr="00242282">
        <w:rPr>
          <w:rFonts w:ascii="宋体" w:hAnsi="宋体" w:hint="eastAsia"/>
          <w:sz w:val="24"/>
          <w:szCs w:val="28"/>
        </w:rPr>
        <w:t>粕</w:t>
      </w:r>
      <w:proofErr w:type="gramEnd"/>
      <w:r w:rsidRPr="00242282">
        <w:rPr>
          <w:rFonts w:ascii="宋体" w:hAnsi="宋体" w:hint="eastAsia"/>
          <w:sz w:val="24"/>
          <w:szCs w:val="28"/>
        </w:rPr>
        <w:t>减量替代。</w:t>
      </w:r>
    </w:p>
    <w:p w14:paraId="7422D149" w14:textId="77777777" w:rsidR="00242282" w:rsidRPr="00242282" w:rsidRDefault="00242282" w:rsidP="00242282">
      <w:pPr>
        <w:spacing w:line="360" w:lineRule="auto"/>
        <w:ind w:firstLineChars="202" w:firstLine="485"/>
        <w:rPr>
          <w:rFonts w:ascii="宋体" w:hAnsi="宋体" w:hint="eastAsia"/>
          <w:sz w:val="24"/>
          <w:szCs w:val="28"/>
        </w:rPr>
      </w:pPr>
      <w:proofErr w:type="gramStart"/>
      <w:r w:rsidRPr="00242282">
        <w:rPr>
          <w:rFonts w:ascii="宋体" w:hAnsi="宋体" w:hint="eastAsia"/>
          <w:sz w:val="24"/>
          <w:szCs w:val="28"/>
        </w:rPr>
        <w:t>柠</w:t>
      </w:r>
      <w:proofErr w:type="gramEnd"/>
      <w:r w:rsidRPr="00242282">
        <w:rPr>
          <w:rFonts w:ascii="宋体" w:hAnsi="宋体" w:hint="eastAsia"/>
          <w:sz w:val="24"/>
          <w:szCs w:val="28"/>
        </w:rPr>
        <w:t xml:space="preserve">条（Caragana </w:t>
      </w:r>
      <w:proofErr w:type="spellStart"/>
      <w:r w:rsidRPr="00242282">
        <w:rPr>
          <w:rFonts w:ascii="宋体" w:hAnsi="宋体" w:hint="eastAsia"/>
          <w:sz w:val="24"/>
          <w:szCs w:val="28"/>
        </w:rPr>
        <w:t>microphylla</w:t>
      </w:r>
      <w:proofErr w:type="spellEnd"/>
      <w:r w:rsidRPr="00242282">
        <w:rPr>
          <w:rFonts w:ascii="宋体" w:hAnsi="宋体" w:hint="eastAsia"/>
          <w:sz w:val="24"/>
          <w:szCs w:val="28"/>
        </w:rPr>
        <w:t>）是锦鸡儿属植物栽培种的通称，全世界有</w:t>
      </w:r>
      <w:r w:rsidRPr="00242282">
        <w:rPr>
          <w:rFonts w:ascii="宋体" w:hAnsi="宋体"/>
          <w:sz w:val="24"/>
          <w:szCs w:val="28"/>
        </w:rPr>
        <w:t>100</w:t>
      </w:r>
      <w:r w:rsidRPr="00242282">
        <w:rPr>
          <w:rFonts w:ascii="宋体" w:hAnsi="宋体" w:hint="eastAsia"/>
          <w:sz w:val="24"/>
          <w:szCs w:val="28"/>
        </w:rPr>
        <w:t>余种，我国有</w:t>
      </w:r>
      <w:r w:rsidRPr="00242282">
        <w:rPr>
          <w:rFonts w:ascii="宋体" w:hAnsi="宋体"/>
          <w:sz w:val="24"/>
          <w:szCs w:val="28"/>
        </w:rPr>
        <w:t>66</w:t>
      </w:r>
      <w:r w:rsidRPr="00242282">
        <w:rPr>
          <w:rFonts w:ascii="宋体" w:hAnsi="宋体" w:hint="eastAsia"/>
          <w:sz w:val="24"/>
          <w:szCs w:val="28"/>
        </w:rPr>
        <w:t>种。</w:t>
      </w:r>
      <w:proofErr w:type="gramStart"/>
      <w:r w:rsidRPr="00242282">
        <w:rPr>
          <w:rFonts w:ascii="宋体" w:hAnsi="宋体" w:hint="eastAsia"/>
          <w:sz w:val="24"/>
          <w:szCs w:val="28"/>
        </w:rPr>
        <w:t>柠</w:t>
      </w:r>
      <w:proofErr w:type="gramEnd"/>
      <w:r w:rsidRPr="00242282">
        <w:rPr>
          <w:rFonts w:ascii="宋体" w:hAnsi="宋体" w:hint="eastAsia"/>
          <w:sz w:val="24"/>
          <w:szCs w:val="28"/>
        </w:rPr>
        <w:t>条种植面积广，生物量大，资源丰富且价格低廉，饲用潜力巨大，不仅能保持水土、防风固沙，又能精深加工，增加附加值，提高灌木林经济效益。但</w:t>
      </w:r>
      <w:proofErr w:type="gramStart"/>
      <w:r w:rsidRPr="00242282">
        <w:rPr>
          <w:rFonts w:ascii="宋体" w:hAnsi="宋体" w:hint="eastAsia"/>
          <w:sz w:val="24"/>
          <w:szCs w:val="28"/>
        </w:rPr>
        <w:t>柠</w:t>
      </w:r>
      <w:proofErr w:type="gramEnd"/>
      <w:r w:rsidRPr="00242282">
        <w:rPr>
          <w:rFonts w:ascii="宋体" w:hAnsi="宋体" w:hint="eastAsia"/>
          <w:sz w:val="24"/>
          <w:szCs w:val="28"/>
        </w:rPr>
        <w:t>条中含有超过30%的木质纤维素，且成熟枝上具有托叶刺，不经过加工或简单</w:t>
      </w:r>
      <w:proofErr w:type="gramStart"/>
      <w:r w:rsidRPr="00242282">
        <w:rPr>
          <w:rFonts w:ascii="宋体" w:hAnsi="宋体" w:hint="eastAsia"/>
          <w:sz w:val="24"/>
          <w:szCs w:val="28"/>
        </w:rPr>
        <w:t>加工铡短饲喂</w:t>
      </w:r>
      <w:proofErr w:type="gramEnd"/>
      <w:r w:rsidRPr="00242282">
        <w:rPr>
          <w:rFonts w:ascii="宋体" w:hAnsi="宋体" w:hint="eastAsia"/>
          <w:sz w:val="24"/>
          <w:szCs w:val="28"/>
        </w:rPr>
        <w:t>牛羊，牛羊</w:t>
      </w:r>
      <w:proofErr w:type="gramStart"/>
      <w:r w:rsidRPr="00242282">
        <w:rPr>
          <w:rFonts w:ascii="宋体" w:hAnsi="宋体" w:hint="eastAsia"/>
          <w:sz w:val="24"/>
          <w:szCs w:val="28"/>
        </w:rPr>
        <w:t>采食率</w:t>
      </w:r>
      <w:proofErr w:type="gramEnd"/>
      <w:r w:rsidRPr="00242282">
        <w:rPr>
          <w:rFonts w:ascii="宋体" w:hAnsi="宋体" w:hint="eastAsia"/>
          <w:sz w:val="24"/>
          <w:szCs w:val="28"/>
        </w:rPr>
        <w:t>低，通过生物发酵的手段可以解决以上问题，但目前国内尚无柠条发酵蛋白饲料技术规程，因此迫切需要有标准化的规程来指导</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条发酵蛋白饲料的生产，从而保障</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条发酵蛋白饲料产品的规范化、推动发酵饲料产业的健康发展。</w:t>
      </w:r>
    </w:p>
    <w:p w14:paraId="76C3D973" w14:textId="77777777" w:rsidR="00242282" w:rsidRPr="00242282" w:rsidRDefault="00242282" w:rsidP="00242282">
      <w:pPr>
        <w:pStyle w:val="1"/>
        <w:rPr>
          <w:rFonts w:hint="eastAsia"/>
        </w:rPr>
      </w:pPr>
      <w:bookmarkStart w:id="5" w:name="_Toc176463945"/>
      <w:r w:rsidRPr="00242282">
        <w:rPr>
          <w:rFonts w:hint="eastAsia"/>
        </w:rPr>
        <w:t>二、主要工作过程</w:t>
      </w:r>
      <w:bookmarkEnd w:id="5"/>
    </w:p>
    <w:p w14:paraId="5279FB66"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2024年2月，由北京华夏草业产业技术创新战略联盟组织、协调，联合中国农业大学、南京林业大学、贵州大学、共同成立了标准起草小组。联盟秘书处协同中国农业大学具体负责标准撰写，并负责承担资料的收集、整理、起草和意见汇总工作。</w:t>
      </w:r>
    </w:p>
    <w:p w14:paraId="2CAE642D"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2024年3月到6月，开展</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条发酵蛋白饲料生产技术规程文献资料的收集整理工作，主要从科学论文、核心期刊等学术团体普遍公认的文献进行收集。本标准引用国家标准1项，团体标准2项，国家相关政策法规2项。</w:t>
      </w:r>
    </w:p>
    <w:p w14:paraId="3945F04F"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2024年7月，通过标准的起草成员前期文献查阅工作的积累以及为标准开展的生产调研活动，在充分了解了</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生产技术规程的研究现状和生产实践情况的基础上，组织征求相关领域专家、企业家对本标准的意见，确定了本标准的主要框架、技术要点等主体内容，并对收集到的资料进行汇总。标准起草组编制标准草案。</w:t>
      </w:r>
    </w:p>
    <w:p w14:paraId="4B20D7FF"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为深入研究探讨发酵饲料生产技术规程标准指南编制相关问题，加强编制团队与行业专家的沟通协作，在汇集文献资料、生产数据的基础上，北京华夏草业产业技术创新战略联盟组织相关单位及行业专家同起草企业负责人深入交流推进实验数据与生产实践、科学技术与产业实际的融合，保障了本标准对产业发展中诸多实际问题的指导作用。专家组建议</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条发酵蛋白饲料生产技术规程团体标准继续在数据指标以及规范性方面进一步完善修改，尽快发布。</w:t>
      </w:r>
    </w:p>
    <w:p w14:paraId="460B2E8C" w14:textId="77777777" w:rsidR="00242282" w:rsidRPr="00242282" w:rsidRDefault="00242282" w:rsidP="00242282">
      <w:pPr>
        <w:pStyle w:val="1"/>
        <w:rPr>
          <w:rFonts w:hint="eastAsia"/>
        </w:rPr>
      </w:pPr>
      <w:bookmarkStart w:id="6" w:name="_Toc176463946"/>
      <w:r w:rsidRPr="00242282">
        <w:rPr>
          <w:rFonts w:hint="eastAsia"/>
        </w:rPr>
        <w:t>三、标准编制原则和主要技术内容确定的依据</w:t>
      </w:r>
      <w:bookmarkEnd w:id="6"/>
    </w:p>
    <w:p w14:paraId="360593B1"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本标准按照 GB/T1.1-2020 的规则制定，在编制过程中参照了国内外相关标准，并结合发酵蛋白饲料相关文献，综合考虑我国发酵蛋白饲料生产、应用企业的实际情况，遵循科学性和实用性的原则，制定</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条发酵蛋白饲料加工技术规程。</w:t>
      </w:r>
    </w:p>
    <w:p w14:paraId="0EFFB72F" w14:textId="77777777" w:rsidR="00242282" w:rsidRPr="00242282" w:rsidRDefault="00242282" w:rsidP="00242282">
      <w:pPr>
        <w:pStyle w:val="2"/>
        <w:rPr>
          <w:rFonts w:hint="eastAsia"/>
        </w:rPr>
      </w:pPr>
      <w:bookmarkStart w:id="7" w:name="_Toc176463947"/>
      <w:r w:rsidRPr="00242282">
        <w:rPr>
          <w:rFonts w:hint="eastAsia"/>
        </w:rPr>
        <w:t>1</w:t>
      </w:r>
      <w:r w:rsidRPr="00242282">
        <w:rPr>
          <w:rFonts w:hint="eastAsia"/>
        </w:rPr>
        <w:t>、总体编制原则</w:t>
      </w:r>
      <w:bookmarkEnd w:id="7"/>
    </w:p>
    <w:p w14:paraId="03233D4D"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标准按照</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条发酵蛋白饲料生产过程中原料处理、发酵剂选择、发酵工艺、发酵罐的管理、品质控制、使用以及标签、包装、贮存和运输的技术要求方面进行了规范描述，指导</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条发酵蛋白饲料企业和养殖单位科学合理生产使用</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条发酵蛋白饲料，保证优质安全</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条发酵蛋白饲料的生产，并提高</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条发酵蛋白饲料产品质量安全水平。</w:t>
      </w:r>
    </w:p>
    <w:p w14:paraId="79F3616D"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该标准与现行法律法规无冲突，并保证了对该标准最新版本的引用。</w:t>
      </w:r>
    </w:p>
    <w:p w14:paraId="08ED841F" w14:textId="77777777" w:rsidR="00242282" w:rsidRPr="00242282" w:rsidRDefault="00242282" w:rsidP="00242282">
      <w:pPr>
        <w:pStyle w:val="2"/>
        <w:rPr>
          <w:rFonts w:hint="eastAsia"/>
        </w:rPr>
      </w:pPr>
      <w:bookmarkStart w:id="8" w:name="_Toc176463948"/>
      <w:r w:rsidRPr="00242282">
        <w:rPr>
          <w:rFonts w:hint="eastAsia"/>
        </w:rPr>
        <w:t>2</w:t>
      </w:r>
      <w:r w:rsidRPr="00242282">
        <w:rPr>
          <w:rFonts w:hint="eastAsia"/>
        </w:rPr>
        <w:t>、主要技术内容的确定</w:t>
      </w:r>
      <w:bookmarkEnd w:id="8"/>
    </w:p>
    <w:p w14:paraId="1AF2447F"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(1)适用范围</w:t>
      </w:r>
    </w:p>
    <w:p w14:paraId="5B3A8E8E"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按照 GB/T1.1-2009 标准化工作导则第一部分:标准的结构和编写规则中“范围应明确表明标准的对象和所涉及的各个方面”的有关规定，根据我国</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条发酵蛋白饲料的生产现状,将标准的适用范围确定为“</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条发酵蛋白饲料加工技术规程”。</w:t>
      </w:r>
    </w:p>
    <w:p w14:paraId="707BD64B"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(2)规范性引用文件</w:t>
      </w:r>
    </w:p>
    <w:p w14:paraId="59D8ECFC"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本标准制定时,参照了 GB 13078 饲料卫生标准、</w:t>
      </w:r>
      <w:bookmarkStart w:id="9" w:name="_Hlk175848426"/>
      <w:r w:rsidRPr="00242282">
        <w:rPr>
          <w:rFonts w:ascii="宋体" w:hAnsi="宋体" w:hint="eastAsia"/>
          <w:sz w:val="24"/>
          <w:szCs w:val="28"/>
        </w:rPr>
        <w:t>T/QBAA 001—2009发酵饲料生产技术规程</w:t>
      </w:r>
      <w:bookmarkEnd w:id="9"/>
      <w:r w:rsidRPr="00242282">
        <w:rPr>
          <w:rFonts w:ascii="宋体" w:hAnsi="宋体" w:hint="eastAsia"/>
          <w:sz w:val="24"/>
          <w:szCs w:val="28"/>
        </w:rPr>
        <w:t>、T/CSWSL002-2018 发酵饲料技术通则、饲料原料目录(2013)(中华人民共和国农业部</w:t>
      </w:r>
      <w:proofErr w:type="gramStart"/>
      <w:r w:rsidRPr="00242282">
        <w:rPr>
          <w:rFonts w:ascii="宋体" w:hAnsi="宋体" w:hint="eastAsia"/>
          <w:sz w:val="24"/>
          <w:szCs w:val="28"/>
        </w:rPr>
        <w:t>公告第</w:t>
      </w:r>
      <w:proofErr w:type="gramEnd"/>
      <w:r w:rsidRPr="00242282">
        <w:rPr>
          <w:rFonts w:ascii="宋体" w:hAnsi="宋体" w:hint="eastAsia"/>
          <w:sz w:val="24"/>
          <w:szCs w:val="28"/>
        </w:rPr>
        <w:t xml:space="preserve"> 1773号)、饲料添加剂品种目录(2013)(中华人民共和国农业部公告第2045号)等1项国家标准、</w:t>
      </w:r>
      <w:proofErr w:type="gramStart"/>
      <w:r w:rsidRPr="00242282">
        <w:rPr>
          <w:rFonts w:ascii="宋体" w:hAnsi="宋体" w:hint="eastAsia"/>
          <w:sz w:val="24"/>
          <w:szCs w:val="28"/>
        </w:rPr>
        <w:t>2项团标和</w:t>
      </w:r>
      <w:proofErr w:type="gramEnd"/>
      <w:r w:rsidRPr="00242282">
        <w:rPr>
          <w:rFonts w:ascii="宋体" w:hAnsi="宋体" w:hint="eastAsia"/>
          <w:sz w:val="24"/>
          <w:szCs w:val="28"/>
        </w:rPr>
        <w:t>2项文件。</w:t>
      </w:r>
    </w:p>
    <w:p w14:paraId="7208758E"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(3)术语与定义</w:t>
      </w:r>
    </w:p>
    <w:p w14:paraId="4992CC03"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参照其他标准，对《柠条发酵蛋白饲料生产技术规程》中的术语进行定义。</w:t>
      </w:r>
    </w:p>
    <w:p w14:paraId="1FA959A5"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(4)原料处理</w:t>
      </w:r>
    </w:p>
    <w:p w14:paraId="3EE0DE84"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原料质量的保证是发酵饲料的品质、使用和贮存的重要前提，标准规定了原料应符合中华人民共和国农业农村部饲料原料目录的要求和 GB 13078 的规定，原料发酵前应</w:t>
      </w:r>
      <w:proofErr w:type="gramStart"/>
      <w:r w:rsidRPr="00242282">
        <w:rPr>
          <w:rFonts w:ascii="宋体" w:hAnsi="宋体" w:hint="eastAsia"/>
          <w:sz w:val="24"/>
          <w:szCs w:val="28"/>
        </w:rPr>
        <w:t>进行揉丝切碎</w:t>
      </w:r>
      <w:proofErr w:type="gramEnd"/>
      <w:r w:rsidRPr="00242282">
        <w:rPr>
          <w:rFonts w:ascii="宋体" w:hAnsi="宋体" w:hint="eastAsia"/>
          <w:sz w:val="24"/>
          <w:szCs w:val="28"/>
        </w:rPr>
        <w:t>处理，长度不宜超过100 mm。主要发酵原料占总发酵原料比例不低于 50%(干物质基础)。辅料占总发酵原料比例不高于 50%(干物质基础)。</w:t>
      </w:r>
    </w:p>
    <w:p w14:paraId="53C5440B"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(5)发酵剂选择</w:t>
      </w:r>
    </w:p>
    <w:p w14:paraId="51D04EE2"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发酵剂是决定</w:t>
      </w:r>
      <w:proofErr w:type="gramStart"/>
      <w:r w:rsidRPr="00242282">
        <w:rPr>
          <w:rFonts w:ascii="宋体" w:hAnsi="宋体" w:hint="eastAsia"/>
          <w:sz w:val="24"/>
          <w:szCs w:val="28"/>
        </w:rPr>
        <w:t>柠</w:t>
      </w:r>
      <w:proofErr w:type="gramEnd"/>
      <w:r w:rsidRPr="00242282">
        <w:rPr>
          <w:rFonts w:ascii="宋体" w:hAnsi="宋体" w:hint="eastAsia"/>
          <w:sz w:val="24"/>
          <w:szCs w:val="28"/>
        </w:rPr>
        <w:t>条发酵蛋白饲料发酵效果的重要因素，标准规定了发酵剂应为《饲料添加剂品种目录(2013)》或经过国家主管部门新批准的允许使用的微生物菌种，应根据</w:t>
      </w:r>
      <w:proofErr w:type="gramStart"/>
      <w:r w:rsidRPr="00242282">
        <w:rPr>
          <w:rFonts w:ascii="宋体" w:hAnsi="宋体" w:hint="eastAsia"/>
          <w:sz w:val="24"/>
          <w:szCs w:val="28"/>
        </w:rPr>
        <w:t>柠</w:t>
      </w:r>
      <w:proofErr w:type="gramEnd"/>
      <w:r w:rsidRPr="00242282">
        <w:rPr>
          <w:rFonts w:ascii="宋体" w:hAnsi="宋体" w:hint="eastAsia"/>
          <w:sz w:val="24"/>
          <w:szCs w:val="28"/>
        </w:rPr>
        <w:t>条木质纤维素含量高的特点选择能够高效降解木质纤维素的菌剂进行</w:t>
      </w:r>
      <w:proofErr w:type="gramStart"/>
      <w:r w:rsidRPr="00242282">
        <w:rPr>
          <w:rFonts w:ascii="宋体" w:hAnsi="宋体" w:hint="eastAsia"/>
          <w:sz w:val="24"/>
          <w:szCs w:val="28"/>
        </w:rPr>
        <w:t>活化扩培后</w:t>
      </w:r>
      <w:proofErr w:type="gramEnd"/>
      <w:r w:rsidRPr="00242282">
        <w:rPr>
          <w:rFonts w:ascii="宋体" w:hAnsi="宋体" w:hint="eastAsia"/>
          <w:sz w:val="24"/>
          <w:szCs w:val="28"/>
        </w:rPr>
        <w:t>，制备成菌液</w:t>
      </w:r>
      <w:r w:rsidRPr="00242282">
        <w:rPr>
          <w:rFonts w:ascii="宋体" w:hAnsi="宋体"/>
          <w:sz w:val="24"/>
          <w:szCs w:val="28"/>
        </w:rPr>
        <w:t>1</w:t>
      </w:r>
      <w:r w:rsidRPr="00242282">
        <w:rPr>
          <w:rFonts w:ascii="宋体" w:hAnsi="宋体" w:hint="eastAsia"/>
          <w:sz w:val="24"/>
          <w:szCs w:val="28"/>
        </w:rPr>
        <w:t>，同时选择能够富集菌体蛋白的酵母菌</w:t>
      </w:r>
      <w:proofErr w:type="gramStart"/>
      <w:r w:rsidRPr="00242282">
        <w:rPr>
          <w:rFonts w:ascii="宋体" w:hAnsi="宋体" w:hint="eastAsia"/>
          <w:sz w:val="24"/>
          <w:szCs w:val="28"/>
        </w:rPr>
        <w:t>活化扩培后</w:t>
      </w:r>
      <w:proofErr w:type="gramEnd"/>
      <w:r w:rsidRPr="00242282">
        <w:rPr>
          <w:rFonts w:ascii="宋体" w:hAnsi="宋体" w:hint="eastAsia"/>
          <w:sz w:val="24"/>
          <w:szCs w:val="28"/>
        </w:rPr>
        <w:t>，制备成菌液</w:t>
      </w:r>
      <w:r w:rsidRPr="00242282">
        <w:rPr>
          <w:rFonts w:ascii="宋体" w:hAnsi="宋体"/>
          <w:sz w:val="24"/>
          <w:szCs w:val="28"/>
        </w:rPr>
        <w:t>2</w:t>
      </w:r>
      <w:r w:rsidRPr="00242282">
        <w:rPr>
          <w:rFonts w:ascii="宋体" w:hAnsi="宋体" w:hint="eastAsia"/>
          <w:sz w:val="24"/>
          <w:szCs w:val="28"/>
        </w:rPr>
        <w:t>。发酵剂中有效活菌数不低于</w:t>
      </w:r>
      <w:r w:rsidRPr="00242282">
        <w:rPr>
          <w:rFonts w:ascii="宋体" w:hAnsi="宋体"/>
          <w:sz w:val="24"/>
          <w:szCs w:val="28"/>
        </w:rPr>
        <w:t>108CFU/g</w:t>
      </w:r>
      <w:r w:rsidRPr="00242282">
        <w:rPr>
          <w:rFonts w:ascii="宋体" w:hAnsi="宋体" w:hint="eastAsia"/>
          <w:sz w:val="24"/>
          <w:szCs w:val="28"/>
        </w:rPr>
        <w:t>，以保证良好的发酵效率。</w:t>
      </w:r>
    </w:p>
    <w:p w14:paraId="3F6F1BBA"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(6)发酵工艺</w:t>
      </w:r>
    </w:p>
    <w:p w14:paraId="2487906E"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科学的发酵流程是发酵饲料生产顺利进行的首要保证。标准规定了发酵菌液的制备、发酵原料的处理和接种发酵。</w:t>
      </w:r>
      <w:proofErr w:type="gramStart"/>
      <w:r w:rsidRPr="00242282">
        <w:rPr>
          <w:rFonts w:ascii="宋体" w:hAnsi="宋体" w:hint="eastAsia"/>
          <w:sz w:val="24"/>
          <w:szCs w:val="28"/>
        </w:rPr>
        <w:t>以揉丝粉碎</w:t>
      </w:r>
      <w:proofErr w:type="gramEnd"/>
      <w:r w:rsidRPr="00242282">
        <w:rPr>
          <w:rFonts w:ascii="宋体" w:hAnsi="宋体" w:hint="eastAsia"/>
          <w:sz w:val="24"/>
          <w:szCs w:val="28"/>
        </w:rPr>
        <w:t>后的</w:t>
      </w:r>
      <w:proofErr w:type="gramStart"/>
      <w:r w:rsidRPr="00242282">
        <w:rPr>
          <w:rFonts w:ascii="宋体" w:hAnsi="宋体" w:hint="eastAsia"/>
          <w:sz w:val="24"/>
          <w:szCs w:val="28"/>
        </w:rPr>
        <w:t>柠</w:t>
      </w:r>
      <w:proofErr w:type="gramEnd"/>
      <w:r w:rsidRPr="00242282">
        <w:rPr>
          <w:rFonts w:ascii="宋体" w:hAnsi="宋体" w:hint="eastAsia"/>
          <w:sz w:val="24"/>
          <w:szCs w:val="28"/>
        </w:rPr>
        <w:t>条为主要原料，添加麸皮、玉米面等辅料，其中辅料占总发酵原料比例不高于</w:t>
      </w:r>
      <w:r w:rsidRPr="00242282">
        <w:rPr>
          <w:rFonts w:ascii="宋体" w:hAnsi="宋体"/>
          <w:sz w:val="24"/>
          <w:szCs w:val="28"/>
        </w:rPr>
        <w:t>30％</w:t>
      </w:r>
      <w:r w:rsidRPr="00242282">
        <w:rPr>
          <w:rFonts w:ascii="宋体" w:hAnsi="宋体" w:hint="eastAsia"/>
          <w:sz w:val="24"/>
          <w:szCs w:val="28"/>
        </w:rPr>
        <w:t xml:space="preserve">（干物质基础）。符合 </w:t>
      </w:r>
      <w:r w:rsidRPr="00242282">
        <w:rPr>
          <w:rFonts w:ascii="宋体" w:hAnsi="宋体"/>
          <w:sz w:val="24"/>
          <w:szCs w:val="28"/>
        </w:rPr>
        <w:t>GB 13078</w:t>
      </w:r>
      <w:r w:rsidRPr="00242282">
        <w:rPr>
          <w:rFonts w:ascii="宋体" w:hAnsi="宋体" w:hint="eastAsia"/>
          <w:sz w:val="24"/>
          <w:szCs w:val="28"/>
        </w:rPr>
        <w:t>的要求，加入一定量的矿物质营养盐溶液，调节水分含量为</w:t>
      </w:r>
      <w:r w:rsidRPr="00242282">
        <w:rPr>
          <w:rFonts w:ascii="宋体" w:hAnsi="宋体"/>
          <w:sz w:val="24"/>
          <w:szCs w:val="28"/>
        </w:rPr>
        <w:t>65%</w:t>
      </w:r>
      <w:r w:rsidRPr="00242282">
        <w:rPr>
          <w:rFonts w:ascii="宋体" w:hAnsi="宋体" w:hint="eastAsia"/>
          <w:sz w:val="24"/>
          <w:szCs w:val="28"/>
        </w:rPr>
        <w:t>。搅拌均匀。将处理后的发酵原料与发酵菌液充分混合，并置于发酵容器中。环境或物料温度控制在</w:t>
      </w:r>
      <w:r w:rsidRPr="00242282">
        <w:rPr>
          <w:rFonts w:ascii="宋体" w:hAnsi="宋体"/>
          <w:sz w:val="24"/>
          <w:szCs w:val="28"/>
        </w:rPr>
        <w:t xml:space="preserve"> 25～35 </w:t>
      </w:r>
      <w:r w:rsidRPr="00242282">
        <w:rPr>
          <w:rFonts w:ascii="宋体" w:hAnsi="宋体"/>
          <w:sz w:val="24"/>
          <w:szCs w:val="28"/>
        </w:rPr>
        <w:softHyphen/>
        <w:t>°C</w:t>
      </w:r>
      <w:r w:rsidRPr="00242282">
        <w:rPr>
          <w:rFonts w:ascii="宋体" w:hAnsi="宋体" w:hint="eastAsia"/>
          <w:sz w:val="24"/>
          <w:szCs w:val="28"/>
        </w:rPr>
        <w:t>，发酵时间一般不低于</w:t>
      </w:r>
      <w:r w:rsidRPr="00242282">
        <w:rPr>
          <w:rFonts w:ascii="宋体" w:hAnsi="宋体"/>
          <w:sz w:val="24"/>
          <w:szCs w:val="28"/>
        </w:rPr>
        <w:t xml:space="preserve"> 72</w:t>
      </w:r>
      <w:r w:rsidRPr="00242282">
        <w:rPr>
          <w:rFonts w:ascii="宋体" w:hAnsi="宋体" w:hint="eastAsia"/>
          <w:sz w:val="24"/>
          <w:szCs w:val="28"/>
        </w:rPr>
        <w:t xml:space="preserve"> 小时。发酵结束后进行晒干或烘干操作，便于发酵</w:t>
      </w:r>
      <w:proofErr w:type="gramStart"/>
      <w:r w:rsidRPr="00242282">
        <w:rPr>
          <w:rFonts w:ascii="宋体" w:hAnsi="宋体" w:hint="eastAsia"/>
          <w:sz w:val="24"/>
          <w:szCs w:val="28"/>
        </w:rPr>
        <w:t>柠</w:t>
      </w:r>
      <w:proofErr w:type="gramEnd"/>
      <w:r w:rsidRPr="00242282">
        <w:rPr>
          <w:rFonts w:ascii="宋体" w:hAnsi="宋体" w:hint="eastAsia"/>
          <w:sz w:val="24"/>
          <w:szCs w:val="28"/>
        </w:rPr>
        <w:t>条蛋白饲料的保藏。</w:t>
      </w:r>
    </w:p>
    <w:p w14:paraId="7FBC87FA"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(7)发酵罐的管理</w:t>
      </w:r>
    </w:p>
    <w:p w14:paraId="7EB96E9D"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定期消毒，保持清洁，防止污染，以免影响发酵质量。</w:t>
      </w:r>
    </w:p>
    <w:p w14:paraId="2AD57359"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（8）发酵饲料的品质控制</w:t>
      </w:r>
    </w:p>
    <w:p w14:paraId="59B6EFFA"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发酵蛋白饲料的品质控制是保证发酵饲料产品质量与安全的前提，标准规定了发酵完成后，取样、留样，按照产品标准对色泽、气味、蛋白含量、纤维素含量、黄曲霉毒素指标等进行检测。</w:t>
      </w:r>
    </w:p>
    <w:p w14:paraId="5A213112"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(9)发酵饲料使用</w:t>
      </w:r>
    </w:p>
    <w:p w14:paraId="466464EB"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发酵饲料的使用影响其在养殖生产中的饲喂效果，标准规定了发酵饲料使用时，要</w:t>
      </w:r>
      <w:proofErr w:type="gramStart"/>
      <w:r w:rsidRPr="00242282">
        <w:rPr>
          <w:rFonts w:ascii="宋体" w:hAnsi="宋体" w:hint="eastAsia"/>
          <w:sz w:val="24"/>
          <w:szCs w:val="28"/>
        </w:rPr>
        <w:t>注意日</w:t>
      </w:r>
      <w:proofErr w:type="gramEnd"/>
      <w:r w:rsidRPr="00242282">
        <w:rPr>
          <w:rFonts w:ascii="宋体" w:hAnsi="宋体" w:hint="eastAsia"/>
          <w:sz w:val="24"/>
          <w:szCs w:val="28"/>
        </w:rPr>
        <w:t>粮的营养平衡。一般饲喂量不超过总采食量25%。开封后的剩余料要密封保存。</w:t>
      </w:r>
    </w:p>
    <w:p w14:paraId="14805BFF"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(10)标签、包装、贮存和运输按 T/CSWSL 002-2018 实施。</w:t>
      </w:r>
    </w:p>
    <w:p w14:paraId="1B560A33" w14:textId="77777777" w:rsidR="00242282" w:rsidRPr="00242282" w:rsidRDefault="00242282" w:rsidP="00242282">
      <w:pPr>
        <w:pStyle w:val="1"/>
        <w:rPr>
          <w:rFonts w:hint="eastAsia"/>
        </w:rPr>
      </w:pPr>
      <w:bookmarkStart w:id="10" w:name="_Toc176463949"/>
      <w:r w:rsidRPr="00242282">
        <w:rPr>
          <w:rFonts w:hint="eastAsia"/>
        </w:rPr>
        <w:t>四、采用的国际标准</w:t>
      </w:r>
      <w:bookmarkEnd w:id="10"/>
    </w:p>
    <w:p w14:paraId="4ED201B8" w14:textId="77777777" w:rsidR="00242282" w:rsidRPr="00242282" w:rsidRDefault="00242282" w:rsidP="00242282">
      <w:pPr>
        <w:pStyle w:val="af1"/>
        <w:spacing w:line="360" w:lineRule="auto"/>
        <w:ind w:left="426" w:firstLineChars="29" w:firstLine="70"/>
        <w:jc w:val="left"/>
        <w:rPr>
          <w:rFonts w:ascii="宋体" w:hAnsi="宋体" w:hint="eastAsia"/>
          <w:sz w:val="24"/>
          <w:szCs w:val="28"/>
        </w:rPr>
      </w:pPr>
      <w:r w:rsidRPr="00242282">
        <w:rPr>
          <w:rFonts w:ascii="宋体" w:hAnsi="宋体" w:hint="eastAsia"/>
          <w:sz w:val="24"/>
          <w:szCs w:val="28"/>
        </w:rPr>
        <w:t>无。</w:t>
      </w:r>
    </w:p>
    <w:p w14:paraId="6998DCB6" w14:textId="77777777" w:rsidR="00242282" w:rsidRPr="00242282" w:rsidRDefault="00242282" w:rsidP="00242282">
      <w:pPr>
        <w:pStyle w:val="1"/>
        <w:rPr>
          <w:rFonts w:hint="eastAsia"/>
        </w:rPr>
      </w:pPr>
      <w:bookmarkStart w:id="11" w:name="_Toc176463950"/>
      <w:r w:rsidRPr="00242282">
        <w:rPr>
          <w:rFonts w:hint="eastAsia"/>
        </w:rPr>
        <w:t>五、与现行法律法规和强制性标准的关系</w:t>
      </w:r>
      <w:bookmarkEnd w:id="11"/>
    </w:p>
    <w:p w14:paraId="28582F66"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无。</w:t>
      </w:r>
    </w:p>
    <w:p w14:paraId="5A1F2A81" w14:textId="77777777" w:rsidR="00242282" w:rsidRPr="00242282" w:rsidRDefault="00242282" w:rsidP="00242282">
      <w:pPr>
        <w:pStyle w:val="1"/>
        <w:rPr>
          <w:rFonts w:hint="eastAsia"/>
        </w:rPr>
      </w:pPr>
      <w:bookmarkStart w:id="12" w:name="_Toc176463951"/>
      <w:r w:rsidRPr="00242282">
        <w:rPr>
          <w:rFonts w:hint="eastAsia"/>
        </w:rPr>
        <w:t>六、重大分歧意见的处理经过和依据</w:t>
      </w:r>
      <w:bookmarkEnd w:id="12"/>
    </w:p>
    <w:p w14:paraId="78AE7785"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无。</w:t>
      </w:r>
    </w:p>
    <w:p w14:paraId="582C0F4B" w14:textId="77777777" w:rsidR="00242282" w:rsidRPr="00242282" w:rsidRDefault="00242282" w:rsidP="00242282">
      <w:pPr>
        <w:pStyle w:val="1"/>
        <w:rPr>
          <w:rFonts w:hint="eastAsia"/>
        </w:rPr>
      </w:pPr>
      <w:bookmarkStart w:id="13" w:name="_Toc176463952"/>
      <w:r w:rsidRPr="00242282">
        <w:rPr>
          <w:rFonts w:hint="eastAsia"/>
        </w:rPr>
        <w:t>七、标准作为强制性或推荐性标准的意见</w:t>
      </w:r>
      <w:bookmarkEnd w:id="13"/>
    </w:p>
    <w:p w14:paraId="2D539254"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无。</w:t>
      </w:r>
    </w:p>
    <w:p w14:paraId="7A21716F" w14:textId="77777777" w:rsidR="00242282" w:rsidRPr="00242282" w:rsidRDefault="00242282" w:rsidP="00242282">
      <w:pPr>
        <w:pStyle w:val="1"/>
        <w:rPr>
          <w:rFonts w:hint="eastAsia"/>
        </w:rPr>
      </w:pPr>
      <w:bookmarkStart w:id="14" w:name="_Toc176463953"/>
      <w:r w:rsidRPr="00242282">
        <w:rPr>
          <w:rFonts w:hint="eastAsia"/>
        </w:rPr>
        <w:t>八、贯彻标准的要求和措施建议</w:t>
      </w:r>
      <w:bookmarkEnd w:id="14"/>
    </w:p>
    <w:p w14:paraId="7009B61E" w14:textId="77777777"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组织学习国家标准，加大对标准的宣传和贯彻力度，标准委员会作为企业之间的桥梁，做好沟通，推进行业的进一步发展。</w:t>
      </w:r>
    </w:p>
    <w:p w14:paraId="3F9C9469" w14:textId="77777777" w:rsidR="00242282" w:rsidRPr="00242282" w:rsidRDefault="00242282" w:rsidP="00242282">
      <w:pPr>
        <w:pStyle w:val="1"/>
        <w:rPr>
          <w:rFonts w:hint="eastAsia"/>
        </w:rPr>
      </w:pPr>
      <w:bookmarkStart w:id="15" w:name="_Toc176463954"/>
      <w:r w:rsidRPr="00242282">
        <w:rPr>
          <w:rFonts w:hint="eastAsia"/>
        </w:rPr>
        <w:t>九、废止现行有关标准的建议</w:t>
      </w:r>
      <w:bookmarkEnd w:id="15"/>
    </w:p>
    <w:p w14:paraId="2848FCD8" w14:textId="0BA7F0F3" w:rsidR="00242282" w:rsidRPr="00242282" w:rsidRDefault="00242282" w:rsidP="00242282">
      <w:pPr>
        <w:spacing w:line="360" w:lineRule="auto"/>
        <w:ind w:firstLineChars="202" w:firstLine="485"/>
        <w:rPr>
          <w:rFonts w:ascii="宋体" w:hAnsi="宋体" w:hint="eastAsia"/>
          <w:sz w:val="24"/>
          <w:szCs w:val="28"/>
        </w:rPr>
      </w:pPr>
      <w:r w:rsidRPr="00242282">
        <w:rPr>
          <w:rFonts w:ascii="宋体" w:hAnsi="宋体" w:hint="eastAsia"/>
          <w:sz w:val="24"/>
          <w:szCs w:val="28"/>
        </w:rPr>
        <w:t>无。</w:t>
      </w:r>
    </w:p>
    <w:p w14:paraId="203C2692" w14:textId="1318AFA1" w:rsidR="00487FAD" w:rsidRDefault="00487FAD" w:rsidP="00242282">
      <w:pPr>
        <w:pStyle w:val="1"/>
        <w:rPr>
          <w:color w:val="000000"/>
          <w:sz w:val="24"/>
        </w:rPr>
      </w:pPr>
    </w:p>
    <w:sectPr w:rsidR="00487FAD">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02480" w14:textId="77777777" w:rsidR="006C7E17" w:rsidRDefault="006C7E17">
      <w:r>
        <w:separator/>
      </w:r>
    </w:p>
  </w:endnote>
  <w:endnote w:type="continuationSeparator" w:id="0">
    <w:p w14:paraId="3668700E" w14:textId="77777777" w:rsidR="006C7E17" w:rsidRDefault="006C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5B6A" w14:textId="77777777" w:rsidR="00000000"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7953E678" w14:textId="77777777" w:rsidR="00000000" w:rsidRDefault="00000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A72C" w14:textId="77777777" w:rsidR="00000000"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1BF225BE"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89F68" w14:textId="77777777" w:rsidR="006C7E17" w:rsidRDefault="006C7E17">
      <w:r>
        <w:separator/>
      </w:r>
    </w:p>
  </w:footnote>
  <w:footnote w:type="continuationSeparator" w:id="0">
    <w:p w14:paraId="77CBD47E" w14:textId="77777777" w:rsidR="006C7E17" w:rsidRDefault="006C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abstractNum w:abstractNumId="1" w15:restartNumberingAfterBreak="0">
    <w:nsid w:val="4D2121C9"/>
    <w:multiLevelType w:val="hybridMultilevel"/>
    <w:tmpl w:val="BAFE4BA2"/>
    <w:lvl w:ilvl="0" w:tplc="0FC44A8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E4D1E98"/>
    <w:multiLevelType w:val="hybridMultilevel"/>
    <w:tmpl w:val="EFC4C448"/>
    <w:lvl w:ilvl="0" w:tplc="41CA534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87872978">
    <w:abstractNumId w:val="0"/>
  </w:num>
  <w:num w:numId="2" w16cid:durableId="1821337429">
    <w:abstractNumId w:val="1"/>
  </w:num>
  <w:num w:numId="3" w16cid:durableId="11995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2282"/>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C7E17"/>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AD8DF"/>
  <w15:chartTrackingRefBased/>
  <w15:docId w15:val="{372F8BE7-DCE1-4CD3-9D32-427A1911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lang w:val="en-US" w:eastAsia="zh-CN"/>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264E4C"/>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604</Words>
  <Characters>3443</Characters>
  <Application>Microsoft Office Word</Application>
  <DocSecurity>0</DocSecurity>
  <Lines>28</Lines>
  <Paragraphs>8</Paragraphs>
  <ScaleCrop>false</ScaleCrop>
  <Company>Lenovo</Company>
  <LinksUpToDate>false</LinksUpToDate>
  <CharactersWithSpaces>4039</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2</cp:revision>
  <cp:lastPrinted>2021-10-27T07:09:00Z</cp:lastPrinted>
  <dcterms:created xsi:type="dcterms:W3CDTF">2024-09-05T13:26:00Z</dcterms:created>
  <dcterms:modified xsi:type="dcterms:W3CDTF">2024-09-05T13:26:00Z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