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D425" w14:textId="77777777" w:rsidR="00680E62" w:rsidRPr="00A06411" w:rsidRDefault="00000000">
      <w:pPr>
        <w:jc w:val="left"/>
        <w:rPr>
          <w:szCs w:val="21"/>
        </w:rPr>
      </w:pPr>
      <w:r w:rsidRPr="00A06411">
        <w:rPr>
          <w:szCs w:val="21"/>
        </w:rPr>
        <w:t>ICS 65. 120</w:t>
      </w:r>
    </w:p>
    <w:p w14:paraId="372B5C7A" w14:textId="10A19205" w:rsidR="00680E62" w:rsidRDefault="00000000">
      <w:pPr>
        <w:jc w:val="left"/>
        <w:rPr>
          <w:szCs w:val="21"/>
        </w:rPr>
      </w:pPr>
      <w:r w:rsidRPr="00A06411">
        <w:rPr>
          <w:szCs w:val="21"/>
        </w:rPr>
        <w:t>B 20</w:t>
      </w:r>
    </w:p>
    <w:p w14:paraId="15878013" w14:textId="77777777" w:rsidR="00680E62" w:rsidRDefault="00680E62">
      <w:pPr>
        <w:jc w:val="center"/>
        <w:rPr>
          <w:szCs w:val="21"/>
        </w:rPr>
      </w:pPr>
    </w:p>
    <w:p w14:paraId="0A4924E2" w14:textId="77777777" w:rsidR="00680E62" w:rsidRDefault="00680E62">
      <w:pPr>
        <w:jc w:val="center"/>
        <w:rPr>
          <w:szCs w:val="21"/>
        </w:rPr>
      </w:pPr>
    </w:p>
    <w:p w14:paraId="3318AC9F" w14:textId="77777777" w:rsidR="00680E62" w:rsidRDefault="00680E62">
      <w:pPr>
        <w:jc w:val="center"/>
        <w:rPr>
          <w:szCs w:val="21"/>
        </w:rPr>
      </w:pPr>
    </w:p>
    <w:p w14:paraId="54A32448" w14:textId="77777777" w:rsidR="00680E62" w:rsidRDefault="00000000">
      <w:pPr>
        <w:jc w:val="center"/>
        <w:rPr>
          <w:rFonts w:eastAsia="黑体"/>
          <w:sz w:val="84"/>
          <w:szCs w:val="84"/>
        </w:rPr>
      </w:pPr>
      <w:r>
        <w:rPr>
          <w:rFonts w:eastAsia="黑体"/>
          <w:sz w:val="84"/>
          <w:szCs w:val="84"/>
        </w:rPr>
        <w:t>团</w:t>
      </w:r>
      <w:r>
        <w:rPr>
          <w:rFonts w:eastAsia="黑体" w:hint="eastAsia"/>
          <w:sz w:val="84"/>
          <w:szCs w:val="84"/>
        </w:rPr>
        <w:t xml:space="preserve"> </w:t>
      </w:r>
      <w:r>
        <w:rPr>
          <w:rFonts w:eastAsia="黑体"/>
          <w:sz w:val="84"/>
          <w:szCs w:val="84"/>
        </w:rPr>
        <w:t>体</w:t>
      </w:r>
      <w:r>
        <w:rPr>
          <w:rFonts w:eastAsia="黑体" w:hint="eastAsia"/>
          <w:sz w:val="84"/>
          <w:szCs w:val="84"/>
        </w:rPr>
        <w:t xml:space="preserve"> </w:t>
      </w:r>
      <w:r>
        <w:rPr>
          <w:rFonts w:eastAsia="黑体"/>
          <w:sz w:val="84"/>
          <w:szCs w:val="84"/>
        </w:rPr>
        <w:t>标</w:t>
      </w:r>
      <w:r>
        <w:rPr>
          <w:rFonts w:eastAsia="黑体" w:hint="eastAsia"/>
          <w:sz w:val="84"/>
          <w:szCs w:val="84"/>
        </w:rPr>
        <w:t xml:space="preserve"> </w:t>
      </w:r>
      <w:r>
        <w:rPr>
          <w:rFonts w:eastAsia="黑体"/>
          <w:sz w:val="84"/>
          <w:szCs w:val="84"/>
        </w:rPr>
        <w:t>准</w:t>
      </w:r>
    </w:p>
    <w:p w14:paraId="0030E3C7" w14:textId="77777777" w:rsidR="00680E62" w:rsidRDefault="00680E62">
      <w:pPr>
        <w:jc w:val="center"/>
        <w:rPr>
          <w:rFonts w:eastAsia="黑体"/>
          <w:sz w:val="84"/>
          <w:szCs w:val="84"/>
        </w:rPr>
      </w:pPr>
    </w:p>
    <w:p w14:paraId="11B3B3CD" w14:textId="77777777" w:rsidR="00680E62" w:rsidRDefault="00000000">
      <w:pPr>
        <w:jc w:val="right"/>
        <w:rPr>
          <w:b/>
          <w:szCs w:val="21"/>
        </w:rPr>
      </w:pPr>
      <w:r>
        <w:rPr>
          <w:b/>
          <w:szCs w:val="21"/>
        </w:rPr>
        <w:t>T/HXCY XXX-XXXX</w:t>
      </w:r>
    </w:p>
    <w:p w14:paraId="36058A8D" w14:textId="77777777" w:rsidR="00680E62" w:rsidRDefault="00000000">
      <w:pPr>
        <w:jc w:val="left"/>
        <w:rPr>
          <w:szCs w:val="21"/>
          <w:u w:val="single"/>
        </w:rPr>
      </w:pPr>
      <w:r>
        <w:rPr>
          <w:szCs w:val="21"/>
          <w:u w:val="single"/>
        </w:rPr>
        <w:t xml:space="preserve">                                                                               </w:t>
      </w:r>
    </w:p>
    <w:p w14:paraId="4AD3075E" w14:textId="77777777" w:rsidR="00680E62" w:rsidRDefault="00680E62">
      <w:pPr>
        <w:jc w:val="left"/>
        <w:rPr>
          <w:szCs w:val="21"/>
          <w:u w:val="single"/>
        </w:rPr>
      </w:pPr>
    </w:p>
    <w:p w14:paraId="1CCE8C86" w14:textId="77777777" w:rsidR="00680E62" w:rsidRDefault="00680E62">
      <w:pPr>
        <w:jc w:val="left"/>
        <w:rPr>
          <w:szCs w:val="21"/>
          <w:u w:val="single"/>
        </w:rPr>
      </w:pPr>
    </w:p>
    <w:p w14:paraId="3AF1AF52" w14:textId="77777777" w:rsidR="00680E62" w:rsidRDefault="00000000">
      <w:pPr>
        <w:jc w:val="center"/>
        <w:rPr>
          <w:rFonts w:eastAsia="黑体"/>
          <w:sz w:val="52"/>
          <w:szCs w:val="52"/>
        </w:rPr>
      </w:pPr>
      <w:r>
        <w:rPr>
          <w:rFonts w:eastAsia="黑体"/>
          <w:sz w:val="52"/>
          <w:szCs w:val="52"/>
        </w:rPr>
        <w:t>狼尾草属牧草窖</w:t>
      </w:r>
      <w:proofErr w:type="gramStart"/>
      <w:r>
        <w:rPr>
          <w:rFonts w:eastAsia="黑体"/>
          <w:sz w:val="52"/>
          <w:szCs w:val="52"/>
        </w:rPr>
        <w:t>贮技术</w:t>
      </w:r>
      <w:proofErr w:type="gramEnd"/>
      <w:r>
        <w:rPr>
          <w:rFonts w:eastAsia="黑体"/>
          <w:sz w:val="52"/>
          <w:szCs w:val="52"/>
        </w:rPr>
        <w:t>规程</w:t>
      </w:r>
    </w:p>
    <w:p w14:paraId="5D875E98" w14:textId="77777777" w:rsidR="00680E62" w:rsidRDefault="00000000">
      <w:pPr>
        <w:jc w:val="center"/>
        <w:rPr>
          <w:rFonts w:eastAsia="黑体"/>
          <w:szCs w:val="21"/>
        </w:rPr>
      </w:pPr>
      <w:r>
        <w:rPr>
          <w:b/>
          <w:sz w:val="28"/>
          <w:szCs w:val="28"/>
        </w:rPr>
        <w:t>Technical regulations for Pennisetum forage cellar silage</w:t>
      </w:r>
    </w:p>
    <w:p w14:paraId="2D44C569" w14:textId="77777777" w:rsidR="00680E62" w:rsidRDefault="00000000">
      <w:pPr>
        <w:jc w:val="center"/>
        <w:rPr>
          <w:rFonts w:eastAsia="黑体"/>
          <w:sz w:val="24"/>
        </w:rPr>
      </w:pPr>
      <w:r>
        <w:rPr>
          <w:rFonts w:eastAsia="黑体" w:hint="eastAsia"/>
          <w:sz w:val="24"/>
        </w:rPr>
        <w:t>（征求意见稿）</w:t>
      </w:r>
    </w:p>
    <w:p w14:paraId="42561EF7" w14:textId="77777777" w:rsidR="00680E62" w:rsidRDefault="00680E62">
      <w:pPr>
        <w:jc w:val="center"/>
        <w:rPr>
          <w:rFonts w:eastAsia="黑体"/>
          <w:szCs w:val="21"/>
        </w:rPr>
      </w:pPr>
    </w:p>
    <w:p w14:paraId="7CEED10E" w14:textId="77777777" w:rsidR="00680E62" w:rsidRDefault="00680E62">
      <w:pPr>
        <w:jc w:val="center"/>
        <w:rPr>
          <w:rFonts w:eastAsia="黑体"/>
          <w:szCs w:val="21"/>
        </w:rPr>
      </w:pPr>
    </w:p>
    <w:p w14:paraId="13A650D0" w14:textId="77777777" w:rsidR="00680E62" w:rsidRDefault="00680E62">
      <w:pPr>
        <w:rPr>
          <w:rFonts w:eastAsia="黑体"/>
          <w:szCs w:val="21"/>
        </w:rPr>
      </w:pPr>
    </w:p>
    <w:p w14:paraId="62823830" w14:textId="77777777" w:rsidR="00680E62" w:rsidRDefault="00680E62">
      <w:pPr>
        <w:rPr>
          <w:rFonts w:eastAsia="黑体"/>
          <w:szCs w:val="21"/>
        </w:rPr>
      </w:pPr>
    </w:p>
    <w:p w14:paraId="32FE39C5" w14:textId="77777777" w:rsidR="00680E62" w:rsidRDefault="00680E62">
      <w:pPr>
        <w:rPr>
          <w:rFonts w:eastAsia="黑体"/>
          <w:szCs w:val="21"/>
        </w:rPr>
      </w:pPr>
    </w:p>
    <w:p w14:paraId="0398737A" w14:textId="77777777" w:rsidR="00680E62" w:rsidRDefault="00680E62">
      <w:pPr>
        <w:rPr>
          <w:rFonts w:eastAsia="黑体"/>
          <w:szCs w:val="21"/>
        </w:rPr>
      </w:pPr>
    </w:p>
    <w:p w14:paraId="39427510" w14:textId="77777777" w:rsidR="00680E62" w:rsidRDefault="00680E62">
      <w:pPr>
        <w:rPr>
          <w:rFonts w:eastAsia="黑体"/>
          <w:szCs w:val="21"/>
        </w:rPr>
      </w:pPr>
    </w:p>
    <w:p w14:paraId="7FB60515" w14:textId="77777777" w:rsidR="00680E62" w:rsidRDefault="00680E62">
      <w:pPr>
        <w:rPr>
          <w:rFonts w:eastAsia="黑体"/>
          <w:szCs w:val="21"/>
        </w:rPr>
      </w:pPr>
    </w:p>
    <w:p w14:paraId="390910C8" w14:textId="77777777" w:rsidR="00680E62" w:rsidRDefault="00680E62">
      <w:pPr>
        <w:rPr>
          <w:rFonts w:eastAsia="黑体"/>
          <w:szCs w:val="21"/>
        </w:rPr>
      </w:pPr>
    </w:p>
    <w:p w14:paraId="3B57EFDF" w14:textId="77777777" w:rsidR="00680E62" w:rsidRDefault="00680E62">
      <w:pPr>
        <w:rPr>
          <w:rFonts w:eastAsia="黑体"/>
          <w:szCs w:val="21"/>
        </w:rPr>
      </w:pPr>
    </w:p>
    <w:p w14:paraId="2F49A415" w14:textId="77777777" w:rsidR="00680E62" w:rsidRDefault="00680E62">
      <w:pPr>
        <w:rPr>
          <w:rFonts w:eastAsia="黑体"/>
          <w:szCs w:val="21"/>
        </w:rPr>
      </w:pPr>
    </w:p>
    <w:p w14:paraId="281BF1E2" w14:textId="77777777" w:rsidR="00680E62" w:rsidRDefault="00680E62">
      <w:pPr>
        <w:rPr>
          <w:rFonts w:eastAsia="黑体"/>
          <w:szCs w:val="21"/>
        </w:rPr>
      </w:pPr>
    </w:p>
    <w:p w14:paraId="55D21E82" w14:textId="77777777" w:rsidR="00680E62" w:rsidRDefault="00680E62">
      <w:pPr>
        <w:rPr>
          <w:rFonts w:eastAsia="黑体"/>
          <w:szCs w:val="21"/>
        </w:rPr>
      </w:pPr>
    </w:p>
    <w:p w14:paraId="2A4EC186" w14:textId="77777777" w:rsidR="00680E62" w:rsidRDefault="00680E62">
      <w:pPr>
        <w:rPr>
          <w:rFonts w:eastAsia="黑体"/>
          <w:szCs w:val="21"/>
        </w:rPr>
      </w:pPr>
    </w:p>
    <w:p w14:paraId="34C37EBB" w14:textId="77777777" w:rsidR="00680E62" w:rsidRDefault="00680E62">
      <w:pPr>
        <w:rPr>
          <w:rFonts w:eastAsia="黑体"/>
          <w:szCs w:val="21"/>
        </w:rPr>
      </w:pPr>
    </w:p>
    <w:p w14:paraId="4C53FD9A" w14:textId="77777777" w:rsidR="00680E62" w:rsidRDefault="00680E62">
      <w:pPr>
        <w:rPr>
          <w:rFonts w:eastAsia="黑体"/>
          <w:szCs w:val="21"/>
        </w:rPr>
      </w:pPr>
    </w:p>
    <w:p w14:paraId="01B5D0F3" w14:textId="77777777" w:rsidR="00680E62" w:rsidRDefault="00680E62">
      <w:pPr>
        <w:rPr>
          <w:rFonts w:eastAsia="黑体"/>
          <w:szCs w:val="21"/>
        </w:rPr>
      </w:pPr>
    </w:p>
    <w:p w14:paraId="0A3D842B" w14:textId="77777777" w:rsidR="00680E62" w:rsidRDefault="00680E62">
      <w:pPr>
        <w:rPr>
          <w:rFonts w:eastAsia="黑体"/>
          <w:szCs w:val="21"/>
        </w:rPr>
      </w:pPr>
    </w:p>
    <w:p w14:paraId="6E76FB40" w14:textId="77777777" w:rsidR="00680E62" w:rsidRDefault="00000000">
      <w:pPr>
        <w:jc w:val="left"/>
        <w:rPr>
          <w:rFonts w:eastAsia="黑体"/>
          <w:szCs w:val="21"/>
          <w:u w:val="single"/>
        </w:rPr>
      </w:pPr>
      <w:r>
        <w:rPr>
          <w:rFonts w:eastAsia="黑体"/>
          <w:szCs w:val="21"/>
          <w:u w:val="single"/>
        </w:rPr>
        <w:t xml:space="preserve">XXXX-XX-XX </w:t>
      </w:r>
      <w:r>
        <w:rPr>
          <w:rFonts w:eastAsia="黑体"/>
          <w:szCs w:val="21"/>
          <w:u w:val="single"/>
        </w:rPr>
        <w:t>发布</w:t>
      </w:r>
      <w:r>
        <w:rPr>
          <w:rFonts w:eastAsia="黑体"/>
          <w:szCs w:val="21"/>
          <w:u w:val="single"/>
        </w:rPr>
        <w:t xml:space="preserve">                                           XXXX-XX-XX </w:t>
      </w:r>
      <w:r>
        <w:rPr>
          <w:rFonts w:eastAsia="黑体"/>
          <w:szCs w:val="21"/>
          <w:u w:val="single"/>
        </w:rPr>
        <w:t>实施</w:t>
      </w:r>
    </w:p>
    <w:p w14:paraId="6591AF39" w14:textId="77777777" w:rsidR="00680E62" w:rsidRDefault="00680E62">
      <w:pPr>
        <w:jc w:val="center"/>
        <w:rPr>
          <w:rFonts w:eastAsia="黑体"/>
          <w:szCs w:val="21"/>
          <w:u w:val="single"/>
        </w:rPr>
      </w:pPr>
    </w:p>
    <w:p w14:paraId="20FC09FB" w14:textId="77777777" w:rsidR="00680E62" w:rsidRDefault="00000000">
      <w:pPr>
        <w:jc w:val="center"/>
        <w:rPr>
          <w:rFonts w:eastAsia="黑体"/>
          <w:szCs w:val="21"/>
        </w:rPr>
      </w:pPr>
      <w:r>
        <w:rPr>
          <w:rFonts w:eastAsia="黑体"/>
          <w:szCs w:val="21"/>
        </w:rPr>
        <w:t>北京华夏草业产业技术创新战略联盟发布</w:t>
      </w:r>
    </w:p>
    <w:p w14:paraId="25B012E8" w14:textId="77777777" w:rsidR="00680E62" w:rsidRDefault="00680E62">
      <w:pPr>
        <w:jc w:val="center"/>
        <w:rPr>
          <w:rFonts w:eastAsia="黑体"/>
          <w:szCs w:val="21"/>
        </w:rPr>
        <w:sectPr w:rsidR="00680E62">
          <w:pgSz w:w="11906" w:h="16838"/>
          <w:pgMar w:top="1440" w:right="1800" w:bottom="1440" w:left="1800" w:header="1418" w:footer="1134" w:gutter="0"/>
          <w:pgNumType w:fmt="upperRoman" w:start="1"/>
          <w:cols w:space="425"/>
          <w:formProt w:val="0"/>
          <w:docGrid w:type="lines" w:linePitch="312"/>
        </w:sectPr>
      </w:pPr>
    </w:p>
    <w:p w14:paraId="268A06E7" w14:textId="77777777" w:rsidR="00680E62" w:rsidRDefault="00000000">
      <w:pPr>
        <w:pStyle w:val="TOC1"/>
        <w:spacing w:before="312" w:after="312"/>
        <w:rPr>
          <w:rFonts w:ascii="Times New Roman" w:hAnsi="Times New Roman"/>
        </w:rPr>
      </w:pPr>
      <w:r>
        <w:rPr>
          <w:rFonts w:ascii="Times New Roman" w:hAnsi="Times New Roman"/>
        </w:rPr>
        <w:lastRenderedPageBreak/>
        <w:t>目</w:t>
      </w:r>
      <w:r>
        <w:rPr>
          <w:rFonts w:ascii="Times New Roman" w:hAnsi="Times New Roman"/>
        </w:rPr>
        <w:t xml:space="preserve">  </w:t>
      </w:r>
      <w:r>
        <w:rPr>
          <w:rFonts w:ascii="Times New Roman" w:hAnsi="Times New Roman"/>
        </w:rPr>
        <w:t>次</w:t>
      </w:r>
    </w:p>
    <w:p w14:paraId="196E4B98" w14:textId="77777777" w:rsidR="00680E62" w:rsidRDefault="00000000">
      <w:pPr>
        <w:pStyle w:val="TOC1"/>
        <w:tabs>
          <w:tab w:val="clear" w:pos="8296"/>
          <w:tab w:val="right" w:leader="dot" w:pos="8306"/>
        </w:tabs>
        <w:spacing w:line="360" w:lineRule="auto"/>
        <w:rPr>
          <w:rFonts w:ascii="Times New Roman" w:eastAsia="宋体" w:hAnsi="Times New Roman"/>
          <w:sz w:val="21"/>
          <w:szCs w:val="21"/>
        </w:rPr>
      </w:pPr>
      <w:r>
        <w:rPr>
          <w:rFonts w:ascii="Times New Roman" w:eastAsia="宋体" w:hAnsi="Times New Roman"/>
          <w:sz w:val="21"/>
          <w:szCs w:val="21"/>
        </w:rPr>
        <w:fldChar w:fldCharType="begin"/>
      </w:r>
      <w:r>
        <w:rPr>
          <w:rFonts w:ascii="Times New Roman" w:eastAsia="宋体" w:hAnsi="Times New Roman"/>
          <w:sz w:val="21"/>
          <w:szCs w:val="21"/>
        </w:rPr>
        <w:instrText xml:space="preserve"> TOC \o "1-3" \h \z \u </w:instrText>
      </w:r>
      <w:r>
        <w:rPr>
          <w:rFonts w:ascii="Times New Roman" w:eastAsia="宋体" w:hAnsi="Times New Roman"/>
          <w:sz w:val="21"/>
          <w:szCs w:val="21"/>
        </w:rPr>
        <w:fldChar w:fldCharType="separate"/>
      </w:r>
      <w:hyperlink w:anchor="_Toc18158" w:history="1">
        <w:r>
          <w:rPr>
            <w:rFonts w:ascii="Times New Roman" w:eastAsia="宋体" w:hAnsi="Times New Roman"/>
            <w:sz w:val="21"/>
            <w:szCs w:val="21"/>
          </w:rPr>
          <w:t>前</w:t>
        </w:r>
        <w:r>
          <w:rPr>
            <w:rFonts w:ascii="Times New Roman" w:eastAsia="宋体" w:hAnsi="Times New Roman"/>
            <w:sz w:val="21"/>
            <w:szCs w:val="21"/>
          </w:rPr>
          <w:t> </w:t>
        </w:r>
        <w:r>
          <w:rPr>
            <w:rFonts w:ascii="Times New Roman" w:eastAsia="宋体" w:hAnsi="Times New Roman"/>
            <w:sz w:val="21"/>
            <w:szCs w:val="21"/>
          </w:rPr>
          <w:t>言</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_Toc18158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II</w:t>
        </w:r>
        <w:r>
          <w:rPr>
            <w:rFonts w:ascii="Times New Roman" w:eastAsia="宋体" w:hAnsi="Times New Roman"/>
            <w:sz w:val="21"/>
            <w:szCs w:val="21"/>
          </w:rPr>
          <w:fldChar w:fldCharType="end"/>
        </w:r>
      </w:hyperlink>
    </w:p>
    <w:p w14:paraId="4A72A850" w14:textId="77777777" w:rsidR="00680E62" w:rsidRDefault="00000000">
      <w:pPr>
        <w:pStyle w:val="TOC2"/>
        <w:tabs>
          <w:tab w:val="right" w:leader="dot" w:pos="8306"/>
        </w:tabs>
        <w:spacing w:line="360" w:lineRule="auto"/>
        <w:ind w:leftChars="0" w:left="0"/>
        <w:rPr>
          <w:szCs w:val="21"/>
        </w:rPr>
      </w:pPr>
      <w:hyperlink w:anchor="_Toc32042" w:history="1">
        <w:r>
          <w:rPr>
            <w:szCs w:val="21"/>
          </w:rPr>
          <w:t xml:space="preserve">1 </w:t>
        </w:r>
        <w:r>
          <w:rPr>
            <w:szCs w:val="21"/>
          </w:rPr>
          <w:t>范围</w:t>
        </w:r>
        <w:r>
          <w:rPr>
            <w:szCs w:val="21"/>
          </w:rPr>
          <w:tab/>
        </w:r>
        <w:r>
          <w:rPr>
            <w:szCs w:val="21"/>
          </w:rPr>
          <w:fldChar w:fldCharType="begin"/>
        </w:r>
        <w:r>
          <w:rPr>
            <w:szCs w:val="21"/>
          </w:rPr>
          <w:instrText xml:space="preserve"> PAGEREF _Toc32042 \h </w:instrText>
        </w:r>
        <w:r>
          <w:rPr>
            <w:szCs w:val="21"/>
          </w:rPr>
        </w:r>
        <w:r>
          <w:rPr>
            <w:szCs w:val="21"/>
          </w:rPr>
          <w:fldChar w:fldCharType="separate"/>
        </w:r>
        <w:r>
          <w:rPr>
            <w:szCs w:val="21"/>
          </w:rPr>
          <w:t>1</w:t>
        </w:r>
        <w:r>
          <w:rPr>
            <w:szCs w:val="21"/>
          </w:rPr>
          <w:fldChar w:fldCharType="end"/>
        </w:r>
      </w:hyperlink>
    </w:p>
    <w:p w14:paraId="226DEECA" w14:textId="77777777" w:rsidR="00680E62" w:rsidRDefault="00000000">
      <w:pPr>
        <w:pStyle w:val="TOC2"/>
        <w:tabs>
          <w:tab w:val="right" w:leader="dot" w:pos="8306"/>
        </w:tabs>
        <w:spacing w:line="360" w:lineRule="auto"/>
        <w:ind w:leftChars="0" w:left="0"/>
        <w:rPr>
          <w:szCs w:val="21"/>
        </w:rPr>
      </w:pPr>
      <w:hyperlink w:anchor="_Toc139" w:history="1">
        <w:r>
          <w:rPr>
            <w:szCs w:val="21"/>
          </w:rPr>
          <w:t xml:space="preserve">2 </w:t>
        </w:r>
        <w:r>
          <w:rPr>
            <w:szCs w:val="21"/>
          </w:rPr>
          <w:t>规范性引用文件</w:t>
        </w:r>
        <w:r>
          <w:rPr>
            <w:szCs w:val="21"/>
          </w:rPr>
          <w:tab/>
        </w:r>
        <w:r>
          <w:rPr>
            <w:szCs w:val="21"/>
          </w:rPr>
          <w:fldChar w:fldCharType="begin"/>
        </w:r>
        <w:r>
          <w:rPr>
            <w:szCs w:val="21"/>
          </w:rPr>
          <w:instrText xml:space="preserve"> PAGEREF _Toc139 \h </w:instrText>
        </w:r>
        <w:r>
          <w:rPr>
            <w:szCs w:val="21"/>
          </w:rPr>
        </w:r>
        <w:r>
          <w:rPr>
            <w:szCs w:val="21"/>
          </w:rPr>
          <w:fldChar w:fldCharType="separate"/>
        </w:r>
        <w:r>
          <w:rPr>
            <w:szCs w:val="21"/>
          </w:rPr>
          <w:t>1</w:t>
        </w:r>
        <w:r>
          <w:rPr>
            <w:szCs w:val="21"/>
          </w:rPr>
          <w:fldChar w:fldCharType="end"/>
        </w:r>
      </w:hyperlink>
    </w:p>
    <w:p w14:paraId="442E1CB6" w14:textId="77777777" w:rsidR="00680E62" w:rsidRDefault="00000000">
      <w:pPr>
        <w:pStyle w:val="TOC2"/>
        <w:tabs>
          <w:tab w:val="right" w:leader="dot" w:pos="8306"/>
        </w:tabs>
        <w:spacing w:line="360" w:lineRule="auto"/>
        <w:ind w:leftChars="0" w:left="0"/>
        <w:rPr>
          <w:szCs w:val="21"/>
        </w:rPr>
      </w:pPr>
      <w:hyperlink w:anchor="_Toc27100" w:history="1">
        <w:r>
          <w:rPr>
            <w:szCs w:val="21"/>
          </w:rPr>
          <w:t xml:space="preserve">3 </w:t>
        </w:r>
        <w:r>
          <w:rPr>
            <w:szCs w:val="21"/>
          </w:rPr>
          <w:t>术语和定义</w:t>
        </w:r>
        <w:r>
          <w:rPr>
            <w:szCs w:val="21"/>
          </w:rPr>
          <w:tab/>
        </w:r>
        <w:r>
          <w:rPr>
            <w:szCs w:val="21"/>
          </w:rPr>
          <w:fldChar w:fldCharType="begin"/>
        </w:r>
        <w:r>
          <w:rPr>
            <w:szCs w:val="21"/>
          </w:rPr>
          <w:instrText xml:space="preserve"> PAGEREF _Toc27100 \h </w:instrText>
        </w:r>
        <w:r>
          <w:rPr>
            <w:szCs w:val="21"/>
          </w:rPr>
        </w:r>
        <w:r>
          <w:rPr>
            <w:szCs w:val="21"/>
          </w:rPr>
          <w:fldChar w:fldCharType="separate"/>
        </w:r>
        <w:r>
          <w:rPr>
            <w:szCs w:val="21"/>
          </w:rPr>
          <w:t>1</w:t>
        </w:r>
        <w:r>
          <w:rPr>
            <w:szCs w:val="21"/>
          </w:rPr>
          <w:fldChar w:fldCharType="end"/>
        </w:r>
      </w:hyperlink>
    </w:p>
    <w:p w14:paraId="080BAC3C" w14:textId="77777777" w:rsidR="00680E62" w:rsidRDefault="00000000">
      <w:pPr>
        <w:pStyle w:val="TOC2"/>
        <w:tabs>
          <w:tab w:val="right" w:leader="dot" w:pos="8306"/>
        </w:tabs>
        <w:spacing w:line="360" w:lineRule="auto"/>
        <w:ind w:leftChars="0" w:left="0"/>
        <w:rPr>
          <w:szCs w:val="21"/>
        </w:rPr>
      </w:pPr>
      <w:hyperlink w:anchor="_Toc11130" w:history="1">
        <w:r>
          <w:rPr>
            <w:szCs w:val="21"/>
          </w:rPr>
          <w:t xml:space="preserve">4 </w:t>
        </w:r>
        <w:r>
          <w:rPr>
            <w:szCs w:val="21"/>
          </w:rPr>
          <w:t>调制加工流程</w:t>
        </w:r>
        <w:r>
          <w:rPr>
            <w:szCs w:val="21"/>
          </w:rPr>
          <w:tab/>
        </w:r>
        <w:r>
          <w:rPr>
            <w:szCs w:val="21"/>
          </w:rPr>
          <w:fldChar w:fldCharType="begin"/>
        </w:r>
        <w:r>
          <w:rPr>
            <w:szCs w:val="21"/>
          </w:rPr>
          <w:instrText xml:space="preserve"> PAGEREF _Toc11130 \h </w:instrText>
        </w:r>
        <w:r>
          <w:rPr>
            <w:szCs w:val="21"/>
          </w:rPr>
        </w:r>
        <w:r>
          <w:rPr>
            <w:szCs w:val="21"/>
          </w:rPr>
          <w:fldChar w:fldCharType="separate"/>
        </w:r>
        <w:r>
          <w:rPr>
            <w:szCs w:val="21"/>
          </w:rPr>
          <w:t>1</w:t>
        </w:r>
        <w:r>
          <w:rPr>
            <w:szCs w:val="21"/>
          </w:rPr>
          <w:fldChar w:fldCharType="end"/>
        </w:r>
      </w:hyperlink>
    </w:p>
    <w:p w14:paraId="2B45D412" w14:textId="77777777" w:rsidR="00680E62" w:rsidRDefault="00000000">
      <w:pPr>
        <w:pStyle w:val="TOC2"/>
        <w:tabs>
          <w:tab w:val="right" w:leader="dot" w:pos="8306"/>
        </w:tabs>
        <w:spacing w:line="360" w:lineRule="auto"/>
        <w:ind w:leftChars="0" w:left="0"/>
        <w:rPr>
          <w:szCs w:val="21"/>
        </w:rPr>
      </w:pPr>
      <w:hyperlink w:anchor="_Toc9759" w:history="1">
        <w:r>
          <w:rPr>
            <w:szCs w:val="21"/>
          </w:rPr>
          <w:t xml:space="preserve">5 </w:t>
        </w:r>
        <w:r>
          <w:rPr>
            <w:szCs w:val="21"/>
          </w:rPr>
          <w:t>贮藏管理</w:t>
        </w:r>
        <w:r>
          <w:rPr>
            <w:szCs w:val="21"/>
          </w:rPr>
          <w:tab/>
        </w:r>
        <w:r>
          <w:rPr>
            <w:szCs w:val="21"/>
          </w:rPr>
          <w:fldChar w:fldCharType="begin"/>
        </w:r>
        <w:r>
          <w:rPr>
            <w:szCs w:val="21"/>
          </w:rPr>
          <w:instrText xml:space="preserve"> PAGEREF _Toc9759 \h </w:instrText>
        </w:r>
        <w:r>
          <w:rPr>
            <w:szCs w:val="21"/>
          </w:rPr>
        </w:r>
        <w:r>
          <w:rPr>
            <w:szCs w:val="21"/>
          </w:rPr>
          <w:fldChar w:fldCharType="separate"/>
        </w:r>
        <w:r>
          <w:rPr>
            <w:szCs w:val="21"/>
          </w:rPr>
          <w:t>2</w:t>
        </w:r>
        <w:r>
          <w:rPr>
            <w:szCs w:val="21"/>
          </w:rPr>
          <w:fldChar w:fldCharType="end"/>
        </w:r>
      </w:hyperlink>
    </w:p>
    <w:p w14:paraId="0059291D" w14:textId="77777777" w:rsidR="00680E62" w:rsidRDefault="00000000">
      <w:pPr>
        <w:pStyle w:val="TOC2"/>
        <w:tabs>
          <w:tab w:val="right" w:leader="dot" w:pos="8306"/>
        </w:tabs>
        <w:spacing w:line="360" w:lineRule="auto"/>
        <w:ind w:leftChars="0" w:left="0"/>
        <w:rPr>
          <w:szCs w:val="21"/>
        </w:rPr>
      </w:pPr>
      <w:hyperlink w:anchor="_Toc3876" w:history="1">
        <w:r>
          <w:rPr>
            <w:szCs w:val="21"/>
          </w:rPr>
          <w:t xml:space="preserve">6 </w:t>
        </w:r>
        <w:r>
          <w:rPr>
            <w:szCs w:val="21"/>
          </w:rPr>
          <w:t>开窖取用</w:t>
        </w:r>
        <w:r>
          <w:rPr>
            <w:szCs w:val="21"/>
          </w:rPr>
          <w:tab/>
        </w:r>
        <w:r>
          <w:rPr>
            <w:szCs w:val="21"/>
          </w:rPr>
          <w:fldChar w:fldCharType="begin"/>
        </w:r>
        <w:r>
          <w:rPr>
            <w:szCs w:val="21"/>
          </w:rPr>
          <w:instrText xml:space="preserve"> PAGEREF _Toc3876 \h </w:instrText>
        </w:r>
        <w:r>
          <w:rPr>
            <w:szCs w:val="21"/>
          </w:rPr>
        </w:r>
        <w:r>
          <w:rPr>
            <w:szCs w:val="21"/>
          </w:rPr>
          <w:fldChar w:fldCharType="separate"/>
        </w:r>
        <w:r>
          <w:rPr>
            <w:szCs w:val="21"/>
          </w:rPr>
          <w:t>2</w:t>
        </w:r>
        <w:r>
          <w:rPr>
            <w:szCs w:val="21"/>
          </w:rPr>
          <w:fldChar w:fldCharType="end"/>
        </w:r>
      </w:hyperlink>
    </w:p>
    <w:p w14:paraId="4950BB7A" w14:textId="77777777" w:rsidR="00680E62" w:rsidRDefault="00000000">
      <w:pPr>
        <w:pStyle w:val="TOC3"/>
        <w:tabs>
          <w:tab w:val="right" w:leader="dot" w:pos="8306"/>
        </w:tabs>
        <w:spacing w:line="360" w:lineRule="auto"/>
        <w:ind w:leftChars="0" w:left="0"/>
        <w:rPr>
          <w:szCs w:val="21"/>
        </w:rPr>
      </w:pPr>
      <w:hyperlink w:anchor="_Toc17132" w:history="1">
        <w:r>
          <w:rPr>
            <w:bCs/>
            <w:szCs w:val="21"/>
          </w:rPr>
          <w:t>附</w:t>
        </w:r>
        <w:r>
          <w:rPr>
            <w:bCs/>
            <w:szCs w:val="21"/>
          </w:rPr>
          <w:t> </w:t>
        </w:r>
        <w:r>
          <w:rPr>
            <w:bCs/>
            <w:szCs w:val="21"/>
          </w:rPr>
          <w:t>录</w:t>
        </w:r>
        <w:r>
          <w:rPr>
            <w:szCs w:val="21"/>
          </w:rPr>
          <w:tab/>
        </w:r>
        <w:r>
          <w:rPr>
            <w:szCs w:val="21"/>
          </w:rPr>
          <w:fldChar w:fldCharType="begin"/>
        </w:r>
        <w:r>
          <w:rPr>
            <w:szCs w:val="21"/>
          </w:rPr>
          <w:instrText xml:space="preserve"> PAGEREF _Toc17132 \h </w:instrText>
        </w:r>
        <w:r>
          <w:rPr>
            <w:szCs w:val="21"/>
          </w:rPr>
        </w:r>
        <w:r>
          <w:rPr>
            <w:szCs w:val="21"/>
          </w:rPr>
          <w:fldChar w:fldCharType="separate"/>
        </w:r>
        <w:r>
          <w:rPr>
            <w:szCs w:val="21"/>
          </w:rPr>
          <w:t>4</w:t>
        </w:r>
        <w:r>
          <w:rPr>
            <w:szCs w:val="21"/>
          </w:rPr>
          <w:fldChar w:fldCharType="end"/>
        </w:r>
      </w:hyperlink>
    </w:p>
    <w:p w14:paraId="246A5B79" w14:textId="77777777" w:rsidR="00680E62" w:rsidRDefault="00000000">
      <w:pPr>
        <w:pStyle w:val="TOC1"/>
        <w:spacing w:line="480" w:lineRule="auto"/>
        <w:rPr>
          <w:rFonts w:ascii="Times New Roman" w:eastAsia="宋体" w:hAnsi="Times New Roman"/>
          <w:sz w:val="21"/>
          <w:szCs w:val="21"/>
        </w:rPr>
      </w:pPr>
      <w:r>
        <w:rPr>
          <w:rFonts w:ascii="Times New Roman" w:eastAsia="宋体" w:hAnsi="Times New Roman"/>
          <w:sz w:val="21"/>
          <w:szCs w:val="21"/>
        </w:rPr>
        <w:fldChar w:fldCharType="end"/>
      </w:r>
      <w:r>
        <w:rPr>
          <w:rFonts w:ascii="Times New Roman" w:eastAsia="宋体" w:hAnsi="Times New Roman"/>
          <w:sz w:val="21"/>
          <w:szCs w:val="21"/>
        </w:rPr>
        <w:br w:type="page"/>
      </w:r>
    </w:p>
    <w:p w14:paraId="1F43E93B" w14:textId="77777777" w:rsidR="00680E62" w:rsidRDefault="00000000">
      <w:pPr>
        <w:pStyle w:val="afb"/>
        <w:rPr>
          <w:rFonts w:ascii="Times New Roman"/>
          <w:b/>
        </w:rPr>
      </w:pPr>
      <w:bookmarkStart w:id="0" w:name="_Toc18158"/>
      <w:r>
        <w:rPr>
          <w:rFonts w:ascii="Times New Roman"/>
          <w:b/>
        </w:rPr>
        <w:t>前</w:t>
      </w:r>
      <w:bookmarkStart w:id="1" w:name="BKQY"/>
      <w:r>
        <w:rPr>
          <w:rFonts w:ascii="Times New Roman"/>
          <w:b/>
        </w:rPr>
        <w:t> </w:t>
      </w:r>
      <w:r>
        <w:rPr>
          <w:rFonts w:ascii="Times New Roman"/>
          <w:b/>
        </w:rPr>
        <w:t>言</w:t>
      </w:r>
      <w:bookmarkEnd w:id="0"/>
      <w:bookmarkEnd w:id="1"/>
    </w:p>
    <w:p w14:paraId="0B573FB9" w14:textId="77777777" w:rsidR="00680E62" w:rsidRDefault="00000000" w:rsidP="00A06411">
      <w:pPr>
        <w:spacing w:line="360" w:lineRule="auto"/>
        <w:ind w:firstLineChars="200" w:firstLine="420"/>
        <w:rPr>
          <w:szCs w:val="21"/>
        </w:rPr>
      </w:pPr>
      <w:r>
        <w:rPr>
          <w:szCs w:val="21"/>
        </w:rPr>
        <w:t>本</w:t>
      </w:r>
      <w:r>
        <w:rPr>
          <w:rFonts w:hint="eastAsia"/>
          <w:szCs w:val="21"/>
        </w:rPr>
        <w:t>文件</w:t>
      </w:r>
      <w:r>
        <w:rPr>
          <w:szCs w:val="21"/>
        </w:rPr>
        <w:t>按</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2D345408" w14:textId="77777777" w:rsidR="00680E62" w:rsidRDefault="00000000" w:rsidP="00A06411">
      <w:pPr>
        <w:spacing w:line="360" w:lineRule="auto"/>
        <w:ind w:firstLineChars="200" w:firstLine="420"/>
        <w:rPr>
          <w:szCs w:val="21"/>
        </w:rPr>
      </w:pPr>
      <w:r>
        <w:rPr>
          <w:szCs w:val="21"/>
        </w:rPr>
        <w:t>本</w:t>
      </w:r>
      <w:r>
        <w:rPr>
          <w:rFonts w:hint="eastAsia"/>
          <w:szCs w:val="21"/>
        </w:rPr>
        <w:t>文件</w:t>
      </w:r>
      <w:r>
        <w:rPr>
          <w:szCs w:val="21"/>
        </w:rPr>
        <w:t>由北京华夏草业产业技术创新战略联盟提出并归口。</w:t>
      </w:r>
    </w:p>
    <w:p w14:paraId="4B8876BF" w14:textId="77777777" w:rsidR="00680E62" w:rsidRDefault="00000000" w:rsidP="00A06411">
      <w:pPr>
        <w:spacing w:line="360" w:lineRule="auto"/>
        <w:ind w:firstLineChars="200" w:firstLine="420"/>
        <w:rPr>
          <w:szCs w:val="21"/>
        </w:rPr>
      </w:pPr>
      <w:r>
        <w:rPr>
          <w:szCs w:val="21"/>
        </w:rPr>
        <w:t>本</w:t>
      </w:r>
      <w:r>
        <w:rPr>
          <w:rFonts w:hint="eastAsia"/>
          <w:szCs w:val="21"/>
        </w:rPr>
        <w:t>文件</w:t>
      </w:r>
      <w:r>
        <w:rPr>
          <w:szCs w:val="21"/>
        </w:rPr>
        <w:t>起草单位：四川农业大学、四川省草业技术研究推广中心、四川省畜牧科学研究院</w:t>
      </w:r>
      <w:r>
        <w:rPr>
          <w:rFonts w:hint="eastAsia"/>
          <w:szCs w:val="21"/>
        </w:rPr>
        <w:t>、绵阳</w:t>
      </w:r>
      <w:proofErr w:type="gramStart"/>
      <w:r>
        <w:rPr>
          <w:rFonts w:hint="eastAsia"/>
          <w:szCs w:val="21"/>
        </w:rPr>
        <w:t>九森农业</w:t>
      </w:r>
      <w:proofErr w:type="gramEnd"/>
      <w:r>
        <w:rPr>
          <w:rFonts w:hint="eastAsia"/>
          <w:szCs w:val="21"/>
        </w:rPr>
        <w:t>科技有限公司</w:t>
      </w:r>
      <w:r>
        <w:rPr>
          <w:szCs w:val="21"/>
        </w:rPr>
        <w:t>。</w:t>
      </w:r>
    </w:p>
    <w:p w14:paraId="4D404DEF" w14:textId="77777777" w:rsidR="00680E62" w:rsidRDefault="00000000" w:rsidP="00A06411">
      <w:pPr>
        <w:spacing w:line="360" w:lineRule="auto"/>
        <w:ind w:firstLineChars="200" w:firstLine="420"/>
        <w:rPr>
          <w:szCs w:val="21"/>
        </w:rPr>
      </w:pPr>
      <w:r>
        <w:rPr>
          <w:szCs w:val="21"/>
        </w:rPr>
        <w:t>本</w:t>
      </w:r>
      <w:r>
        <w:rPr>
          <w:rFonts w:hint="eastAsia"/>
          <w:szCs w:val="21"/>
        </w:rPr>
        <w:t>文件</w:t>
      </w:r>
      <w:r>
        <w:rPr>
          <w:szCs w:val="21"/>
        </w:rPr>
        <w:t>主要起草人：</w:t>
      </w:r>
      <w:proofErr w:type="gramStart"/>
      <w:r>
        <w:rPr>
          <w:szCs w:val="21"/>
        </w:rPr>
        <w:t>闫</w:t>
      </w:r>
      <w:proofErr w:type="gramEnd"/>
      <w:r>
        <w:rPr>
          <w:szCs w:val="21"/>
        </w:rPr>
        <w:t>艳红、李小梅、李洪泉、程明军、武齐丰、季杨、麻天丽、陈远航、翟世锋。</w:t>
      </w:r>
    </w:p>
    <w:p w14:paraId="36FAADC8" w14:textId="77777777" w:rsidR="00680E62" w:rsidRDefault="00000000" w:rsidP="00A06411">
      <w:pPr>
        <w:spacing w:line="360" w:lineRule="auto"/>
        <w:ind w:firstLineChars="200" w:firstLine="420"/>
        <w:rPr>
          <w:szCs w:val="21"/>
        </w:rPr>
      </w:pPr>
      <w:r>
        <w:rPr>
          <w:szCs w:val="21"/>
        </w:rPr>
        <w:t>本</w:t>
      </w:r>
      <w:r>
        <w:rPr>
          <w:rFonts w:hint="eastAsia"/>
          <w:szCs w:val="21"/>
        </w:rPr>
        <w:t>文件</w:t>
      </w:r>
      <w:r>
        <w:rPr>
          <w:szCs w:val="21"/>
        </w:rPr>
        <w:t>为首次发布。</w:t>
      </w:r>
    </w:p>
    <w:p w14:paraId="176F92AD" w14:textId="77777777" w:rsidR="00680E62" w:rsidRDefault="00680E62">
      <w:pPr>
        <w:rPr>
          <w:szCs w:val="21"/>
        </w:rPr>
        <w:sectPr w:rsidR="00680E62">
          <w:headerReference w:type="default" r:id="rId8"/>
          <w:footerReference w:type="default" r:id="rId9"/>
          <w:pgSz w:w="11906" w:h="16838"/>
          <w:pgMar w:top="1440" w:right="1800" w:bottom="1440" w:left="1800" w:header="1418" w:footer="1134" w:gutter="0"/>
          <w:pgNumType w:fmt="upperRoman" w:start="1"/>
          <w:cols w:space="425"/>
          <w:formProt w:val="0"/>
          <w:docGrid w:type="lines" w:linePitch="312"/>
        </w:sectPr>
      </w:pPr>
    </w:p>
    <w:p w14:paraId="13DEE54E" w14:textId="77777777" w:rsidR="00680E62" w:rsidRDefault="00000000">
      <w:pPr>
        <w:pStyle w:val="afa"/>
        <w:rPr>
          <w:rFonts w:ascii="Times New Roman"/>
          <w:b/>
        </w:rPr>
      </w:pPr>
      <w:bookmarkStart w:id="2" w:name="_Toc27346"/>
      <w:r>
        <w:rPr>
          <w:rFonts w:ascii="Times New Roman"/>
          <w:b/>
        </w:rPr>
        <w:t>狼尾草属牧草窖</w:t>
      </w:r>
      <w:proofErr w:type="gramStart"/>
      <w:r>
        <w:rPr>
          <w:rFonts w:ascii="Times New Roman"/>
          <w:b/>
        </w:rPr>
        <w:t>贮技术</w:t>
      </w:r>
      <w:proofErr w:type="gramEnd"/>
      <w:r>
        <w:rPr>
          <w:rFonts w:ascii="Times New Roman"/>
          <w:b/>
        </w:rPr>
        <w:t>规程</w:t>
      </w:r>
      <w:bookmarkEnd w:id="2"/>
    </w:p>
    <w:p w14:paraId="690F99C1" w14:textId="77777777" w:rsidR="00680E62" w:rsidRDefault="00000000">
      <w:pPr>
        <w:pStyle w:val="a"/>
        <w:spacing w:before="312" w:after="312"/>
        <w:rPr>
          <w:rFonts w:ascii="Times New Roman"/>
          <w:b/>
        </w:rPr>
      </w:pPr>
      <w:bookmarkStart w:id="3" w:name="_Toc32042"/>
      <w:r>
        <w:rPr>
          <w:rFonts w:ascii="Times New Roman"/>
          <w:b/>
        </w:rPr>
        <w:t>范围</w:t>
      </w:r>
      <w:bookmarkEnd w:id="3"/>
    </w:p>
    <w:p w14:paraId="4AEB2545" w14:textId="77777777" w:rsidR="00680E62" w:rsidRDefault="00000000" w:rsidP="00A06411">
      <w:pPr>
        <w:spacing w:line="360" w:lineRule="auto"/>
        <w:ind w:firstLineChars="200" w:firstLine="420"/>
        <w:rPr>
          <w:szCs w:val="21"/>
        </w:rPr>
      </w:pPr>
      <w:r>
        <w:rPr>
          <w:szCs w:val="21"/>
        </w:rPr>
        <w:t>本</w:t>
      </w:r>
      <w:r>
        <w:rPr>
          <w:rFonts w:hint="eastAsia"/>
          <w:szCs w:val="21"/>
        </w:rPr>
        <w:t>文件</w:t>
      </w:r>
      <w:r>
        <w:rPr>
          <w:szCs w:val="21"/>
        </w:rPr>
        <w:t>规定了狼尾草属牧草窖</w:t>
      </w:r>
      <w:proofErr w:type="gramStart"/>
      <w:r>
        <w:rPr>
          <w:szCs w:val="21"/>
        </w:rPr>
        <w:t>贮</w:t>
      </w:r>
      <w:bookmarkStart w:id="4" w:name="OLE_LINK2"/>
      <w:r>
        <w:rPr>
          <w:rFonts w:hint="eastAsia"/>
          <w:szCs w:val="21"/>
        </w:rPr>
        <w:t>相关</w:t>
      </w:r>
      <w:proofErr w:type="gramEnd"/>
      <w:r>
        <w:rPr>
          <w:rFonts w:hint="eastAsia"/>
          <w:szCs w:val="21"/>
        </w:rPr>
        <w:t>术语和定义、</w:t>
      </w:r>
      <w:bookmarkEnd w:id="4"/>
      <w:r>
        <w:rPr>
          <w:szCs w:val="21"/>
        </w:rPr>
        <w:t>调制加工流程</w:t>
      </w:r>
      <w:r>
        <w:rPr>
          <w:rFonts w:hint="eastAsia"/>
          <w:szCs w:val="21"/>
        </w:rPr>
        <w:t>、</w:t>
      </w:r>
      <w:r>
        <w:rPr>
          <w:szCs w:val="21"/>
        </w:rPr>
        <w:t>贮藏管理</w:t>
      </w:r>
      <w:r>
        <w:rPr>
          <w:rFonts w:hint="eastAsia"/>
          <w:szCs w:val="21"/>
        </w:rPr>
        <w:t>及开窖取用</w:t>
      </w:r>
      <w:r>
        <w:rPr>
          <w:szCs w:val="21"/>
        </w:rPr>
        <w:t>等内容。</w:t>
      </w:r>
    </w:p>
    <w:p w14:paraId="5BEA1EB6" w14:textId="77777777" w:rsidR="00680E62" w:rsidRDefault="00000000" w:rsidP="00A06411">
      <w:pPr>
        <w:ind w:firstLineChars="200" w:firstLine="420"/>
        <w:rPr>
          <w:szCs w:val="21"/>
        </w:rPr>
      </w:pPr>
      <w:r>
        <w:rPr>
          <w:szCs w:val="21"/>
        </w:rPr>
        <w:t>本</w:t>
      </w:r>
      <w:r>
        <w:rPr>
          <w:rFonts w:hint="eastAsia"/>
          <w:szCs w:val="21"/>
        </w:rPr>
        <w:t>文件</w:t>
      </w:r>
      <w:r>
        <w:rPr>
          <w:szCs w:val="21"/>
        </w:rPr>
        <w:t>适用于海拔</w:t>
      </w:r>
      <w:r>
        <w:rPr>
          <w:szCs w:val="21"/>
        </w:rPr>
        <w:t>1000</w:t>
      </w:r>
      <w:r>
        <w:rPr>
          <w:szCs w:val="21"/>
        </w:rPr>
        <w:t>米以下长江以南地区利用青贮窖进行狼尾草属牧草青贮利用。</w:t>
      </w:r>
    </w:p>
    <w:p w14:paraId="50DA510B" w14:textId="77777777" w:rsidR="00680E62" w:rsidRDefault="00000000" w:rsidP="00A06411">
      <w:pPr>
        <w:pStyle w:val="a"/>
        <w:spacing w:before="312" w:after="312"/>
        <w:rPr>
          <w:rFonts w:ascii="Times New Roman"/>
          <w:b/>
        </w:rPr>
      </w:pPr>
      <w:bookmarkStart w:id="5" w:name="_Toc139"/>
      <w:r>
        <w:rPr>
          <w:rFonts w:ascii="Times New Roman"/>
          <w:b/>
        </w:rPr>
        <w:t>规范性引用文件</w:t>
      </w:r>
      <w:bookmarkEnd w:id="5"/>
    </w:p>
    <w:p w14:paraId="1496CE8E" w14:textId="77777777" w:rsidR="00680E62" w:rsidRDefault="00000000" w:rsidP="00A06411">
      <w:pPr>
        <w:widowControl/>
        <w:spacing w:line="360" w:lineRule="auto"/>
        <w:ind w:firstLineChars="200" w:firstLine="420"/>
        <w:rPr>
          <w:szCs w:val="21"/>
        </w:rPr>
      </w:pPr>
      <w:r>
        <w:rPr>
          <w:szCs w:val="21"/>
        </w:rPr>
        <w:t>下列文件对于本文件的应用是必不可少的。凡是注日期的引用文件，仅所注日期的版本适用于本文件。凡是不注日期的引用文件，其最新版本（包括所有的修改单）适用于本文件。</w:t>
      </w:r>
    </w:p>
    <w:p w14:paraId="32D784D4" w14:textId="77777777" w:rsidR="00680E62" w:rsidRDefault="00000000">
      <w:pPr>
        <w:widowControl/>
        <w:spacing w:line="360" w:lineRule="auto"/>
        <w:ind w:firstLineChars="200" w:firstLine="420"/>
        <w:jc w:val="left"/>
        <w:rPr>
          <w:kern w:val="0"/>
          <w:szCs w:val="21"/>
          <w:lang w:bidi="ar"/>
        </w:rPr>
      </w:pPr>
      <w:r>
        <w:rPr>
          <w:kern w:val="0"/>
          <w:szCs w:val="21"/>
          <w:lang w:bidi="ar"/>
        </w:rPr>
        <w:t xml:space="preserve">GB 13078 </w:t>
      </w:r>
      <w:r>
        <w:rPr>
          <w:kern w:val="0"/>
          <w:szCs w:val="21"/>
          <w:lang w:bidi="ar"/>
        </w:rPr>
        <w:t>饲料卫生标准</w:t>
      </w:r>
      <w:r>
        <w:rPr>
          <w:kern w:val="0"/>
          <w:szCs w:val="21"/>
          <w:lang w:bidi="ar"/>
        </w:rPr>
        <w:t xml:space="preserve"> </w:t>
      </w:r>
    </w:p>
    <w:p w14:paraId="7CEE28BB" w14:textId="77777777" w:rsidR="00680E62" w:rsidRDefault="00000000">
      <w:pPr>
        <w:widowControl/>
        <w:spacing w:line="360" w:lineRule="auto"/>
        <w:ind w:firstLineChars="200" w:firstLine="420"/>
        <w:jc w:val="left"/>
        <w:rPr>
          <w:kern w:val="0"/>
          <w:szCs w:val="21"/>
          <w:lang w:bidi="ar"/>
        </w:rPr>
      </w:pPr>
      <w:r>
        <w:rPr>
          <w:kern w:val="0"/>
          <w:szCs w:val="21"/>
          <w:lang w:bidi="ar"/>
        </w:rPr>
        <w:t xml:space="preserve">NY/T 1444 </w:t>
      </w:r>
      <w:r>
        <w:rPr>
          <w:kern w:val="0"/>
          <w:szCs w:val="21"/>
          <w:lang w:bidi="ar"/>
        </w:rPr>
        <w:t>微生物饲料添加剂技术通则</w:t>
      </w:r>
    </w:p>
    <w:p w14:paraId="4CFDBB78" w14:textId="77777777" w:rsidR="00680E62" w:rsidRDefault="00000000">
      <w:pPr>
        <w:widowControl/>
        <w:spacing w:line="360" w:lineRule="auto"/>
        <w:ind w:firstLineChars="200" w:firstLine="420"/>
        <w:jc w:val="left"/>
        <w:rPr>
          <w:kern w:val="0"/>
          <w:szCs w:val="21"/>
          <w:lang w:bidi="ar"/>
        </w:rPr>
      </w:pPr>
      <w:r>
        <w:rPr>
          <w:kern w:val="0"/>
          <w:szCs w:val="21"/>
          <w:lang w:bidi="ar"/>
        </w:rPr>
        <w:t xml:space="preserve">GB/T 22142 </w:t>
      </w:r>
      <w:r>
        <w:rPr>
          <w:kern w:val="0"/>
          <w:szCs w:val="21"/>
          <w:lang w:bidi="ar"/>
        </w:rPr>
        <w:t>饲料添加剂有机酸通用要求</w:t>
      </w:r>
    </w:p>
    <w:p w14:paraId="3FF6AB02" w14:textId="77777777" w:rsidR="00680E62" w:rsidRDefault="00000000">
      <w:pPr>
        <w:widowControl/>
        <w:spacing w:line="360" w:lineRule="auto"/>
        <w:ind w:firstLineChars="200" w:firstLine="420"/>
        <w:jc w:val="left"/>
        <w:rPr>
          <w:kern w:val="0"/>
          <w:szCs w:val="21"/>
          <w:lang w:bidi="ar"/>
        </w:rPr>
      </w:pPr>
      <w:r>
        <w:rPr>
          <w:kern w:val="0"/>
          <w:szCs w:val="21"/>
          <w:lang w:bidi="ar"/>
        </w:rPr>
        <w:t xml:space="preserve">GB/T 22143 </w:t>
      </w:r>
      <w:r>
        <w:rPr>
          <w:kern w:val="0"/>
          <w:szCs w:val="21"/>
          <w:lang w:bidi="ar"/>
        </w:rPr>
        <w:t>饲料添加剂无机酸通用要求</w:t>
      </w:r>
    </w:p>
    <w:p w14:paraId="1FA11CDD" w14:textId="77777777" w:rsidR="00680E62" w:rsidRDefault="00000000">
      <w:pPr>
        <w:widowControl/>
        <w:spacing w:line="360" w:lineRule="auto"/>
        <w:ind w:firstLineChars="200" w:firstLine="420"/>
        <w:jc w:val="left"/>
        <w:rPr>
          <w:kern w:val="0"/>
          <w:szCs w:val="21"/>
          <w:lang w:bidi="ar"/>
        </w:rPr>
      </w:pPr>
      <w:r>
        <w:rPr>
          <w:kern w:val="0"/>
          <w:szCs w:val="21"/>
          <w:lang w:bidi="ar"/>
        </w:rPr>
        <w:t xml:space="preserve">NY5032 </w:t>
      </w:r>
      <w:r>
        <w:rPr>
          <w:kern w:val="0"/>
          <w:szCs w:val="21"/>
          <w:lang w:bidi="ar"/>
        </w:rPr>
        <w:t>无公害食品畜禽饲料和饲料添加剂使用准则</w:t>
      </w:r>
    </w:p>
    <w:p w14:paraId="66D27998" w14:textId="77777777" w:rsidR="00680E62" w:rsidRDefault="00000000">
      <w:pPr>
        <w:widowControl/>
        <w:spacing w:line="360" w:lineRule="auto"/>
        <w:ind w:firstLineChars="200" w:firstLine="420"/>
        <w:jc w:val="left"/>
        <w:rPr>
          <w:kern w:val="0"/>
          <w:szCs w:val="21"/>
          <w:lang w:bidi="ar"/>
        </w:rPr>
      </w:pPr>
      <w:r>
        <w:rPr>
          <w:kern w:val="0"/>
          <w:szCs w:val="21"/>
          <w:lang w:bidi="ar"/>
        </w:rPr>
        <w:t xml:space="preserve">NY/T 2698 </w:t>
      </w:r>
      <w:r>
        <w:rPr>
          <w:kern w:val="0"/>
          <w:szCs w:val="21"/>
          <w:lang w:bidi="ar"/>
        </w:rPr>
        <w:t>青贮设施建设技术规范青贮窖</w:t>
      </w:r>
    </w:p>
    <w:p w14:paraId="3FAACF5C" w14:textId="77777777" w:rsidR="00680E62" w:rsidRDefault="00000000">
      <w:pPr>
        <w:widowControl/>
        <w:spacing w:line="360" w:lineRule="auto"/>
        <w:ind w:firstLineChars="200" w:firstLine="420"/>
        <w:jc w:val="left"/>
        <w:rPr>
          <w:kern w:val="0"/>
          <w:szCs w:val="21"/>
          <w:lang w:bidi="ar"/>
        </w:rPr>
      </w:pPr>
      <w:bookmarkStart w:id="6" w:name="OLE_LINK11"/>
      <w:r>
        <w:rPr>
          <w:szCs w:val="21"/>
        </w:rPr>
        <w:t>DB 52/T 1131</w:t>
      </w:r>
      <w:proofErr w:type="gramStart"/>
      <w:r>
        <w:rPr>
          <w:szCs w:val="21"/>
        </w:rPr>
        <w:t>皇草青贮</w:t>
      </w:r>
      <w:proofErr w:type="gramEnd"/>
      <w:r>
        <w:rPr>
          <w:szCs w:val="21"/>
        </w:rPr>
        <w:t>、微贮技术规程</w:t>
      </w:r>
    </w:p>
    <w:p w14:paraId="6505B68D" w14:textId="77777777" w:rsidR="00680E62" w:rsidRDefault="00000000">
      <w:pPr>
        <w:pStyle w:val="a"/>
        <w:spacing w:before="312" w:after="312"/>
        <w:rPr>
          <w:rFonts w:ascii="Times New Roman"/>
          <w:b/>
        </w:rPr>
      </w:pPr>
      <w:bookmarkStart w:id="7" w:name="_Toc27100"/>
      <w:bookmarkEnd w:id="6"/>
      <w:r>
        <w:rPr>
          <w:rFonts w:ascii="Times New Roman"/>
          <w:b/>
        </w:rPr>
        <w:t>术语和定义</w:t>
      </w:r>
      <w:bookmarkEnd w:id="7"/>
    </w:p>
    <w:p w14:paraId="27393C5B" w14:textId="77777777" w:rsidR="00680E62" w:rsidRDefault="00000000">
      <w:pPr>
        <w:pStyle w:val="af7"/>
        <w:rPr>
          <w:rFonts w:ascii="Times New Roman"/>
        </w:rPr>
      </w:pPr>
      <w:r>
        <w:rPr>
          <w:rFonts w:ascii="Times New Roman"/>
        </w:rPr>
        <w:t>本文件没有需要界定的术语和定义。</w:t>
      </w:r>
    </w:p>
    <w:p w14:paraId="2842959C" w14:textId="77777777" w:rsidR="00680E62" w:rsidRDefault="00000000">
      <w:pPr>
        <w:pStyle w:val="a"/>
        <w:spacing w:before="312" w:after="312"/>
        <w:rPr>
          <w:rFonts w:ascii="Times New Roman"/>
          <w:b/>
        </w:rPr>
      </w:pPr>
      <w:bookmarkStart w:id="8" w:name="OLE_LINK9"/>
      <w:bookmarkStart w:id="9" w:name="_Toc11130"/>
      <w:r>
        <w:rPr>
          <w:rFonts w:ascii="Times New Roman"/>
          <w:b/>
        </w:rPr>
        <w:t>调制加工流程</w:t>
      </w:r>
      <w:bookmarkEnd w:id="8"/>
      <w:bookmarkEnd w:id="9"/>
      <w:r>
        <w:rPr>
          <w:rFonts w:ascii="Times New Roman"/>
          <w:b/>
        </w:rPr>
        <w:t xml:space="preserve"> </w:t>
      </w:r>
    </w:p>
    <w:p w14:paraId="1D725BAA" w14:textId="77777777" w:rsidR="00680E62" w:rsidRDefault="00000000">
      <w:pPr>
        <w:spacing w:line="360" w:lineRule="auto"/>
        <w:rPr>
          <w:b/>
          <w:bCs/>
          <w:szCs w:val="21"/>
        </w:rPr>
      </w:pPr>
      <w:r>
        <w:rPr>
          <w:b/>
          <w:bCs/>
          <w:szCs w:val="21"/>
        </w:rPr>
        <w:t>4.1</w:t>
      </w:r>
      <w:r>
        <w:rPr>
          <w:b/>
          <w:bCs/>
          <w:szCs w:val="21"/>
        </w:rPr>
        <w:t>原料收获制备</w:t>
      </w:r>
    </w:p>
    <w:p w14:paraId="76B460C8" w14:textId="77777777" w:rsidR="00680E62" w:rsidRDefault="00000000">
      <w:pPr>
        <w:spacing w:line="360" w:lineRule="auto"/>
        <w:ind w:firstLineChars="100" w:firstLine="211"/>
        <w:rPr>
          <w:szCs w:val="21"/>
        </w:rPr>
      </w:pPr>
      <w:r>
        <w:rPr>
          <w:b/>
          <w:bCs/>
          <w:szCs w:val="21"/>
        </w:rPr>
        <w:t xml:space="preserve">4.1.1 </w:t>
      </w:r>
      <w:r>
        <w:rPr>
          <w:b/>
          <w:bCs/>
          <w:szCs w:val="21"/>
        </w:rPr>
        <w:t>适时收获</w:t>
      </w:r>
      <w:r>
        <w:rPr>
          <w:szCs w:val="21"/>
        </w:rPr>
        <w:t xml:space="preserve"> </w:t>
      </w:r>
    </w:p>
    <w:p w14:paraId="2A7392A9" w14:textId="61CED937" w:rsidR="00680E62" w:rsidRDefault="00000000">
      <w:pPr>
        <w:spacing w:line="360" w:lineRule="auto"/>
        <w:ind w:firstLineChars="200" w:firstLine="420"/>
        <w:rPr>
          <w:szCs w:val="21"/>
        </w:rPr>
      </w:pPr>
      <w:r>
        <w:rPr>
          <w:szCs w:val="21"/>
        </w:rPr>
        <w:t>狼尾草属牧草宜生长至</w:t>
      </w:r>
      <w:r>
        <w:rPr>
          <w:szCs w:val="21"/>
        </w:rPr>
        <w:t>2</w:t>
      </w:r>
      <w:r>
        <w:rPr>
          <w:rFonts w:hint="eastAsia"/>
          <w:szCs w:val="21"/>
        </w:rPr>
        <w:t>00</w:t>
      </w:r>
      <w:r w:rsidR="00A06411">
        <w:rPr>
          <w:rFonts w:hint="eastAsia"/>
          <w:szCs w:val="21"/>
        </w:rPr>
        <w:t>cm</w:t>
      </w:r>
      <w:r>
        <w:rPr>
          <w:szCs w:val="21"/>
        </w:rPr>
        <w:t>~3</w:t>
      </w:r>
      <w:bookmarkStart w:id="10" w:name="OLE_LINK3"/>
      <w:r>
        <w:rPr>
          <w:rFonts w:hint="eastAsia"/>
          <w:szCs w:val="21"/>
        </w:rPr>
        <w:t>00 c</w:t>
      </w:r>
      <w:r>
        <w:rPr>
          <w:szCs w:val="21"/>
        </w:rPr>
        <w:t>m</w:t>
      </w:r>
      <w:bookmarkEnd w:id="10"/>
      <w:r>
        <w:rPr>
          <w:szCs w:val="21"/>
        </w:rPr>
        <w:t>收获。杂交狼尾草生长到</w:t>
      </w:r>
      <w:r>
        <w:rPr>
          <w:szCs w:val="21"/>
        </w:rPr>
        <w:t>2</w:t>
      </w:r>
      <w:r>
        <w:rPr>
          <w:rFonts w:hint="eastAsia"/>
          <w:szCs w:val="21"/>
        </w:rPr>
        <w:t>00 c</w:t>
      </w:r>
      <w:r>
        <w:rPr>
          <w:szCs w:val="21"/>
        </w:rPr>
        <w:t>m</w:t>
      </w:r>
      <w:r>
        <w:rPr>
          <w:szCs w:val="21"/>
        </w:rPr>
        <w:t>时含水量在</w:t>
      </w:r>
      <w:r>
        <w:rPr>
          <w:szCs w:val="21"/>
        </w:rPr>
        <w:t>80%</w:t>
      </w:r>
      <w:r>
        <w:rPr>
          <w:szCs w:val="21"/>
        </w:rPr>
        <w:t>以上，生长到</w:t>
      </w:r>
      <w:r>
        <w:rPr>
          <w:szCs w:val="21"/>
        </w:rPr>
        <w:t>2</w:t>
      </w:r>
      <w:r>
        <w:rPr>
          <w:rFonts w:hint="eastAsia"/>
          <w:szCs w:val="21"/>
        </w:rPr>
        <w:t>50</w:t>
      </w:r>
      <w:r w:rsidR="00A06411">
        <w:rPr>
          <w:rFonts w:hint="eastAsia"/>
          <w:szCs w:val="21"/>
        </w:rPr>
        <w:t>cm</w:t>
      </w:r>
      <w:r>
        <w:rPr>
          <w:szCs w:val="21"/>
        </w:rPr>
        <w:t>~3</w:t>
      </w:r>
      <w:r>
        <w:rPr>
          <w:rFonts w:hint="eastAsia"/>
          <w:szCs w:val="21"/>
        </w:rPr>
        <w:t>00 c</w:t>
      </w:r>
      <w:r>
        <w:rPr>
          <w:szCs w:val="21"/>
        </w:rPr>
        <w:t>m</w:t>
      </w:r>
      <w:r>
        <w:rPr>
          <w:szCs w:val="21"/>
        </w:rPr>
        <w:t>时含水量约为</w:t>
      </w:r>
      <w:r>
        <w:rPr>
          <w:szCs w:val="21"/>
        </w:rPr>
        <w:t>75%</w:t>
      </w:r>
      <w:r>
        <w:rPr>
          <w:szCs w:val="21"/>
        </w:rPr>
        <w:t>左右。青贮前要知晓天气状况，选择天气晴朗时收获。</w:t>
      </w:r>
    </w:p>
    <w:p w14:paraId="5A49F3F5" w14:textId="77777777" w:rsidR="00680E62" w:rsidRDefault="00000000">
      <w:pPr>
        <w:spacing w:line="360" w:lineRule="auto"/>
        <w:ind w:firstLineChars="100" w:firstLine="211"/>
        <w:rPr>
          <w:szCs w:val="21"/>
        </w:rPr>
      </w:pPr>
      <w:bookmarkStart w:id="11" w:name="OLE_LINK4"/>
      <w:r>
        <w:rPr>
          <w:b/>
          <w:bCs/>
          <w:szCs w:val="21"/>
        </w:rPr>
        <w:t xml:space="preserve">4.1.2 </w:t>
      </w:r>
      <w:bookmarkEnd w:id="11"/>
      <w:r>
        <w:rPr>
          <w:b/>
          <w:bCs/>
          <w:szCs w:val="21"/>
        </w:rPr>
        <w:t>留茬高度</w:t>
      </w:r>
      <w:r>
        <w:rPr>
          <w:szCs w:val="21"/>
        </w:rPr>
        <w:t xml:space="preserve"> </w:t>
      </w:r>
    </w:p>
    <w:p w14:paraId="0B8C46A2" w14:textId="45F8F9C3" w:rsidR="00680E62" w:rsidRDefault="00000000">
      <w:pPr>
        <w:spacing w:line="360" w:lineRule="auto"/>
        <w:ind w:firstLineChars="200" w:firstLine="420"/>
        <w:rPr>
          <w:szCs w:val="21"/>
        </w:rPr>
      </w:pPr>
      <w:r>
        <w:rPr>
          <w:szCs w:val="21"/>
        </w:rPr>
        <w:t>狼尾草属牧草青贮利用时留茬高度为</w:t>
      </w:r>
      <w:r>
        <w:rPr>
          <w:szCs w:val="21"/>
        </w:rPr>
        <w:t>20</w:t>
      </w:r>
      <w:r w:rsidR="00A06411">
        <w:rPr>
          <w:rFonts w:hint="eastAsia"/>
          <w:szCs w:val="21"/>
        </w:rPr>
        <w:t>cm</w:t>
      </w:r>
      <w:r>
        <w:rPr>
          <w:szCs w:val="21"/>
        </w:rPr>
        <w:t>~30 cm</w:t>
      </w:r>
      <w:r>
        <w:rPr>
          <w:szCs w:val="21"/>
        </w:rPr>
        <w:t>。</w:t>
      </w:r>
    </w:p>
    <w:p w14:paraId="258602BF" w14:textId="77777777" w:rsidR="00680E62" w:rsidRDefault="00000000">
      <w:pPr>
        <w:spacing w:line="360" w:lineRule="auto"/>
        <w:ind w:firstLineChars="100" w:firstLine="211"/>
        <w:rPr>
          <w:szCs w:val="21"/>
        </w:rPr>
      </w:pPr>
      <w:r>
        <w:rPr>
          <w:b/>
          <w:bCs/>
          <w:szCs w:val="21"/>
        </w:rPr>
        <w:t xml:space="preserve">4.1.3 </w:t>
      </w:r>
      <w:r>
        <w:rPr>
          <w:b/>
          <w:bCs/>
          <w:szCs w:val="21"/>
        </w:rPr>
        <w:t>揉碎切短</w:t>
      </w:r>
      <w:r>
        <w:rPr>
          <w:szCs w:val="21"/>
        </w:rPr>
        <w:t xml:space="preserve"> </w:t>
      </w:r>
    </w:p>
    <w:p w14:paraId="4644CF7E" w14:textId="40FA550E" w:rsidR="00680E62" w:rsidRDefault="00000000">
      <w:pPr>
        <w:spacing w:line="360" w:lineRule="auto"/>
        <w:ind w:firstLineChars="200" w:firstLine="420"/>
        <w:rPr>
          <w:szCs w:val="21"/>
        </w:rPr>
      </w:pPr>
      <w:proofErr w:type="gramStart"/>
      <w:r>
        <w:rPr>
          <w:szCs w:val="21"/>
        </w:rPr>
        <w:t>利用揉丝机</w:t>
      </w:r>
      <w:proofErr w:type="gramEnd"/>
      <w:r>
        <w:rPr>
          <w:szCs w:val="21"/>
        </w:rPr>
        <w:t>将狼尾草属牧草茎叶揉成丝状，切成</w:t>
      </w:r>
      <w:r>
        <w:rPr>
          <w:szCs w:val="21"/>
        </w:rPr>
        <w:t>1</w:t>
      </w:r>
      <w:r w:rsidR="00A06411">
        <w:rPr>
          <w:rFonts w:hint="eastAsia"/>
          <w:szCs w:val="21"/>
        </w:rPr>
        <w:t>cm</w:t>
      </w:r>
      <w:r>
        <w:rPr>
          <w:szCs w:val="21"/>
        </w:rPr>
        <w:t>~2 cm</w:t>
      </w:r>
      <w:r>
        <w:rPr>
          <w:szCs w:val="21"/>
        </w:rPr>
        <w:t>长的小段，切割长度符合</w:t>
      </w:r>
      <w:bookmarkStart w:id="12" w:name="OLE_LINK5"/>
      <w:r>
        <w:rPr>
          <w:szCs w:val="21"/>
        </w:rPr>
        <w:t>DB 52/T 1131</w:t>
      </w:r>
      <w:bookmarkEnd w:id="12"/>
      <w:r>
        <w:rPr>
          <w:szCs w:val="21"/>
        </w:rPr>
        <w:t>，以利于压紧</w:t>
      </w:r>
      <w:proofErr w:type="gramStart"/>
      <w:r>
        <w:rPr>
          <w:szCs w:val="21"/>
        </w:rPr>
        <w:t>排除料间空气</w:t>
      </w:r>
      <w:proofErr w:type="gramEnd"/>
      <w:r>
        <w:rPr>
          <w:szCs w:val="21"/>
        </w:rPr>
        <w:t>，提高青贮饲料的质量。</w:t>
      </w:r>
    </w:p>
    <w:p w14:paraId="2D2803DC" w14:textId="77777777" w:rsidR="00680E62" w:rsidRDefault="00000000">
      <w:pPr>
        <w:spacing w:line="360" w:lineRule="auto"/>
        <w:rPr>
          <w:b/>
          <w:bCs/>
          <w:szCs w:val="21"/>
        </w:rPr>
      </w:pPr>
      <w:r>
        <w:rPr>
          <w:b/>
          <w:bCs/>
          <w:szCs w:val="21"/>
        </w:rPr>
        <w:t xml:space="preserve">4.2 </w:t>
      </w:r>
      <w:r>
        <w:rPr>
          <w:b/>
          <w:bCs/>
          <w:szCs w:val="21"/>
        </w:rPr>
        <w:t>添加剂的使用</w:t>
      </w:r>
      <w:bookmarkStart w:id="13" w:name="OLE_LINK1"/>
    </w:p>
    <w:p w14:paraId="03FBBBC6" w14:textId="77777777" w:rsidR="00680E62" w:rsidRDefault="00000000" w:rsidP="00A06411">
      <w:pPr>
        <w:widowControl/>
        <w:spacing w:line="360" w:lineRule="auto"/>
        <w:ind w:firstLineChars="200" w:firstLine="420"/>
        <w:rPr>
          <w:szCs w:val="21"/>
        </w:rPr>
      </w:pPr>
      <w:r>
        <w:rPr>
          <w:szCs w:val="21"/>
        </w:rPr>
        <w:t>添加剂的使用符合</w:t>
      </w:r>
      <w:r>
        <w:rPr>
          <w:szCs w:val="21"/>
        </w:rPr>
        <w:t>GB/T 22142</w:t>
      </w:r>
      <w:r>
        <w:rPr>
          <w:szCs w:val="21"/>
        </w:rPr>
        <w:t>、</w:t>
      </w:r>
      <w:r>
        <w:rPr>
          <w:szCs w:val="21"/>
        </w:rPr>
        <w:t>GB/T 22143</w:t>
      </w:r>
      <w:r>
        <w:rPr>
          <w:szCs w:val="21"/>
        </w:rPr>
        <w:t>、</w:t>
      </w:r>
      <w:r>
        <w:rPr>
          <w:szCs w:val="21"/>
        </w:rPr>
        <w:t>NY5032</w:t>
      </w:r>
      <w:r>
        <w:rPr>
          <w:szCs w:val="21"/>
        </w:rPr>
        <w:t>、</w:t>
      </w:r>
      <w:r>
        <w:rPr>
          <w:szCs w:val="21"/>
        </w:rPr>
        <w:t>NY/T 1444</w:t>
      </w:r>
      <w:r>
        <w:rPr>
          <w:szCs w:val="21"/>
        </w:rPr>
        <w:t>的规定。当含水量达到</w:t>
      </w:r>
      <w:r>
        <w:rPr>
          <w:szCs w:val="21"/>
        </w:rPr>
        <w:t>80%</w:t>
      </w:r>
      <w:r>
        <w:rPr>
          <w:szCs w:val="21"/>
        </w:rPr>
        <w:t>以上时，应</w:t>
      </w:r>
      <w:r>
        <w:rPr>
          <w:rFonts w:hint="eastAsia"/>
          <w:szCs w:val="21"/>
        </w:rPr>
        <w:t>添加</w:t>
      </w:r>
      <w:r>
        <w:rPr>
          <w:rFonts w:hint="eastAsia"/>
          <w:szCs w:val="21"/>
        </w:rPr>
        <w:t>2</w:t>
      </w:r>
      <w:r>
        <w:rPr>
          <w:szCs w:val="21"/>
        </w:rPr>
        <w:t>%</w:t>
      </w:r>
      <w:r>
        <w:rPr>
          <w:szCs w:val="21"/>
        </w:rPr>
        <w:t>的</w:t>
      </w:r>
      <w:r>
        <w:rPr>
          <w:rFonts w:hint="eastAsia"/>
          <w:szCs w:val="21"/>
        </w:rPr>
        <w:t>糖蜜或喷洒</w:t>
      </w:r>
      <w:r>
        <w:rPr>
          <w:rFonts w:hint="eastAsia"/>
          <w:szCs w:val="21"/>
        </w:rPr>
        <w:t>4%</w:t>
      </w:r>
      <w:r>
        <w:rPr>
          <w:szCs w:val="21"/>
        </w:rPr>
        <w:t>丙酸盐、山梨酸钾、苯甲酸钠或</w:t>
      </w:r>
      <w:r>
        <w:rPr>
          <w:szCs w:val="21"/>
        </w:rPr>
        <w:t>5%</w:t>
      </w:r>
      <w:r>
        <w:rPr>
          <w:szCs w:val="21"/>
        </w:rPr>
        <w:t>的食盐，抑制丁酸</w:t>
      </w:r>
      <w:proofErr w:type="gramStart"/>
      <w:r>
        <w:rPr>
          <w:szCs w:val="21"/>
        </w:rPr>
        <w:t>菌</w:t>
      </w:r>
      <w:proofErr w:type="gramEnd"/>
      <w:r>
        <w:rPr>
          <w:szCs w:val="21"/>
        </w:rPr>
        <w:t>发酵，提高青贮饲料质量；</w:t>
      </w:r>
      <w:bookmarkStart w:id="14" w:name="OLE_LINK10"/>
      <w:r>
        <w:rPr>
          <w:szCs w:val="21"/>
        </w:rPr>
        <w:t>当含水量在</w:t>
      </w:r>
      <w:r>
        <w:rPr>
          <w:szCs w:val="21"/>
        </w:rPr>
        <w:t>70%~80%</w:t>
      </w:r>
      <w:r>
        <w:rPr>
          <w:szCs w:val="21"/>
        </w:rPr>
        <w:t>时，应添加</w:t>
      </w:r>
      <w:r>
        <w:rPr>
          <w:szCs w:val="21"/>
        </w:rPr>
        <w:t>10</w:t>
      </w:r>
      <w:r>
        <w:rPr>
          <w:szCs w:val="21"/>
          <w:vertAlign w:val="superscript"/>
        </w:rPr>
        <w:t xml:space="preserve">9 </w:t>
      </w:r>
      <w:proofErr w:type="spellStart"/>
      <w:r>
        <w:rPr>
          <w:szCs w:val="21"/>
        </w:rPr>
        <w:t>cfu</w:t>
      </w:r>
      <w:proofErr w:type="spellEnd"/>
      <w:r>
        <w:rPr>
          <w:szCs w:val="21"/>
        </w:rPr>
        <w:t>/kg</w:t>
      </w:r>
      <w:r>
        <w:rPr>
          <w:szCs w:val="21"/>
        </w:rPr>
        <w:t>鲜样的耐高温乳酸菌，以促进发酵；亦可添加纤维素酶来促进木质素降解，增加乳酸菌发酵底物，提升青贮饲料质量，改善适口性，提高消化率</w:t>
      </w:r>
      <w:bookmarkEnd w:id="14"/>
      <w:r>
        <w:rPr>
          <w:szCs w:val="21"/>
        </w:rPr>
        <w:t>。</w:t>
      </w:r>
    </w:p>
    <w:p w14:paraId="49C04B9A" w14:textId="77777777" w:rsidR="00680E62" w:rsidRDefault="00000000" w:rsidP="00A06411">
      <w:pPr>
        <w:spacing w:line="360" w:lineRule="auto"/>
        <w:rPr>
          <w:b/>
          <w:bCs/>
          <w:szCs w:val="21"/>
        </w:rPr>
      </w:pPr>
      <w:r>
        <w:rPr>
          <w:b/>
          <w:bCs/>
          <w:szCs w:val="21"/>
        </w:rPr>
        <w:t xml:space="preserve">4.3 </w:t>
      </w:r>
      <w:r>
        <w:rPr>
          <w:b/>
          <w:bCs/>
          <w:szCs w:val="21"/>
        </w:rPr>
        <w:t>青贮窖选择</w:t>
      </w:r>
    </w:p>
    <w:p w14:paraId="383C5814" w14:textId="77777777" w:rsidR="00680E62" w:rsidRDefault="00000000" w:rsidP="00A06411">
      <w:pPr>
        <w:widowControl/>
        <w:spacing w:line="360" w:lineRule="auto"/>
        <w:ind w:firstLineChars="200" w:firstLine="420"/>
        <w:rPr>
          <w:szCs w:val="21"/>
        </w:rPr>
      </w:pPr>
      <w:r>
        <w:rPr>
          <w:szCs w:val="21"/>
        </w:rPr>
        <w:t>青贮窖建设符合</w:t>
      </w:r>
      <w:r>
        <w:rPr>
          <w:szCs w:val="21"/>
        </w:rPr>
        <w:t>NY/T 2698</w:t>
      </w:r>
      <w:r>
        <w:rPr>
          <w:szCs w:val="21"/>
        </w:rPr>
        <w:t>的规定。根据狼尾草属牧草收获量和饲养家畜规模确定青贮窖容量及设计建造（选择）青贮窖规格，可选择</w:t>
      </w:r>
      <w:bookmarkStart w:id="15" w:name="OLE_LINK7"/>
      <w:proofErr w:type="gramStart"/>
      <w:r>
        <w:rPr>
          <w:szCs w:val="21"/>
        </w:rPr>
        <w:t>地上式</w:t>
      </w:r>
      <w:proofErr w:type="gramEnd"/>
      <w:r>
        <w:rPr>
          <w:szCs w:val="21"/>
        </w:rPr>
        <w:t>青贮窖</w:t>
      </w:r>
      <w:bookmarkEnd w:id="15"/>
      <w:r>
        <w:rPr>
          <w:szCs w:val="21"/>
        </w:rPr>
        <w:t>和地面青贮窖。检查青贮窖的质量，清理青贮设施内的杂物并消毒。</w:t>
      </w:r>
    </w:p>
    <w:p w14:paraId="0FDB00F4" w14:textId="77777777" w:rsidR="00680E62" w:rsidRDefault="00000000" w:rsidP="00A06411">
      <w:pPr>
        <w:spacing w:line="360" w:lineRule="auto"/>
        <w:rPr>
          <w:b/>
          <w:bCs/>
          <w:szCs w:val="21"/>
        </w:rPr>
      </w:pPr>
      <w:r>
        <w:rPr>
          <w:b/>
          <w:bCs/>
          <w:szCs w:val="21"/>
        </w:rPr>
        <w:t xml:space="preserve">4.4 </w:t>
      </w:r>
      <w:r>
        <w:rPr>
          <w:b/>
          <w:bCs/>
          <w:szCs w:val="21"/>
        </w:rPr>
        <w:t>窖贮饲料制作</w:t>
      </w:r>
    </w:p>
    <w:p w14:paraId="62E39F4D" w14:textId="77777777" w:rsidR="00680E62" w:rsidRDefault="00000000" w:rsidP="00A06411">
      <w:pPr>
        <w:widowControl/>
        <w:spacing w:line="360" w:lineRule="auto"/>
        <w:ind w:firstLineChars="100" w:firstLine="211"/>
        <w:rPr>
          <w:szCs w:val="21"/>
        </w:rPr>
      </w:pPr>
      <w:bookmarkStart w:id="16" w:name="OLE_LINK6"/>
      <w:r>
        <w:rPr>
          <w:b/>
          <w:bCs/>
          <w:szCs w:val="21"/>
        </w:rPr>
        <w:t xml:space="preserve">4.4.1 </w:t>
      </w:r>
      <w:bookmarkEnd w:id="16"/>
      <w:r>
        <w:rPr>
          <w:b/>
          <w:bCs/>
          <w:szCs w:val="21"/>
        </w:rPr>
        <w:t>装窖</w:t>
      </w:r>
      <w:r>
        <w:rPr>
          <w:szCs w:val="21"/>
        </w:rPr>
        <w:t xml:space="preserve"> </w:t>
      </w:r>
    </w:p>
    <w:p w14:paraId="039EE299" w14:textId="325A333A" w:rsidR="00680E62" w:rsidRDefault="00000000" w:rsidP="00A06411">
      <w:pPr>
        <w:widowControl/>
        <w:spacing w:line="360" w:lineRule="auto"/>
        <w:ind w:firstLineChars="200" w:firstLine="420"/>
        <w:rPr>
          <w:szCs w:val="21"/>
        </w:rPr>
      </w:pPr>
      <w:r>
        <w:rPr>
          <w:szCs w:val="21"/>
        </w:rPr>
        <w:t>将经过上述处理的青贮饲料逐层装窖，装填侧壁稍高，有利于靠近窖壁的饲料压实；由于青贮窖上部不易压实，</w:t>
      </w:r>
      <w:r>
        <w:rPr>
          <w:rFonts w:hint="eastAsia"/>
          <w:szCs w:val="21"/>
        </w:rPr>
        <w:t>有顶棚的青贮窖</w:t>
      </w:r>
      <w:proofErr w:type="gramStart"/>
      <w:r>
        <w:rPr>
          <w:szCs w:val="21"/>
        </w:rPr>
        <w:t>装窖不能</w:t>
      </w:r>
      <w:proofErr w:type="gramEnd"/>
      <w:r>
        <w:rPr>
          <w:szCs w:val="21"/>
        </w:rPr>
        <w:t>超过青贮窖窖顶</w:t>
      </w:r>
      <w:r>
        <w:rPr>
          <w:rFonts w:hint="eastAsia"/>
          <w:szCs w:val="21"/>
        </w:rPr>
        <w:t>；无顶棚的青贮窖装满后继续加料，可</w:t>
      </w:r>
      <w:proofErr w:type="gramStart"/>
      <w:r>
        <w:rPr>
          <w:rFonts w:hint="eastAsia"/>
          <w:szCs w:val="21"/>
        </w:rPr>
        <w:t>超过窖顶</w:t>
      </w:r>
      <w:proofErr w:type="gramEnd"/>
      <w:r>
        <w:rPr>
          <w:rFonts w:hint="eastAsia"/>
          <w:szCs w:val="21"/>
        </w:rPr>
        <w:t>50</w:t>
      </w:r>
      <w:r w:rsidR="00A06411">
        <w:rPr>
          <w:rFonts w:hint="eastAsia"/>
          <w:szCs w:val="21"/>
        </w:rPr>
        <w:t>cm</w:t>
      </w:r>
      <w:r>
        <w:rPr>
          <w:rFonts w:hint="eastAsia"/>
          <w:szCs w:val="21"/>
        </w:rPr>
        <w:t>~100 cm</w:t>
      </w:r>
      <w:r>
        <w:rPr>
          <w:rFonts w:hint="eastAsia"/>
          <w:szCs w:val="21"/>
        </w:rPr>
        <w:t>，呈馒头状，有利排水</w:t>
      </w:r>
      <w:r>
        <w:rPr>
          <w:szCs w:val="21"/>
        </w:rPr>
        <w:t>。青贮窖的坡度至少</w:t>
      </w:r>
      <w:r>
        <w:rPr>
          <w:szCs w:val="21"/>
        </w:rPr>
        <w:t>3°</w:t>
      </w:r>
      <w:r>
        <w:rPr>
          <w:szCs w:val="21"/>
        </w:rPr>
        <w:t>，以方便多余汁液流出。</w:t>
      </w:r>
    </w:p>
    <w:p w14:paraId="676F81B8" w14:textId="77777777" w:rsidR="00680E62" w:rsidRDefault="00000000">
      <w:pPr>
        <w:widowControl/>
        <w:spacing w:line="360" w:lineRule="auto"/>
        <w:ind w:firstLineChars="100" w:firstLine="211"/>
        <w:jc w:val="left"/>
        <w:rPr>
          <w:szCs w:val="21"/>
        </w:rPr>
      </w:pPr>
      <w:r>
        <w:rPr>
          <w:b/>
          <w:bCs/>
          <w:szCs w:val="21"/>
        </w:rPr>
        <w:t xml:space="preserve">4.4.2 </w:t>
      </w:r>
      <w:r>
        <w:rPr>
          <w:b/>
          <w:bCs/>
          <w:szCs w:val="21"/>
        </w:rPr>
        <w:t>压实</w:t>
      </w:r>
      <w:r>
        <w:rPr>
          <w:szCs w:val="21"/>
        </w:rPr>
        <w:t xml:space="preserve"> </w:t>
      </w:r>
    </w:p>
    <w:p w14:paraId="76A6DACB" w14:textId="50866683" w:rsidR="00680E62" w:rsidRDefault="00000000">
      <w:pPr>
        <w:widowControl/>
        <w:spacing w:line="360" w:lineRule="auto"/>
        <w:ind w:firstLineChars="200" w:firstLine="420"/>
        <w:jc w:val="left"/>
        <w:rPr>
          <w:szCs w:val="21"/>
        </w:rPr>
      </w:pPr>
      <w:proofErr w:type="gramStart"/>
      <w:r>
        <w:rPr>
          <w:szCs w:val="21"/>
        </w:rPr>
        <w:t>装窖时</w:t>
      </w:r>
      <w:proofErr w:type="gramEnd"/>
      <w:r>
        <w:rPr>
          <w:szCs w:val="21"/>
        </w:rPr>
        <w:t>每装</w:t>
      </w:r>
      <w:r>
        <w:rPr>
          <w:szCs w:val="21"/>
        </w:rPr>
        <w:t>15</w:t>
      </w:r>
      <w:r w:rsidR="00A06411">
        <w:rPr>
          <w:rFonts w:hint="eastAsia"/>
          <w:szCs w:val="21"/>
        </w:rPr>
        <w:t>cm</w:t>
      </w:r>
      <w:r>
        <w:rPr>
          <w:szCs w:val="21"/>
        </w:rPr>
        <w:t>~20 cm</w:t>
      </w:r>
      <w:r>
        <w:rPr>
          <w:szCs w:val="21"/>
        </w:rPr>
        <w:t>压实一次，有利于空气排出，压实机械至少</w:t>
      </w:r>
      <w:r>
        <w:rPr>
          <w:szCs w:val="21"/>
        </w:rPr>
        <w:t>18</w:t>
      </w:r>
      <w:r>
        <w:rPr>
          <w:szCs w:val="21"/>
        </w:rPr>
        <w:t>吨的履带式拖拉机，压实密度应达到每立方米</w:t>
      </w:r>
      <w:r>
        <w:rPr>
          <w:rFonts w:hint="eastAsia"/>
          <w:szCs w:val="21"/>
        </w:rPr>
        <w:t>75</w:t>
      </w:r>
      <w:r>
        <w:rPr>
          <w:szCs w:val="21"/>
        </w:rPr>
        <w:t>0 kg</w:t>
      </w:r>
      <w:r>
        <w:rPr>
          <w:szCs w:val="21"/>
        </w:rPr>
        <w:t>。</w:t>
      </w:r>
    </w:p>
    <w:p w14:paraId="43900EC0" w14:textId="77777777" w:rsidR="00680E62" w:rsidRDefault="00000000">
      <w:pPr>
        <w:widowControl/>
        <w:spacing w:line="360" w:lineRule="auto"/>
        <w:ind w:firstLineChars="100" w:firstLine="211"/>
        <w:jc w:val="left"/>
        <w:rPr>
          <w:szCs w:val="21"/>
        </w:rPr>
      </w:pPr>
      <w:r>
        <w:rPr>
          <w:b/>
          <w:bCs/>
          <w:szCs w:val="21"/>
        </w:rPr>
        <w:t xml:space="preserve">4.4.3 </w:t>
      </w:r>
      <w:r>
        <w:rPr>
          <w:b/>
          <w:bCs/>
          <w:szCs w:val="21"/>
        </w:rPr>
        <w:t>密封</w:t>
      </w:r>
      <w:r>
        <w:rPr>
          <w:szCs w:val="21"/>
        </w:rPr>
        <w:t xml:space="preserve"> </w:t>
      </w:r>
    </w:p>
    <w:p w14:paraId="42A1798D" w14:textId="77777777" w:rsidR="00680E62" w:rsidRDefault="00000000">
      <w:pPr>
        <w:widowControl/>
        <w:spacing w:line="360" w:lineRule="auto"/>
        <w:ind w:firstLineChars="200" w:firstLine="420"/>
        <w:jc w:val="left"/>
        <w:rPr>
          <w:szCs w:val="21"/>
        </w:rPr>
      </w:pPr>
      <w:proofErr w:type="gramStart"/>
      <w:r>
        <w:rPr>
          <w:szCs w:val="21"/>
        </w:rPr>
        <w:t>装窖装</w:t>
      </w:r>
      <w:proofErr w:type="gramEnd"/>
      <w:r>
        <w:rPr>
          <w:szCs w:val="21"/>
        </w:rPr>
        <w:t>到一半时，将塑料薄膜搭在侧壁</w:t>
      </w:r>
      <w:r>
        <w:rPr>
          <w:szCs w:val="21"/>
        </w:rPr>
        <w:t>2</w:t>
      </w:r>
      <w:r>
        <w:rPr>
          <w:rFonts w:hint="eastAsia"/>
          <w:szCs w:val="21"/>
        </w:rPr>
        <w:t xml:space="preserve"> m</w:t>
      </w:r>
      <w:r>
        <w:rPr>
          <w:szCs w:val="21"/>
        </w:rPr>
        <w:t>处，</w:t>
      </w:r>
      <w:proofErr w:type="gramStart"/>
      <w:r>
        <w:rPr>
          <w:szCs w:val="21"/>
        </w:rPr>
        <w:t>当窖装后</w:t>
      </w:r>
      <w:proofErr w:type="gramEnd"/>
      <w:r>
        <w:rPr>
          <w:szCs w:val="21"/>
        </w:rPr>
        <w:t>，将事先放置的塑料膜覆盖在顶部，外面再盖一层塑料膜。覆盖青贮饲料的塑料薄膜必须满足三个基本功能：能防止雨水、冰雹或鸟类造成的降水和损害；抗紫外线，以便在长时间暴露在阳光下后保持完好无损；确保青贮期间的无氧条件。</w:t>
      </w:r>
    </w:p>
    <w:p w14:paraId="0041888A" w14:textId="77777777" w:rsidR="00680E62" w:rsidRDefault="00000000">
      <w:pPr>
        <w:widowControl/>
        <w:spacing w:line="360" w:lineRule="auto"/>
        <w:ind w:firstLineChars="100" w:firstLine="211"/>
        <w:jc w:val="left"/>
        <w:rPr>
          <w:szCs w:val="21"/>
        </w:rPr>
      </w:pPr>
      <w:r>
        <w:rPr>
          <w:b/>
          <w:bCs/>
          <w:szCs w:val="21"/>
        </w:rPr>
        <w:t xml:space="preserve">4.4.4 </w:t>
      </w:r>
      <w:r>
        <w:rPr>
          <w:b/>
          <w:bCs/>
          <w:szCs w:val="21"/>
        </w:rPr>
        <w:t>加重</w:t>
      </w:r>
      <w:r>
        <w:rPr>
          <w:szCs w:val="21"/>
        </w:rPr>
        <w:t xml:space="preserve"> </w:t>
      </w:r>
    </w:p>
    <w:p w14:paraId="68CB678C" w14:textId="77777777" w:rsidR="00680E62" w:rsidRDefault="00000000">
      <w:pPr>
        <w:widowControl/>
        <w:spacing w:line="360" w:lineRule="auto"/>
        <w:ind w:firstLineChars="200" w:firstLine="420"/>
        <w:jc w:val="left"/>
        <w:rPr>
          <w:szCs w:val="21"/>
        </w:rPr>
      </w:pPr>
      <w:r>
        <w:rPr>
          <w:szCs w:val="21"/>
        </w:rPr>
        <w:t>密封完后需用旧轮胎等重物进行加重。</w:t>
      </w:r>
    </w:p>
    <w:p w14:paraId="17724E79" w14:textId="77777777" w:rsidR="00680E62" w:rsidRDefault="00000000">
      <w:pPr>
        <w:pStyle w:val="a"/>
        <w:spacing w:before="312" w:after="312"/>
        <w:rPr>
          <w:rFonts w:ascii="Times New Roman"/>
          <w:b/>
        </w:rPr>
      </w:pPr>
      <w:bookmarkStart w:id="17" w:name="_Toc9759"/>
      <w:bookmarkStart w:id="18" w:name="OLE_LINK8"/>
      <w:r>
        <w:rPr>
          <w:rFonts w:ascii="Times New Roman"/>
          <w:b/>
        </w:rPr>
        <w:t>贮藏管理</w:t>
      </w:r>
      <w:bookmarkEnd w:id="17"/>
      <w:r>
        <w:rPr>
          <w:rFonts w:ascii="Times New Roman"/>
          <w:b/>
        </w:rPr>
        <w:t xml:space="preserve"> </w:t>
      </w:r>
    </w:p>
    <w:bookmarkEnd w:id="18"/>
    <w:p w14:paraId="749F852C" w14:textId="77777777" w:rsidR="00680E62" w:rsidRDefault="00000000">
      <w:pPr>
        <w:widowControl/>
        <w:spacing w:line="360" w:lineRule="auto"/>
        <w:ind w:firstLineChars="200" w:firstLine="420"/>
        <w:jc w:val="left"/>
        <w:rPr>
          <w:szCs w:val="21"/>
        </w:rPr>
      </w:pPr>
      <w:r>
        <w:rPr>
          <w:szCs w:val="21"/>
        </w:rPr>
        <w:t>时常检查鼠害、漏水等，保证青贮料的密封状态，防止通气漏水</w:t>
      </w:r>
      <w:r>
        <w:rPr>
          <w:rFonts w:hint="eastAsia"/>
          <w:szCs w:val="21"/>
        </w:rPr>
        <w:t>，发现问题要及时处理。</w:t>
      </w:r>
    </w:p>
    <w:p w14:paraId="4BB29AEE" w14:textId="77777777" w:rsidR="00680E62" w:rsidRDefault="00000000">
      <w:pPr>
        <w:pStyle w:val="a"/>
        <w:spacing w:before="312" w:after="312"/>
        <w:rPr>
          <w:rFonts w:ascii="Times New Roman"/>
          <w:b/>
        </w:rPr>
      </w:pPr>
      <w:bookmarkStart w:id="19" w:name="_Toc3876"/>
      <w:r>
        <w:rPr>
          <w:rFonts w:ascii="Times New Roman"/>
          <w:b/>
        </w:rPr>
        <w:t>开窖取用</w:t>
      </w:r>
      <w:bookmarkEnd w:id="19"/>
    </w:p>
    <w:p w14:paraId="3E627C21" w14:textId="77777777" w:rsidR="00680E62" w:rsidRDefault="00000000" w:rsidP="00A06411">
      <w:pPr>
        <w:widowControl/>
        <w:spacing w:line="360" w:lineRule="auto"/>
        <w:ind w:firstLineChars="200" w:firstLine="420"/>
        <w:rPr>
          <w:szCs w:val="21"/>
        </w:rPr>
      </w:pPr>
      <w:r>
        <w:rPr>
          <w:szCs w:val="21"/>
        </w:rPr>
        <w:t>青贮</w:t>
      </w:r>
      <w:r>
        <w:rPr>
          <w:szCs w:val="21"/>
        </w:rPr>
        <w:t>60</w:t>
      </w:r>
      <w:r>
        <w:rPr>
          <w:rFonts w:hint="eastAsia"/>
          <w:szCs w:val="21"/>
        </w:rPr>
        <w:t xml:space="preserve"> </w:t>
      </w:r>
      <w:r>
        <w:rPr>
          <w:szCs w:val="21"/>
        </w:rPr>
        <w:t>d</w:t>
      </w:r>
      <w:r>
        <w:rPr>
          <w:szCs w:val="21"/>
        </w:rPr>
        <w:t>后开窖取用。开</w:t>
      </w:r>
      <w:proofErr w:type="gramStart"/>
      <w:r>
        <w:rPr>
          <w:szCs w:val="21"/>
        </w:rPr>
        <w:t>窖前清除封窖时</w:t>
      </w:r>
      <w:proofErr w:type="gramEnd"/>
      <w:r>
        <w:rPr>
          <w:szCs w:val="21"/>
        </w:rPr>
        <w:t>的覆盖物，从青贮窖一端启封，从外至内分段</w:t>
      </w:r>
      <w:r>
        <w:rPr>
          <w:rFonts w:hint="eastAsia"/>
          <w:szCs w:val="21"/>
        </w:rPr>
        <w:t>垂直</w:t>
      </w:r>
      <w:r>
        <w:rPr>
          <w:szCs w:val="21"/>
        </w:rPr>
        <w:t>取料，切勿全部打开，严禁掏洞取料，每次取料后应及时密封窖口，防止二次发酵。窖池打开后若较长时间不能取用，应按原方法密封窖池。</w:t>
      </w:r>
      <w:bookmarkEnd w:id="13"/>
    </w:p>
    <w:p w14:paraId="3542459C" w14:textId="77777777" w:rsidR="00680E62" w:rsidRDefault="00680E62">
      <w:pPr>
        <w:widowControl/>
        <w:spacing w:line="360" w:lineRule="auto"/>
        <w:ind w:firstLineChars="200" w:firstLine="420"/>
        <w:jc w:val="left"/>
        <w:rPr>
          <w:szCs w:val="21"/>
        </w:rPr>
      </w:pPr>
    </w:p>
    <w:p w14:paraId="0E32910B" w14:textId="77777777" w:rsidR="00680E62" w:rsidRDefault="00000000">
      <w:pPr>
        <w:widowControl/>
        <w:spacing w:line="360" w:lineRule="auto"/>
        <w:ind w:firstLineChars="200" w:firstLine="420"/>
        <w:jc w:val="left"/>
        <w:rPr>
          <w:u w:val="single"/>
        </w:rPr>
      </w:pPr>
      <w:r>
        <w:rPr>
          <w:rFonts w:hint="eastAsia"/>
          <w:szCs w:val="21"/>
        </w:rPr>
        <w:t xml:space="preserve">                         </w:t>
      </w:r>
      <w:r>
        <w:rPr>
          <w:rFonts w:hint="eastAsia"/>
          <w:szCs w:val="21"/>
          <w:u w:val="single"/>
        </w:rPr>
        <w:t xml:space="preserve">                             </w:t>
      </w:r>
    </w:p>
    <w:sectPr w:rsidR="00680E6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E84C" w14:textId="77777777" w:rsidR="00A40621" w:rsidRDefault="00A40621">
      <w:r>
        <w:separator/>
      </w:r>
    </w:p>
  </w:endnote>
  <w:endnote w:type="continuationSeparator" w:id="0">
    <w:p w14:paraId="42ECD6A2" w14:textId="77777777" w:rsidR="00A40621" w:rsidRDefault="00A4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865B" w14:textId="77777777" w:rsidR="00680E62" w:rsidRDefault="00000000">
    <w:pPr>
      <w:pStyle w:val="af8"/>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65ED" w14:textId="77777777" w:rsidR="00680E62" w:rsidRDefault="00000000">
    <w:pPr>
      <w:pStyle w:val="af8"/>
    </w:pPr>
    <w:r>
      <w:fldChar w:fldCharType="begin"/>
    </w:r>
    <w:r>
      <w:instrText xml:space="preserve"> PAGE  \* MERGEFORMAT </w:instrText>
    </w:r>
    <w:r>
      <w:fldChar w:fldCharType="separate"/>
    </w:r>
    <w:r>
      <w:t>3</w:t>
    </w:r>
    <w:r>
      <w:fldChar w:fldCharType="end"/>
    </w:r>
  </w:p>
  <w:p w14:paraId="25FB3513" w14:textId="77777777" w:rsidR="00680E62" w:rsidRDefault="00680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CBF7" w14:textId="77777777" w:rsidR="00A40621" w:rsidRDefault="00A40621">
      <w:r>
        <w:separator/>
      </w:r>
    </w:p>
  </w:footnote>
  <w:footnote w:type="continuationSeparator" w:id="0">
    <w:p w14:paraId="59731744" w14:textId="77777777" w:rsidR="00A40621" w:rsidRDefault="00A4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9DA9" w14:textId="77777777" w:rsidR="00680E62" w:rsidRDefault="00000000">
    <w:pPr>
      <w:pStyle w:val="af9"/>
      <w:rPr>
        <w:b/>
      </w:rPr>
    </w:pPr>
    <w:r>
      <w:rPr>
        <w:b/>
      </w:rPr>
      <w:t xml:space="preserve">T/HXCY </w:t>
    </w:r>
    <w:r>
      <w:rPr>
        <w:rFonts w:hint="eastAsia"/>
        <w:b/>
      </w:rPr>
      <w:t>XXX</w:t>
    </w:r>
    <w:r>
      <w:rPr>
        <w:b/>
      </w:rPr>
      <w:t>—</w:t>
    </w:r>
    <w:r>
      <w:rPr>
        <w:rFonts w:hint="eastAsia"/>
        <w:b/>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5407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lNGI4NGQ1OWNiMjZlYzRmODhmYWFmMDlkOGQxYjIifQ=="/>
  </w:docVars>
  <w:rsids>
    <w:rsidRoot w:val="00304E99"/>
    <w:rsid w:val="00005782"/>
    <w:rsid w:val="00006392"/>
    <w:rsid w:val="0001483B"/>
    <w:rsid w:val="000202BC"/>
    <w:rsid w:val="000423C4"/>
    <w:rsid w:val="000440C7"/>
    <w:rsid w:val="000443A6"/>
    <w:rsid w:val="00046CDB"/>
    <w:rsid w:val="00062F85"/>
    <w:rsid w:val="00066D27"/>
    <w:rsid w:val="000750F1"/>
    <w:rsid w:val="00077B6F"/>
    <w:rsid w:val="00082CF8"/>
    <w:rsid w:val="00084592"/>
    <w:rsid w:val="000934B8"/>
    <w:rsid w:val="000B17C4"/>
    <w:rsid w:val="000B199D"/>
    <w:rsid w:val="000B24FE"/>
    <w:rsid w:val="000B36A4"/>
    <w:rsid w:val="000B3BBF"/>
    <w:rsid w:val="000B6FCC"/>
    <w:rsid w:val="000C2C97"/>
    <w:rsid w:val="000C4D23"/>
    <w:rsid w:val="000D0859"/>
    <w:rsid w:val="000D3DC3"/>
    <w:rsid w:val="000D5D1A"/>
    <w:rsid w:val="000D6266"/>
    <w:rsid w:val="000F1942"/>
    <w:rsid w:val="000F7D79"/>
    <w:rsid w:val="00101187"/>
    <w:rsid w:val="00105617"/>
    <w:rsid w:val="001101A2"/>
    <w:rsid w:val="00113CD7"/>
    <w:rsid w:val="001233FF"/>
    <w:rsid w:val="0013368E"/>
    <w:rsid w:val="00143987"/>
    <w:rsid w:val="00145745"/>
    <w:rsid w:val="001479EB"/>
    <w:rsid w:val="001515BD"/>
    <w:rsid w:val="00157801"/>
    <w:rsid w:val="00161FCB"/>
    <w:rsid w:val="00165C18"/>
    <w:rsid w:val="00167E0B"/>
    <w:rsid w:val="00173F7C"/>
    <w:rsid w:val="0018554A"/>
    <w:rsid w:val="001A0007"/>
    <w:rsid w:val="001A1065"/>
    <w:rsid w:val="001A1AFA"/>
    <w:rsid w:val="001A4138"/>
    <w:rsid w:val="001A56A0"/>
    <w:rsid w:val="001B2228"/>
    <w:rsid w:val="001B4D6C"/>
    <w:rsid w:val="001C4C06"/>
    <w:rsid w:val="001D4166"/>
    <w:rsid w:val="002022EF"/>
    <w:rsid w:val="00202DCD"/>
    <w:rsid w:val="0020364A"/>
    <w:rsid w:val="00215618"/>
    <w:rsid w:val="0021638B"/>
    <w:rsid w:val="0022284C"/>
    <w:rsid w:val="00236E9B"/>
    <w:rsid w:val="00247983"/>
    <w:rsid w:val="00254D04"/>
    <w:rsid w:val="002648C6"/>
    <w:rsid w:val="002708E8"/>
    <w:rsid w:val="00270993"/>
    <w:rsid w:val="00281F76"/>
    <w:rsid w:val="002C4A86"/>
    <w:rsid w:val="002C63A0"/>
    <w:rsid w:val="002D2553"/>
    <w:rsid w:val="002E0CEC"/>
    <w:rsid w:val="002F12A8"/>
    <w:rsid w:val="002F32BE"/>
    <w:rsid w:val="00304E99"/>
    <w:rsid w:val="0030624B"/>
    <w:rsid w:val="00310B94"/>
    <w:rsid w:val="003167EE"/>
    <w:rsid w:val="003302AD"/>
    <w:rsid w:val="00330773"/>
    <w:rsid w:val="003341D0"/>
    <w:rsid w:val="003347C4"/>
    <w:rsid w:val="00341AB9"/>
    <w:rsid w:val="003424C0"/>
    <w:rsid w:val="003424EC"/>
    <w:rsid w:val="00350F20"/>
    <w:rsid w:val="003658CF"/>
    <w:rsid w:val="00366CF5"/>
    <w:rsid w:val="00367250"/>
    <w:rsid w:val="00371362"/>
    <w:rsid w:val="00374112"/>
    <w:rsid w:val="00381BFE"/>
    <w:rsid w:val="00381EFE"/>
    <w:rsid w:val="003922C0"/>
    <w:rsid w:val="00392F18"/>
    <w:rsid w:val="00395600"/>
    <w:rsid w:val="00396CDF"/>
    <w:rsid w:val="003A4DEF"/>
    <w:rsid w:val="003B3575"/>
    <w:rsid w:val="003B62A4"/>
    <w:rsid w:val="003C066D"/>
    <w:rsid w:val="003C2614"/>
    <w:rsid w:val="003D27CB"/>
    <w:rsid w:val="004102AC"/>
    <w:rsid w:val="00410367"/>
    <w:rsid w:val="00412191"/>
    <w:rsid w:val="004217A6"/>
    <w:rsid w:val="00425AD3"/>
    <w:rsid w:val="0043048F"/>
    <w:rsid w:val="0043161C"/>
    <w:rsid w:val="00440AB2"/>
    <w:rsid w:val="004410B3"/>
    <w:rsid w:val="00447164"/>
    <w:rsid w:val="00447335"/>
    <w:rsid w:val="00460D11"/>
    <w:rsid w:val="00462C0A"/>
    <w:rsid w:val="004644A7"/>
    <w:rsid w:val="0047670E"/>
    <w:rsid w:val="0048550F"/>
    <w:rsid w:val="00486694"/>
    <w:rsid w:val="004B0A55"/>
    <w:rsid w:val="004C1E30"/>
    <w:rsid w:val="004C54B5"/>
    <w:rsid w:val="004D1CC2"/>
    <w:rsid w:val="004E59CF"/>
    <w:rsid w:val="004F043E"/>
    <w:rsid w:val="00503CCE"/>
    <w:rsid w:val="00525436"/>
    <w:rsid w:val="00531CC0"/>
    <w:rsid w:val="00533E80"/>
    <w:rsid w:val="0053466A"/>
    <w:rsid w:val="00541174"/>
    <w:rsid w:val="005510DD"/>
    <w:rsid w:val="005528B8"/>
    <w:rsid w:val="00552E7D"/>
    <w:rsid w:val="00554CB3"/>
    <w:rsid w:val="0056077D"/>
    <w:rsid w:val="005969E6"/>
    <w:rsid w:val="005A0FB6"/>
    <w:rsid w:val="005A4144"/>
    <w:rsid w:val="005A699C"/>
    <w:rsid w:val="005B29E7"/>
    <w:rsid w:val="005B6CB1"/>
    <w:rsid w:val="005B7D3E"/>
    <w:rsid w:val="005E3ECF"/>
    <w:rsid w:val="005E5927"/>
    <w:rsid w:val="005F0D0E"/>
    <w:rsid w:val="006114AB"/>
    <w:rsid w:val="0061649F"/>
    <w:rsid w:val="006215C9"/>
    <w:rsid w:val="00633FE1"/>
    <w:rsid w:val="0065252F"/>
    <w:rsid w:val="00673B8B"/>
    <w:rsid w:val="00680E62"/>
    <w:rsid w:val="006812B9"/>
    <w:rsid w:val="006871C5"/>
    <w:rsid w:val="00692FA7"/>
    <w:rsid w:val="006A0518"/>
    <w:rsid w:val="006A0828"/>
    <w:rsid w:val="006A0BDB"/>
    <w:rsid w:val="006A2C07"/>
    <w:rsid w:val="006A7103"/>
    <w:rsid w:val="006B77C2"/>
    <w:rsid w:val="006D2362"/>
    <w:rsid w:val="006E4CF6"/>
    <w:rsid w:val="006E7170"/>
    <w:rsid w:val="006F15EF"/>
    <w:rsid w:val="006F75A8"/>
    <w:rsid w:val="00704784"/>
    <w:rsid w:val="00704C27"/>
    <w:rsid w:val="00706AA5"/>
    <w:rsid w:val="007123B0"/>
    <w:rsid w:val="00721A6E"/>
    <w:rsid w:val="00724C13"/>
    <w:rsid w:val="00734F77"/>
    <w:rsid w:val="00744D32"/>
    <w:rsid w:val="00750429"/>
    <w:rsid w:val="00756003"/>
    <w:rsid w:val="00757464"/>
    <w:rsid w:val="00760FE3"/>
    <w:rsid w:val="007709C1"/>
    <w:rsid w:val="00776666"/>
    <w:rsid w:val="007C017E"/>
    <w:rsid w:val="007C1162"/>
    <w:rsid w:val="007D24AC"/>
    <w:rsid w:val="007D321F"/>
    <w:rsid w:val="007E2828"/>
    <w:rsid w:val="007F20CD"/>
    <w:rsid w:val="0080463E"/>
    <w:rsid w:val="008107F5"/>
    <w:rsid w:val="008130D9"/>
    <w:rsid w:val="00816646"/>
    <w:rsid w:val="008224FD"/>
    <w:rsid w:val="0083013D"/>
    <w:rsid w:val="00847794"/>
    <w:rsid w:val="00854796"/>
    <w:rsid w:val="008557B5"/>
    <w:rsid w:val="00856CB6"/>
    <w:rsid w:val="00861E19"/>
    <w:rsid w:val="00862069"/>
    <w:rsid w:val="00870E21"/>
    <w:rsid w:val="0087700F"/>
    <w:rsid w:val="008A6B40"/>
    <w:rsid w:val="008C0BED"/>
    <w:rsid w:val="008C4B8B"/>
    <w:rsid w:val="008D26C0"/>
    <w:rsid w:val="008E3BCE"/>
    <w:rsid w:val="008E5006"/>
    <w:rsid w:val="008F2B00"/>
    <w:rsid w:val="008F2EAC"/>
    <w:rsid w:val="00902596"/>
    <w:rsid w:val="009032F7"/>
    <w:rsid w:val="00906F4C"/>
    <w:rsid w:val="00912F2B"/>
    <w:rsid w:val="00917D83"/>
    <w:rsid w:val="009225DE"/>
    <w:rsid w:val="0092557E"/>
    <w:rsid w:val="00927CCD"/>
    <w:rsid w:val="00960BC8"/>
    <w:rsid w:val="00965F90"/>
    <w:rsid w:val="00966F2A"/>
    <w:rsid w:val="00987C82"/>
    <w:rsid w:val="00991E2A"/>
    <w:rsid w:val="009921DE"/>
    <w:rsid w:val="009A049E"/>
    <w:rsid w:val="009A41FD"/>
    <w:rsid w:val="009B0621"/>
    <w:rsid w:val="009B3FF3"/>
    <w:rsid w:val="009D6490"/>
    <w:rsid w:val="009D66DB"/>
    <w:rsid w:val="009E5C06"/>
    <w:rsid w:val="009F36BB"/>
    <w:rsid w:val="009F42E1"/>
    <w:rsid w:val="009F7D4E"/>
    <w:rsid w:val="00A06411"/>
    <w:rsid w:val="00A145A3"/>
    <w:rsid w:val="00A3295D"/>
    <w:rsid w:val="00A3726E"/>
    <w:rsid w:val="00A40621"/>
    <w:rsid w:val="00A42ECA"/>
    <w:rsid w:val="00A83BF9"/>
    <w:rsid w:val="00A95CAA"/>
    <w:rsid w:val="00A95DCC"/>
    <w:rsid w:val="00AA7D1C"/>
    <w:rsid w:val="00AB1510"/>
    <w:rsid w:val="00AC2FB7"/>
    <w:rsid w:val="00AC7E5B"/>
    <w:rsid w:val="00AE0502"/>
    <w:rsid w:val="00AF5F9B"/>
    <w:rsid w:val="00B00468"/>
    <w:rsid w:val="00B25081"/>
    <w:rsid w:val="00B32E2F"/>
    <w:rsid w:val="00B63DCB"/>
    <w:rsid w:val="00B67EB1"/>
    <w:rsid w:val="00B756DD"/>
    <w:rsid w:val="00B83ADB"/>
    <w:rsid w:val="00B878B1"/>
    <w:rsid w:val="00B95871"/>
    <w:rsid w:val="00BA3FA4"/>
    <w:rsid w:val="00BD2623"/>
    <w:rsid w:val="00BD3607"/>
    <w:rsid w:val="00BE579E"/>
    <w:rsid w:val="00BF66CC"/>
    <w:rsid w:val="00C105C3"/>
    <w:rsid w:val="00C1566A"/>
    <w:rsid w:val="00C24C67"/>
    <w:rsid w:val="00C42DD2"/>
    <w:rsid w:val="00C47C47"/>
    <w:rsid w:val="00C5543D"/>
    <w:rsid w:val="00C554F9"/>
    <w:rsid w:val="00C608E3"/>
    <w:rsid w:val="00C627AF"/>
    <w:rsid w:val="00C84659"/>
    <w:rsid w:val="00C91F75"/>
    <w:rsid w:val="00CA120D"/>
    <w:rsid w:val="00CC1366"/>
    <w:rsid w:val="00CD4F37"/>
    <w:rsid w:val="00CD64FC"/>
    <w:rsid w:val="00CE2783"/>
    <w:rsid w:val="00CE3440"/>
    <w:rsid w:val="00CE45E4"/>
    <w:rsid w:val="00CE5E94"/>
    <w:rsid w:val="00CF063A"/>
    <w:rsid w:val="00D105EC"/>
    <w:rsid w:val="00D11CA5"/>
    <w:rsid w:val="00D20B41"/>
    <w:rsid w:val="00D24338"/>
    <w:rsid w:val="00D2785A"/>
    <w:rsid w:val="00D516DD"/>
    <w:rsid w:val="00D52716"/>
    <w:rsid w:val="00D554ED"/>
    <w:rsid w:val="00D56D6A"/>
    <w:rsid w:val="00D6177F"/>
    <w:rsid w:val="00D62DA0"/>
    <w:rsid w:val="00D63404"/>
    <w:rsid w:val="00D842BE"/>
    <w:rsid w:val="00D91C28"/>
    <w:rsid w:val="00DA5F30"/>
    <w:rsid w:val="00DB4FC6"/>
    <w:rsid w:val="00DC68C9"/>
    <w:rsid w:val="00DF032A"/>
    <w:rsid w:val="00DF6125"/>
    <w:rsid w:val="00E01C48"/>
    <w:rsid w:val="00E02681"/>
    <w:rsid w:val="00E119AE"/>
    <w:rsid w:val="00E11F0A"/>
    <w:rsid w:val="00E3758E"/>
    <w:rsid w:val="00E4543F"/>
    <w:rsid w:val="00E46D0F"/>
    <w:rsid w:val="00E46E17"/>
    <w:rsid w:val="00E516F8"/>
    <w:rsid w:val="00E6053D"/>
    <w:rsid w:val="00E61B77"/>
    <w:rsid w:val="00E6284A"/>
    <w:rsid w:val="00E63B13"/>
    <w:rsid w:val="00E66DF6"/>
    <w:rsid w:val="00E67F20"/>
    <w:rsid w:val="00E71F1D"/>
    <w:rsid w:val="00E84886"/>
    <w:rsid w:val="00E916C2"/>
    <w:rsid w:val="00E95BB2"/>
    <w:rsid w:val="00E97B8E"/>
    <w:rsid w:val="00EA233A"/>
    <w:rsid w:val="00EA7108"/>
    <w:rsid w:val="00EB28E3"/>
    <w:rsid w:val="00EB2B28"/>
    <w:rsid w:val="00EB2F4A"/>
    <w:rsid w:val="00EB4676"/>
    <w:rsid w:val="00EB5247"/>
    <w:rsid w:val="00EB5568"/>
    <w:rsid w:val="00ED1D21"/>
    <w:rsid w:val="00F01803"/>
    <w:rsid w:val="00F130C2"/>
    <w:rsid w:val="00F16115"/>
    <w:rsid w:val="00F26040"/>
    <w:rsid w:val="00F41E7E"/>
    <w:rsid w:val="00F50CDF"/>
    <w:rsid w:val="00F544CD"/>
    <w:rsid w:val="00F54C67"/>
    <w:rsid w:val="00F668AF"/>
    <w:rsid w:val="00F76FCF"/>
    <w:rsid w:val="00F81ABC"/>
    <w:rsid w:val="00F8664E"/>
    <w:rsid w:val="00F93AB5"/>
    <w:rsid w:val="00F976B4"/>
    <w:rsid w:val="00FA4904"/>
    <w:rsid w:val="00FC0FA6"/>
    <w:rsid w:val="00FD7B35"/>
    <w:rsid w:val="00FE020E"/>
    <w:rsid w:val="00FF5212"/>
    <w:rsid w:val="00FF60BA"/>
    <w:rsid w:val="017460A8"/>
    <w:rsid w:val="01826A17"/>
    <w:rsid w:val="01973B44"/>
    <w:rsid w:val="019F5554"/>
    <w:rsid w:val="019F640E"/>
    <w:rsid w:val="01BF37C7"/>
    <w:rsid w:val="01C42B8B"/>
    <w:rsid w:val="01CC1A40"/>
    <w:rsid w:val="01FD609D"/>
    <w:rsid w:val="021A6C4F"/>
    <w:rsid w:val="022813E4"/>
    <w:rsid w:val="025B2DC4"/>
    <w:rsid w:val="028642E4"/>
    <w:rsid w:val="02BF15A4"/>
    <w:rsid w:val="02F72AEC"/>
    <w:rsid w:val="030376E3"/>
    <w:rsid w:val="03123DCA"/>
    <w:rsid w:val="035D3297"/>
    <w:rsid w:val="0361265C"/>
    <w:rsid w:val="036B4574"/>
    <w:rsid w:val="038D16A3"/>
    <w:rsid w:val="03D41080"/>
    <w:rsid w:val="03E312C3"/>
    <w:rsid w:val="045D2E23"/>
    <w:rsid w:val="047A39D5"/>
    <w:rsid w:val="04B05649"/>
    <w:rsid w:val="04B52C5F"/>
    <w:rsid w:val="04BA64C7"/>
    <w:rsid w:val="04E83035"/>
    <w:rsid w:val="04F33787"/>
    <w:rsid w:val="04F73278"/>
    <w:rsid w:val="051F457C"/>
    <w:rsid w:val="05311D4D"/>
    <w:rsid w:val="05490638"/>
    <w:rsid w:val="05500BDA"/>
    <w:rsid w:val="055C132D"/>
    <w:rsid w:val="057C377D"/>
    <w:rsid w:val="05B44CC5"/>
    <w:rsid w:val="05F477B7"/>
    <w:rsid w:val="061439B5"/>
    <w:rsid w:val="065336FB"/>
    <w:rsid w:val="069074E0"/>
    <w:rsid w:val="06930D7E"/>
    <w:rsid w:val="06B56F46"/>
    <w:rsid w:val="06F97061"/>
    <w:rsid w:val="073267E9"/>
    <w:rsid w:val="075B77ED"/>
    <w:rsid w:val="0788465B"/>
    <w:rsid w:val="07903EBE"/>
    <w:rsid w:val="07F67816"/>
    <w:rsid w:val="087C68B3"/>
    <w:rsid w:val="08915791"/>
    <w:rsid w:val="089C5DBB"/>
    <w:rsid w:val="08A13C26"/>
    <w:rsid w:val="08CB2A51"/>
    <w:rsid w:val="090B6B8E"/>
    <w:rsid w:val="090E6DE2"/>
    <w:rsid w:val="093E76C7"/>
    <w:rsid w:val="0983332C"/>
    <w:rsid w:val="098D5F59"/>
    <w:rsid w:val="099B68C7"/>
    <w:rsid w:val="09F45FD8"/>
    <w:rsid w:val="0A1C72DC"/>
    <w:rsid w:val="0A1E12A6"/>
    <w:rsid w:val="0A2C5771"/>
    <w:rsid w:val="0A2D3298"/>
    <w:rsid w:val="0A4A209B"/>
    <w:rsid w:val="0A6D7B38"/>
    <w:rsid w:val="0A844571"/>
    <w:rsid w:val="0AA45932"/>
    <w:rsid w:val="0AB3379D"/>
    <w:rsid w:val="0AFB3396"/>
    <w:rsid w:val="0B505490"/>
    <w:rsid w:val="0B9871ED"/>
    <w:rsid w:val="0BCA5242"/>
    <w:rsid w:val="0BEF6A57"/>
    <w:rsid w:val="0C2801BA"/>
    <w:rsid w:val="0C3B6140"/>
    <w:rsid w:val="0C4274CE"/>
    <w:rsid w:val="0C476893"/>
    <w:rsid w:val="0C5114BF"/>
    <w:rsid w:val="0C6236CC"/>
    <w:rsid w:val="0C8D626F"/>
    <w:rsid w:val="0CC003F3"/>
    <w:rsid w:val="0CDD0FA5"/>
    <w:rsid w:val="0CE340E1"/>
    <w:rsid w:val="0D026C5D"/>
    <w:rsid w:val="0D2564A8"/>
    <w:rsid w:val="0D605732"/>
    <w:rsid w:val="0D7A0AD1"/>
    <w:rsid w:val="0D8E0503"/>
    <w:rsid w:val="0D9F53BE"/>
    <w:rsid w:val="0DA6583B"/>
    <w:rsid w:val="0DBF27B3"/>
    <w:rsid w:val="0DE63E89"/>
    <w:rsid w:val="0DED5218"/>
    <w:rsid w:val="0DF5231E"/>
    <w:rsid w:val="0E686F94"/>
    <w:rsid w:val="0E9E4764"/>
    <w:rsid w:val="0EAC0C2F"/>
    <w:rsid w:val="0ED168E7"/>
    <w:rsid w:val="0F1A64E0"/>
    <w:rsid w:val="0F234C69"/>
    <w:rsid w:val="0F724E95"/>
    <w:rsid w:val="0FBC1346"/>
    <w:rsid w:val="0FDC3796"/>
    <w:rsid w:val="10246EEB"/>
    <w:rsid w:val="102D3FF1"/>
    <w:rsid w:val="103510F8"/>
    <w:rsid w:val="10C2298C"/>
    <w:rsid w:val="10F468BD"/>
    <w:rsid w:val="11254CC9"/>
    <w:rsid w:val="116C6D9B"/>
    <w:rsid w:val="11763776"/>
    <w:rsid w:val="11E903EC"/>
    <w:rsid w:val="11F254F3"/>
    <w:rsid w:val="12107727"/>
    <w:rsid w:val="12274A70"/>
    <w:rsid w:val="122B27B2"/>
    <w:rsid w:val="12747CB6"/>
    <w:rsid w:val="12902616"/>
    <w:rsid w:val="129245E0"/>
    <w:rsid w:val="12AB56A1"/>
    <w:rsid w:val="12AD1419"/>
    <w:rsid w:val="12AF6F40"/>
    <w:rsid w:val="12EC1F42"/>
    <w:rsid w:val="12F11306"/>
    <w:rsid w:val="13225964"/>
    <w:rsid w:val="13327384"/>
    <w:rsid w:val="138A175B"/>
    <w:rsid w:val="13A75E69"/>
    <w:rsid w:val="13B011C1"/>
    <w:rsid w:val="141B23B3"/>
    <w:rsid w:val="141D437D"/>
    <w:rsid w:val="14237BE5"/>
    <w:rsid w:val="142676D5"/>
    <w:rsid w:val="14472F5A"/>
    <w:rsid w:val="145C6C53"/>
    <w:rsid w:val="14885C9A"/>
    <w:rsid w:val="14B20F69"/>
    <w:rsid w:val="14BF71E2"/>
    <w:rsid w:val="14C50C9C"/>
    <w:rsid w:val="14C8253B"/>
    <w:rsid w:val="152359C3"/>
    <w:rsid w:val="15542020"/>
    <w:rsid w:val="15C251DC"/>
    <w:rsid w:val="15EC4007"/>
    <w:rsid w:val="15F555B1"/>
    <w:rsid w:val="16461969"/>
    <w:rsid w:val="16774218"/>
    <w:rsid w:val="16797F90"/>
    <w:rsid w:val="173B3498"/>
    <w:rsid w:val="175D340E"/>
    <w:rsid w:val="1776627E"/>
    <w:rsid w:val="17EB6C6C"/>
    <w:rsid w:val="17EF5B76"/>
    <w:rsid w:val="18422604"/>
    <w:rsid w:val="1867206B"/>
    <w:rsid w:val="1881312C"/>
    <w:rsid w:val="18C33745"/>
    <w:rsid w:val="18D45952"/>
    <w:rsid w:val="18EE62E8"/>
    <w:rsid w:val="18FF22A3"/>
    <w:rsid w:val="19067AD5"/>
    <w:rsid w:val="191F46F3"/>
    <w:rsid w:val="192A37C4"/>
    <w:rsid w:val="19314B52"/>
    <w:rsid w:val="19540841"/>
    <w:rsid w:val="19630A84"/>
    <w:rsid w:val="1977008B"/>
    <w:rsid w:val="19D674A8"/>
    <w:rsid w:val="1A295829"/>
    <w:rsid w:val="1A58610F"/>
    <w:rsid w:val="1A642D06"/>
    <w:rsid w:val="1A646862"/>
    <w:rsid w:val="1A907657"/>
    <w:rsid w:val="1AFC1190"/>
    <w:rsid w:val="1B0439F4"/>
    <w:rsid w:val="1B193AF0"/>
    <w:rsid w:val="1B300E3A"/>
    <w:rsid w:val="1B972C67"/>
    <w:rsid w:val="1BCC0B62"/>
    <w:rsid w:val="1BE539D2"/>
    <w:rsid w:val="1BE97638"/>
    <w:rsid w:val="1BF260EF"/>
    <w:rsid w:val="1C27223D"/>
    <w:rsid w:val="1C33473D"/>
    <w:rsid w:val="1C4032FE"/>
    <w:rsid w:val="1C672639"/>
    <w:rsid w:val="1C7F5BD5"/>
    <w:rsid w:val="1C821221"/>
    <w:rsid w:val="1C976715"/>
    <w:rsid w:val="1CA92C52"/>
    <w:rsid w:val="1CB82E95"/>
    <w:rsid w:val="1D1C1676"/>
    <w:rsid w:val="1D352737"/>
    <w:rsid w:val="1D3544E5"/>
    <w:rsid w:val="1D644DCB"/>
    <w:rsid w:val="1DC31AF1"/>
    <w:rsid w:val="1DD500E8"/>
    <w:rsid w:val="1DE026A3"/>
    <w:rsid w:val="1E4A3FC0"/>
    <w:rsid w:val="1E674B72"/>
    <w:rsid w:val="1E8C45D9"/>
    <w:rsid w:val="1EA062D6"/>
    <w:rsid w:val="1ED76E55"/>
    <w:rsid w:val="1F0E1492"/>
    <w:rsid w:val="1F494278"/>
    <w:rsid w:val="1F8B068C"/>
    <w:rsid w:val="1F933745"/>
    <w:rsid w:val="1F9F033C"/>
    <w:rsid w:val="1FC14756"/>
    <w:rsid w:val="1FE43FA1"/>
    <w:rsid w:val="1FEC17D3"/>
    <w:rsid w:val="200D1749"/>
    <w:rsid w:val="203171E6"/>
    <w:rsid w:val="20A756FA"/>
    <w:rsid w:val="20C20786"/>
    <w:rsid w:val="21464F13"/>
    <w:rsid w:val="215C4736"/>
    <w:rsid w:val="218872DA"/>
    <w:rsid w:val="21C30312"/>
    <w:rsid w:val="224376A4"/>
    <w:rsid w:val="224D0523"/>
    <w:rsid w:val="229121BE"/>
    <w:rsid w:val="22C205C9"/>
    <w:rsid w:val="22CE51C0"/>
    <w:rsid w:val="23452FA8"/>
    <w:rsid w:val="238E494F"/>
    <w:rsid w:val="23CB5BA3"/>
    <w:rsid w:val="23D04F68"/>
    <w:rsid w:val="23DE5D12"/>
    <w:rsid w:val="23F073B8"/>
    <w:rsid w:val="242B03F0"/>
    <w:rsid w:val="246A53BC"/>
    <w:rsid w:val="246F29D3"/>
    <w:rsid w:val="248C70E1"/>
    <w:rsid w:val="249917FE"/>
    <w:rsid w:val="24A00DDE"/>
    <w:rsid w:val="24C04FDC"/>
    <w:rsid w:val="24E707BB"/>
    <w:rsid w:val="25090731"/>
    <w:rsid w:val="2527505B"/>
    <w:rsid w:val="254E25E8"/>
    <w:rsid w:val="25A77F4A"/>
    <w:rsid w:val="25B06DFF"/>
    <w:rsid w:val="25DA3E7C"/>
    <w:rsid w:val="25FA62CC"/>
    <w:rsid w:val="262D48F3"/>
    <w:rsid w:val="26345C82"/>
    <w:rsid w:val="26377520"/>
    <w:rsid w:val="263B7010"/>
    <w:rsid w:val="264B2FCC"/>
    <w:rsid w:val="269C3827"/>
    <w:rsid w:val="26D1527F"/>
    <w:rsid w:val="26EB441E"/>
    <w:rsid w:val="27223D2C"/>
    <w:rsid w:val="27277595"/>
    <w:rsid w:val="27435DE7"/>
    <w:rsid w:val="27595274"/>
    <w:rsid w:val="276E6F72"/>
    <w:rsid w:val="27C052F3"/>
    <w:rsid w:val="281C69CE"/>
    <w:rsid w:val="28463A4A"/>
    <w:rsid w:val="28A013AD"/>
    <w:rsid w:val="28D53CCF"/>
    <w:rsid w:val="291D29FD"/>
    <w:rsid w:val="29361D11"/>
    <w:rsid w:val="298760C9"/>
    <w:rsid w:val="299802D6"/>
    <w:rsid w:val="29B1687E"/>
    <w:rsid w:val="29B570DA"/>
    <w:rsid w:val="29D05CC2"/>
    <w:rsid w:val="29E928DF"/>
    <w:rsid w:val="2A007C29"/>
    <w:rsid w:val="2A104310"/>
    <w:rsid w:val="2A4915D0"/>
    <w:rsid w:val="2A573CED"/>
    <w:rsid w:val="2A612DBE"/>
    <w:rsid w:val="2A662182"/>
    <w:rsid w:val="2A6D1762"/>
    <w:rsid w:val="2A703001"/>
    <w:rsid w:val="2A7F1496"/>
    <w:rsid w:val="2A862824"/>
    <w:rsid w:val="2A9A62D0"/>
    <w:rsid w:val="2ACA0963"/>
    <w:rsid w:val="2AE5579D"/>
    <w:rsid w:val="2B193698"/>
    <w:rsid w:val="2B2636BF"/>
    <w:rsid w:val="2B397896"/>
    <w:rsid w:val="2B514BE0"/>
    <w:rsid w:val="2BFD015D"/>
    <w:rsid w:val="2C183950"/>
    <w:rsid w:val="2C7F752B"/>
    <w:rsid w:val="2C820DC9"/>
    <w:rsid w:val="2CC17B44"/>
    <w:rsid w:val="2CC43190"/>
    <w:rsid w:val="2D0A3299"/>
    <w:rsid w:val="2D0D4B37"/>
    <w:rsid w:val="2D11177B"/>
    <w:rsid w:val="2D287BC3"/>
    <w:rsid w:val="2D3227EF"/>
    <w:rsid w:val="2DEA4E78"/>
    <w:rsid w:val="2E1A39AF"/>
    <w:rsid w:val="2E291E44"/>
    <w:rsid w:val="2E2D20EE"/>
    <w:rsid w:val="2E6E3CFB"/>
    <w:rsid w:val="2E921798"/>
    <w:rsid w:val="2EBC4A66"/>
    <w:rsid w:val="2ECB4CA9"/>
    <w:rsid w:val="2F177EEF"/>
    <w:rsid w:val="2F57653D"/>
    <w:rsid w:val="2F6F7D2B"/>
    <w:rsid w:val="2F740E9D"/>
    <w:rsid w:val="2F776BDF"/>
    <w:rsid w:val="2F860BD0"/>
    <w:rsid w:val="2F882B9B"/>
    <w:rsid w:val="2F9C03F4"/>
    <w:rsid w:val="2FD70173"/>
    <w:rsid w:val="2FE60777"/>
    <w:rsid w:val="2FE83639"/>
    <w:rsid w:val="301F34FF"/>
    <w:rsid w:val="3062519A"/>
    <w:rsid w:val="3075311F"/>
    <w:rsid w:val="307E0734"/>
    <w:rsid w:val="30C5515E"/>
    <w:rsid w:val="31140B8A"/>
    <w:rsid w:val="31554CFE"/>
    <w:rsid w:val="317B29B7"/>
    <w:rsid w:val="31943A79"/>
    <w:rsid w:val="31D2634F"/>
    <w:rsid w:val="31D976DD"/>
    <w:rsid w:val="31FB0751"/>
    <w:rsid w:val="3220355E"/>
    <w:rsid w:val="329F0927"/>
    <w:rsid w:val="32AE46C6"/>
    <w:rsid w:val="33314E12"/>
    <w:rsid w:val="335120FC"/>
    <w:rsid w:val="34337579"/>
    <w:rsid w:val="34565015"/>
    <w:rsid w:val="348F6779"/>
    <w:rsid w:val="34F211E2"/>
    <w:rsid w:val="35066A3B"/>
    <w:rsid w:val="35C81F43"/>
    <w:rsid w:val="35D42696"/>
    <w:rsid w:val="35E46651"/>
    <w:rsid w:val="36370E76"/>
    <w:rsid w:val="36633A19"/>
    <w:rsid w:val="36853990"/>
    <w:rsid w:val="36D52B69"/>
    <w:rsid w:val="36FA437E"/>
    <w:rsid w:val="37873738"/>
    <w:rsid w:val="379522F8"/>
    <w:rsid w:val="37CE1367"/>
    <w:rsid w:val="37DA7D0B"/>
    <w:rsid w:val="37E65AFD"/>
    <w:rsid w:val="37EE7FA7"/>
    <w:rsid w:val="37FF18D5"/>
    <w:rsid w:val="38156F95"/>
    <w:rsid w:val="38286CC9"/>
    <w:rsid w:val="382C2F15"/>
    <w:rsid w:val="38521F98"/>
    <w:rsid w:val="38653A79"/>
    <w:rsid w:val="386D2411"/>
    <w:rsid w:val="38765C86"/>
    <w:rsid w:val="38996660"/>
    <w:rsid w:val="38E075A3"/>
    <w:rsid w:val="393A4F06"/>
    <w:rsid w:val="395B30CE"/>
    <w:rsid w:val="395B4E7C"/>
    <w:rsid w:val="39730417"/>
    <w:rsid w:val="397553D2"/>
    <w:rsid w:val="39782A88"/>
    <w:rsid w:val="39785A2E"/>
    <w:rsid w:val="39810D86"/>
    <w:rsid w:val="39A20CFD"/>
    <w:rsid w:val="39A95BE7"/>
    <w:rsid w:val="39B90520"/>
    <w:rsid w:val="39E70383"/>
    <w:rsid w:val="3A103EB8"/>
    <w:rsid w:val="3A107D90"/>
    <w:rsid w:val="3A1439A9"/>
    <w:rsid w:val="3A323E2F"/>
    <w:rsid w:val="3A5B3385"/>
    <w:rsid w:val="3A654204"/>
    <w:rsid w:val="3A914FF9"/>
    <w:rsid w:val="3A916DA7"/>
    <w:rsid w:val="3AAA60BB"/>
    <w:rsid w:val="3AB6680E"/>
    <w:rsid w:val="3ACC7DDF"/>
    <w:rsid w:val="3B20637D"/>
    <w:rsid w:val="3B2E2848"/>
    <w:rsid w:val="3B3D2A8B"/>
    <w:rsid w:val="3B8E2F27"/>
    <w:rsid w:val="3BF03FA1"/>
    <w:rsid w:val="3BF759F8"/>
    <w:rsid w:val="3C1C5D3F"/>
    <w:rsid w:val="3C221C81"/>
    <w:rsid w:val="3C3519B4"/>
    <w:rsid w:val="3CAA23A2"/>
    <w:rsid w:val="3CAD3C40"/>
    <w:rsid w:val="3CC80A7A"/>
    <w:rsid w:val="3CD45671"/>
    <w:rsid w:val="3CD4741F"/>
    <w:rsid w:val="3CE07B72"/>
    <w:rsid w:val="3D233F03"/>
    <w:rsid w:val="3D956BAE"/>
    <w:rsid w:val="3E285C74"/>
    <w:rsid w:val="3E2E2B5F"/>
    <w:rsid w:val="3E5F540E"/>
    <w:rsid w:val="3EE55913"/>
    <w:rsid w:val="3F171845"/>
    <w:rsid w:val="3F4563B2"/>
    <w:rsid w:val="3F604F9A"/>
    <w:rsid w:val="3F6E3B5B"/>
    <w:rsid w:val="3F6E5909"/>
    <w:rsid w:val="3F724CCD"/>
    <w:rsid w:val="3F9B4224"/>
    <w:rsid w:val="3F9F1F66"/>
    <w:rsid w:val="3FA56E51"/>
    <w:rsid w:val="3FCA4B09"/>
    <w:rsid w:val="3FDA4D4C"/>
    <w:rsid w:val="3FDF6807"/>
    <w:rsid w:val="3FFA6D11"/>
    <w:rsid w:val="40300E10"/>
    <w:rsid w:val="40552625"/>
    <w:rsid w:val="40736F4F"/>
    <w:rsid w:val="407A02DD"/>
    <w:rsid w:val="40DE6ABE"/>
    <w:rsid w:val="413C5593"/>
    <w:rsid w:val="416F7716"/>
    <w:rsid w:val="419929E5"/>
    <w:rsid w:val="41B15F81"/>
    <w:rsid w:val="41C061C4"/>
    <w:rsid w:val="41EF2605"/>
    <w:rsid w:val="42457FF7"/>
    <w:rsid w:val="42725710"/>
    <w:rsid w:val="427B20EB"/>
    <w:rsid w:val="42A94EAA"/>
    <w:rsid w:val="42E83C24"/>
    <w:rsid w:val="42EB7271"/>
    <w:rsid w:val="430A3B9B"/>
    <w:rsid w:val="4335673E"/>
    <w:rsid w:val="4352109E"/>
    <w:rsid w:val="43670FED"/>
    <w:rsid w:val="43AA0EDA"/>
    <w:rsid w:val="43D52004"/>
    <w:rsid w:val="43D83C99"/>
    <w:rsid w:val="43D877F5"/>
    <w:rsid w:val="43F565F9"/>
    <w:rsid w:val="44112B62"/>
    <w:rsid w:val="447C0AC8"/>
    <w:rsid w:val="448D7684"/>
    <w:rsid w:val="44EF78CF"/>
    <w:rsid w:val="451837D8"/>
    <w:rsid w:val="452E1696"/>
    <w:rsid w:val="454F3AE7"/>
    <w:rsid w:val="454F7F8B"/>
    <w:rsid w:val="45941E41"/>
    <w:rsid w:val="45B918A8"/>
    <w:rsid w:val="45C81AEB"/>
    <w:rsid w:val="45EC7588"/>
    <w:rsid w:val="46072613"/>
    <w:rsid w:val="460A2104"/>
    <w:rsid w:val="46236D21"/>
    <w:rsid w:val="464B69A4"/>
    <w:rsid w:val="466C691A"/>
    <w:rsid w:val="467D28D5"/>
    <w:rsid w:val="46C06DBE"/>
    <w:rsid w:val="46C87FF5"/>
    <w:rsid w:val="472471F5"/>
    <w:rsid w:val="474433F3"/>
    <w:rsid w:val="478A52AA"/>
    <w:rsid w:val="47A04ACD"/>
    <w:rsid w:val="47D604EF"/>
    <w:rsid w:val="481804BB"/>
    <w:rsid w:val="483376F0"/>
    <w:rsid w:val="483671E0"/>
    <w:rsid w:val="48580F04"/>
    <w:rsid w:val="48A57EC2"/>
    <w:rsid w:val="48A71E8C"/>
    <w:rsid w:val="48E94252"/>
    <w:rsid w:val="48FA020D"/>
    <w:rsid w:val="490A160E"/>
    <w:rsid w:val="4933371F"/>
    <w:rsid w:val="49635DB3"/>
    <w:rsid w:val="49D46CB0"/>
    <w:rsid w:val="4A227A1C"/>
    <w:rsid w:val="4A2D016F"/>
    <w:rsid w:val="4A69389D"/>
    <w:rsid w:val="4B076C12"/>
    <w:rsid w:val="4B105AC6"/>
    <w:rsid w:val="4B4D6D1A"/>
    <w:rsid w:val="4B5C6F5D"/>
    <w:rsid w:val="4BF453E8"/>
    <w:rsid w:val="4BF76C86"/>
    <w:rsid w:val="4C15535E"/>
    <w:rsid w:val="4C261319"/>
    <w:rsid w:val="4C365A00"/>
    <w:rsid w:val="4C5B7215"/>
    <w:rsid w:val="4C5C2F8D"/>
    <w:rsid w:val="4C9B3AB5"/>
    <w:rsid w:val="4CB37051"/>
    <w:rsid w:val="4CCE4265"/>
    <w:rsid w:val="4CE03BBE"/>
    <w:rsid w:val="4CF66F3E"/>
    <w:rsid w:val="4D20220D"/>
    <w:rsid w:val="4D297313"/>
    <w:rsid w:val="4D447CA9"/>
    <w:rsid w:val="4D4C3002"/>
    <w:rsid w:val="4D8B3B2A"/>
    <w:rsid w:val="4DA30E74"/>
    <w:rsid w:val="4DAD1CF2"/>
    <w:rsid w:val="4DBF37D4"/>
    <w:rsid w:val="4DCA28A4"/>
    <w:rsid w:val="4E031912"/>
    <w:rsid w:val="4EA053B3"/>
    <w:rsid w:val="4EA20F99"/>
    <w:rsid w:val="4EAF55F6"/>
    <w:rsid w:val="4F035942"/>
    <w:rsid w:val="4F0911AA"/>
    <w:rsid w:val="4F18763F"/>
    <w:rsid w:val="4F2002A2"/>
    <w:rsid w:val="4F481077"/>
    <w:rsid w:val="4F6665FD"/>
    <w:rsid w:val="4FBD1F95"/>
    <w:rsid w:val="4FBF3F5F"/>
    <w:rsid w:val="4FE45773"/>
    <w:rsid w:val="4FFE4A87"/>
    <w:rsid w:val="50011E81"/>
    <w:rsid w:val="50285660"/>
    <w:rsid w:val="506A5C79"/>
    <w:rsid w:val="50A70C7B"/>
    <w:rsid w:val="50DD469C"/>
    <w:rsid w:val="50E772C9"/>
    <w:rsid w:val="510A120A"/>
    <w:rsid w:val="512A18AC"/>
    <w:rsid w:val="513B7615"/>
    <w:rsid w:val="51532BB1"/>
    <w:rsid w:val="519D207E"/>
    <w:rsid w:val="51B5657D"/>
    <w:rsid w:val="51BA49DE"/>
    <w:rsid w:val="51BF1FF4"/>
    <w:rsid w:val="51E50470"/>
    <w:rsid w:val="51ED6B61"/>
    <w:rsid w:val="51FC6379"/>
    <w:rsid w:val="520063B6"/>
    <w:rsid w:val="522307D5"/>
    <w:rsid w:val="522B58DB"/>
    <w:rsid w:val="526F57C8"/>
    <w:rsid w:val="52952D55"/>
    <w:rsid w:val="52C61160"/>
    <w:rsid w:val="536410A5"/>
    <w:rsid w:val="539D6365"/>
    <w:rsid w:val="53A21BCD"/>
    <w:rsid w:val="53B35B89"/>
    <w:rsid w:val="540C5299"/>
    <w:rsid w:val="54F2448F"/>
    <w:rsid w:val="55012924"/>
    <w:rsid w:val="550F3292"/>
    <w:rsid w:val="552B22A6"/>
    <w:rsid w:val="55393E6B"/>
    <w:rsid w:val="556F5ADF"/>
    <w:rsid w:val="5579070C"/>
    <w:rsid w:val="55AF2380"/>
    <w:rsid w:val="55DD6EED"/>
    <w:rsid w:val="55F81F79"/>
    <w:rsid w:val="55FB55C5"/>
    <w:rsid w:val="56142550"/>
    <w:rsid w:val="5661367A"/>
    <w:rsid w:val="56B608DA"/>
    <w:rsid w:val="56D24578"/>
    <w:rsid w:val="570D1A54"/>
    <w:rsid w:val="5730129E"/>
    <w:rsid w:val="576176AA"/>
    <w:rsid w:val="57763155"/>
    <w:rsid w:val="57AA1051"/>
    <w:rsid w:val="57D936E4"/>
    <w:rsid w:val="57E74053"/>
    <w:rsid w:val="57EC3417"/>
    <w:rsid w:val="58296419"/>
    <w:rsid w:val="58B24661"/>
    <w:rsid w:val="59244233"/>
    <w:rsid w:val="59372DB8"/>
    <w:rsid w:val="5939268C"/>
    <w:rsid w:val="59441031"/>
    <w:rsid w:val="59835FFD"/>
    <w:rsid w:val="599C0E6D"/>
    <w:rsid w:val="59AC7302"/>
    <w:rsid w:val="5A13112F"/>
    <w:rsid w:val="5A93401E"/>
    <w:rsid w:val="5B5437AD"/>
    <w:rsid w:val="5BD26DC8"/>
    <w:rsid w:val="5C115B42"/>
    <w:rsid w:val="5C1967A5"/>
    <w:rsid w:val="5C2E04A2"/>
    <w:rsid w:val="5C50666A"/>
    <w:rsid w:val="5C5617A7"/>
    <w:rsid w:val="5C89392A"/>
    <w:rsid w:val="5C8C6F77"/>
    <w:rsid w:val="5CB52971"/>
    <w:rsid w:val="5CC6692D"/>
    <w:rsid w:val="5D7243BE"/>
    <w:rsid w:val="5D8A5BAC"/>
    <w:rsid w:val="5D916F3A"/>
    <w:rsid w:val="5DB91FED"/>
    <w:rsid w:val="5DBB5D65"/>
    <w:rsid w:val="5DD92690"/>
    <w:rsid w:val="5DDE3802"/>
    <w:rsid w:val="5E055233"/>
    <w:rsid w:val="5E1B6804"/>
    <w:rsid w:val="5EAF6C52"/>
    <w:rsid w:val="5EB01642"/>
    <w:rsid w:val="5EB629D1"/>
    <w:rsid w:val="5EC92704"/>
    <w:rsid w:val="5EEE216B"/>
    <w:rsid w:val="5F4B4EC7"/>
    <w:rsid w:val="5FE33352"/>
    <w:rsid w:val="5FFE1F39"/>
    <w:rsid w:val="600057E9"/>
    <w:rsid w:val="6022031E"/>
    <w:rsid w:val="60381E03"/>
    <w:rsid w:val="603D6F06"/>
    <w:rsid w:val="60716BAF"/>
    <w:rsid w:val="6098413C"/>
    <w:rsid w:val="60F17CF0"/>
    <w:rsid w:val="61785D1C"/>
    <w:rsid w:val="618943CD"/>
    <w:rsid w:val="61BC20AC"/>
    <w:rsid w:val="61D31CE1"/>
    <w:rsid w:val="622F0AD0"/>
    <w:rsid w:val="62402CDD"/>
    <w:rsid w:val="62A25746"/>
    <w:rsid w:val="62BB6808"/>
    <w:rsid w:val="62FD0BCE"/>
    <w:rsid w:val="63161C90"/>
    <w:rsid w:val="63220635"/>
    <w:rsid w:val="632223E3"/>
    <w:rsid w:val="635822A8"/>
    <w:rsid w:val="6367429A"/>
    <w:rsid w:val="639D7CBB"/>
    <w:rsid w:val="6481138B"/>
    <w:rsid w:val="6497295D"/>
    <w:rsid w:val="65393A14"/>
    <w:rsid w:val="65660CAD"/>
    <w:rsid w:val="65A04370"/>
    <w:rsid w:val="65E63B9C"/>
    <w:rsid w:val="660679A6"/>
    <w:rsid w:val="660D737A"/>
    <w:rsid w:val="665B6338"/>
    <w:rsid w:val="665E2581"/>
    <w:rsid w:val="666F593F"/>
    <w:rsid w:val="667016B7"/>
    <w:rsid w:val="668D2269"/>
    <w:rsid w:val="66A646A9"/>
    <w:rsid w:val="66CA7019"/>
    <w:rsid w:val="672506F4"/>
    <w:rsid w:val="6773320D"/>
    <w:rsid w:val="67B5235A"/>
    <w:rsid w:val="67C76693"/>
    <w:rsid w:val="67EB5499"/>
    <w:rsid w:val="68242759"/>
    <w:rsid w:val="689A2A1B"/>
    <w:rsid w:val="690B2C9E"/>
    <w:rsid w:val="690D7691"/>
    <w:rsid w:val="698C05B6"/>
    <w:rsid w:val="69A47FF6"/>
    <w:rsid w:val="69D34437"/>
    <w:rsid w:val="6A333127"/>
    <w:rsid w:val="6A590DE0"/>
    <w:rsid w:val="6A611A43"/>
    <w:rsid w:val="6A6634FD"/>
    <w:rsid w:val="6AA302AD"/>
    <w:rsid w:val="6AA95198"/>
    <w:rsid w:val="6ACB15B2"/>
    <w:rsid w:val="6ACD532A"/>
    <w:rsid w:val="6B285E6A"/>
    <w:rsid w:val="6B451364"/>
    <w:rsid w:val="6B572E46"/>
    <w:rsid w:val="6BA73DCD"/>
    <w:rsid w:val="6BBD714D"/>
    <w:rsid w:val="6BC229B5"/>
    <w:rsid w:val="6BCE3108"/>
    <w:rsid w:val="6C054650"/>
    <w:rsid w:val="6C4C04D0"/>
    <w:rsid w:val="6C5E0930"/>
    <w:rsid w:val="6CB247D7"/>
    <w:rsid w:val="6CB87914"/>
    <w:rsid w:val="6CED5810"/>
    <w:rsid w:val="6CF90658"/>
    <w:rsid w:val="6D107750"/>
    <w:rsid w:val="6D162FB8"/>
    <w:rsid w:val="6D480C98"/>
    <w:rsid w:val="6D4F33FA"/>
    <w:rsid w:val="6D5835D1"/>
    <w:rsid w:val="6D8A305E"/>
    <w:rsid w:val="6DBB590E"/>
    <w:rsid w:val="6DDA43BD"/>
    <w:rsid w:val="6DDB7D5E"/>
    <w:rsid w:val="6DE210EC"/>
    <w:rsid w:val="6DF00166"/>
    <w:rsid w:val="6E1A6AD8"/>
    <w:rsid w:val="6E1D2124"/>
    <w:rsid w:val="6E35746E"/>
    <w:rsid w:val="6E3D6323"/>
    <w:rsid w:val="6E565636"/>
    <w:rsid w:val="6E5D69C5"/>
    <w:rsid w:val="6E712470"/>
    <w:rsid w:val="6E7837FF"/>
    <w:rsid w:val="6EC72090"/>
    <w:rsid w:val="6ED50C51"/>
    <w:rsid w:val="6EFC1D3A"/>
    <w:rsid w:val="6F03131A"/>
    <w:rsid w:val="6F2F210F"/>
    <w:rsid w:val="6F963F3C"/>
    <w:rsid w:val="6FAA79E8"/>
    <w:rsid w:val="6FE3114C"/>
    <w:rsid w:val="6FF46EB5"/>
    <w:rsid w:val="70221C74"/>
    <w:rsid w:val="702552C0"/>
    <w:rsid w:val="705931BC"/>
    <w:rsid w:val="70D72A5F"/>
    <w:rsid w:val="70D867D7"/>
    <w:rsid w:val="71325EE7"/>
    <w:rsid w:val="7164006A"/>
    <w:rsid w:val="716D33C3"/>
    <w:rsid w:val="71AC3EEB"/>
    <w:rsid w:val="71B27028"/>
    <w:rsid w:val="71CF1988"/>
    <w:rsid w:val="71E116BB"/>
    <w:rsid w:val="720A0C12"/>
    <w:rsid w:val="72B913C4"/>
    <w:rsid w:val="72D37256"/>
    <w:rsid w:val="730438B3"/>
    <w:rsid w:val="730B69EF"/>
    <w:rsid w:val="731F249B"/>
    <w:rsid w:val="732775A1"/>
    <w:rsid w:val="736E4159"/>
    <w:rsid w:val="73774085"/>
    <w:rsid w:val="737C78ED"/>
    <w:rsid w:val="73A62BBC"/>
    <w:rsid w:val="73BB0416"/>
    <w:rsid w:val="73C60B68"/>
    <w:rsid w:val="743D52CE"/>
    <w:rsid w:val="745E5245"/>
    <w:rsid w:val="74D34891"/>
    <w:rsid w:val="74E76FE8"/>
    <w:rsid w:val="74FB0B42"/>
    <w:rsid w:val="74FC6F38"/>
    <w:rsid w:val="75061B64"/>
    <w:rsid w:val="75234AE3"/>
    <w:rsid w:val="7527530D"/>
    <w:rsid w:val="754F03F5"/>
    <w:rsid w:val="7568637B"/>
    <w:rsid w:val="758D5DE2"/>
    <w:rsid w:val="75BE2AD0"/>
    <w:rsid w:val="75EF43A6"/>
    <w:rsid w:val="7601057E"/>
    <w:rsid w:val="760727CE"/>
    <w:rsid w:val="767A0DC2"/>
    <w:rsid w:val="768076F4"/>
    <w:rsid w:val="76952770"/>
    <w:rsid w:val="76B63116"/>
    <w:rsid w:val="76E9529A"/>
    <w:rsid w:val="770B3462"/>
    <w:rsid w:val="773D7394"/>
    <w:rsid w:val="77400E97"/>
    <w:rsid w:val="774249AA"/>
    <w:rsid w:val="774B7D02"/>
    <w:rsid w:val="7755292F"/>
    <w:rsid w:val="775D3592"/>
    <w:rsid w:val="776112D4"/>
    <w:rsid w:val="77A92C7B"/>
    <w:rsid w:val="78760DAF"/>
    <w:rsid w:val="78811502"/>
    <w:rsid w:val="789C633C"/>
    <w:rsid w:val="78CE0BEB"/>
    <w:rsid w:val="78D67AA0"/>
    <w:rsid w:val="78E51A91"/>
    <w:rsid w:val="78E71CAD"/>
    <w:rsid w:val="78EA354B"/>
    <w:rsid w:val="78FE1B8C"/>
    <w:rsid w:val="79077C59"/>
    <w:rsid w:val="7A033EEF"/>
    <w:rsid w:val="7A342CD0"/>
    <w:rsid w:val="7A603AC5"/>
    <w:rsid w:val="7A70182E"/>
    <w:rsid w:val="7AEF4E49"/>
    <w:rsid w:val="7B072192"/>
    <w:rsid w:val="7B160627"/>
    <w:rsid w:val="7B25099F"/>
    <w:rsid w:val="7B3D3E06"/>
    <w:rsid w:val="7B42141C"/>
    <w:rsid w:val="7BF32717"/>
    <w:rsid w:val="7C2E19A1"/>
    <w:rsid w:val="7C7272E4"/>
    <w:rsid w:val="7C75137E"/>
    <w:rsid w:val="7C8A4E29"/>
    <w:rsid w:val="7D0F3580"/>
    <w:rsid w:val="7D494CE4"/>
    <w:rsid w:val="7D567401"/>
    <w:rsid w:val="7D8F646F"/>
    <w:rsid w:val="7DF509C8"/>
    <w:rsid w:val="7E4E00D8"/>
    <w:rsid w:val="7E68119A"/>
    <w:rsid w:val="7E851D4C"/>
    <w:rsid w:val="7E885398"/>
    <w:rsid w:val="7EA85A3A"/>
    <w:rsid w:val="7EBA751C"/>
    <w:rsid w:val="7ED5662F"/>
    <w:rsid w:val="7F0709B3"/>
    <w:rsid w:val="7F1D01D6"/>
    <w:rsid w:val="7F6A7194"/>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A10E"/>
  <w15:docId w15:val="{99FA062F-71C2-4BD2-AE6C-2608459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kern w:val="2"/>
      <w:sz w:val="21"/>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style>
  <w:style w:type="paragraph" w:styleId="TOC3">
    <w:name w:val="toc 3"/>
    <w:basedOn w:val="a4"/>
    <w:next w:val="a4"/>
    <w:uiPriority w:val="39"/>
    <w:unhideWhenUsed/>
    <w:qFormat/>
    <w:pPr>
      <w:ind w:leftChars="400" w:left="840"/>
    </w:pPr>
  </w:style>
  <w:style w:type="paragraph" w:styleId="aa">
    <w:name w:val="Date"/>
    <w:basedOn w:val="a4"/>
    <w:next w:val="a4"/>
    <w:link w:val="ab"/>
    <w:uiPriority w:val="99"/>
    <w:semiHidden/>
    <w:unhideWhenUsed/>
    <w:qFormat/>
    <w:pPr>
      <w:ind w:leftChars="2500" w:left="100"/>
    </w:pPr>
  </w:style>
  <w:style w:type="paragraph" w:styleId="ac">
    <w:name w:val="Balloon Text"/>
    <w:basedOn w:val="a4"/>
    <w:link w:val="ad"/>
    <w:uiPriority w:val="99"/>
    <w:semiHidden/>
    <w:unhideWhenUsed/>
    <w:qFormat/>
    <w:rPr>
      <w:sz w:val="18"/>
      <w:szCs w:val="18"/>
    </w:rPr>
  </w:style>
  <w:style w:type="paragraph" w:styleId="ae">
    <w:name w:val="footer"/>
    <w:basedOn w:val="a4"/>
    <w:link w:val="af"/>
    <w:uiPriority w:val="99"/>
    <w:unhideWhenUsed/>
    <w:qFormat/>
    <w:pPr>
      <w:tabs>
        <w:tab w:val="center" w:pos="4153"/>
        <w:tab w:val="right" w:pos="8306"/>
      </w:tabs>
      <w:snapToGrid w:val="0"/>
      <w:jc w:val="left"/>
    </w:pPr>
    <w:rPr>
      <w:sz w:val="18"/>
      <w:szCs w:val="18"/>
    </w:rPr>
  </w:style>
  <w:style w:type="paragraph" w:styleId="af0">
    <w:name w:val="header"/>
    <w:basedOn w:val="a4"/>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pPr>
      <w:tabs>
        <w:tab w:val="right" w:leader="dot" w:pos="8296"/>
      </w:tabs>
      <w:jc w:val="center"/>
    </w:pPr>
    <w:rPr>
      <w:rFonts w:ascii="黑体" w:eastAsia="黑体" w:hAnsi="黑体"/>
      <w:sz w:val="40"/>
    </w:rPr>
  </w:style>
  <w:style w:type="paragraph" w:styleId="TOC2">
    <w:name w:val="toc 2"/>
    <w:basedOn w:val="a4"/>
    <w:next w:val="a4"/>
    <w:uiPriority w:val="39"/>
    <w:unhideWhenUsed/>
    <w:qFormat/>
    <w:pPr>
      <w:ind w:leftChars="200" w:left="420"/>
    </w:pPr>
  </w:style>
  <w:style w:type="paragraph" w:styleId="af2">
    <w:name w:val="annotation subject"/>
    <w:basedOn w:val="a8"/>
    <w:next w:val="a8"/>
    <w:link w:val="af3"/>
    <w:uiPriority w:val="99"/>
    <w:semiHidden/>
    <w:unhideWhenUsed/>
    <w:qFormat/>
    <w:rPr>
      <w:b/>
      <w:bCs/>
    </w:rPr>
  </w:style>
  <w:style w:type="table" w:styleId="af4">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5"/>
    <w:uiPriority w:val="99"/>
    <w:unhideWhenUsed/>
    <w:qFormat/>
    <w:rPr>
      <w:color w:val="0000FF" w:themeColor="hyperlink"/>
      <w:u w:val="single"/>
    </w:rPr>
  </w:style>
  <w:style w:type="character" w:styleId="af6">
    <w:name w:val="annotation reference"/>
    <w:basedOn w:val="a5"/>
    <w:uiPriority w:val="99"/>
    <w:semiHidden/>
    <w:unhideWhenUsed/>
    <w:qFormat/>
    <w:rPr>
      <w:sz w:val="21"/>
      <w:szCs w:val="21"/>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qFormat/>
    <w:rPr>
      <w:sz w:val="18"/>
      <w:szCs w:val="18"/>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7"/>
    <w:qFormat/>
    <w:rPr>
      <w:rFonts w:ascii="宋体" w:eastAsia="宋体" w:hAnsi="Times New Roman" w:cs="Times New Roman"/>
      <w:kern w:val="0"/>
      <w:szCs w:val="20"/>
    </w:rPr>
  </w:style>
  <w:style w:type="paragraph" w:customStyle="1" w:styleId="a0">
    <w:name w:val="一级条标题"/>
    <w:next w:val="af7"/>
    <w:qFormat/>
    <w:pPr>
      <w:numPr>
        <w:ilvl w:val="1"/>
        <w:numId w:val="1"/>
      </w:numPr>
      <w:spacing w:beforeLines="50" w:afterLines="50"/>
      <w:outlineLvl w:val="2"/>
    </w:pPr>
    <w:rPr>
      <w:rFonts w:ascii="黑体" w:eastAsia="黑体"/>
      <w:sz w:val="21"/>
      <w:szCs w:val="21"/>
    </w:rPr>
  </w:style>
  <w:style w:type="paragraph" w:customStyle="1" w:styleId="af8">
    <w:name w:val="标准书脚_奇数页"/>
    <w:qFormat/>
    <w:pPr>
      <w:spacing w:before="120"/>
      <w:ind w:right="198"/>
      <w:jc w:val="right"/>
    </w:pPr>
    <w:rPr>
      <w:rFonts w:ascii="宋体"/>
      <w:sz w:val="18"/>
      <w:szCs w:val="18"/>
    </w:rPr>
  </w:style>
  <w:style w:type="paragraph" w:customStyle="1" w:styleId="af9">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
    <w:name w:val="章标题"/>
    <w:next w:val="af7"/>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7"/>
    <w:qFormat/>
    <w:pPr>
      <w:numPr>
        <w:ilvl w:val="2"/>
      </w:numPr>
      <w:spacing w:before="50" w:after="50"/>
      <w:outlineLvl w:val="3"/>
    </w:pPr>
  </w:style>
  <w:style w:type="paragraph" w:customStyle="1" w:styleId="afa">
    <w:name w:val="目次、标准名称标题"/>
    <w:basedOn w:val="a4"/>
    <w:next w:val="a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7"/>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f7"/>
    <w:qFormat/>
    <w:pPr>
      <w:numPr>
        <w:ilvl w:val="5"/>
      </w:numPr>
      <w:outlineLvl w:val="6"/>
    </w:pPr>
  </w:style>
  <w:style w:type="paragraph" w:customStyle="1" w:styleId="afb">
    <w:name w:val="前言、引言标题"/>
    <w:next w:val="af7"/>
    <w:qFormat/>
    <w:pPr>
      <w:keepNext/>
      <w:pageBreakBefore/>
      <w:shd w:val="clear" w:color="FFFFFF" w:fill="FFFFFF"/>
      <w:spacing w:before="640" w:after="560"/>
      <w:jc w:val="center"/>
      <w:outlineLvl w:val="0"/>
    </w:pPr>
    <w:rPr>
      <w:rFonts w:ascii="黑体" w:eastAsia="黑体"/>
      <w:sz w:val="32"/>
    </w:rPr>
  </w:style>
  <w:style w:type="character" w:customStyle="1" w:styleId="ab">
    <w:name w:val="日期 字符"/>
    <w:basedOn w:val="a5"/>
    <w:link w:val="aa"/>
    <w:uiPriority w:val="99"/>
    <w:semiHidden/>
    <w:qFormat/>
    <w:rPr>
      <w:rFonts w:ascii="Times New Roman" w:eastAsia="宋体" w:hAnsi="Times New Roman" w:cs="Times New Roman"/>
      <w:szCs w:val="24"/>
    </w:rPr>
  </w:style>
  <w:style w:type="character" w:customStyle="1" w:styleId="ad">
    <w:name w:val="批注框文本 字符"/>
    <w:basedOn w:val="a5"/>
    <w:link w:val="ac"/>
    <w:uiPriority w:val="99"/>
    <w:semiHidden/>
    <w:qFormat/>
    <w:rPr>
      <w:rFonts w:ascii="Times New Roman" w:eastAsia="宋体" w:hAnsi="Times New Roman" w:cs="Times New Roman"/>
      <w:kern w:val="2"/>
      <w:sz w:val="18"/>
      <w:szCs w:val="18"/>
    </w:rPr>
  </w:style>
  <w:style w:type="character" w:customStyle="1" w:styleId="a9">
    <w:name w:val="批注文字 字符"/>
    <w:basedOn w:val="a5"/>
    <w:link w:val="a8"/>
    <w:uiPriority w:val="99"/>
    <w:semiHidden/>
    <w:qFormat/>
    <w:rPr>
      <w:kern w:val="2"/>
      <w:sz w:val="21"/>
      <w:szCs w:val="24"/>
    </w:rPr>
  </w:style>
  <w:style w:type="character" w:customStyle="1" w:styleId="af3">
    <w:name w:val="批注主题 字符"/>
    <w:basedOn w:val="a9"/>
    <w:link w:val="af2"/>
    <w:uiPriority w:val="99"/>
    <w:semiHidden/>
    <w:qFormat/>
    <w:rPr>
      <w:b/>
      <w:bCs/>
      <w:kern w:val="2"/>
      <w:sz w:val="21"/>
      <w:szCs w:val="24"/>
    </w:rPr>
  </w:style>
  <w:style w:type="paragraph" w:customStyle="1" w:styleId="TableText">
    <w:name w:val="Table Text"/>
    <w:basedOn w:val="a4"/>
    <w:semiHidden/>
    <w:qFormat/>
    <w:rPr>
      <w:rFonts w:ascii="宋体" w:hAnsi="宋体" w:cs="宋体"/>
      <w:sz w:val="24"/>
      <w:lang w:eastAsia="en-US"/>
    </w:rPr>
  </w:style>
  <w:style w:type="paragraph" w:styleId="afc">
    <w:name w:val="Revision"/>
    <w:hidden/>
    <w:uiPriority w:val="99"/>
    <w:unhideWhenUsed/>
    <w:rsid w:val="00A064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EAB77-B0EC-41D4-BE41-073ECCD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3</cp:revision>
  <cp:lastPrinted>2020-04-18T12:16:00Z</cp:lastPrinted>
  <dcterms:created xsi:type="dcterms:W3CDTF">2024-09-05T14:36:00Z</dcterms:created>
  <dcterms:modified xsi:type="dcterms:W3CDTF">2024-09-10T01:44:00Z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6D6628F0872B4A22B6348AA94392BBA2_12</vt:lpwstr>
  </property>
</Properties>
</file>