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D425" w14:textId="77777777" w:rsidR="00DA2DBA" w:rsidRPr="00EA4D9C" w:rsidRDefault="00000000">
      <w:pPr>
        <w:jc w:val="left"/>
        <w:rPr>
          <w:szCs w:val="21"/>
        </w:rPr>
      </w:pPr>
      <w:r w:rsidRPr="00EA4D9C">
        <w:rPr>
          <w:szCs w:val="21"/>
        </w:rPr>
        <w:t>ICS 65. 120</w:t>
      </w:r>
    </w:p>
    <w:p w14:paraId="372B5C7A" w14:textId="7D5FCF42" w:rsidR="00DA2DBA" w:rsidRDefault="00000000">
      <w:pPr>
        <w:jc w:val="left"/>
        <w:rPr>
          <w:szCs w:val="21"/>
        </w:rPr>
      </w:pPr>
      <w:r w:rsidRPr="00EA4D9C">
        <w:rPr>
          <w:szCs w:val="21"/>
        </w:rPr>
        <w:t>B 2</w:t>
      </w:r>
      <w:r w:rsidR="00EA4D9C" w:rsidRPr="00EA4D9C">
        <w:rPr>
          <w:rFonts w:hint="eastAsia"/>
          <w:szCs w:val="21"/>
        </w:rPr>
        <w:t>0</w:t>
      </w:r>
    </w:p>
    <w:p w14:paraId="15878013" w14:textId="77777777" w:rsidR="00DA2DBA" w:rsidRDefault="00DA2DBA">
      <w:pPr>
        <w:jc w:val="center"/>
        <w:rPr>
          <w:szCs w:val="21"/>
        </w:rPr>
      </w:pPr>
    </w:p>
    <w:p w14:paraId="0A4924E2" w14:textId="77777777" w:rsidR="00DA2DBA" w:rsidRDefault="00DA2DBA">
      <w:pPr>
        <w:jc w:val="center"/>
        <w:rPr>
          <w:szCs w:val="21"/>
        </w:rPr>
      </w:pPr>
    </w:p>
    <w:p w14:paraId="3318AC9F" w14:textId="77777777" w:rsidR="00DA2DBA" w:rsidRDefault="00DA2DBA">
      <w:pPr>
        <w:jc w:val="center"/>
        <w:rPr>
          <w:szCs w:val="21"/>
        </w:rPr>
      </w:pPr>
    </w:p>
    <w:p w14:paraId="54A32448" w14:textId="4079E12F" w:rsidR="00DA2DBA" w:rsidRDefault="00000000">
      <w:pPr>
        <w:jc w:val="center"/>
        <w:rPr>
          <w:rFonts w:eastAsia="黑体"/>
          <w:sz w:val="84"/>
          <w:szCs w:val="84"/>
        </w:rPr>
      </w:pPr>
      <w:r>
        <w:rPr>
          <w:rFonts w:eastAsia="黑体"/>
          <w:sz w:val="84"/>
          <w:szCs w:val="84"/>
        </w:rPr>
        <w:t>团</w:t>
      </w:r>
      <w:r w:rsidR="00E02A5C">
        <w:rPr>
          <w:rFonts w:eastAsia="黑体" w:hint="eastAsia"/>
          <w:sz w:val="84"/>
          <w:szCs w:val="84"/>
        </w:rPr>
        <w:t xml:space="preserve"> </w:t>
      </w:r>
      <w:r>
        <w:rPr>
          <w:rFonts w:eastAsia="黑体"/>
          <w:sz w:val="84"/>
          <w:szCs w:val="84"/>
        </w:rPr>
        <w:t>体</w:t>
      </w:r>
      <w:r w:rsidR="00E02A5C">
        <w:rPr>
          <w:rFonts w:eastAsia="黑体" w:hint="eastAsia"/>
          <w:sz w:val="84"/>
          <w:szCs w:val="84"/>
        </w:rPr>
        <w:t xml:space="preserve"> </w:t>
      </w:r>
      <w:r>
        <w:rPr>
          <w:rFonts w:eastAsia="黑体"/>
          <w:sz w:val="84"/>
          <w:szCs w:val="84"/>
        </w:rPr>
        <w:t>标</w:t>
      </w:r>
      <w:r w:rsidR="00E02A5C">
        <w:rPr>
          <w:rFonts w:eastAsia="黑体" w:hint="eastAsia"/>
          <w:sz w:val="84"/>
          <w:szCs w:val="84"/>
        </w:rPr>
        <w:t xml:space="preserve"> </w:t>
      </w:r>
      <w:r>
        <w:rPr>
          <w:rFonts w:eastAsia="黑体"/>
          <w:sz w:val="84"/>
          <w:szCs w:val="84"/>
        </w:rPr>
        <w:t>准</w:t>
      </w:r>
    </w:p>
    <w:p w14:paraId="60C54C05" w14:textId="77777777" w:rsidR="00E02A5C" w:rsidRDefault="00E02A5C">
      <w:pPr>
        <w:jc w:val="center"/>
        <w:rPr>
          <w:rFonts w:eastAsia="黑体"/>
          <w:sz w:val="84"/>
          <w:szCs w:val="84"/>
        </w:rPr>
      </w:pPr>
    </w:p>
    <w:p w14:paraId="11B3B3CD" w14:textId="3D1EC782" w:rsidR="00DA2DBA" w:rsidRDefault="00000000">
      <w:pPr>
        <w:jc w:val="right"/>
        <w:rPr>
          <w:b/>
          <w:szCs w:val="21"/>
        </w:rPr>
      </w:pPr>
      <w:r>
        <w:rPr>
          <w:b/>
          <w:szCs w:val="21"/>
        </w:rPr>
        <w:t>T/HXCY XXX-</w:t>
      </w:r>
      <w:r w:rsidR="00132B83">
        <w:rPr>
          <w:rFonts w:hint="eastAsia"/>
          <w:b/>
          <w:szCs w:val="21"/>
        </w:rPr>
        <w:t>202</w:t>
      </w:r>
      <w:r>
        <w:rPr>
          <w:b/>
          <w:szCs w:val="21"/>
        </w:rPr>
        <w:t>X</w:t>
      </w:r>
      <w:bookmarkStart w:id="0" w:name="_Hlk176446738"/>
    </w:p>
    <w:p w14:paraId="36058A8D" w14:textId="77777777" w:rsidR="00DA2DBA" w:rsidRDefault="00000000">
      <w:pPr>
        <w:jc w:val="left"/>
        <w:rPr>
          <w:szCs w:val="21"/>
          <w:u w:val="single"/>
        </w:rPr>
      </w:pPr>
      <w:r>
        <w:rPr>
          <w:szCs w:val="21"/>
          <w:u w:val="single"/>
        </w:rPr>
        <w:t xml:space="preserve">                                                                               </w:t>
      </w:r>
    </w:p>
    <w:bookmarkEnd w:id="0"/>
    <w:p w14:paraId="4AD3075E" w14:textId="77777777" w:rsidR="00DA2DBA" w:rsidRDefault="00DA2DBA">
      <w:pPr>
        <w:jc w:val="left"/>
        <w:rPr>
          <w:szCs w:val="21"/>
          <w:u w:val="single"/>
        </w:rPr>
      </w:pPr>
    </w:p>
    <w:p w14:paraId="3AF1AF52" w14:textId="77777777" w:rsidR="00DA2DBA" w:rsidRDefault="00000000">
      <w:pPr>
        <w:jc w:val="center"/>
        <w:rPr>
          <w:rFonts w:eastAsia="黑体"/>
          <w:sz w:val="48"/>
          <w:szCs w:val="48"/>
        </w:rPr>
      </w:pPr>
      <w:r>
        <w:rPr>
          <w:rFonts w:eastAsia="黑体"/>
          <w:sz w:val="48"/>
          <w:szCs w:val="48"/>
        </w:rPr>
        <w:t>《</w:t>
      </w:r>
      <w:bookmarkStart w:id="1" w:name="OLE_LINK9"/>
      <w:r>
        <w:rPr>
          <w:rFonts w:eastAsia="黑体"/>
          <w:sz w:val="48"/>
          <w:szCs w:val="48"/>
        </w:rPr>
        <w:t>高水分禾草青贮饲料质量分级标准</w:t>
      </w:r>
      <w:bookmarkEnd w:id="1"/>
      <w:r>
        <w:rPr>
          <w:rFonts w:eastAsia="黑体"/>
          <w:sz w:val="48"/>
          <w:szCs w:val="48"/>
        </w:rPr>
        <w:t>》</w:t>
      </w:r>
    </w:p>
    <w:p w14:paraId="42561EF7" w14:textId="77777777" w:rsidR="00DA2DBA" w:rsidRDefault="00000000">
      <w:pPr>
        <w:jc w:val="center"/>
        <w:rPr>
          <w:rFonts w:eastAsia="黑体"/>
          <w:szCs w:val="21"/>
        </w:rPr>
      </w:pPr>
      <w:r>
        <w:rPr>
          <w:b/>
          <w:sz w:val="28"/>
          <w:szCs w:val="28"/>
        </w:rPr>
        <w:t xml:space="preserve">Quality classification of </w:t>
      </w:r>
      <w:bookmarkStart w:id="2" w:name="OLE_LINK12"/>
      <w:bookmarkStart w:id="3" w:name="OLE_LINK5"/>
      <w:r>
        <w:rPr>
          <w:b/>
          <w:sz w:val="28"/>
          <w:szCs w:val="28"/>
        </w:rPr>
        <w:t>high-moisture gramineous gras</w:t>
      </w:r>
      <w:bookmarkEnd w:id="2"/>
      <w:r>
        <w:rPr>
          <w:b/>
          <w:sz w:val="28"/>
          <w:szCs w:val="28"/>
        </w:rPr>
        <w:t>s silage</w:t>
      </w:r>
      <w:bookmarkEnd w:id="3"/>
    </w:p>
    <w:p w14:paraId="7CEED10E" w14:textId="045F8416" w:rsidR="00DA2DBA" w:rsidRPr="00132B83" w:rsidRDefault="00132B83">
      <w:pPr>
        <w:jc w:val="center"/>
        <w:rPr>
          <w:rFonts w:eastAsia="黑体"/>
          <w:sz w:val="24"/>
        </w:rPr>
      </w:pPr>
      <w:r w:rsidRPr="00132B83">
        <w:rPr>
          <w:rFonts w:eastAsia="黑体" w:hint="eastAsia"/>
          <w:sz w:val="24"/>
        </w:rPr>
        <w:t>（征求意见稿）</w:t>
      </w:r>
    </w:p>
    <w:p w14:paraId="70D6F26E" w14:textId="77777777" w:rsidR="00DA2DBA" w:rsidRDefault="00DA2DBA">
      <w:pPr>
        <w:jc w:val="center"/>
        <w:rPr>
          <w:rFonts w:eastAsia="黑体"/>
          <w:szCs w:val="21"/>
        </w:rPr>
      </w:pPr>
    </w:p>
    <w:p w14:paraId="5E6E2420" w14:textId="77777777" w:rsidR="00B849BC" w:rsidRDefault="00B849BC">
      <w:pPr>
        <w:jc w:val="center"/>
        <w:rPr>
          <w:rFonts w:eastAsia="黑体"/>
          <w:szCs w:val="21"/>
        </w:rPr>
      </w:pPr>
    </w:p>
    <w:p w14:paraId="4F9CD3FE" w14:textId="77777777" w:rsidR="00E02A5C" w:rsidRDefault="00E02A5C">
      <w:pPr>
        <w:jc w:val="center"/>
        <w:rPr>
          <w:rFonts w:eastAsia="黑体"/>
          <w:szCs w:val="21"/>
        </w:rPr>
      </w:pPr>
    </w:p>
    <w:p w14:paraId="405D6C6B" w14:textId="77777777" w:rsidR="00E02A5C" w:rsidRDefault="00E02A5C">
      <w:pPr>
        <w:jc w:val="center"/>
        <w:rPr>
          <w:rFonts w:eastAsia="黑体"/>
          <w:szCs w:val="21"/>
        </w:rPr>
      </w:pPr>
    </w:p>
    <w:p w14:paraId="520357E9" w14:textId="77777777" w:rsidR="00E02A5C" w:rsidRDefault="00E02A5C">
      <w:pPr>
        <w:jc w:val="center"/>
        <w:rPr>
          <w:rFonts w:eastAsia="黑体"/>
          <w:szCs w:val="21"/>
        </w:rPr>
      </w:pPr>
    </w:p>
    <w:p w14:paraId="5B5FBC32" w14:textId="77777777" w:rsidR="00E02A5C" w:rsidRDefault="00E02A5C">
      <w:pPr>
        <w:jc w:val="center"/>
        <w:rPr>
          <w:rFonts w:eastAsia="黑体"/>
          <w:szCs w:val="21"/>
        </w:rPr>
      </w:pPr>
    </w:p>
    <w:p w14:paraId="277A4066" w14:textId="77777777" w:rsidR="00E02A5C" w:rsidRDefault="00E02A5C">
      <w:pPr>
        <w:jc w:val="center"/>
        <w:rPr>
          <w:rFonts w:eastAsia="黑体"/>
          <w:szCs w:val="21"/>
        </w:rPr>
      </w:pPr>
    </w:p>
    <w:p w14:paraId="6335D7D2" w14:textId="77777777" w:rsidR="00B849BC" w:rsidRDefault="00B849BC">
      <w:pPr>
        <w:jc w:val="center"/>
        <w:rPr>
          <w:rFonts w:eastAsia="黑体"/>
          <w:szCs w:val="21"/>
        </w:rPr>
      </w:pPr>
    </w:p>
    <w:p w14:paraId="1C723B80" w14:textId="77777777" w:rsidR="00B849BC" w:rsidRDefault="00B849BC">
      <w:pPr>
        <w:jc w:val="center"/>
        <w:rPr>
          <w:rFonts w:eastAsia="黑体"/>
          <w:szCs w:val="21"/>
        </w:rPr>
      </w:pPr>
    </w:p>
    <w:p w14:paraId="618BF711" w14:textId="77777777" w:rsidR="00B849BC" w:rsidRDefault="00B849BC">
      <w:pPr>
        <w:jc w:val="center"/>
        <w:rPr>
          <w:rFonts w:eastAsia="黑体"/>
          <w:szCs w:val="21"/>
        </w:rPr>
      </w:pPr>
    </w:p>
    <w:p w14:paraId="72AC92B6" w14:textId="77777777" w:rsidR="00B849BC" w:rsidRDefault="00B849BC">
      <w:pPr>
        <w:jc w:val="center"/>
        <w:rPr>
          <w:rFonts w:eastAsia="黑体"/>
          <w:szCs w:val="21"/>
        </w:rPr>
      </w:pPr>
    </w:p>
    <w:p w14:paraId="1DC780E0" w14:textId="77777777" w:rsidR="00E02A5C" w:rsidRDefault="00E02A5C">
      <w:pPr>
        <w:jc w:val="center"/>
        <w:rPr>
          <w:rFonts w:eastAsia="黑体"/>
          <w:szCs w:val="21"/>
        </w:rPr>
      </w:pPr>
    </w:p>
    <w:p w14:paraId="04FE07F3" w14:textId="77777777" w:rsidR="00E02A5C" w:rsidRDefault="00E02A5C">
      <w:pPr>
        <w:jc w:val="center"/>
        <w:rPr>
          <w:rFonts w:eastAsia="黑体"/>
          <w:szCs w:val="21"/>
        </w:rPr>
      </w:pPr>
    </w:p>
    <w:p w14:paraId="737E01D9" w14:textId="77777777" w:rsidR="00E02A5C" w:rsidRDefault="00E02A5C">
      <w:pPr>
        <w:jc w:val="center"/>
        <w:rPr>
          <w:rFonts w:eastAsia="黑体"/>
          <w:szCs w:val="21"/>
        </w:rPr>
      </w:pPr>
    </w:p>
    <w:p w14:paraId="503C6492" w14:textId="77777777" w:rsidR="00B849BC" w:rsidRDefault="00B849BC">
      <w:pPr>
        <w:jc w:val="center"/>
        <w:rPr>
          <w:rFonts w:eastAsia="黑体"/>
          <w:szCs w:val="21"/>
        </w:rPr>
      </w:pPr>
    </w:p>
    <w:p w14:paraId="502239D9" w14:textId="77777777" w:rsidR="00B849BC" w:rsidRDefault="00B849BC">
      <w:pPr>
        <w:jc w:val="center"/>
        <w:rPr>
          <w:rFonts w:eastAsia="黑体"/>
          <w:szCs w:val="21"/>
        </w:rPr>
      </w:pPr>
    </w:p>
    <w:p w14:paraId="6EA8C6B6" w14:textId="77777777" w:rsidR="00B849BC" w:rsidRDefault="00B849BC">
      <w:pPr>
        <w:jc w:val="center"/>
        <w:rPr>
          <w:rFonts w:eastAsia="黑体"/>
          <w:szCs w:val="21"/>
        </w:rPr>
      </w:pPr>
    </w:p>
    <w:p w14:paraId="4207CCEB" w14:textId="77777777" w:rsidR="00EA4D9C" w:rsidRDefault="00EA4D9C">
      <w:pPr>
        <w:jc w:val="center"/>
        <w:rPr>
          <w:rFonts w:eastAsia="黑体"/>
          <w:szCs w:val="21"/>
        </w:rPr>
      </w:pPr>
    </w:p>
    <w:p w14:paraId="2801346F" w14:textId="77777777" w:rsidR="00B849BC" w:rsidRDefault="00B849BC">
      <w:pPr>
        <w:jc w:val="center"/>
        <w:rPr>
          <w:rFonts w:eastAsia="黑体"/>
          <w:szCs w:val="21"/>
        </w:rPr>
      </w:pPr>
    </w:p>
    <w:p w14:paraId="13A650D0" w14:textId="77777777" w:rsidR="00DA2DBA" w:rsidRDefault="00DA2DBA">
      <w:pPr>
        <w:rPr>
          <w:rFonts w:eastAsia="黑体"/>
          <w:szCs w:val="21"/>
        </w:rPr>
      </w:pPr>
    </w:p>
    <w:p w14:paraId="6E76FB40" w14:textId="6E3C4C66" w:rsidR="00DA2DBA" w:rsidRDefault="00132B83">
      <w:pPr>
        <w:jc w:val="left"/>
        <w:rPr>
          <w:rFonts w:eastAsia="黑体"/>
          <w:szCs w:val="21"/>
          <w:u w:val="single"/>
        </w:rPr>
      </w:pPr>
      <w:r>
        <w:rPr>
          <w:rFonts w:eastAsia="黑体" w:hint="eastAsia"/>
          <w:szCs w:val="21"/>
          <w:u w:val="single"/>
        </w:rPr>
        <w:t>202</w:t>
      </w:r>
      <w:r>
        <w:rPr>
          <w:rFonts w:eastAsia="黑体"/>
          <w:szCs w:val="21"/>
          <w:u w:val="single"/>
        </w:rPr>
        <w:t xml:space="preserve">X-XX-XX </w:t>
      </w:r>
      <w:r>
        <w:rPr>
          <w:rFonts w:eastAsia="黑体"/>
          <w:szCs w:val="21"/>
          <w:u w:val="single"/>
        </w:rPr>
        <w:t>发布</w:t>
      </w:r>
      <w:r>
        <w:rPr>
          <w:rFonts w:eastAsia="黑体"/>
          <w:szCs w:val="21"/>
          <w:u w:val="single"/>
        </w:rPr>
        <w:t xml:space="preserve">                                         </w:t>
      </w:r>
      <w:r>
        <w:rPr>
          <w:rFonts w:eastAsia="黑体" w:hint="eastAsia"/>
          <w:szCs w:val="21"/>
          <w:u w:val="single"/>
        </w:rPr>
        <w:t xml:space="preserve">  202</w:t>
      </w:r>
      <w:r>
        <w:rPr>
          <w:rFonts w:eastAsia="黑体"/>
          <w:szCs w:val="21"/>
          <w:u w:val="single"/>
        </w:rPr>
        <w:t xml:space="preserve">X-XX-XX </w:t>
      </w:r>
      <w:r>
        <w:rPr>
          <w:rFonts w:eastAsia="黑体"/>
          <w:szCs w:val="21"/>
          <w:u w:val="single"/>
        </w:rPr>
        <w:t>实施</w:t>
      </w:r>
    </w:p>
    <w:p w14:paraId="6591AF39" w14:textId="77777777" w:rsidR="00DA2DBA" w:rsidRDefault="00DA2DBA">
      <w:pPr>
        <w:jc w:val="center"/>
        <w:rPr>
          <w:rFonts w:eastAsia="黑体"/>
          <w:szCs w:val="21"/>
          <w:u w:val="single"/>
        </w:rPr>
      </w:pPr>
    </w:p>
    <w:p w14:paraId="20FC09FB" w14:textId="77777777" w:rsidR="00DA2DBA" w:rsidRDefault="00000000">
      <w:pPr>
        <w:jc w:val="center"/>
        <w:rPr>
          <w:rFonts w:eastAsia="黑体"/>
          <w:szCs w:val="21"/>
        </w:rPr>
      </w:pPr>
      <w:r>
        <w:rPr>
          <w:rFonts w:eastAsia="黑体"/>
          <w:szCs w:val="21"/>
        </w:rPr>
        <w:t>北京华夏草业产业技术创新战略联盟发布</w:t>
      </w:r>
    </w:p>
    <w:p w14:paraId="1ED88F21" w14:textId="77777777" w:rsidR="00DA2DBA" w:rsidRDefault="00DA2DBA">
      <w:pPr>
        <w:jc w:val="center"/>
        <w:rPr>
          <w:rFonts w:eastAsia="黑体"/>
          <w:szCs w:val="21"/>
        </w:rPr>
        <w:sectPr w:rsidR="00DA2DBA">
          <w:pgSz w:w="11906" w:h="16838"/>
          <w:pgMar w:top="1440" w:right="1800" w:bottom="1440" w:left="1800" w:header="1418" w:footer="1134" w:gutter="0"/>
          <w:pgNumType w:fmt="upperRoman" w:start="1"/>
          <w:cols w:space="425"/>
          <w:formProt w:val="0"/>
          <w:docGrid w:type="lines" w:linePitch="312"/>
        </w:sectPr>
      </w:pPr>
    </w:p>
    <w:p w14:paraId="268A06E7" w14:textId="77777777" w:rsidR="00DA2DBA" w:rsidRDefault="00000000">
      <w:pPr>
        <w:pStyle w:val="TOC1"/>
        <w:spacing w:before="312" w:after="312"/>
        <w:rPr>
          <w:rFonts w:ascii="Times New Roman" w:hAnsi="Times New Roman"/>
        </w:rPr>
      </w:pPr>
      <w:r>
        <w:rPr>
          <w:rFonts w:ascii="Times New Roman" w:hAnsi="Times New Roman"/>
        </w:rPr>
        <w:lastRenderedPageBreak/>
        <w:t>目</w:t>
      </w:r>
      <w:r>
        <w:rPr>
          <w:rFonts w:ascii="Times New Roman" w:hAnsi="Times New Roman"/>
        </w:rPr>
        <w:t xml:space="preserve">  </w:t>
      </w:r>
      <w:r>
        <w:rPr>
          <w:rFonts w:ascii="Times New Roman" w:hAnsi="Times New Roman"/>
        </w:rPr>
        <w:t>次</w:t>
      </w:r>
    </w:p>
    <w:p w14:paraId="12F4F5C6" w14:textId="329E2FE3" w:rsidR="00DA2DBA" w:rsidRDefault="00000000">
      <w:pPr>
        <w:pStyle w:val="TOC1"/>
        <w:tabs>
          <w:tab w:val="clear" w:pos="8296"/>
          <w:tab w:val="right" w:leader="dot" w:pos="8306"/>
        </w:tabs>
        <w:spacing w:line="360" w:lineRule="auto"/>
        <w:rPr>
          <w:rFonts w:ascii="Times New Roman" w:eastAsia="宋体" w:hAnsi="Times New Roman"/>
          <w:sz w:val="21"/>
          <w:szCs w:val="21"/>
        </w:rPr>
      </w:pPr>
      <w:r>
        <w:rPr>
          <w:rFonts w:ascii="Times New Roman" w:eastAsia="宋体" w:hAnsi="Times New Roman"/>
          <w:sz w:val="21"/>
          <w:szCs w:val="21"/>
        </w:rPr>
        <w:fldChar w:fldCharType="begin"/>
      </w:r>
      <w:r>
        <w:rPr>
          <w:rFonts w:ascii="Times New Roman" w:eastAsia="宋体" w:hAnsi="Times New Roman"/>
          <w:sz w:val="21"/>
          <w:szCs w:val="21"/>
        </w:rPr>
        <w:instrText xml:space="preserve"> TOC \o "1-3" \h \z \u </w:instrText>
      </w:r>
      <w:r>
        <w:rPr>
          <w:rFonts w:ascii="Times New Roman" w:eastAsia="宋体" w:hAnsi="Times New Roman"/>
          <w:sz w:val="21"/>
          <w:szCs w:val="21"/>
        </w:rPr>
        <w:fldChar w:fldCharType="separate"/>
      </w:r>
      <w:hyperlink w:anchor="_Toc30411" w:history="1">
        <w:r>
          <w:rPr>
            <w:rFonts w:ascii="Times New Roman" w:eastAsia="宋体" w:hAnsi="Times New Roman"/>
            <w:sz w:val="21"/>
            <w:szCs w:val="21"/>
          </w:rPr>
          <w:t>前</w:t>
        </w:r>
        <w:r>
          <w:rPr>
            <w:rFonts w:ascii="Times New Roman" w:eastAsia="宋体" w:hAnsi="Times New Roman"/>
            <w:sz w:val="21"/>
            <w:szCs w:val="21"/>
          </w:rPr>
          <w:t> </w:t>
        </w:r>
        <w:r>
          <w:rPr>
            <w:rFonts w:ascii="Times New Roman" w:eastAsia="宋体" w:hAnsi="Times New Roman"/>
            <w:sz w:val="21"/>
            <w:szCs w:val="21"/>
          </w:rPr>
          <w:t>言</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_Toc30411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II</w:t>
        </w:r>
        <w:r>
          <w:rPr>
            <w:rFonts w:ascii="Times New Roman" w:eastAsia="宋体" w:hAnsi="Times New Roman"/>
            <w:sz w:val="21"/>
            <w:szCs w:val="21"/>
          </w:rPr>
          <w:fldChar w:fldCharType="end"/>
        </w:r>
      </w:hyperlink>
    </w:p>
    <w:p w14:paraId="5D92A64E" w14:textId="77777777" w:rsidR="00DA2DBA" w:rsidRDefault="00000000">
      <w:pPr>
        <w:pStyle w:val="TOC2"/>
        <w:tabs>
          <w:tab w:val="right" w:leader="dot" w:pos="8306"/>
        </w:tabs>
        <w:spacing w:line="360" w:lineRule="auto"/>
        <w:ind w:leftChars="0" w:left="0"/>
        <w:rPr>
          <w:szCs w:val="21"/>
        </w:rPr>
      </w:pPr>
      <w:hyperlink w:anchor="_Toc13661" w:history="1">
        <w:r>
          <w:rPr>
            <w:szCs w:val="21"/>
          </w:rPr>
          <w:t xml:space="preserve">1 </w:t>
        </w:r>
        <w:r>
          <w:rPr>
            <w:szCs w:val="21"/>
          </w:rPr>
          <w:t>范围</w:t>
        </w:r>
        <w:r>
          <w:rPr>
            <w:szCs w:val="21"/>
          </w:rPr>
          <w:tab/>
        </w:r>
        <w:r>
          <w:rPr>
            <w:szCs w:val="21"/>
          </w:rPr>
          <w:fldChar w:fldCharType="begin"/>
        </w:r>
        <w:r>
          <w:rPr>
            <w:szCs w:val="21"/>
          </w:rPr>
          <w:instrText xml:space="preserve"> PAGEREF _Toc13661 \h </w:instrText>
        </w:r>
        <w:r>
          <w:rPr>
            <w:szCs w:val="21"/>
          </w:rPr>
        </w:r>
        <w:r>
          <w:rPr>
            <w:szCs w:val="21"/>
          </w:rPr>
          <w:fldChar w:fldCharType="separate"/>
        </w:r>
        <w:r>
          <w:rPr>
            <w:szCs w:val="21"/>
          </w:rPr>
          <w:t>3</w:t>
        </w:r>
        <w:r>
          <w:rPr>
            <w:szCs w:val="21"/>
          </w:rPr>
          <w:fldChar w:fldCharType="end"/>
        </w:r>
      </w:hyperlink>
    </w:p>
    <w:p w14:paraId="06EA6D4E" w14:textId="77777777" w:rsidR="00DA2DBA" w:rsidRDefault="00000000">
      <w:pPr>
        <w:pStyle w:val="TOC2"/>
        <w:tabs>
          <w:tab w:val="right" w:leader="dot" w:pos="8306"/>
        </w:tabs>
        <w:spacing w:line="360" w:lineRule="auto"/>
        <w:ind w:leftChars="0" w:left="0"/>
        <w:rPr>
          <w:szCs w:val="21"/>
        </w:rPr>
      </w:pPr>
      <w:hyperlink w:anchor="_Toc4147" w:history="1">
        <w:r>
          <w:rPr>
            <w:szCs w:val="21"/>
          </w:rPr>
          <w:t xml:space="preserve">2 </w:t>
        </w:r>
        <w:r>
          <w:rPr>
            <w:szCs w:val="21"/>
          </w:rPr>
          <w:t>规范性引用文件</w:t>
        </w:r>
        <w:r>
          <w:rPr>
            <w:szCs w:val="21"/>
          </w:rPr>
          <w:tab/>
        </w:r>
        <w:r>
          <w:rPr>
            <w:szCs w:val="21"/>
          </w:rPr>
          <w:fldChar w:fldCharType="begin"/>
        </w:r>
        <w:r>
          <w:rPr>
            <w:szCs w:val="21"/>
          </w:rPr>
          <w:instrText xml:space="preserve"> PAGEREF _Toc4147 \h </w:instrText>
        </w:r>
        <w:r>
          <w:rPr>
            <w:szCs w:val="21"/>
          </w:rPr>
        </w:r>
        <w:r>
          <w:rPr>
            <w:szCs w:val="21"/>
          </w:rPr>
          <w:fldChar w:fldCharType="separate"/>
        </w:r>
        <w:r>
          <w:rPr>
            <w:szCs w:val="21"/>
          </w:rPr>
          <w:t>3</w:t>
        </w:r>
        <w:r>
          <w:rPr>
            <w:szCs w:val="21"/>
          </w:rPr>
          <w:fldChar w:fldCharType="end"/>
        </w:r>
      </w:hyperlink>
    </w:p>
    <w:p w14:paraId="06D743F5" w14:textId="77777777" w:rsidR="00DA2DBA" w:rsidRDefault="00000000">
      <w:pPr>
        <w:pStyle w:val="TOC2"/>
        <w:tabs>
          <w:tab w:val="right" w:leader="dot" w:pos="8306"/>
        </w:tabs>
        <w:spacing w:line="360" w:lineRule="auto"/>
        <w:ind w:leftChars="0" w:left="0"/>
        <w:rPr>
          <w:szCs w:val="21"/>
        </w:rPr>
      </w:pPr>
      <w:hyperlink w:anchor="_Toc1340" w:history="1">
        <w:r>
          <w:rPr>
            <w:szCs w:val="21"/>
          </w:rPr>
          <w:t xml:space="preserve">3 </w:t>
        </w:r>
        <w:r>
          <w:rPr>
            <w:szCs w:val="21"/>
          </w:rPr>
          <w:t>术语和定义</w:t>
        </w:r>
        <w:r>
          <w:rPr>
            <w:szCs w:val="21"/>
          </w:rPr>
          <w:tab/>
        </w:r>
        <w:r>
          <w:rPr>
            <w:szCs w:val="21"/>
          </w:rPr>
          <w:fldChar w:fldCharType="begin"/>
        </w:r>
        <w:r>
          <w:rPr>
            <w:szCs w:val="21"/>
          </w:rPr>
          <w:instrText xml:space="preserve"> PAGEREF _Toc1340 \h </w:instrText>
        </w:r>
        <w:r>
          <w:rPr>
            <w:szCs w:val="21"/>
          </w:rPr>
        </w:r>
        <w:r>
          <w:rPr>
            <w:szCs w:val="21"/>
          </w:rPr>
          <w:fldChar w:fldCharType="separate"/>
        </w:r>
        <w:r>
          <w:rPr>
            <w:szCs w:val="21"/>
          </w:rPr>
          <w:t>3</w:t>
        </w:r>
        <w:r>
          <w:rPr>
            <w:szCs w:val="21"/>
          </w:rPr>
          <w:fldChar w:fldCharType="end"/>
        </w:r>
      </w:hyperlink>
    </w:p>
    <w:p w14:paraId="2035D4D5" w14:textId="77777777" w:rsidR="00DA2DBA" w:rsidRDefault="00000000">
      <w:pPr>
        <w:pStyle w:val="TOC2"/>
        <w:tabs>
          <w:tab w:val="right" w:leader="dot" w:pos="8306"/>
        </w:tabs>
        <w:spacing w:line="360" w:lineRule="auto"/>
        <w:ind w:leftChars="0" w:left="0"/>
        <w:rPr>
          <w:szCs w:val="21"/>
        </w:rPr>
      </w:pPr>
      <w:hyperlink w:anchor="_Toc8429" w:history="1">
        <w:r>
          <w:rPr>
            <w:szCs w:val="21"/>
          </w:rPr>
          <w:t xml:space="preserve">4 </w:t>
        </w:r>
        <w:r>
          <w:rPr>
            <w:szCs w:val="21"/>
          </w:rPr>
          <w:t>质量要求</w:t>
        </w:r>
        <w:r>
          <w:rPr>
            <w:szCs w:val="21"/>
          </w:rPr>
          <w:tab/>
        </w:r>
        <w:r>
          <w:rPr>
            <w:szCs w:val="21"/>
          </w:rPr>
          <w:fldChar w:fldCharType="begin"/>
        </w:r>
        <w:r>
          <w:rPr>
            <w:szCs w:val="21"/>
          </w:rPr>
          <w:instrText xml:space="preserve"> PAGEREF _Toc8429 \h </w:instrText>
        </w:r>
        <w:r>
          <w:rPr>
            <w:szCs w:val="21"/>
          </w:rPr>
        </w:r>
        <w:r>
          <w:rPr>
            <w:szCs w:val="21"/>
          </w:rPr>
          <w:fldChar w:fldCharType="separate"/>
        </w:r>
        <w:r>
          <w:rPr>
            <w:szCs w:val="21"/>
          </w:rPr>
          <w:t>3</w:t>
        </w:r>
        <w:r>
          <w:rPr>
            <w:szCs w:val="21"/>
          </w:rPr>
          <w:fldChar w:fldCharType="end"/>
        </w:r>
      </w:hyperlink>
    </w:p>
    <w:p w14:paraId="6609A433" w14:textId="77777777" w:rsidR="00DA2DBA" w:rsidRDefault="00000000">
      <w:pPr>
        <w:pStyle w:val="TOC2"/>
        <w:tabs>
          <w:tab w:val="right" w:leader="dot" w:pos="8306"/>
        </w:tabs>
        <w:spacing w:line="360" w:lineRule="auto"/>
        <w:ind w:leftChars="0" w:left="0"/>
        <w:rPr>
          <w:szCs w:val="21"/>
        </w:rPr>
      </w:pPr>
      <w:hyperlink w:anchor="_Toc31528" w:history="1">
        <w:r>
          <w:rPr>
            <w:szCs w:val="21"/>
          </w:rPr>
          <w:t xml:space="preserve">5 </w:t>
        </w:r>
        <w:r>
          <w:rPr>
            <w:szCs w:val="21"/>
          </w:rPr>
          <w:t>检测方法</w:t>
        </w:r>
        <w:r>
          <w:rPr>
            <w:szCs w:val="21"/>
          </w:rPr>
          <w:tab/>
        </w:r>
        <w:r>
          <w:rPr>
            <w:szCs w:val="21"/>
          </w:rPr>
          <w:fldChar w:fldCharType="begin"/>
        </w:r>
        <w:r>
          <w:rPr>
            <w:szCs w:val="21"/>
          </w:rPr>
          <w:instrText xml:space="preserve"> PAGEREF _Toc31528 \h </w:instrText>
        </w:r>
        <w:r>
          <w:rPr>
            <w:szCs w:val="21"/>
          </w:rPr>
        </w:r>
        <w:r>
          <w:rPr>
            <w:szCs w:val="21"/>
          </w:rPr>
          <w:fldChar w:fldCharType="separate"/>
        </w:r>
        <w:r>
          <w:rPr>
            <w:szCs w:val="21"/>
          </w:rPr>
          <w:t>4</w:t>
        </w:r>
        <w:r>
          <w:rPr>
            <w:szCs w:val="21"/>
          </w:rPr>
          <w:fldChar w:fldCharType="end"/>
        </w:r>
      </w:hyperlink>
    </w:p>
    <w:p w14:paraId="2D959706" w14:textId="77777777" w:rsidR="00DA2DBA" w:rsidRDefault="00000000">
      <w:pPr>
        <w:pStyle w:val="TOC2"/>
        <w:tabs>
          <w:tab w:val="right" w:leader="dot" w:pos="8306"/>
        </w:tabs>
        <w:spacing w:line="360" w:lineRule="auto"/>
        <w:ind w:leftChars="0" w:left="0"/>
        <w:rPr>
          <w:szCs w:val="21"/>
        </w:rPr>
      </w:pPr>
      <w:hyperlink w:anchor="_Toc19328" w:history="1">
        <w:r>
          <w:rPr>
            <w:szCs w:val="21"/>
          </w:rPr>
          <w:t xml:space="preserve">6 </w:t>
        </w:r>
        <w:r>
          <w:rPr>
            <w:szCs w:val="21"/>
          </w:rPr>
          <w:t>质量分级</w:t>
        </w:r>
        <w:r>
          <w:rPr>
            <w:szCs w:val="21"/>
          </w:rPr>
          <w:tab/>
        </w:r>
        <w:r>
          <w:rPr>
            <w:szCs w:val="21"/>
          </w:rPr>
          <w:fldChar w:fldCharType="begin"/>
        </w:r>
        <w:r>
          <w:rPr>
            <w:szCs w:val="21"/>
          </w:rPr>
          <w:instrText xml:space="preserve"> PAGEREF _Toc19328 \h </w:instrText>
        </w:r>
        <w:r>
          <w:rPr>
            <w:szCs w:val="21"/>
          </w:rPr>
        </w:r>
        <w:r>
          <w:rPr>
            <w:szCs w:val="21"/>
          </w:rPr>
          <w:fldChar w:fldCharType="separate"/>
        </w:r>
        <w:r>
          <w:rPr>
            <w:szCs w:val="21"/>
          </w:rPr>
          <w:t>4</w:t>
        </w:r>
        <w:r>
          <w:rPr>
            <w:szCs w:val="21"/>
          </w:rPr>
          <w:fldChar w:fldCharType="end"/>
        </w:r>
      </w:hyperlink>
    </w:p>
    <w:p w14:paraId="0161B954" w14:textId="77777777" w:rsidR="00DA2DBA" w:rsidRDefault="00000000">
      <w:pPr>
        <w:pStyle w:val="TOC2"/>
        <w:tabs>
          <w:tab w:val="right" w:leader="dot" w:pos="8306"/>
        </w:tabs>
        <w:spacing w:line="360" w:lineRule="auto"/>
        <w:ind w:leftChars="0" w:left="0"/>
        <w:rPr>
          <w:szCs w:val="21"/>
        </w:rPr>
      </w:pPr>
      <w:hyperlink w:anchor="_Toc18574" w:history="1">
        <w:r>
          <w:rPr>
            <w:szCs w:val="21"/>
          </w:rPr>
          <w:t xml:space="preserve">7 </w:t>
        </w:r>
        <w:r>
          <w:rPr>
            <w:szCs w:val="21"/>
          </w:rPr>
          <w:t>质量评价</w:t>
        </w:r>
        <w:r>
          <w:rPr>
            <w:szCs w:val="21"/>
          </w:rPr>
          <w:tab/>
        </w:r>
        <w:r>
          <w:rPr>
            <w:szCs w:val="21"/>
          </w:rPr>
          <w:fldChar w:fldCharType="begin"/>
        </w:r>
        <w:r>
          <w:rPr>
            <w:szCs w:val="21"/>
          </w:rPr>
          <w:instrText xml:space="preserve"> PAGEREF _Toc18574 \h </w:instrText>
        </w:r>
        <w:r>
          <w:rPr>
            <w:szCs w:val="21"/>
          </w:rPr>
        </w:r>
        <w:r>
          <w:rPr>
            <w:szCs w:val="21"/>
          </w:rPr>
          <w:fldChar w:fldCharType="separate"/>
        </w:r>
        <w:r>
          <w:rPr>
            <w:szCs w:val="21"/>
          </w:rPr>
          <w:t>5</w:t>
        </w:r>
        <w:r>
          <w:rPr>
            <w:szCs w:val="21"/>
          </w:rPr>
          <w:fldChar w:fldCharType="end"/>
        </w:r>
      </w:hyperlink>
    </w:p>
    <w:p w14:paraId="5CB9702C" w14:textId="77777777" w:rsidR="00DA2DBA" w:rsidRDefault="00000000">
      <w:pPr>
        <w:pStyle w:val="TOC2"/>
        <w:tabs>
          <w:tab w:val="right" w:leader="dot" w:pos="8306"/>
        </w:tabs>
        <w:spacing w:line="360" w:lineRule="auto"/>
        <w:ind w:leftChars="0" w:left="0"/>
        <w:rPr>
          <w:szCs w:val="21"/>
        </w:rPr>
      </w:pPr>
      <w:hyperlink w:anchor="_Toc9620" w:history="1">
        <w:r>
          <w:rPr>
            <w:szCs w:val="21"/>
          </w:rPr>
          <w:t>附录</w:t>
        </w:r>
        <w:r>
          <w:rPr>
            <w:szCs w:val="21"/>
          </w:rPr>
          <w:tab/>
        </w:r>
        <w:r>
          <w:rPr>
            <w:szCs w:val="21"/>
          </w:rPr>
          <w:fldChar w:fldCharType="begin"/>
        </w:r>
        <w:r>
          <w:rPr>
            <w:szCs w:val="21"/>
          </w:rPr>
          <w:instrText xml:space="preserve"> PAGEREF _Toc9620 \h </w:instrText>
        </w:r>
        <w:r>
          <w:rPr>
            <w:szCs w:val="21"/>
          </w:rPr>
        </w:r>
        <w:r>
          <w:rPr>
            <w:szCs w:val="21"/>
          </w:rPr>
          <w:fldChar w:fldCharType="separate"/>
        </w:r>
        <w:r>
          <w:rPr>
            <w:szCs w:val="21"/>
          </w:rPr>
          <w:t>6</w:t>
        </w:r>
        <w:r>
          <w:rPr>
            <w:szCs w:val="21"/>
          </w:rPr>
          <w:fldChar w:fldCharType="end"/>
        </w:r>
      </w:hyperlink>
    </w:p>
    <w:p w14:paraId="246A5B79" w14:textId="77777777" w:rsidR="00DA2DBA" w:rsidRDefault="00000000">
      <w:pPr>
        <w:pStyle w:val="TOC1"/>
        <w:spacing w:line="360" w:lineRule="auto"/>
        <w:rPr>
          <w:rFonts w:ascii="Times New Roman" w:eastAsia="宋体" w:hAnsi="Times New Roman"/>
          <w:sz w:val="21"/>
          <w:szCs w:val="21"/>
        </w:rPr>
      </w:pPr>
      <w:r>
        <w:rPr>
          <w:rFonts w:ascii="Times New Roman" w:eastAsia="宋体" w:hAnsi="Times New Roman"/>
          <w:sz w:val="21"/>
          <w:szCs w:val="21"/>
        </w:rPr>
        <w:fldChar w:fldCharType="end"/>
      </w:r>
      <w:r>
        <w:rPr>
          <w:rFonts w:ascii="Times New Roman" w:eastAsia="宋体" w:hAnsi="Times New Roman"/>
          <w:sz w:val="21"/>
          <w:szCs w:val="21"/>
        </w:rPr>
        <w:br w:type="page"/>
      </w:r>
    </w:p>
    <w:p w14:paraId="1F43E93B" w14:textId="77777777" w:rsidR="00DA2DBA" w:rsidRDefault="00000000">
      <w:pPr>
        <w:pStyle w:val="afc"/>
        <w:rPr>
          <w:rFonts w:ascii="Times New Roman"/>
          <w:b/>
        </w:rPr>
      </w:pPr>
      <w:bookmarkStart w:id="4" w:name="_Toc30411"/>
      <w:r>
        <w:rPr>
          <w:rFonts w:ascii="Times New Roman"/>
          <w:b/>
        </w:rPr>
        <w:t>前</w:t>
      </w:r>
      <w:bookmarkStart w:id="5" w:name="BKQY"/>
      <w:r>
        <w:rPr>
          <w:rFonts w:ascii="Times New Roman"/>
          <w:b/>
        </w:rPr>
        <w:t>  </w:t>
      </w:r>
      <w:r>
        <w:rPr>
          <w:rFonts w:ascii="Times New Roman"/>
          <w:b/>
        </w:rPr>
        <w:t>言</w:t>
      </w:r>
      <w:bookmarkEnd w:id="4"/>
      <w:bookmarkEnd w:id="5"/>
    </w:p>
    <w:p w14:paraId="0B573FB9" w14:textId="177408AA" w:rsidR="00DA2DBA" w:rsidRDefault="00000000" w:rsidP="00AB7936">
      <w:pPr>
        <w:spacing w:line="360" w:lineRule="auto"/>
        <w:ind w:firstLineChars="200" w:firstLine="420"/>
        <w:rPr>
          <w:szCs w:val="21"/>
        </w:rPr>
      </w:pPr>
      <w:r>
        <w:rPr>
          <w:szCs w:val="21"/>
        </w:rPr>
        <w:t>本</w:t>
      </w:r>
      <w:r w:rsidR="00132B83">
        <w:rPr>
          <w:rFonts w:hint="eastAsia"/>
          <w:szCs w:val="21"/>
        </w:rPr>
        <w:t>文件</w:t>
      </w:r>
      <w:r>
        <w:rPr>
          <w:szCs w:val="21"/>
        </w:rPr>
        <w:t>按</w:t>
      </w:r>
      <w:r>
        <w:rPr>
          <w:szCs w:val="21"/>
        </w:rPr>
        <w:t>GB/T 1.1-2020</w:t>
      </w:r>
      <w:r>
        <w:rPr>
          <w:szCs w:val="21"/>
        </w:rPr>
        <w:t>《标准化工作导则</w:t>
      </w:r>
      <w:r>
        <w:rPr>
          <w:szCs w:val="21"/>
        </w:rPr>
        <w:t xml:space="preserve"> </w:t>
      </w:r>
      <w:r>
        <w:rPr>
          <w:szCs w:val="21"/>
        </w:rPr>
        <w:t>第</w:t>
      </w:r>
      <w:r>
        <w:rPr>
          <w:szCs w:val="21"/>
        </w:rPr>
        <w:t>1</w:t>
      </w:r>
      <w:r>
        <w:rPr>
          <w:szCs w:val="21"/>
        </w:rPr>
        <w:t>部分：标准化文件的结构和起草规则》的规定起草。</w:t>
      </w:r>
    </w:p>
    <w:p w14:paraId="2D345408" w14:textId="28A24624" w:rsidR="00DA2DBA" w:rsidRDefault="00000000" w:rsidP="00AB7936">
      <w:pPr>
        <w:spacing w:line="360" w:lineRule="auto"/>
        <w:ind w:firstLineChars="200" w:firstLine="420"/>
        <w:rPr>
          <w:szCs w:val="21"/>
        </w:rPr>
      </w:pPr>
      <w:r>
        <w:rPr>
          <w:szCs w:val="21"/>
        </w:rPr>
        <w:t>本</w:t>
      </w:r>
      <w:r w:rsidR="00132B83">
        <w:rPr>
          <w:rFonts w:hint="eastAsia"/>
          <w:szCs w:val="21"/>
        </w:rPr>
        <w:t>文件</w:t>
      </w:r>
      <w:r>
        <w:rPr>
          <w:szCs w:val="21"/>
        </w:rPr>
        <w:t>由北京华夏草业产业技术创新战略联盟提出并归口。</w:t>
      </w:r>
    </w:p>
    <w:p w14:paraId="4B8876BF" w14:textId="16EB7932" w:rsidR="00DA2DBA" w:rsidRDefault="00000000" w:rsidP="00AB7936">
      <w:pPr>
        <w:spacing w:line="360" w:lineRule="auto"/>
        <w:ind w:firstLineChars="200" w:firstLine="420"/>
        <w:rPr>
          <w:szCs w:val="21"/>
        </w:rPr>
      </w:pPr>
      <w:r>
        <w:rPr>
          <w:szCs w:val="21"/>
        </w:rPr>
        <w:t>本</w:t>
      </w:r>
      <w:r w:rsidR="00132B83">
        <w:rPr>
          <w:rFonts w:hint="eastAsia"/>
          <w:szCs w:val="21"/>
        </w:rPr>
        <w:t>文件</w:t>
      </w:r>
      <w:r>
        <w:rPr>
          <w:szCs w:val="21"/>
        </w:rPr>
        <w:t>起草单位：四川农业大学、四川省草业技术研究推广中心、</w:t>
      </w:r>
      <w:r>
        <w:rPr>
          <w:rFonts w:hint="eastAsia"/>
          <w:szCs w:val="21"/>
        </w:rPr>
        <w:t>四川省草原科学研究院</w:t>
      </w:r>
      <w:r>
        <w:rPr>
          <w:szCs w:val="21"/>
        </w:rPr>
        <w:t>、洪雅智源养殖有限责任公司。</w:t>
      </w:r>
    </w:p>
    <w:p w14:paraId="4D404DEF" w14:textId="6237661A" w:rsidR="00DA2DBA" w:rsidRDefault="00000000" w:rsidP="00AB7936">
      <w:pPr>
        <w:spacing w:line="360" w:lineRule="auto"/>
        <w:ind w:firstLineChars="200" w:firstLine="420"/>
        <w:rPr>
          <w:szCs w:val="21"/>
        </w:rPr>
      </w:pPr>
      <w:r>
        <w:rPr>
          <w:szCs w:val="21"/>
        </w:rPr>
        <w:t>本</w:t>
      </w:r>
      <w:r w:rsidR="00132B83">
        <w:rPr>
          <w:rFonts w:hint="eastAsia"/>
          <w:szCs w:val="21"/>
        </w:rPr>
        <w:t>文件</w:t>
      </w:r>
      <w:r>
        <w:rPr>
          <w:szCs w:val="21"/>
        </w:rPr>
        <w:t>主要起草人：</w:t>
      </w:r>
      <w:proofErr w:type="gramStart"/>
      <w:r>
        <w:rPr>
          <w:szCs w:val="21"/>
        </w:rPr>
        <w:t>闫</w:t>
      </w:r>
      <w:proofErr w:type="gramEnd"/>
      <w:r>
        <w:rPr>
          <w:szCs w:val="21"/>
        </w:rPr>
        <w:t>艳红、李小梅、程明军、文兴金、武齐丰、刘红玉、金鑫萍、杜明明、郑涵、范芯溢。</w:t>
      </w:r>
    </w:p>
    <w:p w14:paraId="36FAADC8" w14:textId="7B1C1B6D" w:rsidR="00DA2DBA" w:rsidRDefault="00000000" w:rsidP="00AB7936">
      <w:pPr>
        <w:spacing w:line="360" w:lineRule="auto"/>
        <w:ind w:firstLineChars="200" w:firstLine="420"/>
        <w:rPr>
          <w:szCs w:val="21"/>
        </w:rPr>
      </w:pPr>
      <w:r>
        <w:rPr>
          <w:szCs w:val="21"/>
        </w:rPr>
        <w:t>本</w:t>
      </w:r>
      <w:r w:rsidR="00132B83">
        <w:rPr>
          <w:rFonts w:hint="eastAsia"/>
          <w:szCs w:val="21"/>
        </w:rPr>
        <w:t>文件</w:t>
      </w:r>
      <w:r>
        <w:rPr>
          <w:szCs w:val="21"/>
        </w:rPr>
        <w:t>为首次发布。</w:t>
      </w:r>
    </w:p>
    <w:p w14:paraId="4C614591" w14:textId="77777777" w:rsidR="00DA2DBA" w:rsidRDefault="00DA2DBA">
      <w:pPr>
        <w:rPr>
          <w:szCs w:val="21"/>
        </w:rPr>
        <w:sectPr w:rsidR="00DA2DBA" w:rsidSect="00132B83">
          <w:headerReference w:type="default" r:id="rId8"/>
          <w:footerReference w:type="default" r:id="rId9"/>
          <w:pgSz w:w="11906" w:h="16838"/>
          <w:pgMar w:top="1440" w:right="1800" w:bottom="1440" w:left="1800" w:header="567" w:footer="1134" w:gutter="0"/>
          <w:pgNumType w:fmt="upperRoman" w:start="1"/>
          <w:cols w:space="425"/>
          <w:formProt w:val="0"/>
          <w:docGrid w:type="lines" w:linePitch="312"/>
        </w:sectPr>
      </w:pPr>
    </w:p>
    <w:p w14:paraId="13DEE54E" w14:textId="77777777" w:rsidR="00DA2DBA" w:rsidRDefault="00000000" w:rsidP="00132B83">
      <w:pPr>
        <w:pStyle w:val="afb"/>
        <w:spacing w:beforeLines="50" w:before="120" w:afterLines="50" w:after="120"/>
        <w:rPr>
          <w:rFonts w:ascii="Times New Roman"/>
          <w:b/>
        </w:rPr>
      </w:pPr>
      <w:bookmarkStart w:id="6" w:name="OLE_LINK10"/>
      <w:bookmarkStart w:id="7" w:name="OLE_LINK2"/>
      <w:bookmarkStart w:id="8" w:name="_Toc5295"/>
      <w:bookmarkStart w:id="9" w:name="OLE_LINK17"/>
      <w:r>
        <w:rPr>
          <w:rFonts w:ascii="Times New Roman"/>
          <w:b/>
        </w:rPr>
        <w:t>高水分禾草青贮</w:t>
      </w:r>
      <w:bookmarkEnd w:id="6"/>
      <w:r>
        <w:rPr>
          <w:rFonts w:ascii="Times New Roman"/>
          <w:b/>
        </w:rPr>
        <w:t>饲料</w:t>
      </w:r>
      <w:bookmarkStart w:id="10" w:name="OLE_LINK13"/>
      <w:r>
        <w:rPr>
          <w:rFonts w:ascii="Times New Roman"/>
          <w:b/>
        </w:rPr>
        <w:t>质量分级</w:t>
      </w:r>
      <w:bookmarkEnd w:id="7"/>
      <w:bookmarkEnd w:id="10"/>
      <w:r>
        <w:rPr>
          <w:rFonts w:ascii="Times New Roman"/>
          <w:b/>
        </w:rPr>
        <w:t>标准</w:t>
      </w:r>
      <w:bookmarkEnd w:id="8"/>
      <w:bookmarkEnd w:id="9"/>
    </w:p>
    <w:p w14:paraId="690F99C1" w14:textId="77777777" w:rsidR="00DA2DBA" w:rsidRDefault="00000000">
      <w:pPr>
        <w:pStyle w:val="a"/>
        <w:spacing w:before="240" w:after="240"/>
        <w:rPr>
          <w:rFonts w:ascii="Times New Roman"/>
          <w:b/>
        </w:rPr>
      </w:pPr>
      <w:bookmarkStart w:id="11" w:name="_Toc13661"/>
      <w:r>
        <w:rPr>
          <w:rFonts w:ascii="Times New Roman"/>
          <w:b/>
        </w:rPr>
        <w:t>范围</w:t>
      </w:r>
      <w:bookmarkEnd w:id="11"/>
    </w:p>
    <w:p w14:paraId="57828B64" w14:textId="3DDA0A2A" w:rsidR="00DA2DBA" w:rsidRDefault="00000000">
      <w:pPr>
        <w:widowControl/>
        <w:spacing w:line="360" w:lineRule="auto"/>
        <w:ind w:firstLineChars="200" w:firstLine="420"/>
        <w:jc w:val="left"/>
        <w:rPr>
          <w:szCs w:val="21"/>
        </w:rPr>
      </w:pPr>
      <w:r>
        <w:rPr>
          <w:szCs w:val="21"/>
        </w:rPr>
        <w:t>本</w:t>
      </w:r>
      <w:r w:rsidR="00132B83">
        <w:rPr>
          <w:rFonts w:hint="eastAsia"/>
          <w:szCs w:val="21"/>
        </w:rPr>
        <w:t>文件</w:t>
      </w:r>
      <w:r>
        <w:rPr>
          <w:szCs w:val="21"/>
        </w:rPr>
        <w:t>规定了</w:t>
      </w:r>
      <w:bookmarkStart w:id="12" w:name="OLE_LINK16"/>
      <w:r>
        <w:rPr>
          <w:szCs w:val="21"/>
        </w:rPr>
        <w:t>高水分禾草</w:t>
      </w:r>
      <w:bookmarkStart w:id="13" w:name="OLE_LINK15"/>
      <w:r>
        <w:rPr>
          <w:szCs w:val="21"/>
        </w:rPr>
        <w:t>青贮</w:t>
      </w:r>
      <w:r>
        <w:rPr>
          <w:rFonts w:hint="eastAsia"/>
          <w:szCs w:val="21"/>
        </w:rPr>
        <w:t>相关</w:t>
      </w:r>
      <w:r>
        <w:rPr>
          <w:szCs w:val="21"/>
        </w:rPr>
        <w:t>术语和定义</w:t>
      </w:r>
      <w:r>
        <w:rPr>
          <w:rFonts w:hint="eastAsia"/>
          <w:szCs w:val="21"/>
        </w:rPr>
        <w:t>、质量要求、检测方法及质量分级</w:t>
      </w:r>
      <w:bookmarkEnd w:id="12"/>
      <w:bookmarkEnd w:id="13"/>
      <w:r>
        <w:rPr>
          <w:rFonts w:hint="eastAsia"/>
          <w:szCs w:val="21"/>
        </w:rPr>
        <w:t>等内容。</w:t>
      </w:r>
    </w:p>
    <w:p w14:paraId="2F211AB1" w14:textId="27E14FF9" w:rsidR="00DA2DBA" w:rsidRDefault="00000000">
      <w:pPr>
        <w:widowControl/>
        <w:spacing w:line="360" w:lineRule="auto"/>
        <w:ind w:firstLineChars="200" w:firstLine="420"/>
        <w:jc w:val="left"/>
        <w:rPr>
          <w:szCs w:val="21"/>
        </w:rPr>
      </w:pPr>
      <w:r>
        <w:rPr>
          <w:szCs w:val="21"/>
        </w:rPr>
        <w:t>本</w:t>
      </w:r>
      <w:r w:rsidR="00132B83">
        <w:rPr>
          <w:rFonts w:hint="eastAsia"/>
          <w:szCs w:val="21"/>
        </w:rPr>
        <w:t>文件</w:t>
      </w:r>
      <w:r>
        <w:rPr>
          <w:szCs w:val="21"/>
        </w:rPr>
        <w:t>适用于</w:t>
      </w:r>
      <w:r>
        <w:rPr>
          <w:rFonts w:hint="eastAsia"/>
          <w:szCs w:val="21"/>
        </w:rPr>
        <w:t>南方湿热地区</w:t>
      </w:r>
      <w:r>
        <w:rPr>
          <w:szCs w:val="21"/>
        </w:rPr>
        <w:t>高水分禾草青贮饲料质量</w:t>
      </w:r>
      <w:r>
        <w:rPr>
          <w:rFonts w:hint="eastAsia"/>
          <w:szCs w:val="21"/>
        </w:rPr>
        <w:t>评价与</w:t>
      </w:r>
      <w:r>
        <w:rPr>
          <w:szCs w:val="21"/>
        </w:rPr>
        <w:t>分级</w:t>
      </w:r>
      <w:r>
        <w:rPr>
          <w:rFonts w:hint="eastAsia"/>
          <w:szCs w:val="21"/>
        </w:rPr>
        <w:t>。</w:t>
      </w:r>
    </w:p>
    <w:p w14:paraId="50DA510B" w14:textId="77777777" w:rsidR="00DA2DBA" w:rsidRDefault="00000000">
      <w:pPr>
        <w:pStyle w:val="a"/>
        <w:spacing w:before="240" w:after="240"/>
        <w:rPr>
          <w:rFonts w:ascii="Times New Roman"/>
          <w:b/>
        </w:rPr>
      </w:pPr>
      <w:bookmarkStart w:id="14" w:name="_Toc4147"/>
      <w:r>
        <w:rPr>
          <w:rFonts w:ascii="Times New Roman"/>
          <w:b/>
        </w:rPr>
        <w:t>规范性引用文件</w:t>
      </w:r>
      <w:bookmarkEnd w:id="14"/>
    </w:p>
    <w:p w14:paraId="1496CE8E" w14:textId="77777777" w:rsidR="00DA2DBA" w:rsidRDefault="00000000">
      <w:pPr>
        <w:widowControl/>
        <w:spacing w:line="360" w:lineRule="auto"/>
        <w:ind w:firstLineChars="200" w:firstLine="420"/>
        <w:jc w:val="left"/>
        <w:rPr>
          <w:szCs w:val="21"/>
        </w:rPr>
      </w:pPr>
      <w:r>
        <w:rPr>
          <w:szCs w:val="21"/>
        </w:rPr>
        <w:t>下列文件对于本文件的应用是必不可少的。凡是注日期的引用文件，仅所注日期的版本适用于本文件。凡是不注日期的引用文件，其最新版本（包括所有的修改单）适用于本文件。</w:t>
      </w:r>
    </w:p>
    <w:p w14:paraId="69F4E895" w14:textId="77777777" w:rsidR="00DA2DBA" w:rsidRDefault="00000000">
      <w:pPr>
        <w:widowControl/>
        <w:spacing w:line="360" w:lineRule="auto"/>
        <w:ind w:firstLineChars="200" w:firstLine="420"/>
        <w:jc w:val="left"/>
        <w:rPr>
          <w:kern w:val="0"/>
          <w:szCs w:val="21"/>
          <w:lang w:bidi="ar"/>
        </w:rPr>
      </w:pPr>
      <w:bookmarkStart w:id="15" w:name="OLE_LINK14"/>
      <w:r>
        <w:rPr>
          <w:kern w:val="0"/>
          <w:szCs w:val="21"/>
          <w:lang w:bidi="ar"/>
        </w:rPr>
        <w:t>NY/T 2129</w:t>
      </w:r>
      <w:r>
        <w:rPr>
          <w:rFonts w:hint="eastAsia"/>
          <w:kern w:val="0"/>
          <w:szCs w:val="21"/>
          <w:lang w:bidi="ar"/>
        </w:rPr>
        <w:t xml:space="preserve"> </w:t>
      </w:r>
      <w:r>
        <w:rPr>
          <w:rFonts w:hint="eastAsia"/>
          <w:kern w:val="0"/>
          <w:szCs w:val="21"/>
          <w:lang w:bidi="ar"/>
        </w:rPr>
        <w:t>饲草产品抽样技术规程</w:t>
      </w:r>
    </w:p>
    <w:p w14:paraId="0C356CD7" w14:textId="77777777" w:rsidR="00DA2DBA" w:rsidRDefault="00000000">
      <w:pPr>
        <w:widowControl/>
        <w:spacing w:line="360" w:lineRule="auto"/>
        <w:ind w:firstLineChars="200" w:firstLine="420"/>
        <w:jc w:val="left"/>
        <w:rPr>
          <w:kern w:val="0"/>
          <w:szCs w:val="21"/>
          <w:lang w:bidi="ar"/>
        </w:rPr>
      </w:pPr>
      <w:r>
        <w:rPr>
          <w:kern w:val="0"/>
          <w:szCs w:val="21"/>
          <w:lang w:bidi="ar"/>
        </w:rPr>
        <w:t>GB/T 6432</w:t>
      </w:r>
      <w:r>
        <w:rPr>
          <w:rFonts w:hint="eastAsia"/>
          <w:kern w:val="0"/>
          <w:szCs w:val="21"/>
          <w:lang w:bidi="ar"/>
        </w:rPr>
        <w:t xml:space="preserve"> </w:t>
      </w:r>
      <w:r>
        <w:rPr>
          <w:rFonts w:hint="eastAsia"/>
          <w:kern w:val="0"/>
          <w:szCs w:val="21"/>
          <w:lang w:bidi="ar"/>
        </w:rPr>
        <w:t>饲料中粗蛋白测定方法</w:t>
      </w:r>
    </w:p>
    <w:p w14:paraId="1AC61F38" w14:textId="77777777" w:rsidR="00DA2DBA" w:rsidRDefault="00000000">
      <w:pPr>
        <w:widowControl/>
        <w:spacing w:line="360" w:lineRule="auto"/>
        <w:ind w:firstLineChars="200" w:firstLine="420"/>
        <w:jc w:val="left"/>
        <w:rPr>
          <w:kern w:val="0"/>
          <w:szCs w:val="21"/>
          <w:lang w:bidi="ar"/>
        </w:rPr>
      </w:pPr>
      <w:r>
        <w:rPr>
          <w:kern w:val="0"/>
          <w:szCs w:val="21"/>
          <w:lang w:bidi="ar"/>
        </w:rPr>
        <w:t xml:space="preserve">GB/T 6435 </w:t>
      </w:r>
      <w:r>
        <w:rPr>
          <w:kern w:val="0"/>
          <w:szCs w:val="21"/>
          <w:lang w:bidi="ar"/>
        </w:rPr>
        <w:t>饲料中水分的测定</w:t>
      </w:r>
    </w:p>
    <w:p w14:paraId="317D2CB9" w14:textId="77777777" w:rsidR="00DA2DBA" w:rsidRDefault="00000000">
      <w:pPr>
        <w:widowControl/>
        <w:spacing w:line="360" w:lineRule="auto"/>
        <w:ind w:firstLineChars="200" w:firstLine="420"/>
        <w:jc w:val="left"/>
        <w:rPr>
          <w:kern w:val="0"/>
          <w:szCs w:val="21"/>
          <w:lang w:bidi="ar"/>
        </w:rPr>
      </w:pPr>
      <w:r>
        <w:rPr>
          <w:kern w:val="0"/>
          <w:szCs w:val="21"/>
          <w:lang w:bidi="ar"/>
        </w:rPr>
        <w:t xml:space="preserve">GB/T 6438 </w:t>
      </w:r>
      <w:r>
        <w:rPr>
          <w:kern w:val="0"/>
          <w:szCs w:val="21"/>
          <w:lang w:bidi="ar"/>
        </w:rPr>
        <w:t>饲料中粗灰分的测定</w:t>
      </w:r>
    </w:p>
    <w:p w14:paraId="7A5845BC" w14:textId="77777777" w:rsidR="00DA2DBA" w:rsidRDefault="00000000">
      <w:pPr>
        <w:widowControl/>
        <w:spacing w:line="360" w:lineRule="auto"/>
        <w:ind w:firstLineChars="200" w:firstLine="420"/>
        <w:jc w:val="left"/>
        <w:rPr>
          <w:kern w:val="0"/>
          <w:szCs w:val="21"/>
          <w:lang w:bidi="ar"/>
        </w:rPr>
      </w:pPr>
      <w:r>
        <w:rPr>
          <w:kern w:val="0"/>
          <w:szCs w:val="21"/>
          <w:lang w:bidi="ar"/>
        </w:rPr>
        <w:t xml:space="preserve">GB/T 10468 </w:t>
      </w:r>
      <w:r>
        <w:rPr>
          <w:kern w:val="0"/>
          <w:szCs w:val="21"/>
          <w:lang w:bidi="ar"/>
        </w:rPr>
        <w:t>水果和蔬菜产品</w:t>
      </w:r>
      <w:r>
        <w:rPr>
          <w:kern w:val="0"/>
          <w:szCs w:val="21"/>
          <w:lang w:bidi="ar"/>
        </w:rPr>
        <w:t xml:space="preserve"> pH </w:t>
      </w:r>
      <w:r>
        <w:rPr>
          <w:kern w:val="0"/>
          <w:szCs w:val="21"/>
          <w:lang w:bidi="ar"/>
        </w:rPr>
        <w:t>值的测定方法</w:t>
      </w:r>
    </w:p>
    <w:p w14:paraId="48D986C7" w14:textId="77777777" w:rsidR="00DA2DBA" w:rsidRDefault="00000000">
      <w:pPr>
        <w:widowControl/>
        <w:spacing w:line="360" w:lineRule="auto"/>
        <w:ind w:firstLineChars="200" w:firstLine="420"/>
        <w:jc w:val="left"/>
        <w:rPr>
          <w:kern w:val="0"/>
          <w:szCs w:val="21"/>
          <w:lang w:bidi="ar"/>
        </w:rPr>
      </w:pPr>
      <w:r>
        <w:rPr>
          <w:kern w:val="0"/>
          <w:szCs w:val="21"/>
          <w:lang w:bidi="ar"/>
        </w:rPr>
        <w:t xml:space="preserve">GB/T 20195 </w:t>
      </w:r>
      <w:r>
        <w:rPr>
          <w:kern w:val="0"/>
          <w:szCs w:val="21"/>
          <w:lang w:bidi="ar"/>
        </w:rPr>
        <w:t>动物饲料</w:t>
      </w:r>
      <w:r>
        <w:rPr>
          <w:kern w:val="0"/>
          <w:szCs w:val="21"/>
          <w:lang w:bidi="ar"/>
        </w:rPr>
        <w:t xml:space="preserve"> </w:t>
      </w:r>
      <w:r>
        <w:rPr>
          <w:kern w:val="0"/>
          <w:szCs w:val="21"/>
          <w:lang w:bidi="ar"/>
        </w:rPr>
        <w:t>试样制备</w:t>
      </w:r>
    </w:p>
    <w:p w14:paraId="649FBE38" w14:textId="77777777" w:rsidR="00DA2DBA" w:rsidRDefault="00000000">
      <w:pPr>
        <w:widowControl/>
        <w:spacing w:line="360" w:lineRule="auto"/>
        <w:ind w:firstLineChars="200" w:firstLine="420"/>
        <w:jc w:val="left"/>
        <w:rPr>
          <w:kern w:val="0"/>
          <w:szCs w:val="21"/>
          <w:lang w:bidi="ar"/>
        </w:rPr>
      </w:pPr>
      <w:r>
        <w:rPr>
          <w:kern w:val="0"/>
          <w:szCs w:val="21"/>
          <w:lang w:bidi="ar"/>
        </w:rPr>
        <w:t xml:space="preserve">GB/T 20806 </w:t>
      </w:r>
      <w:r>
        <w:rPr>
          <w:kern w:val="0"/>
          <w:szCs w:val="21"/>
          <w:lang w:bidi="ar"/>
        </w:rPr>
        <w:t>饲料中中性洗涤纤维</w:t>
      </w:r>
      <w:r>
        <w:rPr>
          <w:kern w:val="0"/>
          <w:szCs w:val="21"/>
          <w:lang w:bidi="ar"/>
        </w:rPr>
        <w:t>(NDF)</w:t>
      </w:r>
      <w:r>
        <w:rPr>
          <w:kern w:val="0"/>
          <w:szCs w:val="21"/>
          <w:lang w:bidi="ar"/>
        </w:rPr>
        <w:t>的测定</w:t>
      </w:r>
    </w:p>
    <w:p w14:paraId="1634EBF4" w14:textId="77777777" w:rsidR="00DA2DBA" w:rsidRDefault="00000000">
      <w:pPr>
        <w:widowControl/>
        <w:spacing w:line="360" w:lineRule="auto"/>
        <w:ind w:firstLineChars="200" w:firstLine="420"/>
        <w:jc w:val="left"/>
        <w:rPr>
          <w:kern w:val="0"/>
          <w:szCs w:val="21"/>
          <w:lang w:bidi="ar"/>
        </w:rPr>
      </w:pPr>
      <w:r>
        <w:rPr>
          <w:kern w:val="0"/>
          <w:szCs w:val="21"/>
          <w:lang w:bidi="ar"/>
        </w:rPr>
        <w:t xml:space="preserve">NY/T 1459 </w:t>
      </w:r>
      <w:r>
        <w:rPr>
          <w:kern w:val="0"/>
          <w:szCs w:val="21"/>
          <w:lang w:bidi="ar"/>
        </w:rPr>
        <w:t>饲料中酸性洗涤纤维的测定</w:t>
      </w:r>
    </w:p>
    <w:p w14:paraId="6505B68D" w14:textId="77777777" w:rsidR="00DA2DBA" w:rsidRDefault="00000000">
      <w:pPr>
        <w:pStyle w:val="a"/>
        <w:spacing w:before="240" w:after="240"/>
        <w:rPr>
          <w:rFonts w:ascii="Times New Roman"/>
          <w:b/>
        </w:rPr>
      </w:pPr>
      <w:bookmarkStart w:id="16" w:name="_Toc1340"/>
      <w:bookmarkEnd w:id="15"/>
      <w:r>
        <w:rPr>
          <w:rFonts w:ascii="Times New Roman"/>
          <w:b/>
        </w:rPr>
        <w:t>术语和定义</w:t>
      </w:r>
      <w:bookmarkEnd w:id="16"/>
    </w:p>
    <w:p w14:paraId="3A31B6B7" w14:textId="77777777" w:rsidR="00DA2DBA" w:rsidRDefault="00000000">
      <w:pPr>
        <w:widowControl/>
        <w:spacing w:line="360" w:lineRule="auto"/>
        <w:jc w:val="left"/>
        <w:rPr>
          <w:b/>
          <w:bCs/>
          <w:szCs w:val="21"/>
        </w:rPr>
      </w:pPr>
      <w:r>
        <w:rPr>
          <w:rFonts w:hint="eastAsia"/>
          <w:b/>
          <w:bCs/>
          <w:szCs w:val="21"/>
        </w:rPr>
        <w:t>3</w:t>
      </w:r>
      <w:r>
        <w:rPr>
          <w:b/>
          <w:bCs/>
          <w:szCs w:val="21"/>
        </w:rPr>
        <w:t>.1</w:t>
      </w:r>
      <w:r>
        <w:rPr>
          <w:rFonts w:hint="eastAsia"/>
          <w:b/>
          <w:bCs/>
          <w:szCs w:val="21"/>
        </w:rPr>
        <w:t xml:space="preserve"> </w:t>
      </w:r>
      <w:r>
        <w:rPr>
          <w:rFonts w:hint="eastAsia"/>
          <w:b/>
          <w:bCs/>
          <w:szCs w:val="21"/>
        </w:rPr>
        <w:t>高水分</w:t>
      </w:r>
      <w:r>
        <w:rPr>
          <w:b/>
          <w:bCs/>
          <w:szCs w:val="21"/>
        </w:rPr>
        <w:t>禾草青贮</w:t>
      </w:r>
      <w:r>
        <w:rPr>
          <w:b/>
          <w:bCs/>
          <w:szCs w:val="21"/>
        </w:rPr>
        <w:t xml:space="preserve"> high-moisture gramineous grass silage</w:t>
      </w:r>
    </w:p>
    <w:p w14:paraId="65EB0CCB" w14:textId="77777777" w:rsidR="00DA2DBA" w:rsidRDefault="00000000">
      <w:pPr>
        <w:widowControl/>
        <w:spacing w:line="360" w:lineRule="auto"/>
        <w:ind w:firstLineChars="200" w:firstLine="420"/>
        <w:jc w:val="left"/>
        <w:rPr>
          <w:szCs w:val="21"/>
        </w:rPr>
      </w:pPr>
      <w:r>
        <w:rPr>
          <w:szCs w:val="21"/>
        </w:rPr>
        <w:t>禾本科牧草适时收获后</w:t>
      </w:r>
      <w:r>
        <w:rPr>
          <w:rFonts w:hint="eastAsia"/>
          <w:szCs w:val="21"/>
        </w:rPr>
        <w:t>（含水量高于</w:t>
      </w:r>
      <w:r>
        <w:rPr>
          <w:rFonts w:hint="eastAsia"/>
          <w:szCs w:val="21"/>
        </w:rPr>
        <w:t>75%</w:t>
      </w:r>
      <w:r>
        <w:rPr>
          <w:rFonts w:hint="eastAsia"/>
          <w:szCs w:val="21"/>
        </w:rPr>
        <w:t>）</w:t>
      </w:r>
      <w:r>
        <w:rPr>
          <w:szCs w:val="21"/>
        </w:rPr>
        <w:t>，在厌氧条件下，利用乳酸菌（植物体上附着或外来添加剂）将原料中的糖分分解为乳酸，使饲料的</w:t>
      </w:r>
      <w:r>
        <w:rPr>
          <w:szCs w:val="21"/>
        </w:rPr>
        <w:t>pH</w:t>
      </w:r>
      <w:r>
        <w:rPr>
          <w:szCs w:val="21"/>
        </w:rPr>
        <w:t>下降，抑制有害微生物的繁殖，使其安全贮藏的过程。</w:t>
      </w:r>
    </w:p>
    <w:p w14:paraId="7299F0AE" w14:textId="77777777" w:rsidR="00DA2DBA" w:rsidRDefault="00000000">
      <w:pPr>
        <w:widowControl/>
        <w:spacing w:line="360" w:lineRule="auto"/>
        <w:jc w:val="left"/>
        <w:rPr>
          <w:b/>
          <w:bCs/>
          <w:szCs w:val="21"/>
        </w:rPr>
      </w:pPr>
      <w:bookmarkStart w:id="17" w:name="OLE_LINK11"/>
      <w:r>
        <w:rPr>
          <w:rFonts w:hint="eastAsia"/>
          <w:b/>
          <w:bCs/>
          <w:szCs w:val="21"/>
        </w:rPr>
        <w:t>3</w:t>
      </w:r>
      <w:r>
        <w:rPr>
          <w:b/>
          <w:bCs/>
          <w:szCs w:val="21"/>
        </w:rPr>
        <w:t>.</w:t>
      </w:r>
      <w:r>
        <w:rPr>
          <w:rFonts w:hint="eastAsia"/>
          <w:b/>
          <w:bCs/>
          <w:szCs w:val="21"/>
        </w:rPr>
        <w:t xml:space="preserve">2 </w:t>
      </w:r>
      <w:r>
        <w:rPr>
          <w:rFonts w:hint="eastAsia"/>
          <w:b/>
          <w:bCs/>
          <w:szCs w:val="21"/>
        </w:rPr>
        <w:t>青贮添加剂</w:t>
      </w:r>
      <w:r>
        <w:rPr>
          <w:rFonts w:hint="eastAsia"/>
          <w:b/>
          <w:bCs/>
          <w:szCs w:val="21"/>
        </w:rPr>
        <w:t xml:space="preserve"> silage additives </w:t>
      </w:r>
    </w:p>
    <w:bookmarkEnd w:id="17"/>
    <w:p w14:paraId="2EE7FAD1" w14:textId="77777777" w:rsidR="00DA2DBA" w:rsidRDefault="00000000">
      <w:pPr>
        <w:widowControl/>
        <w:spacing w:line="360" w:lineRule="auto"/>
        <w:ind w:firstLineChars="200" w:firstLine="420"/>
        <w:jc w:val="left"/>
        <w:rPr>
          <w:szCs w:val="21"/>
        </w:rPr>
      </w:pPr>
      <w:r>
        <w:rPr>
          <w:szCs w:val="21"/>
        </w:rPr>
        <w:t>用于调节禾本科牧草水分活度、青贮发酵中微生物活动，改善发酵品质，减少营养损失的添加剂。</w:t>
      </w:r>
    </w:p>
    <w:p w14:paraId="2842959C" w14:textId="77777777" w:rsidR="00DA2DBA" w:rsidRDefault="00000000">
      <w:pPr>
        <w:pStyle w:val="a"/>
        <w:spacing w:before="240" w:after="240"/>
        <w:rPr>
          <w:rFonts w:ascii="Times New Roman"/>
          <w:b/>
        </w:rPr>
      </w:pPr>
      <w:bookmarkStart w:id="18" w:name="_Toc8429"/>
      <w:r>
        <w:rPr>
          <w:rFonts w:ascii="Times New Roman" w:hint="eastAsia"/>
          <w:b/>
        </w:rPr>
        <w:t>质量要求</w:t>
      </w:r>
      <w:bookmarkEnd w:id="18"/>
      <w:r>
        <w:rPr>
          <w:rFonts w:ascii="Times New Roman"/>
          <w:b/>
        </w:rPr>
        <w:t xml:space="preserve"> </w:t>
      </w:r>
    </w:p>
    <w:p w14:paraId="67805611" w14:textId="77777777" w:rsidR="00DA2DBA" w:rsidRDefault="00000000">
      <w:pPr>
        <w:spacing w:line="360" w:lineRule="auto"/>
        <w:rPr>
          <w:b/>
          <w:bCs/>
          <w:szCs w:val="21"/>
        </w:rPr>
      </w:pPr>
      <w:r>
        <w:rPr>
          <w:b/>
          <w:bCs/>
          <w:szCs w:val="21"/>
        </w:rPr>
        <w:t>4.1</w:t>
      </w:r>
      <w:r>
        <w:rPr>
          <w:b/>
          <w:bCs/>
          <w:szCs w:val="21"/>
        </w:rPr>
        <w:t>感官</w:t>
      </w:r>
      <w:r>
        <w:rPr>
          <w:rFonts w:hint="eastAsia"/>
          <w:b/>
          <w:bCs/>
          <w:szCs w:val="21"/>
        </w:rPr>
        <w:t>要求</w:t>
      </w:r>
      <w:r>
        <w:rPr>
          <w:rFonts w:hint="eastAsia"/>
          <w:b/>
          <w:bCs/>
          <w:szCs w:val="21"/>
        </w:rPr>
        <w:t xml:space="preserve"> </w:t>
      </w:r>
    </w:p>
    <w:p w14:paraId="1D725BAA" w14:textId="77777777" w:rsidR="00DA2DBA" w:rsidRDefault="00000000">
      <w:pPr>
        <w:spacing w:line="360" w:lineRule="auto"/>
        <w:ind w:firstLineChars="200" w:firstLine="420"/>
        <w:rPr>
          <w:b/>
          <w:bCs/>
          <w:szCs w:val="21"/>
        </w:rPr>
      </w:pPr>
      <w:r>
        <w:rPr>
          <w:rFonts w:hint="eastAsia"/>
          <w:szCs w:val="21"/>
        </w:rPr>
        <w:t>高水分禾草</w:t>
      </w:r>
      <w:proofErr w:type="gramStart"/>
      <w:r>
        <w:rPr>
          <w:rFonts w:hint="eastAsia"/>
          <w:szCs w:val="21"/>
        </w:rPr>
        <w:t>植株叶量较多</w:t>
      </w:r>
      <w:proofErr w:type="gramEnd"/>
      <w:r>
        <w:rPr>
          <w:rFonts w:hint="eastAsia"/>
          <w:szCs w:val="21"/>
        </w:rPr>
        <w:t>，</w:t>
      </w:r>
      <w:proofErr w:type="gramStart"/>
      <w:r>
        <w:rPr>
          <w:rFonts w:hint="eastAsia"/>
          <w:szCs w:val="21"/>
        </w:rPr>
        <w:t>持绿性</w:t>
      </w:r>
      <w:proofErr w:type="gramEnd"/>
      <w:r>
        <w:rPr>
          <w:rFonts w:hint="eastAsia"/>
          <w:szCs w:val="21"/>
        </w:rPr>
        <w:t>好，无明显倒伏，无明显大斑病、小斑病、黑粉病、丝黑穗病、锈病等</w:t>
      </w:r>
      <w:r>
        <w:rPr>
          <w:rFonts w:hint="eastAsia"/>
          <w:szCs w:val="21"/>
        </w:rPr>
        <w:t xml:space="preserve"> </w:t>
      </w:r>
      <w:r>
        <w:rPr>
          <w:rFonts w:hint="eastAsia"/>
          <w:szCs w:val="21"/>
        </w:rPr>
        <w:t>病害症状。</w:t>
      </w:r>
    </w:p>
    <w:p w14:paraId="2D2803DC" w14:textId="77777777" w:rsidR="00DA2DBA" w:rsidRDefault="00000000">
      <w:pPr>
        <w:spacing w:line="360" w:lineRule="auto"/>
        <w:rPr>
          <w:b/>
          <w:bCs/>
          <w:szCs w:val="21"/>
        </w:rPr>
      </w:pPr>
      <w:r>
        <w:rPr>
          <w:b/>
          <w:bCs/>
          <w:szCs w:val="21"/>
        </w:rPr>
        <w:t xml:space="preserve">4.2 </w:t>
      </w:r>
      <w:bookmarkStart w:id="19" w:name="OLE_LINK1"/>
      <w:r>
        <w:rPr>
          <w:rFonts w:hint="eastAsia"/>
          <w:b/>
          <w:bCs/>
          <w:szCs w:val="21"/>
        </w:rPr>
        <w:t>技术要求</w:t>
      </w:r>
    </w:p>
    <w:bookmarkEnd w:id="19"/>
    <w:p w14:paraId="4195E784" w14:textId="77777777" w:rsidR="00DA2DBA" w:rsidRDefault="00000000">
      <w:pPr>
        <w:spacing w:line="360" w:lineRule="auto"/>
        <w:ind w:firstLineChars="200" w:firstLine="420"/>
        <w:rPr>
          <w:szCs w:val="21"/>
        </w:rPr>
      </w:pPr>
      <w:r>
        <w:rPr>
          <w:rFonts w:hint="eastAsia"/>
          <w:szCs w:val="21"/>
        </w:rPr>
        <w:t>高水分禾草青贮饲料是收获后经切碎、装填、压实、密封发酵</w:t>
      </w:r>
      <w:r>
        <w:rPr>
          <w:rFonts w:hint="eastAsia"/>
          <w:szCs w:val="21"/>
        </w:rPr>
        <w:t>45~60</w:t>
      </w:r>
      <w:r>
        <w:rPr>
          <w:rFonts w:hint="eastAsia"/>
          <w:szCs w:val="21"/>
        </w:rPr>
        <w:t>天后制作而成。青贮中的饲料添加剂应符合中华人民共和国农业农村部饲料添加剂品种目录的规定。卫生指标应符合</w:t>
      </w:r>
      <w:r>
        <w:rPr>
          <w:rFonts w:hint="eastAsia"/>
          <w:szCs w:val="21"/>
        </w:rPr>
        <w:t>GB 13078</w:t>
      </w:r>
      <w:r>
        <w:rPr>
          <w:rFonts w:hint="eastAsia"/>
          <w:szCs w:val="21"/>
        </w:rPr>
        <w:t>。</w:t>
      </w:r>
    </w:p>
    <w:p w14:paraId="0E2FF27D" w14:textId="77777777" w:rsidR="00DA2DBA" w:rsidRDefault="00000000">
      <w:pPr>
        <w:pStyle w:val="a"/>
        <w:spacing w:before="240" w:after="240"/>
        <w:rPr>
          <w:rFonts w:ascii="Times New Roman"/>
          <w:b/>
        </w:rPr>
      </w:pPr>
      <w:bookmarkStart w:id="20" w:name="_Toc31528"/>
      <w:r>
        <w:rPr>
          <w:rFonts w:ascii="Times New Roman" w:hint="eastAsia"/>
          <w:b/>
        </w:rPr>
        <w:t>检测方法</w:t>
      </w:r>
      <w:bookmarkEnd w:id="20"/>
    </w:p>
    <w:p w14:paraId="4221C498" w14:textId="77777777" w:rsidR="00DA2DBA" w:rsidRDefault="00000000">
      <w:pPr>
        <w:spacing w:line="360" w:lineRule="auto"/>
        <w:rPr>
          <w:szCs w:val="21"/>
        </w:rPr>
      </w:pPr>
      <w:bookmarkStart w:id="21" w:name="OLE_LINK4"/>
      <w:r>
        <w:rPr>
          <w:rFonts w:hint="eastAsia"/>
          <w:b/>
          <w:bCs/>
          <w:szCs w:val="21"/>
        </w:rPr>
        <w:t>5</w:t>
      </w:r>
      <w:r>
        <w:rPr>
          <w:b/>
          <w:bCs/>
          <w:szCs w:val="21"/>
        </w:rPr>
        <w:t>.1</w:t>
      </w:r>
      <w:r>
        <w:rPr>
          <w:rFonts w:hint="eastAsia"/>
          <w:b/>
          <w:bCs/>
          <w:szCs w:val="21"/>
        </w:rPr>
        <w:t xml:space="preserve"> </w:t>
      </w:r>
      <w:bookmarkEnd w:id="21"/>
      <w:r>
        <w:rPr>
          <w:rFonts w:hint="eastAsia"/>
          <w:szCs w:val="21"/>
        </w:rPr>
        <w:t>青贮</w:t>
      </w:r>
      <w:r>
        <w:rPr>
          <w:rFonts w:hint="eastAsia"/>
          <w:szCs w:val="21"/>
        </w:rPr>
        <w:t>/</w:t>
      </w:r>
      <w:r>
        <w:rPr>
          <w:rFonts w:hint="eastAsia"/>
          <w:szCs w:val="21"/>
        </w:rPr>
        <w:t>裹包抽样参照</w:t>
      </w:r>
      <w:r>
        <w:rPr>
          <w:rFonts w:hint="eastAsia"/>
          <w:szCs w:val="21"/>
        </w:rPr>
        <w:t xml:space="preserve"> NY/T 2129</w:t>
      </w:r>
      <w:r>
        <w:rPr>
          <w:rFonts w:hint="eastAsia"/>
          <w:szCs w:val="21"/>
        </w:rPr>
        <w:t>执行</w:t>
      </w:r>
    </w:p>
    <w:p w14:paraId="5E459A92" w14:textId="77777777" w:rsidR="00DA2DBA" w:rsidRDefault="00000000">
      <w:pPr>
        <w:spacing w:line="360" w:lineRule="auto"/>
        <w:rPr>
          <w:szCs w:val="21"/>
        </w:rPr>
      </w:pPr>
      <w:r>
        <w:rPr>
          <w:rFonts w:hint="eastAsia"/>
          <w:b/>
          <w:bCs/>
          <w:szCs w:val="21"/>
        </w:rPr>
        <w:t>5</w:t>
      </w:r>
      <w:r>
        <w:rPr>
          <w:b/>
          <w:bCs/>
          <w:szCs w:val="21"/>
        </w:rPr>
        <w:t>.</w:t>
      </w:r>
      <w:r>
        <w:rPr>
          <w:rFonts w:hint="eastAsia"/>
          <w:b/>
          <w:bCs/>
          <w:szCs w:val="21"/>
        </w:rPr>
        <w:t xml:space="preserve">2 </w:t>
      </w:r>
      <w:r>
        <w:rPr>
          <w:rFonts w:hint="eastAsia"/>
          <w:szCs w:val="21"/>
        </w:rPr>
        <w:t>用于化学指标分析的样品，制备时参照</w:t>
      </w:r>
      <w:r>
        <w:rPr>
          <w:rFonts w:hint="eastAsia"/>
          <w:szCs w:val="21"/>
        </w:rPr>
        <w:t xml:space="preserve"> GB/T 20195</w:t>
      </w:r>
      <w:r>
        <w:rPr>
          <w:rFonts w:hint="eastAsia"/>
          <w:szCs w:val="21"/>
        </w:rPr>
        <w:t>执行</w:t>
      </w:r>
    </w:p>
    <w:p w14:paraId="018EB2C4" w14:textId="77777777" w:rsidR="00DA2DBA" w:rsidRDefault="00000000">
      <w:pPr>
        <w:spacing w:line="360" w:lineRule="auto"/>
        <w:rPr>
          <w:szCs w:val="21"/>
        </w:rPr>
      </w:pPr>
      <w:r>
        <w:rPr>
          <w:rFonts w:hint="eastAsia"/>
          <w:b/>
          <w:bCs/>
          <w:szCs w:val="21"/>
        </w:rPr>
        <w:t>5</w:t>
      </w:r>
      <w:r>
        <w:rPr>
          <w:b/>
          <w:bCs/>
          <w:szCs w:val="21"/>
        </w:rPr>
        <w:t>.</w:t>
      </w:r>
      <w:r>
        <w:rPr>
          <w:rFonts w:hint="eastAsia"/>
          <w:b/>
          <w:bCs/>
          <w:szCs w:val="21"/>
        </w:rPr>
        <w:t xml:space="preserve">3 </w:t>
      </w:r>
      <w:r>
        <w:rPr>
          <w:rFonts w:hint="eastAsia"/>
          <w:szCs w:val="21"/>
        </w:rPr>
        <w:t>青贮饲料试样浸提液的制备参考《日本粗饲料品质评价手册》、国内的青贮调制文献以及起草人研究结果的基础上，结合青贮饲料特性、综合确定了分取试样</w:t>
      </w:r>
      <w:r>
        <w:rPr>
          <w:rFonts w:hint="eastAsia"/>
          <w:szCs w:val="21"/>
        </w:rPr>
        <w:t xml:space="preserve"> 20 g</w:t>
      </w:r>
      <w:r>
        <w:rPr>
          <w:rFonts w:hint="eastAsia"/>
          <w:szCs w:val="21"/>
        </w:rPr>
        <w:t>，加入</w:t>
      </w:r>
      <w:r>
        <w:rPr>
          <w:rFonts w:hint="eastAsia"/>
          <w:szCs w:val="21"/>
        </w:rPr>
        <w:t xml:space="preserve"> 180 mL </w:t>
      </w:r>
      <w:r>
        <w:rPr>
          <w:rFonts w:hint="eastAsia"/>
          <w:szCs w:val="21"/>
        </w:rPr>
        <w:t>双蒸馏水，置于搅拌机中搅拌</w:t>
      </w:r>
      <w:r>
        <w:rPr>
          <w:rFonts w:hint="eastAsia"/>
          <w:szCs w:val="21"/>
        </w:rPr>
        <w:t xml:space="preserve"> 1 min</w:t>
      </w:r>
      <w:r>
        <w:rPr>
          <w:rFonts w:hint="eastAsia"/>
          <w:szCs w:val="21"/>
        </w:rPr>
        <w:t>，</w:t>
      </w:r>
      <w:r>
        <w:rPr>
          <w:rFonts w:hint="eastAsia"/>
          <w:szCs w:val="21"/>
        </w:rPr>
        <w:t xml:space="preserve"> </w:t>
      </w:r>
      <w:r>
        <w:rPr>
          <w:rFonts w:hint="eastAsia"/>
          <w:szCs w:val="21"/>
        </w:rPr>
        <w:t>用粗纱布和滤纸过滤，得到试样浸提液样品</w:t>
      </w:r>
    </w:p>
    <w:p w14:paraId="59007818" w14:textId="77777777" w:rsidR="00DA2DBA" w:rsidRDefault="00000000">
      <w:pPr>
        <w:spacing w:line="360" w:lineRule="auto"/>
        <w:rPr>
          <w:szCs w:val="21"/>
        </w:rPr>
      </w:pPr>
      <w:r>
        <w:rPr>
          <w:rFonts w:hint="eastAsia"/>
          <w:b/>
          <w:bCs/>
          <w:szCs w:val="21"/>
        </w:rPr>
        <w:t>5</w:t>
      </w:r>
      <w:r>
        <w:rPr>
          <w:b/>
          <w:bCs/>
          <w:szCs w:val="21"/>
        </w:rPr>
        <w:t>.</w:t>
      </w:r>
      <w:r>
        <w:rPr>
          <w:rFonts w:hint="eastAsia"/>
          <w:b/>
          <w:bCs/>
          <w:szCs w:val="21"/>
        </w:rPr>
        <w:t xml:space="preserve">4 </w:t>
      </w:r>
      <w:r>
        <w:rPr>
          <w:rFonts w:hint="eastAsia"/>
          <w:szCs w:val="21"/>
        </w:rPr>
        <w:t>用</w:t>
      </w:r>
      <w:r>
        <w:rPr>
          <w:rFonts w:hint="eastAsia"/>
          <w:szCs w:val="21"/>
        </w:rPr>
        <w:t xml:space="preserve"> 5.2 </w:t>
      </w:r>
      <w:r>
        <w:rPr>
          <w:rFonts w:hint="eastAsia"/>
          <w:szCs w:val="21"/>
        </w:rPr>
        <w:t>中制备的样品，参考</w:t>
      </w:r>
      <w:r>
        <w:rPr>
          <w:rFonts w:hint="eastAsia"/>
          <w:szCs w:val="21"/>
        </w:rPr>
        <w:t xml:space="preserve"> GB/T 6432 </w:t>
      </w:r>
      <w:r>
        <w:rPr>
          <w:rFonts w:hint="eastAsia"/>
          <w:szCs w:val="21"/>
        </w:rPr>
        <w:t>执行测定粗蛋白含量</w:t>
      </w:r>
    </w:p>
    <w:p w14:paraId="56138F9D" w14:textId="77777777" w:rsidR="00DA2DBA" w:rsidRDefault="00000000">
      <w:pPr>
        <w:spacing w:line="360" w:lineRule="auto"/>
        <w:rPr>
          <w:szCs w:val="21"/>
        </w:rPr>
      </w:pPr>
      <w:r>
        <w:rPr>
          <w:rFonts w:hint="eastAsia"/>
          <w:b/>
          <w:bCs/>
          <w:szCs w:val="21"/>
        </w:rPr>
        <w:t>5</w:t>
      </w:r>
      <w:r>
        <w:rPr>
          <w:b/>
          <w:bCs/>
          <w:szCs w:val="21"/>
        </w:rPr>
        <w:t>.</w:t>
      </w:r>
      <w:r>
        <w:rPr>
          <w:rFonts w:hint="eastAsia"/>
          <w:b/>
          <w:bCs/>
          <w:szCs w:val="21"/>
        </w:rPr>
        <w:t xml:space="preserve">5 </w:t>
      </w:r>
      <w:r>
        <w:rPr>
          <w:rFonts w:hint="eastAsia"/>
          <w:szCs w:val="21"/>
        </w:rPr>
        <w:t>用</w:t>
      </w:r>
      <w:r>
        <w:rPr>
          <w:rFonts w:hint="eastAsia"/>
          <w:szCs w:val="21"/>
        </w:rPr>
        <w:t xml:space="preserve"> 5.2 </w:t>
      </w:r>
      <w:r>
        <w:rPr>
          <w:rFonts w:hint="eastAsia"/>
          <w:szCs w:val="21"/>
        </w:rPr>
        <w:t>中制备的样品，参考</w:t>
      </w:r>
      <w:r>
        <w:rPr>
          <w:rFonts w:hint="eastAsia"/>
          <w:szCs w:val="21"/>
        </w:rPr>
        <w:t xml:space="preserve"> GB/T 20806 </w:t>
      </w:r>
      <w:r>
        <w:rPr>
          <w:rFonts w:hint="eastAsia"/>
          <w:szCs w:val="21"/>
        </w:rPr>
        <w:t>执行测定中性洗涤纤维含量</w:t>
      </w:r>
    </w:p>
    <w:p w14:paraId="4F8DB485" w14:textId="77777777" w:rsidR="00DA2DBA" w:rsidRDefault="00000000">
      <w:pPr>
        <w:spacing w:line="360" w:lineRule="auto"/>
        <w:rPr>
          <w:szCs w:val="21"/>
        </w:rPr>
      </w:pPr>
      <w:r>
        <w:rPr>
          <w:rFonts w:hint="eastAsia"/>
          <w:b/>
          <w:bCs/>
          <w:szCs w:val="21"/>
        </w:rPr>
        <w:t>5</w:t>
      </w:r>
      <w:r>
        <w:rPr>
          <w:b/>
          <w:bCs/>
          <w:szCs w:val="21"/>
        </w:rPr>
        <w:t>.</w:t>
      </w:r>
      <w:r>
        <w:rPr>
          <w:rFonts w:hint="eastAsia"/>
          <w:b/>
          <w:bCs/>
          <w:szCs w:val="21"/>
        </w:rPr>
        <w:t xml:space="preserve">6 </w:t>
      </w:r>
      <w:r>
        <w:rPr>
          <w:rFonts w:hint="eastAsia"/>
          <w:szCs w:val="21"/>
        </w:rPr>
        <w:t>用</w:t>
      </w:r>
      <w:r>
        <w:rPr>
          <w:rFonts w:hint="eastAsia"/>
          <w:szCs w:val="21"/>
        </w:rPr>
        <w:t xml:space="preserve"> 5.2 </w:t>
      </w:r>
      <w:r>
        <w:rPr>
          <w:rFonts w:hint="eastAsia"/>
          <w:szCs w:val="21"/>
        </w:rPr>
        <w:t>中制备的样品，参考</w:t>
      </w:r>
      <w:r>
        <w:rPr>
          <w:rFonts w:hint="eastAsia"/>
          <w:szCs w:val="21"/>
        </w:rPr>
        <w:t xml:space="preserve"> NY/T1459 </w:t>
      </w:r>
      <w:r>
        <w:rPr>
          <w:rFonts w:hint="eastAsia"/>
          <w:szCs w:val="21"/>
        </w:rPr>
        <w:t>执行测定酸性洗涤纤维测定方法含量</w:t>
      </w:r>
    </w:p>
    <w:p w14:paraId="7DC7A802" w14:textId="77777777" w:rsidR="00DA2DBA" w:rsidRDefault="00000000">
      <w:pPr>
        <w:spacing w:line="360" w:lineRule="auto"/>
        <w:rPr>
          <w:szCs w:val="21"/>
        </w:rPr>
      </w:pPr>
      <w:r>
        <w:rPr>
          <w:rFonts w:hint="eastAsia"/>
          <w:b/>
          <w:bCs/>
          <w:szCs w:val="21"/>
        </w:rPr>
        <w:t>5</w:t>
      </w:r>
      <w:r>
        <w:rPr>
          <w:b/>
          <w:bCs/>
          <w:szCs w:val="21"/>
        </w:rPr>
        <w:t>.</w:t>
      </w:r>
      <w:r>
        <w:rPr>
          <w:rFonts w:hint="eastAsia"/>
          <w:b/>
          <w:bCs/>
          <w:szCs w:val="21"/>
        </w:rPr>
        <w:t xml:space="preserve">7 </w:t>
      </w:r>
      <w:r>
        <w:rPr>
          <w:rFonts w:hint="eastAsia"/>
          <w:szCs w:val="21"/>
        </w:rPr>
        <w:t>用</w:t>
      </w:r>
      <w:r>
        <w:rPr>
          <w:rFonts w:hint="eastAsia"/>
          <w:szCs w:val="21"/>
        </w:rPr>
        <w:t xml:space="preserve"> 5.2 </w:t>
      </w:r>
      <w:r>
        <w:rPr>
          <w:rFonts w:hint="eastAsia"/>
          <w:szCs w:val="21"/>
        </w:rPr>
        <w:t>中制备的样品，参考</w:t>
      </w:r>
      <w:r>
        <w:rPr>
          <w:rFonts w:hint="eastAsia"/>
          <w:szCs w:val="21"/>
        </w:rPr>
        <w:t xml:space="preserve"> GB/T6438 </w:t>
      </w:r>
      <w:r>
        <w:rPr>
          <w:rFonts w:hint="eastAsia"/>
          <w:szCs w:val="21"/>
        </w:rPr>
        <w:t>执行测定灰分含量</w:t>
      </w:r>
    </w:p>
    <w:p w14:paraId="1367FBBC" w14:textId="77777777" w:rsidR="00DA2DBA" w:rsidRDefault="00000000">
      <w:pPr>
        <w:spacing w:line="360" w:lineRule="auto"/>
        <w:rPr>
          <w:szCs w:val="21"/>
        </w:rPr>
      </w:pPr>
      <w:r>
        <w:rPr>
          <w:rFonts w:hint="eastAsia"/>
          <w:b/>
          <w:bCs/>
          <w:szCs w:val="21"/>
        </w:rPr>
        <w:t>5</w:t>
      </w:r>
      <w:r>
        <w:rPr>
          <w:b/>
          <w:bCs/>
          <w:szCs w:val="21"/>
        </w:rPr>
        <w:t>.</w:t>
      </w:r>
      <w:r>
        <w:rPr>
          <w:rFonts w:hint="eastAsia"/>
          <w:b/>
          <w:bCs/>
          <w:szCs w:val="21"/>
        </w:rPr>
        <w:t xml:space="preserve">8 </w:t>
      </w:r>
      <w:r>
        <w:rPr>
          <w:rFonts w:hint="eastAsia"/>
          <w:szCs w:val="21"/>
        </w:rPr>
        <w:t>用</w:t>
      </w:r>
      <w:r>
        <w:rPr>
          <w:rFonts w:hint="eastAsia"/>
          <w:szCs w:val="21"/>
        </w:rPr>
        <w:t xml:space="preserve"> 5.3 </w:t>
      </w:r>
      <w:r>
        <w:rPr>
          <w:rFonts w:hint="eastAsia"/>
          <w:szCs w:val="21"/>
        </w:rPr>
        <w:t>中制备的样品，参考</w:t>
      </w:r>
      <w:r>
        <w:rPr>
          <w:rFonts w:hint="eastAsia"/>
          <w:szCs w:val="21"/>
        </w:rPr>
        <w:t xml:space="preserve"> GB 10468 </w:t>
      </w:r>
      <w:r>
        <w:rPr>
          <w:rFonts w:hint="eastAsia"/>
          <w:szCs w:val="21"/>
        </w:rPr>
        <w:t>执行测定</w:t>
      </w:r>
      <w:r>
        <w:rPr>
          <w:rFonts w:hint="eastAsia"/>
          <w:szCs w:val="21"/>
        </w:rPr>
        <w:t xml:space="preserve"> pH </w:t>
      </w:r>
      <w:r>
        <w:rPr>
          <w:rFonts w:hint="eastAsia"/>
          <w:szCs w:val="21"/>
        </w:rPr>
        <w:t>值</w:t>
      </w:r>
    </w:p>
    <w:p w14:paraId="4DF7908E" w14:textId="77777777" w:rsidR="00DA2DBA" w:rsidRDefault="00000000">
      <w:pPr>
        <w:spacing w:line="360" w:lineRule="auto"/>
        <w:rPr>
          <w:szCs w:val="21"/>
        </w:rPr>
      </w:pPr>
      <w:r>
        <w:rPr>
          <w:rFonts w:hint="eastAsia"/>
          <w:b/>
          <w:bCs/>
          <w:szCs w:val="21"/>
        </w:rPr>
        <w:t>5</w:t>
      </w:r>
      <w:r>
        <w:rPr>
          <w:b/>
          <w:bCs/>
          <w:szCs w:val="21"/>
        </w:rPr>
        <w:t>.</w:t>
      </w:r>
      <w:r>
        <w:rPr>
          <w:rFonts w:hint="eastAsia"/>
          <w:b/>
          <w:bCs/>
          <w:szCs w:val="21"/>
        </w:rPr>
        <w:t xml:space="preserve">9 </w:t>
      </w:r>
      <w:r>
        <w:rPr>
          <w:rFonts w:hint="eastAsia"/>
          <w:szCs w:val="21"/>
        </w:rPr>
        <w:t>用</w:t>
      </w:r>
      <w:r>
        <w:rPr>
          <w:rFonts w:hint="eastAsia"/>
          <w:szCs w:val="21"/>
        </w:rPr>
        <w:t xml:space="preserve"> 5.3 </w:t>
      </w:r>
      <w:r>
        <w:rPr>
          <w:rFonts w:hint="eastAsia"/>
          <w:szCs w:val="21"/>
        </w:rPr>
        <w:t>中制备的样品，参照</w:t>
      </w:r>
      <w:r>
        <w:rPr>
          <w:rFonts w:hint="eastAsia"/>
          <w:szCs w:val="21"/>
        </w:rPr>
        <w:t xml:space="preserve">GB/T 6432 GB 5009.33-2016 </w:t>
      </w:r>
      <w:r>
        <w:rPr>
          <w:rFonts w:hint="eastAsia"/>
          <w:szCs w:val="21"/>
        </w:rPr>
        <w:t>测定硝酸盐含量</w:t>
      </w:r>
    </w:p>
    <w:p w14:paraId="2139E959" w14:textId="77777777" w:rsidR="00DA2DBA" w:rsidRDefault="00000000">
      <w:pPr>
        <w:spacing w:line="360" w:lineRule="auto"/>
        <w:rPr>
          <w:szCs w:val="21"/>
        </w:rPr>
      </w:pPr>
      <w:r>
        <w:rPr>
          <w:rFonts w:hint="eastAsia"/>
          <w:b/>
          <w:bCs/>
          <w:szCs w:val="21"/>
        </w:rPr>
        <w:t>5</w:t>
      </w:r>
      <w:r>
        <w:rPr>
          <w:b/>
          <w:bCs/>
          <w:szCs w:val="21"/>
        </w:rPr>
        <w:t>.</w:t>
      </w:r>
      <w:r>
        <w:rPr>
          <w:rFonts w:hint="eastAsia"/>
          <w:b/>
          <w:bCs/>
          <w:szCs w:val="21"/>
        </w:rPr>
        <w:t xml:space="preserve">10 </w:t>
      </w:r>
      <w:r>
        <w:rPr>
          <w:rFonts w:hint="eastAsia"/>
          <w:szCs w:val="21"/>
        </w:rPr>
        <w:t>用</w:t>
      </w:r>
      <w:r>
        <w:rPr>
          <w:rFonts w:hint="eastAsia"/>
          <w:szCs w:val="21"/>
        </w:rPr>
        <w:t xml:space="preserve"> 5.3 </w:t>
      </w:r>
      <w:r>
        <w:rPr>
          <w:rFonts w:hint="eastAsia"/>
          <w:szCs w:val="21"/>
        </w:rPr>
        <w:t>中制备的样品，参照附录</w:t>
      </w:r>
      <w:r>
        <w:rPr>
          <w:rFonts w:hint="eastAsia"/>
          <w:szCs w:val="21"/>
        </w:rPr>
        <w:t xml:space="preserve"> A </w:t>
      </w:r>
      <w:r>
        <w:rPr>
          <w:rFonts w:hint="eastAsia"/>
          <w:szCs w:val="21"/>
        </w:rPr>
        <w:t>执行测定乳酸、乙酸、丙酸、丁酸含量</w:t>
      </w:r>
    </w:p>
    <w:p w14:paraId="7FEF7FBE" w14:textId="77777777" w:rsidR="00DA2DBA" w:rsidRDefault="00000000">
      <w:pPr>
        <w:spacing w:line="360" w:lineRule="auto"/>
        <w:rPr>
          <w:szCs w:val="21"/>
        </w:rPr>
      </w:pPr>
      <w:r>
        <w:rPr>
          <w:rFonts w:hint="eastAsia"/>
          <w:b/>
          <w:bCs/>
          <w:szCs w:val="21"/>
        </w:rPr>
        <w:t>5</w:t>
      </w:r>
      <w:r>
        <w:rPr>
          <w:b/>
          <w:bCs/>
          <w:szCs w:val="21"/>
        </w:rPr>
        <w:t>.1</w:t>
      </w:r>
      <w:r>
        <w:rPr>
          <w:rFonts w:hint="eastAsia"/>
          <w:b/>
          <w:bCs/>
          <w:szCs w:val="21"/>
        </w:rPr>
        <w:t xml:space="preserve">1 </w:t>
      </w:r>
      <w:r>
        <w:rPr>
          <w:rFonts w:hint="eastAsia"/>
          <w:szCs w:val="21"/>
        </w:rPr>
        <w:t>用</w:t>
      </w:r>
      <w:r>
        <w:rPr>
          <w:rFonts w:hint="eastAsia"/>
          <w:szCs w:val="21"/>
        </w:rPr>
        <w:t xml:space="preserve"> 5.3 </w:t>
      </w:r>
      <w:r>
        <w:rPr>
          <w:rFonts w:hint="eastAsia"/>
          <w:szCs w:val="21"/>
        </w:rPr>
        <w:t>中制备的样品，参照附录</w:t>
      </w:r>
      <w:r>
        <w:rPr>
          <w:rFonts w:hint="eastAsia"/>
          <w:szCs w:val="21"/>
        </w:rPr>
        <w:t xml:space="preserve"> B </w:t>
      </w:r>
      <w:proofErr w:type="gramStart"/>
      <w:r>
        <w:rPr>
          <w:rFonts w:hint="eastAsia"/>
          <w:szCs w:val="21"/>
        </w:rPr>
        <w:t>测定氨态氮</w:t>
      </w:r>
      <w:proofErr w:type="gramEnd"/>
      <w:r>
        <w:rPr>
          <w:rFonts w:hint="eastAsia"/>
          <w:szCs w:val="21"/>
        </w:rPr>
        <w:t>/</w:t>
      </w:r>
      <w:r>
        <w:rPr>
          <w:rFonts w:hint="eastAsia"/>
          <w:szCs w:val="21"/>
        </w:rPr>
        <w:t>总氮</w:t>
      </w:r>
    </w:p>
    <w:p w14:paraId="0049DF2D" w14:textId="77777777" w:rsidR="00DA2DBA" w:rsidRDefault="00000000">
      <w:pPr>
        <w:pStyle w:val="a"/>
        <w:spacing w:before="240" w:after="240"/>
        <w:rPr>
          <w:rFonts w:ascii="Times New Roman"/>
          <w:b/>
        </w:rPr>
      </w:pPr>
      <w:bookmarkStart w:id="22" w:name="_Toc19328"/>
      <w:bookmarkStart w:id="23" w:name="OLE_LINK18"/>
      <w:r>
        <w:rPr>
          <w:rFonts w:ascii="Times New Roman" w:hint="eastAsia"/>
          <w:b/>
        </w:rPr>
        <w:t>质量分级</w:t>
      </w:r>
      <w:bookmarkEnd w:id="22"/>
      <w:bookmarkEnd w:id="23"/>
    </w:p>
    <w:p w14:paraId="3E632D73" w14:textId="77777777" w:rsidR="00DA2DBA" w:rsidRDefault="00000000">
      <w:pPr>
        <w:spacing w:line="360" w:lineRule="auto"/>
        <w:rPr>
          <w:szCs w:val="21"/>
        </w:rPr>
      </w:pPr>
      <w:r>
        <w:rPr>
          <w:rFonts w:hint="eastAsia"/>
          <w:b/>
          <w:bCs/>
          <w:szCs w:val="21"/>
        </w:rPr>
        <w:t>6</w:t>
      </w:r>
      <w:r>
        <w:rPr>
          <w:b/>
          <w:bCs/>
          <w:szCs w:val="21"/>
        </w:rPr>
        <w:t>.1</w:t>
      </w:r>
      <w:r>
        <w:rPr>
          <w:b/>
          <w:bCs/>
          <w:szCs w:val="21"/>
        </w:rPr>
        <w:t>感官指标分级</w:t>
      </w:r>
      <w:r>
        <w:rPr>
          <w:rFonts w:hint="eastAsia"/>
          <w:b/>
          <w:bCs/>
          <w:szCs w:val="21"/>
        </w:rPr>
        <w:t xml:space="preserve"> </w:t>
      </w:r>
    </w:p>
    <w:p w14:paraId="6AA5B497" w14:textId="77777777" w:rsidR="00DA2DBA" w:rsidRDefault="00000000">
      <w:pPr>
        <w:spacing w:line="360" w:lineRule="auto"/>
        <w:ind w:firstLineChars="200" w:firstLine="420"/>
        <w:rPr>
          <w:szCs w:val="21"/>
        </w:rPr>
      </w:pPr>
      <w:bookmarkStart w:id="24" w:name="OLE_LINK7"/>
      <w:r>
        <w:rPr>
          <w:rFonts w:hint="eastAsia"/>
          <w:szCs w:val="21"/>
        </w:rPr>
        <w:t>高水分禾本科牧草青贮饲料</w:t>
      </w:r>
      <w:bookmarkEnd w:id="24"/>
      <w:r>
        <w:rPr>
          <w:rFonts w:hint="eastAsia"/>
          <w:szCs w:val="21"/>
        </w:rPr>
        <w:t>感官分级指标包括颜色、气味、质地，按照表</w:t>
      </w:r>
      <w:r>
        <w:rPr>
          <w:rFonts w:hint="eastAsia"/>
          <w:szCs w:val="21"/>
        </w:rPr>
        <w:t xml:space="preserve"> 1 </w:t>
      </w:r>
      <w:r>
        <w:rPr>
          <w:rFonts w:hint="eastAsia"/>
          <w:szCs w:val="21"/>
        </w:rPr>
        <w:t>要求将青贮饲料划分为优、中、差三个等级。高水分禾本科牧草青贮饲料质量感官指标分级需达</w:t>
      </w:r>
      <w:proofErr w:type="gramStart"/>
      <w:r>
        <w:rPr>
          <w:rFonts w:hint="eastAsia"/>
          <w:szCs w:val="21"/>
        </w:rPr>
        <w:t>中级以</w:t>
      </w:r>
      <w:proofErr w:type="gramEnd"/>
      <w:r>
        <w:rPr>
          <w:rFonts w:hint="eastAsia"/>
          <w:szCs w:val="21"/>
        </w:rPr>
        <w:t>上方可进行以下化学指标分级。</w:t>
      </w:r>
    </w:p>
    <w:p w14:paraId="4B17BEC4" w14:textId="77777777" w:rsidR="00DA2DBA" w:rsidRPr="00132B83" w:rsidRDefault="00000000">
      <w:pPr>
        <w:pStyle w:val="TableText"/>
        <w:widowControl/>
        <w:kinsoku w:val="0"/>
        <w:autoSpaceDE w:val="0"/>
        <w:autoSpaceDN w:val="0"/>
        <w:adjustRightInd w:val="0"/>
        <w:snapToGrid w:val="0"/>
        <w:spacing w:line="360" w:lineRule="auto"/>
        <w:jc w:val="center"/>
        <w:textAlignment w:val="baseline"/>
        <w:rPr>
          <w:rFonts w:ascii="Times New Roman" w:hAnsi="Times New Roman" w:cs="Times New Roman"/>
          <w:b/>
          <w:bCs/>
          <w:sz w:val="21"/>
          <w:szCs w:val="21"/>
          <w:lang w:eastAsia="zh-CN"/>
        </w:rPr>
      </w:pPr>
      <w:r w:rsidRPr="00132B83">
        <w:rPr>
          <w:rFonts w:ascii="Times New Roman" w:hAnsi="Times New Roman" w:cs="Times New Roman"/>
          <w:b/>
          <w:bCs/>
          <w:sz w:val="21"/>
          <w:szCs w:val="21"/>
          <w:lang w:eastAsia="zh-CN"/>
        </w:rPr>
        <w:t>表</w:t>
      </w:r>
      <w:r w:rsidRPr="00132B83">
        <w:rPr>
          <w:rFonts w:ascii="Times New Roman" w:hAnsi="Times New Roman" w:cs="Times New Roman"/>
          <w:b/>
          <w:bCs/>
          <w:sz w:val="21"/>
          <w:szCs w:val="21"/>
          <w:lang w:eastAsia="zh-CN"/>
        </w:rPr>
        <w:t xml:space="preserve">1 </w:t>
      </w:r>
      <w:r w:rsidRPr="00132B83">
        <w:rPr>
          <w:rFonts w:cs="Times New Roman" w:hint="eastAsia"/>
          <w:b/>
          <w:bCs/>
          <w:sz w:val="21"/>
          <w:szCs w:val="21"/>
          <w:lang w:eastAsia="zh-CN"/>
        </w:rPr>
        <w:t>高水分禾本科牧草青贮饲料</w:t>
      </w:r>
      <w:r w:rsidRPr="00132B83">
        <w:rPr>
          <w:rFonts w:ascii="Times New Roman" w:hAnsi="Times New Roman" w:cs="Times New Roman"/>
          <w:b/>
          <w:bCs/>
          <w:sz w:val="21"/>
          <w:szCs w:val="21"/>
          <w:lang w:eastAsia="zh-CN"/>
        </w:rPr>
        <w:t>感官分级</w:t>
      </w:r>
    </w:p>
    <w:tbl>
      <w:tblPr>
        <w:tblW w:w="9478" w:type="dxa"/>
        <w:jc w:val="center"/>
        <w:tblBorders>
          <w:top w:val="single" w:sz="12" w:space="0" w:color="auto"/>
          <w:bottom w:val="single" w:sz="12" w:space="0" w:color="auto"/>
          <w:insideH w:val="single" w:sz="4" w:space="0" w:color="auto"/>
        </w:tblBorders>
        <w:tblLook w:val="04A0" w:firstRow="1" w:lastRow="0" w:firstColumn="1" w:lastColumn="0" w:noHBand="0" w:noVBand="1"/>
      </w:tblPr>
      <w:tblGrid>
        <w:gridCol w:w="950"/>
        <w:gridCol w:w="2895"/>
        <w:gridCol w:w="2388"/>
        <w:gridCol w:w="3245"/>
      </w:tblGrid>
      <w:tr w:rsidR="00DA2DBA" w14:paraId="542497B4" w14:textId="77777777" w:rsidTr="00132B83">
        <w:trPr>
          <w:trHeight w:val="608"/>
          <w:jc w:val="center"/>
        </w:trPr>
        <w:tc>
          <w:tcPr>
            <w:tcW w:w="501" w:type="pct"/>
            <w:tcBorders>
              <w:top w:val="single" w:sz="4" w:space="0" w:color="auto"/>
              <w:left w:val="single" w:sz="4" w:space="0" w:color="auto"/>
              <w:bottom w:val="single" w:sz="4" w:space="0" w:color="auto"/>
              <w:right w:val="single" w:sz="4" w:space="0" w:color="auto"/>
            </w:tcBorders>
            <w:vAlign w:val="center"/>
          </w:tcPr>
          <w:p w14:paraId="6A117020" w14:textId="77777777" w:rsidR="00DA2DBA" w:rsidRPr="00132B83" w:rsidRDefault="00000000" w:rsidP="00132B83">
            <w:pPr>
              <w:pStyle w:val="TableText"/>
              <w:spacing w:line="360" w:lineRule="auto"/>
              <w:jc w:val="center"/>
              <w:rPr>
                <w:rFonts w:ascii="Times New Roman" w:hAnsi="Times New Roman" w:cs="Times New Roman"/>
                <w:b/>
                <w:bCs/>
                <w:sz w:val="21"/>
                <w:szCs w:val="21"/>
                <w:lang w:eastAsia="zh-CN"/>
              </w:rPr>
            </w:pPr>
            <w:r w:rsidRPr="00132B83">
              <w:rPr>
                <w:rFonts w:ascii="Times New Roman" w:hAnsi="Times New Roman" w:cs="Times New Roman"/>
                <w:b/>
                <w:bCs/>
                <w:sz w:val="21"/>
                <w:szCs w:val="21"/>
                <w:lang w:eastAsia="zh-CN"/>
              </w:rPr>
              <w:t>等级</w:t>
            </w:r>
          </w:p>
        </w:tc>
        <w:tc>
          <w:tcPr>
            <w:tcW w:w="1527" w:type="pct"/>
            <w:tcBorders>
              <w:top w:val="single" w:sz="4" w:space="0" w:color="auto"/>
              <w:left w:val="single" w:sz="4" w:space="0" w:color="auto"/>
              <w:bottom w:val="single" w:sz="4" w:space="0" w:color="auto"/>
              <w:right w:val="single" w:sz="4" w:space="0" w:color="auto"/>
            </w:tcBorders>
            <w:vAlign w:val="center"/>
          </w:tcPr>
          <w:p w14:paraId="11A05570" w14:textId="77777777" w:rsidR="00DA2DBA" w:rsidRPr="00132B83" w:rsidRDefault="00000000" w:rsidP="00132B83">
            <w:pPr>
              <w:pStyle w:val="TableText"/>
              <w:spacing w:line="360" w:lineRule="auto"/>
              <w:jc w:val="center"/>
              <w:rPr>
                <w:rFonts w:ascii="Times New Roman" w:hAnsi="Times New Roman" w:cs="Times New Roman"/>
                <w:b/>
                <w:bCs/>
                <w:sz w:val="21"/>
                <w:szCs w:val="21"/>
                <w:lang w:eastAsia="zh-CN"/>
              </w:rPr>
            </w:pPr>
            <w:r w:rsidRPr="00132B83">
              <w:rPr>
                <w:rFonts w:ascii="Times New Roman" w:hAnsi="Times New Roman" w:cs="Times New Roman"/>
                <w:b/>
                <w:bCs/>
                <w:sz w:val="21"/>
                <w:szCs w:val="21"/>
                <w:lang w:eastAsia="zh-CN"/>
              </w:rPr>
              <w:t>优</w:t>
            </w:r>
          </w:p>
        </w:tc>
        <w:tc>
          <w:tcPr>
            <w:tcW w:w="1260" w:type="pct"/>
            <w:tcBorders>
              <w:top w:val="single" w:sz="4" w:space="0" w:color="auto"/>
              <w:left w:val="single" w:sz="4" w:space="0" w:color="auto"/>
              <w:bottom w:val="single" w:sz="4" w:space="0" w:color="auto"/>
              <w:right w:val="single" w:sz="4" w:space="0" w:color="auto"/>
            </w:tcBorders>
            <w:vAlign w:val="center"/>
          </w:tcPr>
          <w:p w14:paraId="63422697" w14:textId="77777777" w:rsidR="00DA2DBA" w:rsidRPr="00132B83" w:rsidRDefault="00000000" w:rsidP="00132B83">
            <w:pPr>
              <w:pStyle w:val="TableText"/>
              <w:spacing w:line="360" w:lineRule="auto"/>
              <w:jc w:val="center"/>
              <w:rPr>
                <w:rFonts w:ascii="Times New Roman" w:hAnsi="Times New Roman" w:cs="Times New Roman"/>
                <w:b/>
                <w:bCs/>
                <w:sz w:val="21"/>
                <w:szCs w:val="21"/>
                <w:lang w:eastAsia="zh-CN"/>
              </w:rPr>
            </w:pPr>
            <w:r w:rsidRPr="00132B83">
              <w:rPr>
                <w:rFonts w:ascii="Times New Roman" w:hAnsi="Times New Roman" w:cs="Times New Roman"/>
                <w:b/>
                <w:bCs/>
                <w:sz w:val="21"/>
                <w:szCs w:val="21"/>
                <w:lang w:eastAsia="zh-CN"/>
              </w:rPr>
              <w:t>中</w:t>
            </w:r>
          </w:p>
        </w:tc>
        <w:tc>
          <w:tcPr>
            <w:tcW w:w="1713" w:type="pct"/>
            <w:tcBorders>
              <w:top w:val="single" w:sz="4" w:space="0" w:color="auto"/>
              <w:left w:val="single" w:sz="4" w:space="0" w:color="auto"/>
              <w:bottom w:val="single" w:sz="4" w:space="0" w:color="auto"/>
              <w:right w:val="single" w:sz="4" w:space="0" w:color="auto"/>
            </w:tcBorders>
            <w:vAlign w:val="center"/>
          </w:tcPr>
          <w:p w14:paraId="665C7653" w14:textId="77777777" w:rsidR="00DA2DBA" w:rsidRPr="00132B83" w:rsidRDefault="00000000" w:rsidP="00132B83">
            <w:pPr>
              <w:pStyle w:val="TableText"/>
              <w:spacing w:line="360" w:lineRule="auto"/>
              <w:jc w:val="center"/>
              <w:rPr>
                <w:rFonts w:ascii="Times New Roman" w:hAnsi="Times New Roman" w:cs="Times New Roman"/>
                <w:b/>
                <w:bCs/>
                <w:sz w:val="21"/>
                <w:szCs w:val="21"/>
                <w:lang w:eastAsia="zh-CN"/>
              </w:rPr>
            </w:pPr>
            <w:r w:rsidRPr="00132B83">
              <w:rPr>
                <w:rFonts w:ascii="Times New Roman" w:hAnsi="Times New Roman" w:cs="Times New Roman"/>
                <w:b/>
                <w:bCs/>
                <w:sz w:val="21"/>
                <w:szCs w:val="21"/>
                <w:lang w:eastAsia="zh-CN"/>
              </w:rPr>
              <w:t>差</w:t>
            </w:r>
          </w:p>
        </w:tc>
      </w:tr>
      <w:tr w:rsidR="00DA2DBA" w14:paraId="11BDBE79" w14:textId="77777777" w:rsidTr="00132B83">
        <w:trPr>
          <w:trHeight w:val="901"/>
          <w:jc w:val="center"/>
        </w:trPr>
        <w:tc>
          <w:tcPr>
            <w:tcW w:w="501" w:type="pct"/>
            <w:tcBorders>
              <w:top w:val="single" w:sz="4" w:space="0" w:color="auto"/>
              <w:left w:val="single" w:sz="4" w:space="0" w:color="auto"/>
              <w:bottom w:val="single" w:sz="4" w:space="0" w:color="auto"/>
              <w:right w:val="single" w:sz="4" w:space="0" w:color="auto"/>
            </w:tcBorders>
            <w:vAlign w:val="center"/>
          </w:tcPr>
          <w:p w14:paraId="2CEC8ADF" w14:textId="77777777" w:rsidR="00DA2DBA" w:rsidRDefault="00000000" w:rsidP="00132B83">
            <w:pPr>
              <w:pStyle w:val="TableText"/>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颜色</w:t>
            </w:r>
          </w:p>
        </w:tc>
        <w:tc>
          <w:tcPr>
            <w:tcW w:w="1527" w:type="pct"/>
            <w:tcBorders>
              <w:top w:val="single" w:sz="4" w:space="0" w:color="auto"/>
              <w:left w:val="single" w:sz="4" w:space="0" w:color="auto"/>
              <w:bottom w:val="single" w:sz="4" w:space="0" w:color="auto"/>
              <w:right w:val="single" w:sz="4" w:space="0" w:color="auto"/>
            </w:tcBorders>
            <w:vAlign w:val="center"/>
          </w:tcPr>
          <w:p w14:paraId="6D8FC576" w14:textId="77777777" w:rsidR="00DA2DBA" w:rsidRDefault="00000000" w:rsidP="00132B83">
            <w:pPr>
              <w:pStyle w:val="TableText"/>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鲜艳，浅黄绿色或黄绿色，依据青贮饲料原料的不同而定</w:t>
            </w:r>
          </w:p>
        </w:tc>
        <w:tc>
          <w:tcPr>
            <w:tcW w:w="1260" w:type="pct"/>
            <w:tcBorders>
              <w:top w:val="single" w:sz="4" w:space="0" w:color="auto"/>
              <w:left w:val="single" w:sz="4" w:space="0" w:color="auto"/>
              <w:bottom w:val="single" w:sz="4" w:space="0" w:color="auto"/>
              <w:right w:val="single" w:sz="4" w:space="0" w:color="auto"/>
            </w:tcBorders>
            <w:vAlign w:val="center"/>
          </w:tcPr>
          <w:p w14:paraId="600D4D6E" w14:textId="77777777" w:rsidR="00DA2DBA" w:rsidRDefault="00000000" w:rsidP="00132B83">
            <w:pPr>
              <w:pStyle w:val="TableText"/>
              <w:spacing w:line="360" w:lineRule="auto"/>
              <w:rPr>
                <w:rFonts w:ascii="Times New Roman" w:hAnsi="Times New Roman" w:cs="Times New Roman"/>
                <w:sz w:val="21"/>
                <w:szCs w:val="21"/>
                <w:lang w:eastAsia="zh-CN"/>
              </w:rPr>
            </w:pPr>
            <w:bookmarkStart w:id="25" w:name="OLE_LINK3"/>
            <w:r>
              <w:rPr>
                <w:rFonts w:ascii="Times New Roman" w:hAnsi="Times New Roman" w:cs="Times New Roman"/>
                <w:sz w:val="21"/>
                <w:szCs w:val="21"/>
                <w:lang w:eastAsia="zh-CN"/>
              </w:rPr>
              <w:t>微</w:t>
            </w:r>
            <w:bookmarkEnd w:id="25"/>
            <w:r>
              <w:rPr>
                <w:rFonts w:ascii="Times New Roman" w:hAnsi="Times New Roman" w:cs="Times New Roman"/>
                <w:sz w:val="21"/>
                <w:szCs w:val="21"/>
                <w:lang w:eastAsia="zh-CN"/>
              </w:rPr>
              <w:t>黄绿色到棕绿色或黄褐色</w:t>
            </w:r>
          </w:p>
        </w:tc>
        <w:tc>
          <w:tcPr>
            <w:tcW w:w="1713" w:type="pct"/>
            <w:tcBorders>
              <w:top w:val="single" w:sz="4" w:space="0" w:color="auto"/>
              <w:left w:val="single" w:sz="4" w:space="0" w:color="auto"/>
              <w:bottom w:val="single" w:sz="4" w:space="0" w:color="auto"/>
              <w:right w:val="single" w:sz="4" w:space="0" w:color="auto"/>
            </w:tcBorders>
            <w:vAlign w:val="center"/>
          </w:tcPr>
          <w:p w14:paraId="5384F41A" w14:textId="77777777" w:rsidR="00DA2DBA" w:rsidRDefault="00000000" w:rsidP="00132B83">
            <w:pPr>
              <w:pStyle w:val="TableText"/>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深绿色，蓝绿色，深棕色，深褐色</w:t>
            </w:r>
          </w:p>
        </w:tc>
      </w:tr>
      <w:tr w:rsidR="00DA2DBA" w14:paraId="78019855" w14:textId="77777777" w:rsidTr="00132B83">
        <w:trPr>
          <w:trHeight w:val="955"/>
          <w:jc w:val="center"/>
        </w:trPr>
        <w:tc>
          <w:tcPr>
            <w:tcW w:w="501" w:type="pct"/>
            <w:tcBorders>
              <w:top w:val="single" w:sz="4" w:space="0" w:color="auto"/>
              <w:left w:val="single" w:sz="4" w:space="0" w:color="auto"/>
              <w:bottom w:val="single" w:sz="4" w:space="0" w:color="auto"/>
              <w:right w:val="single" w:sz="4" w:space="0" w:color="auto"/>
            </w:tcBorders>
            <w:vAlign w:val="center"/>
          </w:tcPr>
          <w:p w14:paraId="2876C946" w14:textId="77777777" w:rsidR="00DA2DBA" w:rsidRDefault="00000000" w:rsidP="00132B83">
            <w:pPr>
              <w:pStyle w:val="TableText"/>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气味</w:t>
            </w:r>
          </w:p>
        </w:tc>
        <w:tc>
          <w:tcPr>
            <w:tcW w:w="1527" w:type="pct"/>
            <w:tcBorders>
              <w:top w:val="single" w:sz="4" w:space="0" w:color="auto"/>
              <w:left w:val="single" w:sz="4" w:space="0" w:color="auto"/>
              <w:bottom w:val="single" w:sz="4" w:space="0" w:color="auto"/>
              <w:right w:val="single" w:sz="4" w:space="0" w:color="auto"/>
            </w:tcBorders>
            <w:vAlign w:val="center"/>
          </w:tcPr>
          <w:p w14:paraId="24FE7B97" w14:textId="77777777" w:rsidR="00DA2DBA" w:rsidRDefault="00000000" w:rsidP="00132B83">
            <w:pPr>
              <w:pStyle w:val="TableText"/>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酸香味，无丁酸气味</w:t>
            </w:r>
          </w:p>
        </w:tc>
        <w:tc>
          <w:tcPr>
            <w:tcW w:w="1260" w:type="pct"/>
            <w:tcBorders>
              <w:top w:val="single" w:sz="4" w:space="0" w:color="auto"/>
              <w:left w:val="single" w:sz="4" w:space="0" w:color="auto"/>
              <w:bottom w:val="single" w:sz="4" w:space="0" w:color="auto"/>
              <w:right w:val="single" w:sz="4" w:space="0" w:color="auto"/>
            </w:tcBorders>
            <w:vAlign w:val="center"/>
          </w:tcPr>
          <w:p w14:paraId="5A2EA326" w14:textId="77777777" w:rsidR="00DA2DBA" w:rsidRDefault="00000000" w:rsidP="00132B83">
            <w:pPr>
              <w:pStyle w:val="TableText"/>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有轻微的丁酸和氨气气味</w:t>
            </w:r>
          </w:p>
        </w:tc>
        <w:tc>
          <w:tcPr>
            <w:tcW w:w="1713" w:type="pct"/>
            <w:tcBorders>
              <w:top w:val="single" w:sz="4" w:space="0" w:color="auto"/>
              <w:left w:val="single" w:sz="4" w:space="0" w:color="auto"/>
              <w:bottom w:val="single" w:sz="4" w:space="0" w:color="auto"/>
              <w:right w:val="single" w:sz="4" w:space="0" w:color="auto"/>
            </w:tcBorders>
            <w:vAlign w:val="center"/>
          </w:tcPr>
          <w:p w14:paraId="5137B3BC" w14:textId="77777777" w:rsidR="00DA2DBA" w:rsidRDefault="00000000" w:rsidP="00132B83">
            <w:pPr>
              <w:pStyle w:val="TableText"/>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有强烈的丁酸、氨水、变质气味或</w:t>
            </w:r>
            <w:proofErr w:type="gramStart"/>
            <w:r>
              <w:rPr>
                <w:rFonts w:ascii="Times New Roman" w:hAnsi="Times New Roman" w:cs="Times New Roman"/>
                <w:sz w:val="21"/>
                <w:szCs w:val="21"/>
                <w:lang w:eastAsia="zh-CN"/>
              </w:rPr>
              <w:t>高温下糖或</w:t>
            </w:r>
            <w:proofErr w:type="gramEnd"/>
            <w:r>
              <w:rPr>
                <w:rFonts w:ascii="Times New Roman" w:hAnsi="Times New Roman" w:cs="Times New Roman"/>
                <w:sz w:val="21"/>
                <w:szCs w:val="21"/>
                <w:lang w:eastAsia="zh-CN"/>
              </w:rPr>
              <w:t>烟叶燃烧的气味</w:t>
            </w:r>
          </w:p>
        </w:tc>
      </w:tr>
      <w:tr w:rsidR="00DA2DBA" w14:paraId="7DFA5F06" w14:textId="77777777" w:rsidTr="00132B83">
        <w:trPr>
          <w:trHeight w:val="855"/>
          <w:jc w:val="center"/>
        </w:trPr>
        <w:tc>
          <w:tcPr>
            <w:tcW w:w="501" w:type="pct"/>
            <w:tcBorders>
              <w:top w:val="single" w:sz="4" w:space="0" w:color="auto"/>
              <w:left w:val="single" w:sz="4" w:space="0" w:color="auto"/>
              <w:bottom w:val="single" w:sz="4" w:space="0" w:color="auto"/>
              <w:right w:val="single" w:sz="4" w:space="0" w:color="auto"/>
            </w:tcBorders>
            <w:vAlign w:val="center"/>
          </w:tcPr>
          <w:p w14:paraId="4ECDBE60" w14:textId="77777777" w:rsidR="00DA2DBA" w:rsidRDefault="00000000" w:rsidP="00132B83">
            <w:pPr>
              <w:pStyle w:val="TableText"/>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质地</w:t>
            </w:r>
          </w:p>
        </w:tc>
        <w:tc>
          <w:tcPr>
            <w:tcW w:w="1527" w:type="pct"/>
            <w:tcBorders>
              <w:top w:val="single" w:sz="4" w:space="0" w:color="auto"/>
              <w:left w:val="single" w:sz="4" w:space="0" w:color="auto"/>
              <w:bottom w:val="single" w:sz="4" w:space="0" w:color="auto"/>
              <w:right w:val="single" w:sz="4" w:space="0" w:color="auto"/>
            </w:tcBorders>
            <w:vAlign w:val="center"/>
          </w:tcPr>
          <w:p w14:paraId="37D13185" w14:textId="77777777" w:rsidR="00DA2DBA" w:rsidRDefault="00000000" w:rsidP="00132B83">
            <w:pPr>
              <w:pStyle w:val="TableText"/>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松散柔软、不粘手</w:t>
            </w:r>
          </w:p>
        </w:tc>
        <w:tc>
          <w:tcPr>
            <w:tcW w:w="1260" w:type="pct"/>
            <w:tcBorders>
              <w:top w:val="single" w:sz="4" w:space="0" w:color="auto"/>
              <w:left w:val="single" w:sz="4" w:space="0" w:color="auto"/>
              <w:bottom w:val="single" w:sz="4" w:space="0" w:color="auto"/>
              <w:right w:val="single" w:sz="4" w:space="0" w:color="auto"/>
            </w:tcBorders>
            <w:vAlign w:val="center"/>
          </w:tcPr>
          <w:p w14:paraId="4A912997" w14:textId="77777777" w:rsidR="00DA2DBA" w:rsidRDefault="00000000" w:rsidP="00132B83">
            <w:pPr>
              <w:pStyle w:val="TableText"/>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柔软物质可与纤维分离</w:t>
            </w:r>
          </w:p>
        </w:tc>
        <w:tc>
          <w:tcPr>
            <w:tcW w:w="1713" w:type="pct"/>
            <w:tcBorders>
              <w:top w:val="single" w:sz="4" w:space="0" w:color="auto"/>
              <w:left w:val="single" w:sz="4" w:space="0" w:color="auto"/>
              <w:bottom w:val="single" w:sz="4" w:space="0" w:color="auto"/>
              <w:right w:val="single" w:sz="4" w:space="0" w:color="auto"/>
            </w:tcBorders>
            <w:vAlign w:val="center"/>
          </w:tcPr>
          <w:p w14:paraId="709CF6A8" w14:textId="77777777" w:rsidR="00DA2DBA" w:rsidRDefault="00000000" w:rsidP="00132B83">
            <w:pPr>
              <w:pStyle w:val="TableText"/>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质地粘滑，揉搓易碎，柔软物质容易从纤维上搓落，并有腐臭气味</w:t>
            </w:r>
          </w:p>
        </w:tc>
      </w:tr>
    </w:tbl>
    <w:p w14:paraId="4A163C06" w14:textId="77777777" w:rsidR="00132B83" w:rsidRDefault="00132B83">
      <w:pPr>
        <w:spacing w:beforeLines="50" w:before="120" w:line="360" w:lineRule="auto"/>
        <w:rPr>
          <w:b/>
          <w:bCs/>
          <w:szCs w:val="21"/>
        </w:rPr>
      </w:pPr>
    </w:p>
    <w:p w14:paraId="512EEA29" w14:textId="4A4B695F" w:rsidR="00DA2DBA" w:rsidRDefault="00000000">
      <w:pPr>
        <w:spacing w:beforeLines="50" w:before="120" w:line="360" w:lineRule="auto"/>
        <w:rPr>
          <w:szCs w:val="21"/>
        </w:rPr>
      </w:pPr>
      <w:r>
        <w:rPr>
          <w:rFonts w:hint="eastAsia"/>
          <w:b/>
          <w:bCs/>
          <w:szCs w:val="21"/>
        </w:rPr>
        <w:t>6</w:t>
      </w:r>
      <w:r>
        <w:rPr>
          <w:b/>
          <w:bCs/>
          <w:szCs w:val="21"/>
        </w:rPr>
        <w:t>.</w:t>
      </w:r>
      <w:r>
        <w:rPr>
          <w:rFonts w:hint="eastAsia"/>
          <w:b/>
          <w:bCs/>
          <w:szCs w:val="21"/>
        </w:rPr>
        <w:t>2</w:t>
      </w:r>
      <w:r>
        <w:rPr>
          <w:b/>
          <w:bCs/>
          <w:szCs w:val="21"/>
        </w:rPr>
        <w:t>营养和发酵指标分级</w:t>
      </w:r>
    </w:p>
    <w:p w14:paraId="5D66E299" w14:textId="77777777" w:rsidR="00DA2DBA" w:rsidRDefault="00000000">
      <w:pPr>
        <w:spacing w:line="360" w:lineRule="auto"/>
        <w:ind w:firstLineChars="200" w:firstLine="420"/>
        <w:rPr>
          <w:szCs w:val="21"/>
        </w:rPr>
      </w:pPr>
      <w:r>
        <w:rPr>
          <w:rFonts w:hint="eastAsia"/>
          <w:szCs w:val="21"/>
        </w:rPr>
        <w:t>高水分禾本科牧草青贮饲料质量分级的发酵指标及营养成分指标应符合表</w:t>
      </w:r>
      <w:r>
        <w:rPr>
          <w:rFonts w:hint="eastAsia"/>
          <w:szCs w:val="21"/>
        </w:rPr>
        <w:t xml:space="preserve"> 2 </w:t>
      </w:r>
      <w:r>
        <w:rPr>
          <w:rFonts w:hint="eastAsia"/>
          <w:szCs w:val="21"/>
        </w:rPr>
        <w:t>要求。</w:t>
      </w:r>
    </w:p>
    <w:p w14:paraId="28EF24EB" w14:textId="77777777" w:rsidR="00DA2DBA" w:rsidRPr="00132B83" w:rsidRDefault="00000000">
      <w:pPr>
        <w:pStyle w:val="TableText"/>
        <w:widowControl/>
        <w:kinsoku w:val="0"/>
        <w:autoSpaceDE w:val="0"/>
        <w:autoSpaceDN w:val="0"/>
        <w:adjustRightInd w:val="0"/>
        <w:snapToGrid w:val="0"/>
        <w:spacing w:line="360" w:lineRule="auto"/>
        <w:jc w:val="center"/>
        <w:textAlignment w:val="baseline"/>
        <w:rPr>
          <w:rFonts w:ascii="Times New Roman" w:hAnsi="Times New Roman" w:cs="Times New Roman"/>
          <w:b/>
          <w:bCs/>
          <w:sz w:val="21"/>
          <w:szCs w:val="21"/>
          <w:lang w:eastAsia="zh-CN"/>
        </w:rPr>
      </w:pPr>
      <w:r w:rsidRPr="00132B83">
        <w:rPr>
          <w:rFonts w:ascii="Times New Roman" w:hAnsi="Times New Roman" w:cs="Times New Roman"/>
          <w:b/>
          <w:bCs/>
          <w:sz w:val="21"/>
          <w:szCs w:val="21"/>
          <w:lang w:eastAsia="zh-CN"/>
        </w:rPr>
        <w:t>表</w:t>
      </w:r>
      <w:r w:rsidRPr="00132B83">
        <w:rPr>
          <w:rFonts w:ascii="Times New Roman" w:hAnsi="Times New Roman" w:cs="Times New Roman"/>
          <w:b/>
          <w:bCs/>
          <w:sz w:val="21"/>
          <w:szCs w:val="21"/>
          <w:lang w:eastAsia="zh-CN"/>
        </w:rPr>
        <w:t xml:space="preserve">2 </w:t>
      </w:r>
      <w:bookmarkStart w:id="26" w:name="OLE_LINK8"/>
      <w:r w:rsidRPr="00132B83">
        <w:rPr>
          <w:rFonts w:cs="Times New Roman" w:hint="eastAsia"/>
          <w:b/>
          <w:bCs/>
          <w:sz w:val="21"/>
          <w:szCs w:val="21"/>
          <w:lang w:eastAsia="zh-CN"/>
        </w:rPr>
        <w:t>高水分禾本科牧草青贮饲料</w:t>
      </w:r>
      <w:bookmarkEnd w:id="26"/>
      <w:r w:rsidRPr="00132B83">
        <w:rPr>
          <w:rFonts w:ascii="Times New Roman" w:hAnsi="Times New Roman" w:cs="Times New Roman"/>
          <w:b/>
          <w:bCs/>
          <w:sz w:val="21"/>
          <w:szCs w:val="21"/>
          <w:lang w:eastAsia="zh-CN"/>
        </w:rPr>
        <w:t>的营养和发酵</w:t>
      </w:r>
      <w:r w:rsidRPr="00132B83">
        <w:rPr>
          <w:rFonts w:ascii="Times New Roman" w:hAnsi="Times New Roman" w:cs="Times New Roman" w:hint="eastAsia"/>
          <w:b/>
          <w:bCs/>
          <w:sz w:val="21"/>
          <w:szCs w:val="21"/>
          <w:lang w:eastAsia="zh-CN"/>
        </w:rPr>
        <w:t>分成</w:t>
      </w:r>
      <w:r w:rsidRPr="00132B83">
        <w:rPr>
          <w:rFonts w:ascii="Times New Roman" w:hAnsi="Times New Roman" w:cs="Times New Roman"/>
          <w:b/>
          <w:bCs/>
          <w:sz w:val="21"/>
          <w:szCs w:val="21"/>
          <w:lang w:eastAsia="zh-CN"/>
        </w:rPr>
        <w:t>分级</w:t>
      </w:r>
    </w:p>
    <w:p w14:paraId="18303F55" w14:textId="77777777" w:rsidR="00DA2DBA" w:rsidRDefault="00DA2DBA">
      <w:pPr>
        <w:spacing w:line="139" w:lineRule="exact"/>
        <w:rPr>
          <w:szCs w:val="21"/>
        </w:rPr>
      </w:pPr>
    </w:p>
    <w:tbl>
      <w:tblPr>
        <w:tblStyle w:val="TableNormal"/>
        <w:tblW w:w="833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826"/>
        <w:gridCol w:w="1088"/>
        <w:gridCol w:w="1850"/>
        <w:gridCol w:w="1839"/>
        <w:gridCol w:w="1736"/>
      </w:tblGrid>
      <w:tr w:rsidR="00DA2DBA" w14:paraId="32EADCBF" w14:textId="77777777" w:rsidTr="00132B83">
        <w:trPr>
          <w:trHeight w:val="476"/>
          <w:jc w:val="center"/>
        </w:trPr>
        <w:tc>
          <w:tcPr>
            <w:tcW w:w="1826" w:type="dxa"/>
            <w:vMerge w:val="restart"/>
            <w:tcBorders>
              <w:bottom w:val="nil"/>
            </w:tcBorders>
            <w:vAlign w:val="center"/>
          </w:tcPr>
          <w:p w14:paraId="7DFC7530" w14:textId="77777777" w:rsidR="00DA2DBA" w:rsidRPr="00AB7936" w:rsidRDefault="00000000" w:rsidP="00132B83">
            <w:pPr>
              <w:pStyle w:val="TableText"/>
              <w:jc w:val="center"/>
              <w:rPr>
                <w:rFonts w:ascii="Times New Roman" w:hAnsi="Times New Roman" w:cs="Times New Roman"/>
                <w:b/>
                <w:bCs/>
                <w:sz w:val="21"/>
                <w:szCs w:val="21"/>
                <w:lang w:eastAsia="zh-CN"/>
              </w:rPr>
            </w:pPr>
            <w:bookmarkStart w:id="27" w:name="OLE_LINK6"/>
            <w:r w:rsidRPr="00AB7936">
              <w:rPr>
                <w:rFonts w:ascii="Times New Roman" w:hAnsi="Times New Roman" w:cs="Times New Roman"/>
                <w:b/>
                <w:bCs/>
                <w:sz w:val="21"/>
                <w:szCs w:val="21"/>
                <w:lang w:eastAsia="zh-CN"/>
              </w:rPr>
              <w:t>指标</w:t>
            </w:r>
          </w:p>
        </w:tc>
        <w:tc>
          <w:tcPr>
            <w:tcW w:w="6513" w:type="dxa"/>
            <w:gridSpan w:val="4"/>
            <w:vAlign w:val="center"/>
          </w:tcPr>
          <w:p w14:paraId="75E71921" w14:textId="77777777" w:rsidR="00DA2DBA" w:rsidRPr="00AB7936" w:rsidRDefault="00000000">
            <w:pPr>
              <w:pStyle w:val="TableText"/>
              <w:jc w:val="center"/>
              <w:rPr>
                <w:rFonts w:ascii="Times New Roman" w:hAnsi="Times New Roman" w:cs="Times New Roman"/>
                <w:b/>
                <w:bCs/>
                <w:sz w:val="21"/>
                <w:szCs w:val="21"/>
                <w:lang w:eastAsia="zh-CN"/>
              </w:rPr>
            </w:pPr>
            <w:r w:rsidRPr="00AB7936">
              <w:rPr>
                <w:rFonts w:ascii="Times New Roman" w:hAnsi="Times New Roman" w:cs="Times New Roman"/>
                <w:b/>
                <w:bCs/>
                <w:sz w:val="21"/>
                <w:szCs w:val="21"/>
                <w:lang w:eastAsia="zh-CN"/>
              </w:rPr>
              <w:t>等级</w:t>
            </w:r>
          </w:p>
        </w:tc>
      </w:tr>
      <w:tr w:rsidR="00DA2DBA" w14:paraId="4E43FE26" w14:textId="77777777">
        <w:trPr>
          <w:trHeight w:val="461"/>
          <w:jc w:val="center"/>
        </w:trPr>
        <w:tc>
          <w:tcPr>
            <w:tcW w:w="1826" w:type="dxa"/>
            <w:vMerge/>
            <w:tcBorders>
              <w:top w:val="nil"/>
            </w:tcBorders>
            <w:vAlign w:val="center"/>
          </w:tcPr>
          <w:p w14:paraId="18E20078" w14:textId="77777777" w:rsidR="00DA2DBA" w:rsidRPr="00AB7936" w:rsidRDefault="00DA2DBA">
            <w:pPr>
              <w:rPr>
                <w:b/>
                <w:bCs/>
                <w:szCs w:val="21"/>
              </w:rPr>
            </w:pPr>
          </w:p>
        </w:tc>
        <w:tc>
          <w:tcPr>
            <w:tcW w:w="1088" w:type="dxa"/>
            <w:vAlign w:val="center"/>
          </w:tcPr>
          <w:p w14:paraId="4659BB96" w14:textId="77777777" w:rsidR="00DA2DBA" w:rsidRPr="00AB7936" w:rsidRDefault="00000000">
            <w:pPr>
              <w:pStyle w:val="TableText"/>
              <w:jc w:val="center"/>
              <w:rPr>
                <w:rFonts w:ascii="Times New Roman" w:hAnsi="Times New Roman" w:cs="Times New Roman"/>
                <w:b/>
                <w:bCs/>
                <w:sz w:val="21"/>
                <w:szCs w:val="21"/>
                <w:lang w:eastAsia="zh-CN"/>
              </w:rPr>
            </w:pPr>
            <w:r w:rsidRPr="00AB7936">
              <w:rPr>
                <w:rFonts w:ascii="Times New Roman" w:hAnsi="Times New Roman" w:cs="Times New Roman"/>
                <w:b/>
                <w:bCs/>
                <w:sz w:val="21"/>
                <w:szCs w:val="21"/>
                <w:lang w:eastAsia="zh-CN"/>
              </w:rPr>
              <w:t>一级</w:t>
            </w:r>
          </w:p>
        </w:tc>
        <w:tc>
          <w:tcPr>
            <w:tcW w:w="1850" w:type="dxa"/>
            <w:vAlign w:val="center"/>
          </w:tcPr>
          <w:p w14:paraId="3BCBE54C" w14:textId="77777777" w:rsidR="00DA2DBA" w:rsidRPr="00AB7936" w:rsidRDefault="00000000">
            <w:pPr>
              <w:pStyle w:val="TableText"/>
              <w:jc w:val="center"/>
              <w:rPr>
                <w:rFonts w:ascii="Times New Roman" w:hAnsi="Times New Roman" w:cs="Times New Roman"/>
                <w:b/>
                <w:bCs/>
                <w:sz w:val="21"/>
                <w:szCs w:val="21"/>
                <w:lang w:eastAsia="zh-CN"/>
              </w:rPr>
            </w:pPr>
            <w:r w:rsidRPr="00AB7936">
              <w:rPr>
                <w:rFonts w:ascii="Times New Roman" w:hAnsi="Times New Roman" w:cs="Times New Roman"/>
                <w:b/>
                <w:bCs/>
                <w:sz w:val="21"/>
                <w:szCs w:val="21"/>
                <w:lang w:eastAsia="zh-CN"/>
              </w:rPr>
              <w:t>二级</w:t>
            </w:r>
          </w:p>
        </w:tc>
        <w:tc>
          <w:tcPr>
            <w:tcW w:w="1839" w:type="dxa"/>
            <w:vAlign w:val="center"/>
          </w:tcPr>
          <w:p w14:paraId="125FF746" w14:textId="77777777" w:rsidR="00DA2DBA" w:rsidRPr="00AB7936" w:rsidRDefault="00000000">
            <w:pPr>
              <w:pStyle w:val="TableText"/>
              <w:jc w:val="center"/>
              <w:rPr>
                <w:rFonts w:ascii="Times New Roman" w:hAnsi="Times New Roman" w:cs="Times New Roman"/>
                <w:b/>
                <w:bCs/>
                <w:sz w:val="21"/>
                <w:szCs w:val="21"/>
                <w:lang w:eastAsia="zh-CN"/>
              </w:rPr>
            </w:pPr>
            <w:r w:rsidRPr="00AB7936">
              <w:rPr>
                <w:rFonts w:ascii="Times New Roman" w:hAnsi="Times New Roman" w:cs="Times New Roman"/>
                <w:b/>
                <w:bCs/>
                <w:sz w:val="21"/>
                <w:szCs w:val="21"/>
                <w:lang w:eastAsia="zh-CN"/>
              </w:rPr>
              <w:t>三级</w:t>
            </w:r>
          </w:p>
        </w:tc>
        <w:tc>
          <w:tcPr>
            <w:tcW w:w="1736" w:type="dxa"/>
            <w:vAlign w:val="center"/>
          </w:tcPr>
          <w:p w14:paraId="6D4D2777" w14:textId="77777777" w:rsidR="00DA2DBA" w:rsidRPr="00AB7936" w:rsidRDefault="00000000">
            <w:pPr>
              <w:pStyle w:val="TableText"/>
              <w:jc w:val="center"/>
              <w:rPr>
                <w:rFonts w:ascii="Times New Roman" w:hAnsi="Times New Roman" w:cs="Times New Roman"/>
                <w:b/>
                <w:bCs/>
                <w:sz w:val="21"/>
                <w:szCs w:val="21"/>
                <w:lang w:eastAsia="zh-CN"/>
              </w:rPr>
            </w:pPr>
            <w:r w:rsidRPr="00AB7936">
              <w:rPr>
                <w:rFonts w:ascii="Times New Roman" w:hAnsi="Times New Roman" w:cs="Times New Roman"/>
                <w:b/>
                <w:bCs/>
                <w:sz w:val="21"/>
                <w:szCs w:val="21"/>
                <w:lang w:eastAsia="zh-CN"/>
              </w:rPr>
              <w:t>四级</w:t>
            </w:r>
          </w:p>
        </w:tc>
      </w:tr>
      <w:tr w:rsidR="00DA2DBA" w14:paraId="730E92C0" w14:textId="77777777" w:rsidTr="00132B83">
        <w:trPr>
          <w:trHeight w:val="461"/>
          <w:jc w:val="center"/>
        </w:trPr>
        <w:tc>
          <w:tcPr>
            <w:tcW w:w="1826" w:type="dxa"/>
            <w:vAlign w:val="center"/>
          </w:tcPr>
          <w:p w14:paraId="294C15B3" w14:textId="77777777" w:rsidR="00DA2DBA" w:rsidRDefault="00000000" w:rsidP="00132B83">
            <w:pPr>
              <w:spacing w:line="180" w:lineRule="auto"/>
              <w:ind w:left="108"/>
              <w:rPr>
                <w:szCs w:val="21"/>
              </w:rPr>
            </w:pPr>
            <w:r>
              <w:rPr>
                <w:szCs w:val="21"/>
              </w:rPr>
              <w:t>pH</w:t>
            </w:r>
          </w:p>
        </w:tc>
        <w:tc>
          <w:tcPr>
            <w:tcW w:w="1088" w:type="dxa"/>
            <w:vAlign w:val="center"/>
          </w:tcPr>
          <w:p w14:paraId="188C36B6" w14:textId="77777777" w:rsidR="00DA2DBA" w:rsidRDefault="00000000">
            <w:pPr>
              <w:spacing w:before="226" w:line="184" w:lineRule="auto"/>
              <w:ind w:left="421"/>
              <w:rPr>
                <w:szCs w:val="21"/>
              </w:rPr>
            </w:pPr>
            <w:r>
              <w:rPr>
                <w:spacing w:val="-1"/>
                <w:szCs w:val="21"/>
              </w:rPr>
              <w:t>≤4.2</w:t>
            </w:r>
          </w:p>
        </w:tc>
        <w:tc>
          <w:tcPr>
            <w:tcW w:w="1850" w:type="dxa"/>
            <w:vAlign w:val="center"/>
          </w:tcPr>
          <w:p w14:paraId="7ADAC538" w14:textId="77777777" w:rsidR="00DA2DBA" w:rsidRDefault="00000000">
            <w:pPr>
              <w:pStyle w:val="TableText"/>
              <w:jc w:val="center"/>
              <w:rPr>
                <w:rFonts w:ascii="Times New Roman" w:hAnsi="Times New Roman" w:cs="Times New Roman"/>
                <w:sz w:val="21"/>
                <w:szCs w:val="21"/>
                <w:lang w:eastAsia="zh-CN"/>
              </w:rPr>
            </w:pPr>
            <w:r>
              <w:rPr>
                <w:rFonts w:ascii="Times New Roman" w:hAnsi="Times New Roman" w:cs="Times New Roman"/>
                <w:sz w:val="21"/>
                <w:szCs w:val="21"/>
                <w:lang w:eastAsia="zh-CN"/>
              </w:rPr>
              <w:t>&gt;4.2</w:t>
            </w:r>
            <w:r>
              <w:rPr>
                <w:rFonts w:ascii="Times New Roman" w:hAnsi="Times New Roman" w:cs="Times New Roman"/>
                <w:spacing w:val="-26"/>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≤4.5</w:t>
            </w:r>
          </w:p>
        </w:tc>
        <w:tc>
          <w:tcPr>
            <w:tcW w:w="1839" w:type="dxa"/>
            <w:vAlign w:val="center"/>
          </w:tcPr>
          <w:p w14:paraId="1F81367C" w14:textId="77777777" w:rsidR="00DA2DBA" w:rsidRDefault="00000000">
            <w:pPr>
              <w:pStyle w:val="TableText"/>
              <w:jc w:val="center"/>
              <w:rPr>
                <w:rFonts w:ascii="Times New Roman" w:hAnsi="Times New Roman" w:cs="Times New Roman"/>
                <w:sz w:val="21"/>
                <w:szCs w:val="21"/>
                <w:lang w:eastAsia="zh-CN"/>
              </w:rPr>
            </w:pPr>
            <w:r>
              <w:rPr>
                <w:rFonts w:ascii="Times New Roman" w:hAnsi="Times New Roman" w:cs="Times New Roman"/>
                <w:sz w:val="21"/>
                <w:szCs w:val="21"/>
                <w:lang w:eastAsia="zh-CN"/>
              </w:rPr>
              <w:t>&gt;4.5</w:t>
            </w:r>
            <w:r>
              <w:rPr>
                <w:rFonts w:ascii="Times New Roman" w:hAnsi="Times New Roman" w:cs="Times New Roman"/>
                <w:spacing w:val="-26"/>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w:t>
            </w:r>
            <w:r>
              <w:rPr>
                <w:rFonts w:ascii="Times New Roman" w:hAnsi="Times New Roman" w:cs="Times New Roman" w:hint="eastAsia"/>
                <w:sz w:val="21"/>
                <w:szCs w:val="21"/>
                <w:lang w:eastAsia="zh-CN"/>
              </w:rPr>
              <w:t>5.0</w:t>
            </w:r>
          </w:p>
        </w:tc>
        <w:tc>
          <w:tcPr>
            <w:tcW w:w="1736" w:type="dxa"/>
            <w:vAlign w:val="center"/>
          </w:tcPr>
          <w:p w14:paraId="5BB1F4A6" w14:textId="77777777" w:rsidR="00DA2DBA" w:rsidRDefault="00000000">
            <w:pPr>
              <w:pStyle w:val="TableText"/>
              <w:jc w:val="center"/>
              <w:rPr>
                <w:rFonts w:ascii="Times New Roman" w:hAnsi="Times New Roman" w:cs="Times New Roman"/>
                <w:sz w:val="21"/>
                <w:szCs w:val="21"/>
                <w:lang w:eastAsia="zh-CN"/>
              </w:rPr>
            </w:pPr>
            <w:r>
              <w:rPr>
                <w:rFonts w:ascii="Times New Roman" w:hAnsi="Times New Roman" w:cs="Times New Roman"/>
                <w:sz w:val="21"/>
                <w:szCs w:val="21"/>
                <w:lang w:eastAsia="zh-CN"/>
              </w:rPr>
              <w:t>&gt;</w:t>
            </w:r>
            <w:r>
              <w:rPr>
                <w:rFonts w:ascii="Times New Roman" w:hAnsi="Times New Roman" w:cs="Times New Roman" w:hint="eastAsia"/>
                <w:sz w:val="21"/>
                <w:szCs w:val="21"/>
                <w:lang w:eastAsia="zh-CN"/>
              </w:rPr>
              <w:t>5.0</w:t>
            </w:r>
          </w:p>
        </w:tc>
      </w:tr>
      <w:tr w:rsidR="00DA2DBA" w14:paraId="491E2F04" w14:textId="77777777" w:rsidTr="00132B83">
        <w:trPr>
          <w:trHeight w:val="461"/>
          <w:jc w:val="center"/>
        </w:trPr>
        <w:tc>
          <w:tcPr>
            <w:tcW w:w="1826" w:type="dxa"/>
            <w:vAlign w:val="center"/>
          </w:tcPr>
          <w:p w14:paraId="10124699" w14:textId="77777777" w:rsidR="00DA2DBA" w:rsidRDefault="00000000" w:rsidP="00132B83">
            <w:pPr>
              <w:pStyle w:val="TableText"/>
              <w:rPr>
                <w:rFonts w:ascii="Times New Roman" w:hAnsi="Times New Roman" w:cs="Times New Roman"/>
                <w:sz w:val="21"/>
                <w:szCs w:val="21"/>
                <w:lang w:eastAsia="zh-CN"/>
              </w:rPr>
            </w:pPr>
            <w:proofErr w:type="gramStart"/>
            <w:r>
              <w:rPr>
                <w:rFonts w:ascii="Times New Roman" w:hAnsi="Times New Roman" w:cs="Times New Roman"/>
                <w:sz w:val="21"/>
                <w:szCs w:val="21"/>
                <w:lang w:eastAsia="zh-CN"/>
              </w:rPr>
              <w:t>氨态氮</w:t>
            </w:r>
            <w:proofErr w:type="gramEnd"/>
            <w:r>
              <w:rPr>
                <w:rFonts w:ascii="Times New Roman" w:hAnsi="Times New Roman" w:cs="Times New Roman"/>
                <w:sz w:val="21"/>
                <w:szCs w:val="21"/>
                <w:lang w:eastAsia="zh-CN"/>
              </w:rPr>
              <w:t>/</w:t>
            </w:r>
            <w:r>
              <w:rPr>
                <w:rFonts w:ascii="Times New Roman" w:hAnsi="Times New Roman" w:cs="Times New Roman"/>
                <w:sz w:val="21"/>
                <w:szCs w:val="21"/>
                <w:lang w:eastAsia="zh-CN"/>
              </w:rPr>
              <w:t>总氮</w:t>
            </w:r>
          </w:p>
        </w:tc>
        <w:tc>
          <w:tcPr>
            <w:tcW w:w="1088" w:type="dxa"/>
            <w:vAlign w:val="center"/>
          </w:tcPr>
          <w:p w14:paraId="4F041DD4" w14:textId="77777777" w:rsidR="00DA2DBA" w:rsidRDefault="00000000">
            <w:pPr>
              <w:spacing w:before="232" w:line="179" w:lineRule="auto"/>
              <w:ind w:left="512"/>
              <w:rPr>
                <w:szCs w:val="21"/>
              </w:rPr>
            </w:pPr>
            <w:r>
              <w:rPr>
                <w:spacing w:val="-2"/>
                <w:szCs w:val="21"/>
              </w:rPr>
              <w:t>≤5</w:t>
            </w:r>
          </w:p>
        </w:tc>
        <w:tc>
          <w:tcPr>
            <w:tcW w:w="1850" w:type="dxa"/>
            <w:vAlign w:val="center"/>
          </w:tcPr>
          <w:p w14:paraId="27991364" w14:textId="77777777" w:rsidR="00DA2DBA" w:rsidRDefault="00000000">
            <w:pPr>
              <w:pStyle w:val="TableText"/>
              <w:jc w:val="center"/>
              <w:rPr>
                <w:rFonts w:ascii="Times New Roman" w:hAnsi="Times New Roman" w:cs="Times New Roman"/>
                <w:sz w:val="21"/>
                <w:szCs w:val="21"/>
                <w:lang w:eastAsia="zh-CN"/>
              </w:rPr>
            </w:pPr>
            <w:r>
              <w:rPr>
                <w:rFonts w:ascii="Times New Roman" w:hAnsi="Times New Roman" w:cs="Times New Roman"/>
                <w:sz w:val="21"/>
                <w:szCs w:val="21"/>
                <w:lang w:eastAsia="zh-CN"/>
              </w:rPr>
              <w:t>&gt;5</w:t>
            </w:r>
            <w:r>
              <w:rPr>
                <w:rFonts w:ascii="Times New Roman" w:hAnsi="Times New Roman" w:cs="Times New Roman"/>
                <w:spacing w:val="-31"/>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≤10</w:t>
            </w:r>
          </w:p>
        </w:tc>
        <w:tc>
          <w:tcPr>
            <w:tcW w:w="1839" w:type="dxa"/>
            <w:vAlign w:val="center"/>
          </w:tcPr>
          <w:p w14:paraId="5CAC5EA7" w14:textId="77777777" w:rsidR="00DA2DBA" w:rsidRDefault="00000000">
            <w:pPr>
              <w:pStyle w:val="TableText"/>
              <w:jc w:val="center"/>
              <w:rPr>
                <w:rFonts w:ascii="Times New Roman" w:hAnsi="Times New Roman" w:cs="Times New Roman"/>
                <w:sz w:val="21"/>
                <w:szCs w:val="21"/>
                <w:lang w:eastAsia="zh-CN"/>
              </w:rPr>
            </w:pPr>
            <w:r>
              <w:rPr>
                <w:rFonts w:ascii="Times New Roman" w:hAnsi="Times New Roman" w:cs="Times New Roman"/>
                <w:sz w:val="21"/>
                <w:szCs w:val="21"/>
                <w:lang w:eastAsia="zh-CN"/>
              </w:rPr>
              <w:t>&gt;10</w:t>
            </w:r>
            <w:r>
              <w:rPr>
                <w:rFonts w:ascii="Times New Roman" w:hAnsi="Times New Roman" w:cs="Times New Roman"/>
                <w:spacing w:val="-28"/>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≤15</w:t>
            </w:r>
          </w:p>
        </w:tc>
        <w:tc>
          <w:tcPr>
            <w:tcW w:w="1736" w:type="dxa"/>
            <w:vAlign w:val="center"/>
          </w:tcPr>
          <w:p w14:paraId="34667B52" w14:textId="77777777" w:rsidR="00DA2DBA" w:rsidRDefault="00000000">
            <w:pPr>
              <w:pStyle w:val="TableText"/>
              <w:jc w:val="center"/>
              <w:rPr>
                <w:rFonts w:ascii="Times New Roman" w:hAnsi="Times New Roman" w:cs="Times New Roman"/>
                <w:sz w:val="21"/>
                <w:szCs w:val="21"/>
                <w:lang w:eastAsia="zh-CN"/>
              </w:rPr>
            </w:pPr>
            <w:r>
              <w:rPr>
                <w:rFonts w:ascii="Times New Roman" w:hAnsi="Times New Roman" w:cs="Times New Roman"/>
                <w:sz w:val="21"/>
                <w:szCs w:val="21"/>
                <w:lang w:eastAsia="zh-CN"/>
              </w:rPr>
              <w:t>&gt;15</w:t>
            </w:r>
          </w:p>
        </w:tc>
      </w:tr>
      <w:tr w:rsidR="00DA2DBA" w14:paraId="2B0B5303" w14:textId="77777777" w:rsidTr="00132B83">
        <w:trPr>
          <w:trHeight w:val="462"/>
          <w:jc w:val="center"/>
        </w:trPr>
        <w:tc>
          <w:tcPr>
            <w:tcW w:w="1826" w:type="dxa"/>
            <w:vAlign w:val="center"/>
          </w:tcPr>
          <w:p w14:paraId="0EB90F1B" w14:textId="77777777" w:rsidR="00DA2DBA" w:rsidRDefault="00000000" w:rsidP="00132B83">
            <w:pPr>
              <w:pStyle w:val="TableText"/>
              <w:rPr>
                <w:rFonts w:ascii="Times New Roman" w:hAnsi="Times New Roman" w:cs="Times New Roman"/>
                <w:sz w:val="21"/>
                <w:szCs w:val="21"/>
                <w:lang w:eastAsia="zh-CN"/>
              </w:rPr>
            </w:pPr>
            <w:r>
              <w:rPr>
                <w:rFonts w:ascii="Times New Roman" w:hAnsi="Times New Roman" w:cs="Times New Roman"/>
                <w:sz w:val="21"/>
                <w:szCs w:val="21"/>
                <w:lang w:eastAsia="zh-CN"/>
              </w:rPr>
              <w:t>乙酸（</w:t>
            </w:r>
            <w:r>
              <w:rPr>
                <w:rFonts w:ascii="Times New Roman" w:hAnsi="Times New Roman" w:cs="Times New Roman"/>
                <w:sz w:val="21"/>
                <w:szCs w:val="21"/>
                <w:lang w:eastAsia="zh-CN"/>
              </w:rPr>
              <w:t>%</w:t>
            </w:r>
            <w:r>
              <w:rPr>
                <w:rFonts w:ascii="Times New Roman" w:hAnsi="Times New Roman" w:cs="Times New Roman"/>
                <w:sz w:val="21"/>
                <w:szCs w:val="21"/>
                <w:lang w:eastAsia="zh-CN"/>
              </w:rPr>
              <w:t>）</w:t>
            </w:r>
          </w:p>
        </w:tc>
        <w:tc>
          <w:tcPr>
            <w:tcW w:w="1088" w:type="dxa"/>
            <w:vAlign w:val="center"/>
          </w:tcPr>
          <w:p w14:paraId="6D40A8A6" w14:textId="77777777" w:rsidR="00DA2DBA" w:rsidRDefault="00000000">
            <w:pPr>
              <w:spacing w:before="229" w:line="182" w:lineRule="auto"/>
              <w:ind w:left="452"/>
              <w:rPr>
                <w:szCs w:val="21"/>
              </w:rPr>
            </w:pPr>
            <w:r>
              <w:rPr>
                <w:spacing w:val="-2"/>
                <w:szCs w:val="21"/>
              </w:rPr>
              <w:t>≤20</w:t>
            </w:r>
          </w:p>
        </w:tc>
        <w:tc>
          <w:tcPr>
            <w:tcW w:w="1850" w:type="dxa"/>
            <w:vAlign w:val="center"/>
          </w:tcPr>
          <w:p w14:paraId="7107CA3D" w14:textId="77777777" w:rsidR="00DA2DBA" w:rsidRDefault="00000000">
            <w:pPr>
              <w:pStyle w:val="TableText"/>
              <w:jc w:val="center"/>
              <w:rPr>
                <w:rFonts w:ascii="Times New Roman" w:hAnsi="Times New Roman" w:cs="Times New Roman"/>
                <w:sz w:val="21"/>
                <w:szCs w:val="21"/>
                <w:lang w:eastAsia="zh-CN"/>
              </w:rPr>
            </w:pPr>
            <w:r>
              <w:rPr>
                <w:rFonts w:ascii="Times New Roman" w:hAnsi="Times New Roman" w:cs="Times New Roman"/>
                <w:sz w:val="21"/>
                <w:szCs w:val="21"/>
                <w:lang w:eastAsia="zh-CN"/>
              </w:rPr>
              <w:t>&gt;20</w:t>
            </w:r>
            <w:r>
              <w:rPr>
                <w:rFonts w:ascii="Times New Roman" w:hAnsi="Times New Roman" w:cs="Times New Roman"/>
                <w:spacing w:val="-28"/>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≤25</w:t>
            </w:r>
          </w:p>
        </w:tc>
        <w:tc>
          <w:tcPr>
            <w:tcW w:w="1839" w:type="dxa"/>
            <w:vAlign w:val="center"/>
          </w:tcPr>
          <w:p w14:paraId="1E692D9D" w14:textId="77777777" w:rsidR="00DA2DBA" w:rsidRDefault="00000000">
            <w:pPr>
              <w:pStyle w:val="TableText"/>
              <w:jc w:val="center"/>
              <w:rPr>
                <w:rFonts w:ascii="Times New Roman" w:hAnsi="Times New Roman" w:cs="Times New Roman"/>
                <w:sz w:val="21"/>
                <w:szCs w:val="21"/>
                <w:lang w:eastAsia="zh-CN"/>
              </w:rPr>
            </w:pPr>
            <w:r>
              <w:rPr>
                <w:rFonts w:ascii="Times New Roman" w:hAnsi="Times New Roman" w:cs="Times New Roman"/>
                <w:sz w:val="21"/>
                <w:szCs w:val="21"/>
                <w:lang w:eastAsia="zh-CN"/>
              </w:rPr>
              <w:t>&gt;25</w:t>
            </w:r>
            <w:r>
              <w:rPr>
                <w:rFonts w:ascii="Times New Roman" w:hAnsi="Times New Roman" w:cs="Times New Roman"/>
                <w:spacing w:val="-28"/>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≤30</w:t>
            </w:r>
          </w:p>
        </w:tc>
        <w:tc>
          <w:tcPr>
            <w:tcW w:w="1736" w:type="dxa"/>
            <w:vAlign w:val="center"/>
          </w:tcPr>
          <w:p w14:paraId="3299E34B" w14:textId="77777777" w:rsidR="00DA2DBA" w:rsidRDefault="00000000">
            <w:pPr>
              <w:pStyle w:val="TableText"/>
              <w:jc w:val="center"/>
              <w:rPr>
                <w:rFonts w:ascii="Times New Roman" w:hAnsi="Times New Roman" w:cs="Times New Roman"/>
                <w:sz w:val="21"/>
                <w:szCs w:val="21"/>
                <w:lang w:eastAsia="zh-CN"/>
              </w:rPr>
            </w:pPr>
            <w:r>
              <w:rPr>
                <w:rFonts w:ascii="Times New Roman" w:hAnsi="Times New Roman" w:cs="Times New Roman"/>
                <w:sz w:val="21"/>
                <w:szCs w:val="21"/>
                <w:lang w:eastAsia="zh-CN"/>
              </w:rPr>
              <w:t>&gt;3</w:t>
            </w:r>
            <w:r>
              <w:rPr>
                <w:rFonts w:ascii="Times New Roman" w:hAnsi="Times New Roman" w:cs="Times New Roman" w:hint="eastAsia"/>
                <w:sz w:val="21"/>
                <w:szCs w:val="21"/>
                <w:lang w:eastAsia="zh-CN"/>
              </w:rPr>
              <w:t>0</w:t>
            </w:r>
            <w:r>
              <w:rPr>
                <w:rFonts w:ascii="Times New Roman" w:hAnsi="Times New Roman" w:cs="Times New Roman"/>
                <w:spacing w:val="-28"/>
                <w:sz w:val="21"/>
                <w:szCs w:val="21"/>
                <w:lang w:eastAsia="zh-CN"/>
              </w:rPr>
              <w:t xml:space="preserve"> </w:t>
            </w:r>
          </w:p>
        </w:tc>
      </w:tr>
      <w:tr w:rsidR="00DA2DBA" w14:paraId="15DAED00" w14:textId="77777777">
        <w:trPr>
          <w:trHeight w:val="413"/>
          <w:jc w:val="center"/>
        </w:trPr>
        <w:tc>
          <w:tcPr>
            <w:tcW w:w="1826" w:type="dxa"/>
            <w:vAlign w:val="center"/>
          </w:tcPr>
          <w:p w14:paraId="69D91C12" w14:textId="77777777" w:rsidR="00DA2DBA" w:rsidRDefault="00000000">
            <w:pPr>
              <w:pStyle w:val="TableText"/>
              <w:rPr>
                <w:rFonts w:ascii="Times New Roman" w:hAnsi="Times New Roman" w:cs="Times New Roman"/>
                <w:sz w:val="21"/>
                <w:szCs w:val="21"/>
                <w:lang w:eastAsia="zh-CN"/>
              </w:rPr>
            </w:pPr>
            <w:r>
              <w:rPr>
                <w:rFonts w:ascii="Times New Roman" w:hAnsi="Times New Roman" w:cs="Times New Roman"/>
                <w:sz w:val="21"/>
                <w:szCs w:val="21"/>
                <w:lang w:eastAsia="zh-CN"/>
              </w:rPr>
              <w:t>丁酸（</w:t>
            </w:r>
            <w:r>
              <w:rPr>
                <w:rFonts w:ascii="Times New Roman" w:hAnsi="Times New Roman" w:cs="Times New Roman"/>
                <w:sz w:val="21"/>
                <w:szCs w:val="21"/>
                <w:lang w:eastAsia="zh-CN"/>
              </w:rPr>
              <w:t>%</w:t>
            </w:r>
            <w:r>
              <w:rPr>
                <w:rFonts w:ascii="Times New Roman" w:hAnsi="Times New Roman" w:cs="Times New Roman"/>
                <w:sz w:val="21"/>
                <w:szCs w:val="21"/>
                <w:lang w:eastAsia="zh-CN"/>
              </w:rPr>
              <w:t>）</w:t>
            </w:r>
          </w:p>
        </w:tc>
        <w:tc>
          <w:tcPr>
            <w:tcW w:w="1088" w:type="dxa"/>
            <w:vAlign w:val="center"/>
          </w:tcPr>
          <w:p w14:paraId="0A2D3973" w14:textId="77777777" w:rsidR="00DA2DBA" w:rsidRDefault="00000000">
            <w:pPr>
              <w:spacing w:before="229" w:line="160" w:lineRule="exact"/>
              <w:ind w:left="582"/>
              <w:rPr>
                <w:szCs w:val="21"/>
              </w:rPr>
            </w:pPr>
            <w:r>
              <w:rPr>
                <w:position w:val="-3"/>
                <w:szCs w:val="21"/>
              </w:rPr>
              <w:t>0</w:t>
            </w:r>
          </w:p>
        </w:tc>
        <w:tc>
          <w:tcPr>
            <w:tcW w:w="1850" w:type="dxa"/>
            <w:vAlign w:val="center"/>
          </w:tcPr>
          <w:p w14:paraId="3551BCF0" w14:textId="77777777" w:rsidR="00DA2DBA" w:rsidRDefault="00000000">
            <w:pPr>
              <w:spacing w:before="232" w:line="157" w:lineRule="exact"/>
              <w:jc w:val="center"/>
              <w:rPr>
                <w:szCs w:val="21"/>
              </w:rPr>
            </w:pPr>
            <w:r>
              <w:rPr>
                <w:spacing w:val="-2"/>
                <w:position w:val="-2"/>
                <w:szCs w:val="21"/>
              </w:rPr>
              <w:t>≤5</w:t>
            </w:r>
          </w:p>
        </w:tc>
        <w:tc>
          <w:tcPr>
            <w:tcW w:w="1839" w:type="dxa"/>
            <w:vAlign w:val="center"/>
          </w:tcPr>
          <w:p w14:paraId="3FF10565" w14:textId="77777777" w:rsidR="00DA2DBA" w:rsidRDefault="00000000">
            <w:pPr>
              <w:pStyle w:val="TableText"/>
              <w:jc w:val="center"/>
              <w:rPr>
                <w:rFonts w:ascii="Times New Roman" w:hAnsi="Times New Roman" w:cs="Times New Roman"/>
                <w:sz w:val="21"/>
                <w:szCs w:val="21"/>
                <w:lang w:eastAsia="zh-CN"/>
              </w:rPr>
            </w:pPr>
            <w:r>
              <w:rPr>
                <w:rFonts w:ascii="Times New Roman" w:hAnsi="Times New Roman" w:cs="Times New Roman"/>
                <w:sz w:val="21"/>
                <w:szCs w:val="21"/>
                <w:lang w:eastAsia="zh-CN"/>
              </w:rPr>
              <w:t>&gt;5</w:t>
            </w:r>
            <w:r>
              <w:rPr>
                <w:rFonts w:ascii="Times New Roman" w:hAnsi="Times New Roman" w:cs="Times New Roman"/>
                <w:spacing w:val="-31"/>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≤10</w:t>
            </w:r>
          </w:p>
        </w:tc>
        <w:tc>
          <w:tcPr>
            <w:tcW w:w="1736" w:type="dxa"/>
            <w:vAlign w:val="center"/>
          </w:tcPr>
          <w:p w14:paraId="4D6DBD63" w14:textId="77777777" w:rsidR="00DA2DBA" w:rsidRDefault="00000000">
            <w:pPr>
              <w:pStyle w:val="TableText"/>
              <w:jc w:val="center"/>
              <w:rPr>
                <w:rFonts w:ascii="Times New Roman" w:hAnsi="Times New Roman" w:cs="Times New Roman"/>
                <w:sz w:val="21"/>
                <w:szCs w:val="21"/>
                <w:lang w:eastAsia="zh-CN"/>
              </w:rPr>
            </w:pPr>
            <w:r>
              <w:rPr>
                <w:rFonts w:ascii="Times New Roman" w:hAnsi="Times New Roman" w:cs="Times New Roman"/>
                <w:sz w:val="21"/>
                <w:szCs w:val="21"/>
                <w:lang w:eastAsia="zh-CN"/>
              </w:rPr>
              <w:t>&gt;10</w:t>
            </w:r>
          </w:p>
        </w:tc>
      </w:tr>
      <w:tr w:rsidR="00DA2DBA" w14:paraId="740A3B4F" w14:textId="77777777">
        <w:trPr>
          <w:trHeight w:val="462"/>
          <w:jc w:val="center"/>
        </w:trPr>
        <w:tc>
          <w:tcPr>
            <w:tcW w:w="1826" w:type="dxa"/>
            <w:vAlign w:val="center"/>
          </w:tcPr>
          <w:p w14:paraId="4AB61D3A" w14:textId="77777777" w:rsidR="00DA2DBA" w:rsidRDefault="00000000">
            <w:pPr>
              <w:pStyle w:val="TableText"/>
              <w:rPr>
                <w:rFonts w:ascii="Times New Roman" w:hAnsi="Times New Roman" w:cs="Times New Roman"/>
                <w:sz w:val="21"/>
                <w:szCs w:val="21"/>
                <w:lang w:eastAsia="zh-CN"/>
              </w:rPr>
            </w:pPr>
            <w:r>
              <w:rPr>
                <w:rFonts w:ascii="Times New Roman" w:hAnsi="Times New Roman" w:cs="Times New Roman"/>
                <w:sz w:val="21"/>
                <w:szCs w:val="21"/>
                <w:lang w:eastAsia="zh-CN"/>
              </w:rPr>
              <w:t>粗蛋白（</w:t>
            </w:r>
            <w:r>
              <w:rPr>
                <w:rFonts w:ascii="Times New Roman" w:hAnsi="Times New Roman" w:cs="Times New Roman"/>
                <w:sz w:val="21"/>
                <w:szCs w:val="21"/>
                <w:lang w:eastAsia="zh-CN"/>
              </w:rPr>
              <w:t>%</w:t>
            </w:r>
            <w:r>
              <w:rPr>
                <w:rFonts w:ascii="Times New Roman" w:hAnsi="Times New Roman" w:cs="Times New Roman"/>
                <w:sz w:val="21"/>
                <w:szCs w:val="21"/>
                <w:lang w:eastAsia="zh-CN"/>
              </w:rPr>
              <w:t>）</w:t>
            </w:r>
          </w:p>
        </w:tc>
        <w:tc>
          <w:tcPr>
            <w:tcW w:w="1088" w:type="dxa"/>
            <w:vAlign w:val="center"/>
          </w:tcPr>
          <w:p w14:paraId="1DA1FB3C" w14:textId="77777777" w:rsidR="00DA2DBA" w:rsidRDefault="00000000">
            <w:pPr>
              <w:spacing w:before="228" w:line="183" w:lineRule="auto"/>
              <w:ind w:left="512"/>
              <w:rPr>
                <w:szCs w:val="21"/>
              </w:rPr>
            </w:pPr>
            <w:r>
              <w:rPr>
                <w:spacing w:val="-2"/>
                <w:szCs w:val="21"/>
              </w:rPr>
              <w:t>≥9</w:t>
            </w:r>
          </w:p>
        </w:tc>
        <w:tc>
          <w:tcPr>
            <w:tcW w:w="1850" w:type="dxa"/>
            <w:vAlign w:val="center"/>
          </w:tcPr>
          <w:p w14:paraId="42548F64" w14:textId="77777777" w:rsidR="00DA2DBA" w:rsidRDefault="00000000">
            <w:pPr>
              <w:pStyle w:val="TableText"/>
              <w:jc w:val="center"/>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21"/>
                <w:szCs w:val="21"/>
                <w:lang w:eastAsia="zh-CN"/>
              </w:rPr>
              <w:t>9</w:t>
            </w:r>
            <w:r>
              <w:rPr>
                <w:rFonts w:ascii="Times New Roman" w:hAnsi="Times New Roman" w:cs="Times New Roman"/>
                <w:spacing w:val="-28"/>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≥8</w:t>
            </w:r>
          </w:p>
        </w:tc>
        <w:tc>
          <w:tcPr>
            <w:tcW w:w="1839" w:type="dxa"/>
            <w:vAlign w:val="center"/>
          </w:tcPr>
          <w:p w14:paraId="2629C748" w14:textId="77777777" w:rsidR="00DA2DBA" w:rsidRDefault="00000000">
            <w:pPr>
              <w:pStyle w:val="TableText"/>
              <w:jc w:val="center"/>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21"/>
                <w:szCs w:val="21"/>
                <w:lang w:eastAsia="zh-CN"/>
              </w:rPr>
              <w:t>8</w:t>
            </w:r>
            <w:r>
              <w:rPr>
                <w:rFonts w:ascii="Times New Roman" w:hAnsi="Times New Roman" w:cs="Times New Roman"/>
                <w:spacing w:val="-28"/>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≥7</w:t>
            </w:r>
          </w:p>
        </w:tc>
        <w:tc>
          <w:tcPr>
            <w:tcW w:w="1736" w:type="dxa"/>
            <w:vAlign w:val="center"/>
          </w:tcPr>
          <w:p w14:paraId="6F8ED697" w14:textId="77777777" w:rsidR="00DA2DBA" w:rsidRDefault="00000000">
            <w:pPr>
              <w:pStyle w:val="TableText"/>
              <w:jc w:val="center"/>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21"/>
                <w:szCs w:val="21"/>
                <w:lang w:eastAsia="zh-CN"/>
              </w:rPr>
              <w:t>7</w:t>
            </w:r>
            <w:r>
              <w:rPr>
                <w:rFonts w:ascii="Times New Roman" w:hAnsi="Times New Roman" w:cs="Times New Roman"/>
                <w:spacing w:val="-28"/>
                <w:sz w:val="21"/>
                <w:szCs w:val="21"/>
                <w:lang w:eastAsia="zh-CN"/>
              </w:rPr>
              <w:t xml:space="preserve"> </w:t>
            </w:r>
          </w:p>
        </w:tc>
      </w:tr>
      <w:tr w:rsidR="00DA2DBA" w14:paraId="5C9B73B6" w14:textId="77777777">
        <w:trPr>
          <w:trHeight w:val="461"/>
          <w:jc w:val="center"/>
        </w:trPr>
        <w:tc>
          <w:tcPr>
            <w:tcW w:w="1826" w:type="dxa"/>
            <w:vAlign w:val="center"/>
          </w:tcPr>
          <w:p w14:paraId="046C1041" w14:textId="77777777" w:rsidR="00DA2DBA" w:rsidRDefault="00000000">
            <w:pPr>
              <w:pStyle w:val="TableText"/>
              <w:rPr>
                <w:rFonts w:ascii="Times New Roman" w:hAnsi="Times New Roman" w:cs="Times New Roman"/>
                <w:sz w:val="21"/>
                <w:szCs w:val="21"/>
                <w:lang w:eastAsia="zh-CN"/>
              </w:rPr>
            </w:pPr>
            <w:r>
              <w:rPr>
                <w:rFonts w:ascii="Times New Roman" w:hAnsi="Times New Roman" w:cs="Times New Roman"/>
                <w:sz w:val="21"/>
                <w:szCs w:val="21"/>
                <w:lang w:eastAsia="zh-CN"/>
              </w:rPr>
              <w:t>中性洗涤纤维（</w:t>
            </w:r>
            <w:r>
              <w:rPr>
                <w:rFonts w:ascii="Times New Roman" w:hAnsi="Times New Roman" w:cs="Times New Roman"/>
                <w:sz w:val="21"/>
                <w:szCs w:val="21"/>
                <w:lang w:eastAsia="zh-CN"/>
              </w:rPr>
              <w:t>%</w:t>
            </w:r>
            <w:r>
              <w:rPr>
                <w:rFonts w:ascii="Times New Roman" w:hAnsi="Times New Roman" w:cs="Times New Roman"/>
                <w:sz w:val="21"/>
                <w:szCs w:val="21"/>
                <w:lang w:eastAsia="zh-CN"/>
              </w:rPr>
              <w:t>）</w:t>
            </w:r>
          </w:p>
        </w:tc>
        <w:tc>
          <w:tcPr>
            <w:tcW w:w="1088" w:type="dxa"/>
            <w:vAlign w:val="center"/>
          </w:tcPr>
          <w:p w14:paraId="06C6A07E" w14:textId="77777777" w:rsidR="00DA2DBA" w:rsidRDefault="00000000">
            <w:pPr>
              <w:spacing w:before="231" w:line="180" w:lineRule="auto"/>
              <w:ind w:left="452"/>
              <w:rPr>
                <w:szCs w:val="21"/>
              </w:rPr>
            </w:pPr>
            <w:r>
              <w:rPr>
                <w:spacing w:val="-2"/>
                <w:szCs w:val="21"/>
              </w:rPr>
              <w:t>≤55</w:t>
            </w:r>
          </w:p>
        </w:tc>
        <w:tc>
          <w:tcPr>
            <w:tcW w:w="1850" w:type="dxa"/>
            <w:vAlign w:val="center"/>
          </w:tcPr>
          <w:p w14:paraId="6A1D9E59" w14:textId="77777777" w:rsidR="00DA2DBA" w:rsidRDefault="00000000">
            <w:pPr>
              <w:pStyle w:val="TableText"/>
              <w:jc w:val="center"/>
              <w:rPr>
                <w:rFonts w:ascii="Times New Roman" w:hAnsi="Times New Roman" w:cs="Times New Roman"/>
                <w:sz w:val="21"/>
                <w:szCs w:val="21"/>
                <w:lang w:eastAsia="zh-CN"/>
              </w:rPr>
            </w:pPr>
            <w:r>
              <w:rPr>
                <w:rFonts w:ascii="Times New Roman" w:hAnsi="Times New Roman" w:cs="Times New Roman"/>
                <w:sz w:val="21"/>
                <w:szCs w:val="21"/>
                <w:lang w:eastAsia="zh-CN"/>
              </w:rPr>
              <w:t>&gt;55</w:t>
            </w:r>
            <w:r>
              <w:rPr>
                <w:rFonts w:ascii="Times New Roman" w:hAnsi="Times New Roman" w:cs="Times New Roman"/>
                <w:spacing w:val="-28"/>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≤58</w:t>
            </w:r>
          </w:p>
        </w:tc>
        <w:tc>
          <w:tcPr>
            <w:tcW w:w="1839" w:type="dxa"/>
            <w:vAlign w:val="center"/>
          </w:tcPr>
          <w:p w14:paraId="085A422C" w14:textId="77777777" w:rsidR="00DA2DBA" w:rsidRDefault="00000000">
            <w:pPr>
              <w:pStyle w:val="TableText"/>
              <w:jc w:val="center"/>
              <w:rPr>
                <w:rFonts w:ascii="Times New Roman" w:hAnsi="Times New Roman" w:cs="Times New Roman"/>
                <w:sz w:val="21"/>
                <w:szCs w:val="21"/>
                <w:lang w:eastAsia="zh-CN"/>
              </w:rPr>
            </w:pPr>
            <w:r>
              <w:rPr>
                <w:rFonts w:ascii="Times New Roman" w:hAnsi="Times New Roman" w:cs="Times New Roman"/>
                <w:sz w:val="21"/>
                <w:szCs w:val="21"/>
                <w:lang w:eastAsia="zh-CN"/>
              </w:rPr>
              <w:t>&gt;58</w:t>
            </w:r>
            <w:r>
              <w:rPr>
                <w:rFonts w:ascii="Times New Roman" w:hAnsi="Times New Roman" w:cs="Times New Roman"/>
                <w:spacing w:val="-28"/>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≤61</w:t>
            </w:r>
          </w:p>
        </w:tc>
        <w:tc>
          <w:tcPr>
            <w:tcW w:w="1736" w:type="dxa"/>
            <w:vAlign w:val="center"/>
          </w:tcPr>
          <w:p w14:paraId="13BC11F4" w14:textId="77777777" w:rsidR="00DA2DBA" w:rsidRDefault="00000000">
            <w:pPr>
              <w:pStyle w:val="TableText"/>
              <w:jc w:val="center"/>
              <w:rPr>
                <w:rFonts w:ascii="Times New Roman" w:hAnsi="Times New Roman" w:cs="Times New Roman"/>
                <w:sz w:val="21"/>
                <w:szCs w:val="21"/>
                <w:lang w:eastAsia="zh-CN"/>
              </w:rPr>
            </w:pPr>
            <w:r>
              <w:rPr>
                <w:rFonts w:ascii="Times New Roman" w:hAnsi="Times New Roman" w:cs="Times New Roman"/>
                <w:sz w:val="21"/>
                <w:szCs w:val="21"/>
                <w:lang w:eastAsia="zh-CN"/>
              </w:rPr>
              <w:t>&gt;61</w:t>
            </w:r>
            <w:r>
              <w:rPr>
                <w:rFonts w:ascii="Times New Roman" w:hAnsi="Times New Roman" w:cs="Times New Roman"/>
                <w:spacing w:val="-28"/>
                <w:sz w:val="21"/>
                <w:szCs w:val="21"/>
                <w:lang w:eastAsia="zh-CN"/>
              </w:rPr>
              <w:t xml:space="preserve"> </w:t>
            </w:r>
          </w:p>
        </w:tc>
      </w:tr>
      <w:tr w:rsidR="00DA2DBA" w14:paraId="23F4E4DA" w14:textId="77777777">
        <w:trPr>
          <w:trHeight w:val="462"/>
          <w:jc w:val="center"/>
        </w:trPr>
        <w:tc>
          <w:tcPr>
            <w:tcW w:w="1826" w:type="dxa"/>
            <w:vAlign w:val="center"/>
          </w:tcPr>
          <w:p w14:paraId="743EA5E1" w14:textId="77777777" w:rsidR="00DA2DBA" w:rsidRDefault="00000000">
            <w:pPr>
              <w:pStyle w:val="TableText"/>
              <w:rPr>
                <w:rFonts w:ascii="Times New Roman" w:hAnsi="Times New Roman" w:cs="Times New Roman"/>
                <w:sz w:val="21"/>
                <w:szCs w:val="21"/>
                <w:lang w:eastAsia="zh-CN"/>
              </w:rPr>
            </w:pPr>
            <w:r>
              <w:rPr>
                <w:rFonts w:ascii="Times New Roman" w:hAnsi="Times New Roman" w:cs="Times New Roman"/>
                <w:sz w:val="21"/>
                <w:szCs w:val="21"/>
                <w:lang w:eastAsia="zh-CN"/>
              </w:rPr>
              <w:t>酸性洗涤纤维（</w:t>
            </w:r>
            <w:r>
              <w:rPr>
                <w:rFonts w:ascii="Times New Roman" w:hAnsi="Times New Roman" w:cs="Times New Roman"/>
                <w:sz w:val="21"/>
                <w:szCs w:val="21"/>
                <w:lang w:eastAsia="zh-CN"/>
              </w:rPr>
              <w:t>%</w:t>
            </w:r>
            <w:r>
              <w:rPr>
                <w:rFonts w:ascii="Times New Roman" w:hAnsi="Times New Roman" w:cs="Times New Roman"/>
                <w:sz w:val="21"/>
                <w:szCs w:val="21"/>
                <w:lang w:eastAsia="zh-CN"/>
              </w:rPr>
              <w:t>）</w:t>
            </w:r>
          </w:p>
        </w:tc>
        <w:tc>
          <w:tcPr>
            <w:tcW w:w="1088" w:type="dxa"/>
            <w:vAlign w:val="center"/>
          </w:tcPr>
          <w:p w14:paraId="65FEDAAF" w14:textId="77777777" w:rsidR="00DA2DBA" w:rsidRDefault="00000000">
            <w:pPr>
              <w:spacing w:before="230" w:line="181" w:lineRule="auto"/>
              <w:ind w:left="452"/>
              <w:rPr>
                <w:szCs w:val="21"/>
              </w:rPr>
            </w:pPr>
            <w:r>
              <w:rPr>
                <w:spacing w:val="-2"/>
                <w:szCs w:val="21"/>
              </w:rPr>
              <w:t>≤35</w:t>
            </w:r>
          </w:p>
        </w:tc>
        <w:tc>
          <w:tcPr>
            <w:tcW w:w="1850" w:type="dxa"/>
            <w:vAlign w:val="center"/>
          </w:tcPr>
          <w:p w14:paraId="570D6FA3" w14:textId="77777777" w:rsidR="00DA2DBA" w:rsidRDefault="00000000">
            <w:pPr>
              <w:pStyle w:val="TableText"/>
              <w:jc w:val="center"/>
              <w:rPr>
                <w:rFonts w:ascii="Times New Roman" w:hAnsi="Times New Roman" w:cs="Times New Roman"/>
                <w:sz w:val="21"/>
                <w:szCs w:val="21"/>
                <w:lang w:eastAsia="zh-CN"/>
              </w:rPr>
            </w:pPr>
            <w:r>
              <w:rPr>
                <w:rFonts w:ascii="Times New Roman" w:hAnsi="Times New Roman" w:cs="Times New Roman"/>
                <w:sz w:val="21"/>
                <w:szCs w:val="21"/>
                <w:lang w:eastAsia="zh-CN"/>
              </w:rPr>
              <w:t>&gt;35</w:t>
            </w:r>
            <w:r>
              <w:rPr>
                <w:rFonts w:ascii="Times New Roman" w:hAnsi="Times New Roman" w:cs="Times New Roman"/>
                <w:spacing w:val="-28"/>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≤38</w:t>
            </w:r>
          </w:p>
        </w:tc>
        <w:tc>
          <w:tcPr>
            <w:tcW w:w="1839" w:type="dxa"/>
            <w:vAlign w:val="center"/>
          </w:tcPr>
          <w:p w14:paraId="00055BA8" w14:textId="77777777" w:rsidR="00DA2DBA" w:rsidRDefault="00000000">
            <w:pPr>
              <w:pStyle w:val="TableText"/>
              <w:jc w:val="center"/>
              <w:rPr>
                <w:rFonts w:ascii="Times New Roman" w:hAnsi="Times New Roman" w:cs="Times New Roman"/>
                <w:sz w:val="21"/>
                <w:szCs w:val="21"/>
                <w:lang w:eastAsia="zh-CN"/>
              </w:rPr>
            </w:pPr>
            <w:r>
              <w:rPr>
                <w:rFonts w:ascii="Times New Roman" w:hAnsi="Times New Roman" w:cs="Times New Roman"/>
                <w:sz w:val="21"/>
                <w:szCs w:val="21"/>
                <w:lang w:eastAsia="zh-CN"/>
              </w:rPr>
              <w:t>&gt;38</w:t>
            </w:r>
            <w:r>
              <w:rPr>
                <w:rFonts w:ascii="Times New Roman" w:hAnsi="Times New Roman" w:cs="Times New Roman"/>
                <w:spacing w:val="-28"/>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z w:val="21"/>
                <w:szCs w:val="21"/>
                <w:lang w:eastAsia="zh-CN"/>
              </w:rPr>
              <w:t>≤41</w:t>
            </w:r>
          </w:p>
        </w:tc>
        <w:tc>
          <w:tcPr>
            <w:tcW w:w="1736" w:type="dxa"/>
            <w:vAlign w:val="center"/>
          </w:tcPr>
          <w:p w14:paraId="18AC99B0" w14:textId="77777777" w:rsidR="00DA2DBA" w:rsidRDefault="00000000">
            <w:pPr>
              <w:pStyle w:val="TableText"/>
              <w:jc w:val="center"/>
              <w:rPr>
                <w:rFonts w:ascii="Times New Roman" w:hAnsi="Times New Roman" w:cs="Times New Roman"/>
                <w:sz w:val="21"/>
                <w:szCs w:val="21"/>
                <w:lang w:eastAsia="zh-CN"/>
              </w:rPr>
            </w:pPr>
            <w:r>
              <w:rPr>
                <w:rFonts w:ascii="Times New Roman" w:hAnsi="Times New Roman" w:cs="Times New Roman"/>
                <w:sz w:val="21"/>
                <w:szCs w:val="21"/>
                <w:lang w:eastAsia="zh-CN"/>
              </w:rPr>
              <w:t>&gt;41</w:t>
            </w:r>
            <w:r>
              <w:rPr>
                <w:rFonts w:ascii="Times New Roman" w:hAnsi="Times New Roman" w:cs="Times New Roman"/>
                <w:spacing w:val="-28"/>
                <w:sz w:val="21"/>
                <w:szCs w:val="21"/>
                <w:lang w:eastAsia="zh-CN"/>
              </w:rPr>
              <w:t xml:space="preserve"> </w:t>
            </w:r>
          </w:p>
        </w:tc>
      </w:tr>
      <w:tr w:rsidR="00DA2DBA" w14:paraId="67AACC91" w14:textId="77777777">
        <w:trPr>
          <w:trHeight w:val="466"/>
          <w:jc w:val="center"/>
        </w:trPr>
        <w:tc>
          <w:tcPr>
            <w:tcW w:w="1826" w:type="dxa"/>
            <w:vAlign w:val="center"/>
          </w:tcPr>
          <w:p w14:paraId="7A18FF47" w14:textId="77777777" w:rsidR="00DA2DBA" w:rsidRDefault="00000000">
            <w:pPr>
              <w:pStyle w:val="TableText"/>
              <w:rPr>
                <w:rFonts w:ascii="Times New Roman" w:hAnsi="Times New Roman" w:cs="Times New Roman"/>
                <w:sz w:val="21"/>
                <w:szCs w:val="21"/>
                <w:lang w:eastAsia="zh-CN"/>
              </w:rPr>
            </w:pPr>
            <w:r>
              <w:rPr>
                <w:rFonts w:ascii="Times New Roman" w:hAnsi="Times New Roman" w:cs="Times New Roman"/>
                <w:sz w:val="21"/>
                <w:szCs w:val="21"/>
                <w:lang w:eastAsia="zh-CN"/>
              </w:rPr>
              <w:t>粗灰分（</w:t>
            </w:r>
            <w:r>
              <w:rPr>
                <w:rFonts w:ascii="Times New Roman" w:hAnsi="Times New Roman" w:cs="Times New Roman"/>
                <w:sz w:val="21"/>
                <w:szCs w:val="21"/>
                <w:lang w:eastAsia="zh-CN"/>
              </w:rPr>
              <w:t>%</w:t>
            </w:r>
            <w:r>
              <w:rPr>
                <w:rFonts w:ascii="Times New Roman" w:hAnsi="Times New Roman" w:cs="Times New Roman"/>
                <w:sz w:val="21"/>
                <w:szCs w:val="21"/>
                <w:lang w:eastAsia="zh-CN"/>
              </w:rPr>
              <w:t>）</w:t>
            </w:r>
          </w:p>
        </w:tc>
        <w:tc>
          <w:tcPr>
            <w:tcW w:w="6513" w:type="dxa"/>
            <w:gridSpan w:val="4"/>
            <w:vAlign w:val="center"/>
          </w:tcPr>
          <w:p w14:paraId="714DEDF6" w14:textId="77777777" w:rsidR="00DA2DBA" w:rsidRDefault="00000000">
            <w:pPr>
              <w:pStyle w:val="TableText"/>
              <w:jc w:val="center"/>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21"/>
                <w:szCs w:val="21"/>
                <w:lang w:eastAsia="zh-CN"/>
              </w:rPr>
              <w:t>10</w:t>
            </w:r>
          </w:p>
        </w:tc>
      </w:tr>
      <w:tr w:rsidR="00DA2DBA" w14:paraId="4BE60223" w14:textId="77777777">
        <w:trPr>
          <w:trHeight w:val="500"/>
          <w:jc w:val="center"/>
        </w:trPr>
        <w:tc>
          <w:tcPr>
            <w:tcW w:w="1826" w:type="dxa"/>
            <w:vAlign w:val="center"/>
          </w:tcPr>
          <w:p w14:paraId="6D81D009" w14:textId="77777777" w:rsidR="00DA2DBA" w:rsidRDefault="00000000">
            <w:pPr>
              <w:pStyle w:val="TableText"/>
              <w:rPr>
                <w:rFonts w:ascii="Times New Roman" w:hAnsi="Times New Roman" w:cs="Times New Roman"/>
                <w:sz w:val="21"/>
                <w:szCs w:val="21"/>
                <w:lang w:eastAsia="zh-CN"/>
              </w:rPr>
            </w:pPr>
            <w:r>
              <w:rPr>
                <w:rFonts w:ascii="Times New Roman" w:hAnsi="Times New Roman" w:cs="Times New Roman"/>
                <w:sz w:val="21"/>
                <w:szCs w:val="21"/>
                <w:lang w:eastAsia="zh-CN"/>
              </w:rPr>
              <w:t>硝酸盐（</w:t>
            </w:r>
            <w:r>
              <w:rPr>
                <w:rFonts w:ascii="Times New Roman" w:hAnsi="Times New Roman" w:cs="Times New Roman"/>
                <w:sz w:val="21"/>
                <w:szCs w:val="21"/>
                <w:lang w:eastAsia="zh-CN"/>
              </w:rPr>
              <w:t>%</w:t>
            </w:r>
            <w:r>
              <w:rPr>
                <w:rFonts w:ascii="Times New Roman" w:hAnsi="Times New Roman" w:cs="Times New Roman"/>
                <w:sz w:val="21"/>
                <w:szCs w:val="21"/>
                <w:lang w:eastAsia="zh-CN"/>
              </w:rPr>
              <w:t>）</w:t>
            </w:r>
          </w:p>
        </w:tc>
        <w:tc>
          <w:tcPr>
            <w:tcW w:w="6513" w:type="dxa"/>
            <w:gridSpan w:val="4"/>
            <w:vAlign w:val="center"/>
          </w:tcPr>
          <w:p w14:paraId="31BF7C42" w14:textId="77777777" w:rsidR="00DA2DBA" w:rsidRDefault="00000000">
            <w:pPr>
              <w:pStyle w:val="TableText"/>
              <w:jc w:val="center"/>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21"/>
                <w:szCs w:val="21"/>
                <w:lang w:eastAsia="zh-CN"/>
              </w:rPr>
              <w:t>0.25</w:t>
            </w:r>
          </w:p>
        </w:tc>
      </w:tr>
    </w:tbl>
    <w:p w14:paraId="62A6E468" w14:textId="77777777" w:rsidR="00DA2DBA" w:rsidRDefault="00000000" w:rsidP="00AB7936">
      <w:pPr>
        <w:widowControl/>
        <w:kinsoku w:val="0"/>
        <w:autoSpaceDE w:val="0"/>
        <w:autoSpaceDN w:val="0"/>
        <w:adjustRightInd w:val="0"/>
        <w:snapToGrid w:val="0"/>
        <w:spacing w:beforeLines="50" w:before="120" w:line="360" w:lineRule="auto"/>
        <w:ind w:firstLineChars="200" w:firstLine="420"/>
        <w:textAlignment w:val="baseline"/>
        <w:rPr>
          <w:szCs w:val="21"/>
        </w:rPr>
      </w:pPr>
      <w:bookmarkStart w:id="28" w:name="OLE_LINK19"/>
      <w:bookmarkEnd w:id="27"/>
      <w:r>
        <w:rPr>
          <w:szCs w:val="21"/>
        </w:rPr>
        <w:t>注：乙酸、丁酸以占总酸的质量比表示；蛋白质、中性洗涤纤维、酸性洗涤纤维、粗灰分以占干物质的量表示。</w:t>
      </w:r>
    </w:p>
    <w:p w14:paraId="5C07A87B" w14:textId="77777777" w:rsidR="00DA2DBA" w:rsidRDefault="00000000">
      <w:pPr>
        <w:pStyle w:val="a"/>
        <w:spacing w:before="240" w:after="240"/>
        <w:rPr>
          <w:rFonts w:ascii="Times New Roman"/>
          <w:b/>
        </w:rPr>
      </w:pPr>
      <w:bookmarkStart w:id="29" w:name="_Toc18574"/>
      <w:bookmarkEnd w:id="28"/>
      <w:r>
        <w:rPr>
          <w:rFonts w:ascii="Times New Roman" w:hint="eastAsia"/>
          <w:b/>
        </w:rPr>
        <w:t>质量评价</w:t>
      </w:r>
      <w:bookmarkEnd w:id="29"/>
    </w:p>
    <w:p w14:paraId="42CB9589" w14:textId="77777777" w:rsidR="00DA2DBA" w:rsidRDefault="00000000">
      <w:pPr>
        <w:spacing w:line="360" w:lineRule="auto"/>
        <w:ind w:firstLineChars="200" w:firstLine="420"/>
        <w:rPr>
          <w:szCs w:val="21"/>
        </w:rPr>
      </w:pPr>
      <w:r>
        <w:rPr>
          <w:szCs w:val="21"/>
        </w:rPr>
        <w:t>湿热地区禾本科牧草青贮质量感官指标分级需达中级及以上。牧草青贮的质量分级指标均同时符合某一等级则判定所代表的同批产品为该等级；当任意一项指标低于该等级指标时，则按单项指标最低</w:t>
      </w:r>
      <w:proofErr w:type="gramStart"/>
      <w:r>
        <w:rPr>
          <w:szCs w:val="21"/>
        </w:rPr>
        <w:t>值所在</w:t>
      </w:r>
      <w:proofErr w:type="gramEnd"/>
      <w:r>
        <w:rPr>
          <w:szCs w:val="21"/>
        </w:rPr>
        <w:t>的区间等级定级。</w:t>
      </w:r>
    </w:p>
    <w:p w14:paraId="792242B8" w14:textId="77777777" w:rsidR="00DA2DBA" w:rsidRDefault="00000000">
      <w:pPr>
        <w:rPr>
          <w:szCs w:val="21"/>
        </w:rPr>
      </w:pPr>
      <w:r>
        <w:rPr>
          <w:szCs w:val="21"/>
        </w:rPr>
        <w:br w:type="page"/>
      </w:r>
    </w:p>
    <w:p w14:paraId="6B1B4B40" w14:textId="77777777" w:rsidR="00DA2DBA" w:rsidRDefault="00000000">
      <w:pPr>
        <w:pStyle w:val="a"/>
        <w:numPr>
          <w:ilvl w:val="0"/>
          <w:numId w:val="0"/>
        </w:numPr>
        <w:spacing w:before="240" w:after="240"/>
        <w:rPr>
          <w:rFonts w:ascii="Times New Roman"/>
          <w:b/>
        </w:rPr>
      </w:pPr>
      <w:bookmarkStart w:id="30" w:name="_Toc9620"/>
      <w:r>
        <w:rPr>
          <w:rFonts w:ascii="Times New Roman" w:hint="eastAsia"/>
          <w:b/>
        </w:rPr>
        <w:t>附录</w:t>
      </w:r>
      <w:bookmarkEnd w:id="30"/>
    </w:p>
    <w:p w14:paraId="1D8D449F" w14:textId="77777777" w:rsidR="00DA2DBA" w:rsidRDefault="00000000">
      <w:pPr>
        <w:spacing w:line="360" w:lineRule="auto"/>
        <w:ind w:firstLineChars="200" w:firstLine="422"/>
        <w:jc w:val="center"/>
        <w:rPr>
          <w:b/>
          <w:bCs/>
          <w:szCs w:val="21"/>
        </w:rPr>
      </w:pPr>
      <w:r>
        <w:rPr>
          <w:b/>
          <w:bCs/>
          <w:szCs w:val="21"/>
        </w:rPr>
        <w:t>附录</w:t>
      </w:r>
      <w:r>
        <w:rPr>
          <w:b/>
          <w:bCs/>
          <w:szCs w:val="21"/>
        </w:rPr>
        <w:t xml:space="preserve"> A</w:t>
      </w:r>
    </w:p>
    <w:p w14:paraId="47948ECF" w14:textId="77777777" w:rsidR="00DA2DBA" w:rsidRDefault="00000000">
      <w:pPr>
        <w:spacing w:line="360" w:lineRule="auto"/>
        <w:ind w:firstLineChars="200" w:firstLine="422"/>
        <w:jc w:val="center"/>
        <w:rPr>
          <w:b/>
          <w:bCs/>
          <w:szCs w:val="21"/>
        </w:rPr>
      </w:pPr>
      <w:r>
        <w:rPr>
          <w:b/>
          <w:bCs/>
          <w:szCs w:val="21"/>
        </w:rPr>
        <w:t>(</w:t>
      </w:r>
      <w:r>
        <w:rPr>
          <w:b/>
          <w:bCs/>
          <w:szCs w:val="21"/>
        </w:rPr>
        <w:t>资料性附录）</w:t>
      </w:r>
    </w:p>
    <w:p w14:paraId="1125A62E" w14:textId="77777777" w:rsidR="00DA2DBA" w:rsidRDefault="00000000">
      <w:pPr>
        <w:spacing w:line="360" w:lineRule="auto"/>
        <w:ind w:firstLineChars="200" w:firstLine="422"/>
        <w:jc w:val="center"/>
        <w:rPr>
          <w:b/>
          <w:bCs/>
          <w:szCs w:val="21"/>
        </w:rPr>
      </w:pPr>
      <w:r>
        <w:rPr>
          <w:b/>
          <w:bCs/>
          <w:szCs w:val="21"/>
        </w:rPr>
        <w:t>液相色谱法测定青贮饲料有机酸含量</w:t>
      </w:r>
    </w:p>
    <w:p w14:paraId="229CD669" w14:textId="77777777" w:rsidR="00DA2DBA" w:rsidRDefault="00000000">
      <w:pPr>
        <w:spacing w:line="360" w:lineRule="auto"/>
        <w:ind w:firstLineChars="200" w:firstLine="422"/>
        <w:rPr>
          <w:b/>
          <w:bCs/>
          <w:szCs w:val="21"/>
        </w:rPr>
      </w:pPr>
      <w:r>
        <w:rPr>
          <w:b/>
          <w:bCs/>
          <w:szCs w:val="21"/>
        </w:rPr>
        <w:t xml:space="preserve">A. </w:t>
      </w:r>
      <w:proofErr w:type="gramStart"/>
      <w:r>
        <w:rPr>
          <w:b/>
          <w:bCs/>
          <w:szCs w:val="21"/>
        </w:rPr>
        <w:t xml:space="preserve">1  </w:t>
      </w:r>
      <w:r>
        <w:rPr>
          <w:b/>
          <w:bCs/>
          <w:szCs w:val="21"/>
        </w:rPr>
        <w:t>试剂和材料</w:t>
      </w:r>
      <w:proofErr w:type="gramEnd"/>
    </w:p>
    <w:p w14:paraId="59F60B9A" w14:textId="77777777" w:rsidR="00DA2DBA" w:rsidRDefault="00000000">
      <w:pPr>
        <w:spacing w:line="360" w:lineRule="auto"/>
        <w:ind w:firstLineChars="200" w:firstLine="420"/>
        <w:rPr>
          <w:szCs w:val="21"/>
        </w:rPr>
      </w:pPr>
      <w:r>
        <w:rPr>
          <w:szCs w:val="21"/>
        </w:rPr>
        <w:t>乳酸、乙酸、丙酸、丁酸标准品、色谱纯高氯酸。</w:t>
      </w:r>
    </w:p>
    <w:p w14:paraId="1FBD9EBF" w14:textId="77777777" w:rsidR="00DA2DBA" w:rsidRDefault="00000000">
      <w:pPr>
        <w:spacing w:line="360" w:lineRule="auto"/>
        <w:ind w:firstLineChars="200" w:firstLine="422"/>
        <w:rPr>
          <w:b/>
          <w:bCs/>
          <w:szCs w:val="21"/>
        </w:rPr>
      </w:pPr>
      <w:r>
        <w:rPr>
          <w:b/>
          <w:bCs/>
          <w:szCs w:val="21"/>
        </w:rPr>
        <w:t xml:space="preserve">A.2  </w:t>
      </w:r>
      <w:r>
        <w:rPr>
          <w:b/>
          <w:bCs/>
          <w:szCs w:val="21"/>
        </w:rPr>
        <w:t>仪器</w:t>
      </w:r>
    </w:p>
    <w:p w14:paraId="68514AD1" w14:textId="77777777" w:rsidR="00DA2DBA" w:rsidRDefault="00000000">
      <w:pPr>
        <w:spacing w:line="360" w:lineRule="auto"/>
        <w:ind w:firstLineChars="200" w:firstLine="420"/>
        <w:rPr>
          <w:szCs w:val="21"/>
        </w:rPr>
      </w:pPr>
      <w:r>
        <w:rPr>
          <w:szCs w:val="21"/>
        </w:rPr>
        <w:t>高效液相色谱仪。</w:t>
      </w:r>
    </w:p>
    <w:p w14:paraId="13D9E264" w14:textId="77777777" w:rsidR="00DA2DBA" w:rsidRDefault="00000000">
      <w:pPr>
        <w:spacing w:line="360" w:lineRule="auto"/>
        <w:ind w:firstLineChars="200" w:firstLine="422"/>
        <w:rPr>
          <w:b/>
          <w:bCs/>
          <w:szCs w:val="21"/>
        </w:rPr>
      </w:pPr>
      <w:r>
        <w:rPr>
          <w:b/>
          <w:bCs/>
          <w:szCs w:val="21"/>
        </w:rPr>
        <w:t xml:space="preserve">A.3  </w:t>
      </w:r>
      <w:r>
        <w:rPr>
          <w:b/>
          <w:bCs/>
          <w:szCs w:val="21"/>
        </w:rPr>
        <w:t>测定程序</w:t>
      </w:r>
    </w:p>
    <w:p w14:paraId="27F752EE" w14:textId="77777777" w:rsidR="00DA2DBA" w:rsidRDefault="00000000">
      <w:pPr>
        <w:spacing w:line="360" w:lineRule="auto"/>
        <w:ind w:firstLineChars="200" w:firstLine="422"/>
        <w:rPr>
          <w:b/>
          <w:bCs/>
          <w:szCs w:val="21"/>
        </w:rPr>
      </w:pPr>
      <w:r>
        <w:rPr>
          <w:b/>
          <w:bCs/>
          <w:szCs w:val="21"/>
        </w:rPr>
        <w:t xml:space="preserve">A.3. 1 </w:t>
      </w:r>
      <w:r>
        <w:rPr>
          <w:b/>
          <w:bCs/>
          <w:szCs w:val="21"/>
        </w:rPr>
        <w:t>色谱测定</w:t>
      </w:r>
    </w:p>
    <w:p w14:paraId="1DE5ED83" w14:textId="77777777" w:rsidR="00DA2DBA" w:rsidRDefault="00000000">
      <w:pPr>
        <w:spacing w:line="360" w:lineRule="auto"/>
        <w:ind w:firstLineChars="200" w:firstLine="420"/>
        <w:rPr>
          <w:szCs w:val="21"/>
        </w:rPr>
      </w:pPr>
      <w:r>
        <w:rPr>
          <w:szCs w:val="21"/>
        </w:rPr>
        <w:t>采用外标法，用乳酸、乙酸、丙酸、丁酸标准液制作标准工作曲线。根据试样浸提液中被测物含量情况，选定浓度相近的标准工作曲线，对标准工作溶液与试样浸提液等体积参插进样测定，标准工作溶液和试样浸提液乳酸、乙酸、丙酸、丁酸的响应值均应在仪器检测的线性范围内。色谱条件：</w:t>
      </w:r>
      <w:proofErr w:type="spellStart"/>
      <w:r>
        <w:rPr>
          <w:szCs w:val="21"/>
        </w:rPr>
        <w:t>Shodex</w:t>
      </w:r>
      <w:proofErr w:type="spellEnd"/>
      <w:r>
        <w:rPr>
          <w:szCs w:val="21"/>
        </w:rPr>
        <w:t xml:space="preserve"> KC-811</w:t>
      </w:r>
      <w:r>
        <w:rPr>
          <w:szCs w:val="21"/>
        </w:rPr>
        <w:t>色谱柱，</w:t>
      </w:r>
      <w:r>
        <w:rPr>
          <w:szCs w:val="21"/>
        </w:rPr>
        <w:t xml:space="preserve">3 mmol/L </w:t>
      </w:r>
      <w:r>
        <w:rPr>
          <w:szCs w:val="21"/>
        </w:rPr>
        <w:t>高氯酸为流动相，流速</w:t>
      </w:r>
      <w:r>
        <w:rPr>
          <w:szCs w:val="21"/>
        </w:rPr>
        <w:t>1 mL/min</w:t>
      </w:r>
      <w:r>
        <w:rPr>
          <w:szCs w:val="21"/>
        </w:rPr>
        <w:t>，</w:t>
      </w:r>
      <w:r>
        <w:rPr>
          <w:szCs w:val="21"/>
        </w:rPr>
        <w:t>SPD</w:t>
      </w:r>
      <w:r>
        <w:rPr>
          <w:szCs w:val="21"/>
        </w:rPr>
        <w:t>检测器波长</w:t>
      </w:r>
      <w:r>
        <w:rPr>
          <w:szCs w:val="21"/>
        </w:rPr>
        <w:t>210 nm</w:t>
      </w:r>
      <w:r>
        <w:rPr>
          <w:szCs w:val="21"/>
        </w:rPr>
        <w:t>，</w:t>
      </w:r>
      <w:proofErr w:type="gramStart"/>
      <w:r>
        <w:rPr>
          <w:szCs w:val="21"/>
        </w:rPr>
        <w:t>柱温</w:t>
      </w:r>
      <w:proofErr w:type="gramEnd"/>
      <w:r>
        <w:rPr>
          <w:szCs w:val="21"/>
        </w:rPr>
        <w:t xml:space="preserve"> 50℃ , </w:t>
      </w:r>
      <w:proofErr w:type="gramStart"/>
      <w:r>
        <w:rPr>
          <w:szCs w:val="21"/>
        </w:rPr>
        <w:t>进样量</w:t>
      </w:r>
      <w:proofErr w:type="gramEnd"/>
      <w:r>
        <w:rPr>
          <w:szCs w:val="21"/>
        </w:rPr>
        <w:t>20</w:t>
      </w:r>
      <w:r>
        <w:rPr>
          <w:rFonts w:hint="eastAsia"/>
          <w:szCs w:val="21"/>
        </w:rPr>
        <w:t xml:space="preserve"> </w:t>
      </w:r>
      <w:proofErr w:type="spellStart"/>
      <w:r>
        <w:rPr>
          <w:szCs w:val="21"/>
        </w:rPr>
        <w:t>μL</w:t>
      </w:r>
      <w:proofErr w:type="spellEnd"/>
      <w:r>
        <w:rPr>
          <w:szCs w:val="21"/>
        </w:rPr>
        <w:t>。</w:t>
      </w:r>
    </w:p>
    <w:p w14:paraId="433859F5" w14:textId="77777777" w:rsidR="00DA2DBA" w:rsidRDefault="00000000">
      <w:pPr>
        <w:spacing w:line="360" w:lineRule="auto"/>
        <w:ind w:firstLineChars="200" w:firstLine="422"/>
        <w:rPr>
          <w:b/>
          <w:bCs/>
          <w:szCs w:val="21"/>
        </w:rPr>
      </w:pPr>
      <w:r>
        <w:rPr>
          <w:b/>
          <w:bCs/>
          <w:szCs w:val="21"/>
        </w:rPr>
        <w:t xml:space="preserve">A.3.2  </w:t>
      </w:r>
      <w:r>
        <w:rPr>
          <w:b/>
          <w:bCs/>
          <w:szCs w:val="21"/>
        </w:rPr>
        <w:t>结果计算</w:t>
      </w:r>
    </w:p>
    <w:p w14:paraId="44277C87" w14:textId="77777777" w:rsidR="00DA2DBA" w:rsidRDefault="00000000">
      <w:pPr>
        <w:spacing w:line="360" w:lineRule="auto"/>
        <w:ind w:firstLineChars="200" w:firstLine="420"/>
        <w:rPr>
          <w:szCs w:val="21"/>
        </w:rPr>
      </w:pPr>
      <w:r>
        <w:rPr>
          <w:szCs w:val="21"/>
        </w:rPr>
        <w:t>用色谱工作站计算试样浸提液被测物的含量，通过换算浸提液制备过程中对应的样品量，获得乳酸、乙酸、丙酸、丁酸在样品中的比例。</w:t>
      </w:r>
    </w:p>
    <w:p w14:paraId="31C44DB8" w14:textId="172B0046" w:rsidR="00132B83" w:rsidRDefault="00132B83">
      <w:pPr>
        <w:spacing w:line="360" w:lineRule="auto"/>
        <w:ind w:firstLineChars="200" w:firstLine="420"/>
        <w:rPr>
          <w:szCs w:val="21"/>
        </w:rPr>
        <w:sectPr w:rsidR="00132B83" w:rsidSect="00132B83">
          <w:footerReference w:type="default" r:id="rId10"/>
          <w:pgSz w:w="11906" w:h="16839"/>
          <w:pgMar w:top="1203" w:right="1800" w:bottom="1440" w:left="1800" w:header="568" w:footer="1135" w:gutter="0"/>
          <w:cols w:space="720"/>
        </w:sectPr>
      </w:pPr>
    </w:p>
    <w:p w14:paraId="39612CD2" w14:textId="77777777" w:rsidR="00DA2DBA" w:rsidRDefault="00000000">
      <w:pPr>
        <w:spacing w:line="360" w:lineRule="auto"/>
        <w:ind w:firstLineChars="200" w:firstLine="422"/>
        <w:jc w:val="center"/>
        <w:rPr>
          <w:b/>
          <w:bCs/>
          <w:szCs w:val="21"/>
        </w:rPr>
      </w:pPr>
      <w:r>
        <w:rPr>
          <w:b/>
          <w:bCs/>
          <w:szCs w:val="21"/>
        </w:rPr>
        <w:t>附录</w:t>
      </w:r>
      <w:r>
        <w:rPr>
          <w:b/>
          <w:bCs/>
          <w:szCs w:val="21"/>
        </w:rPr>
        <w:t xml:space="preserve"> B</w:t>
      </w:r>
    </w:p>
    <w:p w14:paraId="75A66999" w14:textId="77777777" w:rsidR="00DA2DBA" w:rsidRDefault="00000000">
      <w:pPr>
        <w:spacing w:line="360" w:lineRule="auto"/>
        <w:ind w:firstLineChars="200" w:firstLine="422"/>
        <w:jc w:val="center"/>
        <w:rPr>
          <w:b/>
          <w:bCs/>
          <w:szCs w:val="21"/>
        </w:rPr>
      </w:pPr>
      <w:r>
        <w:rPr>
          <w:b/>
          <w:bCs/>
          <w:szCs w:val="21"/>
        </w:rPr>
        <w:t>(</w:t>
      </w:r>
      <w:r>
        <w:rPr>
          <w:b/>
          <w:bCs/>
          <w:szCs w:val="21"/>
        </w:rPr>
        <w:t>资料性附录）</w:t>
      </w:r>
    </w:p>
    <w:p w14:paraId="5C610A9A" w14:textId="77777777" w:rsidR="00DA2DBA" w:rsidRDefault="00000000">
      <w:pPr>
        <w:spacing w:line="360" w:lineRule="auto"/>
        <w:ind w:firstLineChars="200" w:firstLine="422"/>
        <w:jc w:val="center"/>
        <w:rPr>
          <w:b/>
          <w:bCs/>
          <w:szCs w:val="21"/>
        </w:rPr>
      </w:pPr>
      <w:proofErr w:type="gramStart"/>
      <w:r>
        <w:rPr>
          <w:b/>
          <w:bCs/>
          <w:szCs w:val="21"/>
        </w:rPr>
        <w:t>氨态氮</w:t>
      </w:r>
      <w:proofErr w:type="gramEnd"/>
      <w:r>
        <w:rPr>
          <w:b/>
          <w:bCs/>
          <w:szCs w:val="21"/>
        </w:rPr>
        <w:t>含量的测定</w:t>
      </w:r>
    </w:p>
    <w:p w14:paraId="4E81320B" w14:textId="77777777" w:rsidR="00DA2DBA" w:rsidRDefault="00000000">
      <w:pPr>
        <w:spacing w:line="360" w:lineRule="auto"/>
        <w:ind w:firstLineChars="200" w:firstLine="422"/>
        <w:rPr>
          <w:b/>
          <w:bCs/>
          <w:szCs w:val="21"/>
        </w:rPr>
      </w:pPr>
      <w:r>
        <w:rPr>
          <w:b/>
          <w:bCs/>
          <w:szCs w:val="21"/>
        </w:rPr>
        <w:t xml:space="preserve">B. </w:t>
      </w:r>
      <w:proofErr w:type="gramStart"/>
      <w:r>
        <w:rPr>
          <w:b/>
          <w:bCs/>
          <w:szCs w:val="21"/>
        </w:rPr>
        <w:t xml:space="preserve">1  </w:t>
      </w:r>
      <w:r>
        <w:rPr>
          <w:b/>
          <w:bCs/>
          <w:szCs w:val="21"/>
        </w:rPr>
        <w:t>试剂和材料</w:t>
      </w:r>
      <w:proofErr w:type="gramEnd"/>
    </w:p>
    <w:p w14:paraId="03B54F35" w14:textId="77777777" w:rsidR="00DA2DBA" w:rsidRDefault="00000000">
      <w:pPr>
        <w:spacing w:line="360" w:lineRule="auto"/>
        <w:ind w:firstLineChars="200" w:firstLine="420"/>
        <w:rPr>
          <w:szCs w:val="21"/>
        </w:rPr>
      </w:pPr>
      <w:r>
        <w:rPr>
          <w:szCs w:val="21"/>
        </w:rPr>
        <w:t>亚硝基铁氰化钠、结晶苯酚、氢氧化钠、磷酸氢二钠、次氯酸钠、硫酸铵、苯酚试剂</w:t>
      </w:r>
    </w:p>
    <w:p w14:paraId="30A90EB4" w14:textId="77777777" w:rsidR="00DA2DBA" w:rsidRDefault="00000000">
      <w:pPr>
        <w:spacing w:line="360" w:lineRule="auto"/>
        <w:ind w:firstLineChars="200" w:firstLine="422"/>
        <w:rPr>
          <w:b/>
          <w:bCs/>
          <w:szCs w:val="21"/>
        </w:rPr>
      </w:pPr>
      <w:r>
        <w:rPr>
          <w:b/>
          <w:bCs/>
          <w:szCs w:val="21"/>
        </w:rPr>
        <w:t xml:space="preserve">B.2  </w:t>
      </w:r>
      <w:r>
        <w:rPr>
          <w:b/>
          <w:bCs/>
          <w:szCs w:val="21"/>
        </w:rPr>
        <w:t>试剂配制</w:t>
      </w:r>
    </w:p>
    <w:p w14:paraId="27334FD9" w14:textId="77777777" w:rsidR="00DA2DBA" w:rsidRDefault="00000000">
      <w:pPr>
        <w:spacing w:line="360" w:lineRule="auto"/>
        <w:ind w:firstLineChars="200" w:firstLine="422"/>
        <w:rPr>
          <w:b/>
          <w:bCs/>
          <w:szCs w:val="21"/>
        </w:rPr>
      </w:pPr>
      <w:r>
        <w:rPr>
          <w:b/>
          <w:bCs/>
          <w:szCs w:val="21"/>
        </w:rPr>
        <w:t xml:space="preserve">B.2. 1 </w:t>
      </w:r>
      <w:r>
        <w:rPr>
          <w:b/>
          <w:bCs/>
          <w:szCs w:val="21"/>
        </w:rPr>
        <w:t>苯酚试剂</w:t>
      </w:r>
    </w:p>
    <w:p w14:paraId="6D2FF226" w14:textId="77777777" w:rsidR="00DA2DBA" w:rsidRDefault="00000000">
      <w:pPr>
        <w:spacing w:line="360" w:lineRule="auto"/>
        <w:ind w:firstLineChars="200" w:firstLine="420"/>
        <w:rPr>
          <w:szCs w:val="21"/>
        </w:rPr>
      </w:pPr>
      <w:r>
        <w:rPr>
          <w:szCs w:val="21"/>
        </w:rPr>
        <w:t>将</w:t>
      </w:r>
      <w:r>
        <w:rPr>
          <w:szCs w:val="21"/>
        </w:rPr>
        <w:t>0.05g</w:t>
      </w:r>
      <w:r>
        <w:rPr>
          <w:szCs w:val="21"/>
        </w:rPr>
        <w:t>亚硝基铁氰化钠溶解在</w:t>
      </w:r>
      <w:r>
        <w:rPr>
          <w:szCs w:val="21"/>
        </w:rPr>
        <w:t>0.5L</w:t>
      </w:r>
      <w:r>
        <w:rPr>
          <w:szCs w:val="21"/>
        </w:rPr>
        <w:t>蒸馏水中，再加入</w:t>
      </w:r>
      <w:r>
        <w:rPr>
          <w:szCs w:val="21"/>
        </w:rPr>
        <w:t>11ml</w:t>
      </w:r>
      <w:r>
        <w:rPr>
          <w:szCs w:val="21"/>
        </w:rPr>
        <w:t>苯酚溶液或</w:t>
      </w:r>
      <w:r>
        <w:rPr>
          <w:szCs w:val="21"/>
        </w:rPr>
        <w:t>9.9g</w:t>
      </w:r>
      <w:r>
        <w:rPr>
          <w:szCs w:val="21"/>
        </w:rPr>
        <w:t>结晶苯酚，混合均匀后定容到</w:t>
      </w:r>
      <w:r>
        <w:rPr>
          <w:szCs w:val="21"/>
        </w:rPr>
        <w:t>1L</w:t>
      </w:r>
      <w:r>
        <w:rPr>
          <w:szCs w:val="21"/>
        </w:rPr>
        <w:t>，贮藏于棕色试剂瓶中，低温避光保存（</w:t>
      </w:r>
      <w:r>
        <w:rPr>
          <w:szCs w:val="21"/>
        </w:rPr>
        <w:t>4℃</w:t>
      </w:r>
      <w:r>
        <w:rPr>
          <w:rFonts w:hint="eastAsia"/>
          <w:szCs w:val="21"/>
        </w:rPr>
        <w:t>）</w:t>
      </w:r>
      <w:r>
        <w:rPr>
          <w:szCs w:val="21"/>
        </w:rPr>
        <w:t xml:space="preserve"> </w:t>
      </w:r>
      <w:r>
        <w:rPr>
          <w:szCs w:val="21"/>
        </w:rPr>
        <w:t>。</w:t>
      </w:r>
    </w:p>
    <w:p w14:paraId="73C67252" w14:textId="77777777" w:rsidR="00DA2DBA" w:rsidRDefault="00000000">
      <w:pPr>
        <w:spacing w:line="360" w:lineRule="auto"/>
        <w:ind w:firstLineChars="200" w:firstLine="422"/>
        <w:rPr>
          <w:b/>
          <w:bCs/>
          <w:szCs w:val="21"/>
        </w:rPr>
      </w:pPr>
      <w:r>
        <w:rPr>
          <w:b/>
          <w:bCs/>
          <w:szCs w:val="21"/>
        </w:rPr>
        <w:t xml:space="preserve">B.2.2 </w:t>
      </w:r>
      <w:r>
        <w:rPr>
          <w:b/>
          <w:bCs/>
          <w:szCs w:val="21"/>
        </w:rPr>
        <w:t>次氯酸盐溶液</w:t>
      </w:r>
    </w:p>
    <w:p w14:paraId="6602D04D" w14:textId="77777777" w:rsidR="00DA2DBA" w:rsidRDefault="00000000">
      <w:pPr>
        <w:spacing w:line="360" w:lineRule="auto"/>
        <w:ind w:firstLineChars="200" w:firstLine="420"/>
        <w:rPr>
          <w:szCs w:val="21"/>
        </w:rPr>
      </w:pPr>
      <w:r>
        <w:rPr>
          <w:szCs w:val="21"/>
        </w:rPr>
        <w:t>将</w:t>
      </w:r>
      <w:r>
        <w:rPr>
          <w:szCs w:val="21"/>
        </w:rPr>
        <w:t>5.0g</w:t>
      </w:r>
      <w:r>
        <w:rPr>
          <w:szCs w:val="21"/>
        </w:rPr>
        <w:t>氢氧化钠溶解在</w:t>
      </w:r>
      <w:r>
        <w:rPr>
          <w:szCs w:val="21"/>
        </w:rPr>
        <w:t>2/3L</w:t>
      </w:r>
      <w:r>
        <w:rPr>
          <w:szCs w:val="21"/>
        </w:rPr>
        <w:t>的蒸馏水中，再加入</w:t>
      </w:r>
      <w:r>
        <w:rPr>
          <w:szCs w:val="21"/>
        </w:rPr>
        <w:t>20. 1g</w:t>
      </w:r>
      <w:r>
        <w:rPr>
          <w:szCs w:val="21"/>
        </w:rPr>
        <w:t>磷酸氢二钠，中火加热并不断搅拌至完全溶解。冷却后加入</w:t>
      </w:r>
      <w:r>
        <w:rPr>
          <w:szCs w:val="21"/>
        </w:rPr>
        <w:t>14.7mL</w:t>
      </w:r>
      <w:r>
        <w:rPr>
          <w:szCs w:val="21"/>
        </w:rPr>
        <w:t>含</w:t>
      </w:r>
      <w:r>
        <w:rPr>
          <w:szCs w:val="21"/>
        </w:rPr>
        <w:t>8.5%</w:t>
      </w:r>
      <w:r>
        <w:rPr>
          <w:szCs w:val="21"/>
        </w:rPr>
        <w:t>活性氯的次氯酸钠溶液并混匀，定容到</w:t>
      </w:r>
      <w:r>
        <w:rPr>
          <w:szCs w:val="21"/>
        </w:rPr>
        <w:t>1L</w:t>
      </w:r>
      <w:r>
        <w:rPr>
          <w:szCs w:val="21"/>
        </w:rPr>
        <w:t>，贮藏于棕色试剂瓶中，低温避光保存（</w:t>
      </w:r>
      <w:r>
        <w:rPr>
          <w:szCs w:val="21"/>
        </w:rPr>
        <w:t>4℃</w:t>
      </w:r>
      <w:r>
        <w:rPr>
          <w:rFonts w:hint="eastAsia"/>
          <w:szCs w:val="21"/>
        </w:rPr>
        <w:t>）</w:t>
      </w:r>
      <w:r>
        <w:rPr>
          <w:szCs w:val="21"/>
        </w:rPr>
        <w:t>。</w:t>
      </w:r>
    </w:p>
    <w:p w14:paraId="01261BB5" w14:textId="77777777" w:rsidR="00DA2DBA" w:rsidRDefault="00000000">
      <w:pPr>
        <w:spacing w:line="360" w:lineRule="auto"/>
        <w:ind w:firstLineChars="200" w:firstLine="422"/>
        <w:rPr>
          <w:b/>
          <w:bCs/>
          <w:szCs w:val="21"/>
        </w:rPr>
      </w:pPr>
      <w:r>
        <w:rPr>
          <w:b/>
          <w:bCs/>
          <w:szCs w:val="21"/>
        </w:rPr>
        <w:t xml:space="preserve">B.2.3 </w:t>
      </w:r>
      <w:r>
        <w:rPr>
          <w:b/>
          <w:bCs/>
          <w:szCs w:val="21"/>
        </w:rPr>
        <w:t>标准</w:t>
      </w:r>
      <w:proofErr w:type="gramStart"/>
      <w:r>
        <w:rPr>
          <w:b/>
          <w:bCs/>
          <w:szCs w:val="21"/>
        </w:rPr>
        <w:t>铵</w:t>
      </w:r>
      <w:proofErr w:type="gramEnd"/>
      <w:r>
        <w:rPr>
          <w:b/>
          <w:bCs/>
          <w:szCs w:val="21"/>
        </w:rPr>
        <w:t>溶液</w:t>
      </w:r>
    </w:p>
    <w:p w14:paraId="2B1390F3" w14:textId="77777777" w:rsidR="00DA2DBA" w:rsidRDefault="00000000">
      <w:pPr>
        <w:spacing w:line="360" w:lineRule="auto"/>
        <w:ind w:firstLineChars="200" w:firstLine="420"/>
        <w:rPr>
          <w:szCs w:val="21"/>
        </w:rPr>
      </w:pPr>
      <w:r>
        <w:rPr>
          <w:szCs w:val="21"/>
        </w:rPr>
        <w:t>称取</w:t>
      </w:r>
      <w:r>
        <w:rPr>
          <w:szCs w:val="21"/>
        </w:rPr>
        <w:t>0.6607g</w:t>
      </w:r>
      <w:r>
        <w:rPr>
          <w:szCs w:val="21"/>
        </w:rPr>
        <w:t>经</w:t>
      </w:r>
      <w:r>
        <w:rPr>
          <w:szCs w:val="21"/>
        </w:rPr>
        <w:t>100℃</w:t>
      </w:r>
      <w:r>
        <w:rPr>
          <w:szCs w:val="21"/>
        </w:rPr>
        <w:t>条件下烘干</w:t>
      </w:r>
      <w:r>
        <w:rPr>
          <w:szCs w:val="21"/>
        </w:rPr>
        <w:t>24h</w:t>
      </w:r>
      <w:r>
        <w:rPr>
          <w:szCs w:val="21"/>
        </w:rPr>
        <w:t>的硫酸铵</w:t>
      </w:r>
      <w:r>
        <w:rPr>
          <w:szCs w:val="21"/>
        </w:rPr>
        <w:t>(NH4)</w:t>
      </w:r>
      <w:r>
        <w:rPr>
          <w:szCs w:val="21"/>
          <w:vertAlign w:val="subscript"/>
        </w:rPr>
        <w:t>2</w:t>
      </w:r>
      <w:r>
        <w:rPr>
          <w:szCs w:val="21"/>
        </w:rPr>
        <w:t>SO</w:t>
      </w:r>
      <w:r>
        <w:rPr>
          <w:szCs w:val="21"/>
          <w:vertAlign w:val="subscript"/>
        </w:rPr>
        <w:t>4</w:t>
      </w:r>
      <w:r>
        <w:rPr>
          <w:szCs w:val="21"/>
        </w:rPr>
        <w:t xml:space="preserve"> </w:t>
      </w:r>
      <w:r>
        <w:rPr>
          <w:szCs w:val="21"/>
        </w:rPr>
        <w:t>溶于蒸馏水中</w:t>
      </w:r>
      <w:r>
        <w:rPr>
          <w:rFonts w:hint="eastAsia"/>
          <w:szCs w:val="21"/>
        </w:rPr>
        <w:t>，</w:t>
      </w:r>
      <w:proofErr w:type="gramStart"/>
      <w:r>
        <w:rPr>
          <w:szCs w:val="21"/>
        </w:rPr>
        <w:t>定容至</w:t>
      </w:r>
      <w:proofErr w:type="gramEnd"/>
      <w:r>
        <w:rPr>
          <w:szCs w:val="21"/>
        </w:rPr>
        <w:t xml:space="preserve"> 100mL</w:t>
      </w:r>
      <w:r>
        <w:rPr>
          <w:szCs w:val="21"/>
        </w:rPr>
        <w:t>，配制成</w:t>
      </w:r>
      <w:r>
        <w:rPr>
          <w:szCs w:val="21"/>
        </w:rPr>
        <w:t>0. 1</w:t>
      </w:r>
      <w:r>
        <w:rPr>
          <w:rFonts w:hint="eastAsia"/>
          <w:szCs w:val="21"/>
        </w:rPr>
        <w:t xml:space="preserve"> </w:t>
      </w:r>
      <w:r>
        <w:rPr>
          <w:szCs w:val="21"/>
        </w:rPr>
        <w:t>mol/L</w:t>
      </w:r>
      <w:r>
        <w:rPr>
          <w:szCs w:val="21"/>
        </w:rPr>
        <w:t>的铵储备液。将上述储备液稀释配制成</w:t>
      </w:r>
      <w:r>
        <w:rPr>
          <w:szCs w:val="21"/>
        </w:rPr>
        <w:t xml:space="preserve">1.0 </w:t>
      </w:r>
      <w:r>
        <w:rPr>
          <w:szCs w:val="21"/>
        </w:rPr>
        <w:t>、</w:t>
      </w:r>
      <w:r>
        <w:rPr>
          <w:szCs w:val="21"/>
        </w:rPr>
        <w:t xml:space="preserve">2.0 </w:t>
      </w:r>
      <w:r>
        <w:rPr>
          <w:szCs w:val="21"/>
        </w:rPr>
        <w:t>、</w:t>
      </w:r>
      <w:r>
        <w:rPr>
          <w:szCs w:val="21"/>
        </w:rPr>
        <w:t xml:space="preserve">3.0 </w:t>
      </w:r>
      <w:r>
        <w:rPr>
          <w:szCs w:val="21"/>
        </w:rPr>
        <w:t>、</w:t>
      </w:r>
      <w:r>
        <w:rPr>
          <w:szCs w:val="21"/>
        </w:rPr>
        <w:t xml:space="preserve">4.0 </w:t>
      </w:r>
      <w:r>
        <w:rPr>
          <w:szCs w:val="21"/>
        </w:rPr>
        <w:t>、</w:t>
      </w:r>
      <w:r>
        <w:rPr>
          <w:szCs w:val="21"/>
        </w:rPr>
        <w:t>5.0</w:t>
      </w:r>
      <w:r>
        <w:rPr>
          <w:rFonts w:hint="eastAsia"/>
          <w:szCs w:val="21"/>
        </w:rPr>
        <w:t xml:space="preserve"> </w:t>
      </w:r>
      <w:r>
        <w:rPr>
          <w:szCs w:val="21"/>
        </w:rPr>
        <w:t>mmol/L 5</w:t>
      </w:r>
      <w:r>
        <w:rPr>
          <w:szCs w:val="21"/>
        </w:rPr>
        <w:t>种不同浓度梯度的标准液。</w:t>
      </w:r>
    </w:p>
    <w:p w14:paraId="2784D540" w14:textId="77777777" w:rsidR="00DA2DBA" w:rsidRDefault="00000000">
      <w:pPr>
        <w:spacing w:line="360" w:lineRule="auto"/>
        <w:ind w:firstLineChars="200" w:firstLine="422"/>
        <w:rPr>
          <w:b/>
          <w:bCs/>
          <w:szCs w:val="21"/>
        </w:rPr>
      </w:pPr>
      <w:r>
        <w:rPr>
          <w:b/>
          <w:bCs/>
          <w:szCs w:val="21"/>
        </w:rPr>
        <w:t xml:space="preserve">B.3  </w:t>
      </w:r>
      <w:r>
        <w:rPr>
          <w:b/>
          <w:bCs/>
          <w:szCs w:val="21"/>
        </w:rPr>
        <w:t>测定分析</w:t>
      </w:r>
    </w:p>
    <w:p w14:paraId="06DCC3D3" w14:textId="77777777" w:rsidR="00DA2DBA" w:rsidRDefault="00000000">
      <w:pPr>
        <w:spacing w:line="360" w:lineRule="auto"/>
        <w:ind w:firstLineChars="200" w:firstLine="420"/>
        <w:rPr>
          <w:szCs w:val="21"/>
        </w:rPr>
      </w:pPr>
      <w:r>
        <w:rPr>
          <w:szCs w:val="21"/>
        </w:rPr>
        <w:t>分别向每支试管中加入</w:t>
      </w:r>
      <w:r>
        <w:rPr>
          <w:szCs w:val="21"/>
        </w:rPr>
        <w:t>50μL</w:t>
      </w:r>
      <w:r>
        <w:rPr>
          <w:szCs w:val="21"/>
        </w:rPr>
        <w:t>标准</w:t>
      </w:r>
      <w:proofErr w:type="gramStart"/>
      <w:r>
        <w:rPr>
          <w:szCs w:val="21"/>
        </w:rPr>
        <w:t>液或者</w:t>
      </w:r>
      <w:proofErr w:type="gramEnd"/>
      <w:r>
        <w:rPr>
          <w:szCs w:val="21"/>
        </w:rPr>
        <w:t>样本液</w:t>
      </w:r>
      <w:r>
        <w:rPr>
          <w:rFonts w:hint="eastAsia"/>
          <w:szCs w:val="21"/>
        </w:rPr>
        <w:t>，</w:t>
      </w:r>
      <w:r>
        <w:rPr>
          <w:szCs w:val="21"/>
        </w:rPr>
        <w:t>空白为</w:t>
      </w:r>
      <w:r>
        <w:rPr>
          <w:szCs w:val="21"/>
        </w:rPr>
        <w:t xml:space="preserve">50μL </w:t>
      </w:r>
      <w:r>
        <w:rPr>
          <w:szCs w:val="21"/>
        </w:rPr>
        <w:t>蒸馏水；向每支试管中加入</w:t>
      </w:r>
      <w:r>
        <w:rPr>
          <w:szCs w:val="21"/>
        </w:rPr>
        <w:t>2.5mL</w:t>
      </w:r>
      <w:r>
        <w:rPr>
          <w:szCs w:val="21"/>
        </w:rPr>
        <w:t>的苯酚试剂</w:t>
      </w:r>
      <w:r>
        <w:rPr>
          <w:rFonts w:hint="eastAsia"/>
          <w:szCs w:val="21"/>
        </w:rPr>
        <w:t>，</w:t>
      </w:r>
      <w:r>
        <w:rPr>
          <w:szCs w:val="21"/>
        </w:rPr>
        <w:t>摇匀；再向每支试管中加入</w:t>
      </w:r>
      <w:r>
        <w:rPr>
          <w:szCs w:val="21"/>
        </w:rPr>
        <w:t>2mL</w:t>
      </w:r>
      <w:r>
        <w:rPr>
          <w:szCs w:val="21"/>
        </w:rPr>
        <w:t>次氯酸钠试剂，并混匀；将混合液在</w:t>
      </w:r>
      <w:r>
        <w:rPr>
          <w:szCs w:val="21"/>
        </w:rPr>
        <w:t xml:space="preserve"> 95℃</w:t>
      </w:r>
      <w:r>
        <w:rPr>
          <w:szCs w:val="21"/>
        </w:rPr>
        <w:t>水浴中加热显色反应</w:t>
      </w:r>
      <w:r>
        <w:rPr>
          <w:szCs w:val="21"/>
        </w:rPr>
        <w:t xml:space="preserve"> 5min </w:t>
      </w:r>
      <w:r>
        <w:rPr>
          <w:szCs w:val="21"/>
        </w:rPr>
        <w:t>冷却后，在</w:t>
      </w:r>
      <w:r>
        <w:rPr>
          <w:szCs w:val="21"/>
        </w:rPr>
        <w:t xml:space="preserve">630nm </w:t>
      </w:r>
      <w:r>
        <w:rPr>
          <w:szCs w:val="21"/>
        </w:rPr>
        <w:t>波长下比色</w:t>
      </w:r>
      <w:r>
        <w:rPr>
          <w:rFonts w:hint="eastAsia"/>
          <w:szCs w:val="21"/>
        </w:rPr>
        <w:t>。</w:t>
      </w:r>
    </w:p>
    <w:p w14:paraId="27FA4664" w14:textId="77777777" w:rsidR="00DA2DBA" w:rsidRDefault="00000000">
      <w:pPr>
        <w:spacing w:line="360" w:lineRule="auto"/>
        <w:ind w:firstLineChars="200" w:firstLine="422"/>
        <w:rPr>
          <w:b/>
          <w:bCs/>
          <w:szCs w:val="21"/>
        </w:rPr>
      </w:pPr>
      <w:r>
        <w:rPr>
          <w:b/>
          <w:bCs/>
          <w:szCs w:val="21"/>
        </w:rPr>
        <w:t xml:space="preserve">B.4  </w:t>
      </w:r>
      <w:r>
        <w:rPr>
          <w:b/>
          <w:bCs/>
          <w:szCs w:val="21"/>
        </w:rPr>
        <w:t>分析计算</w:t>
      </w:r>
    </w:p>
    <w:p w14:paraId="515D97BD" w14:textId="77777777" w:rsidR="00DA2DBA" w:rsidRDefault="00000000">
      <w:pPr>
        <w:spacing w:line="360" w:lineRule="auto"/>
        <w:ind w:firstLineChars="200" w:firstLine="420"/>
        <w:rPr>
          <w:b/>
          <w:bCs/>
          <w:szCs w:val="21"/>
        </w:rPr>
      </w:pPr>
      <m:oMathPara>
        <m:oMath>
          <m:r>
            <m:rPr>
              <m:sty m:val="p"/>
            </m:rPr>
            <w:rPr>
              <w:rFonts w:ascii="Cambria Math" w:hAnsi="Cambria Math"/>
              <w:szCs w:val="21"/>
            </w:rPr>
            <m:t>氨态氮含量（</m:t>
          </m:r>
          <m:r>
            <m:rPr>
              <m:sty m:val="p"/>
            </m:rPr>
            <w:rPr>
              <w:rFonts w:ascii="Cambria Math" w:hAnsi="Cambria Math"/>
              <w:szCs w:val="21"/>
            </w:rPr>
            <m:t>g/kg</m:t>
          </m:r>
          <m:r>
            <m:rPr>
              <m:sty m:val="p"/>
            </m:rPr>
            <w:rPr>
              <w:rFonts w:ascii="Cambria Math" w:hAnsi="Cambria Math"/>
              <w:szCs w:val="21"/>
            </w:rPr>
            <m:t>）</m:t>
          </m:r>
          <m:r>
            <m:rPr>
              <m:sty m:val="bi"/>
            </m:rPr>
            <w:rPr>
              <w:rFonts w:ascii="Cambria Math" w:hAnsi="Cambria Math"/>
              <w:szCs w:val="21"/>
            </w:rPr>
            <m:t>=</m:t>
          </m:r>
          <m:f>
            <m:fPr>
              <m:ctrlPr>
                <w:rPr>
                  <w:rFonts w:ascii="Cambria Math" w:hAnsi="Cambria Math"/>
                  <w:b/>
                  <w:bCs/>
                  <w:i/>
                  <w:szCs w:val="21"/>
                </w:rPr>
              </m:ctrlPr>
            </m:fPr>
            <m:num>
              <m:r>
                <m:rPr>
                  <m:sty m:val="bi"/>
                </m:rPr>
                <w:rPr>
                  <w:rFonts w:ascii="Cambria Math" w:hAnsi="Cambria Math"/>
                  <w:szCs w:val="21"/>
                </w:rPr>
                <m:t>C×2×14×n×(V+a×b/1000)</m:t>
              </m:r>
            </m:num>
            <m:den>
              <m:r>
                <m:rPr>
                  <m:sty m:val="bi"/>
                </m:rPr>
                <w:rPr>
                  <w:rFonts w:ascii="Cambria Math" w:hAnsi="Cambria Math"/>
                  <w:szCs w:val="21"/>
                </w:rPr>
                <m:t>a</m:t>
              </m:r>
            </m:den>
          </m:f>
        </m:oMath>
      </m:oMathPara>
    </w:p>
    <w:p w14:paraId="39A97471" w14:textId="77777777" w:rsidR="00DA2DBA" w:rsidRDefault="00000000">
      <w:pPr>
        <w:spacing w:line="360" w:lineRule="auto"/>
        <w:ind w:firstLineChars="200" w:firstLine="420"/>
        <w:rPr>
          <w:szCs w:val="21"/>
        </w:rPr>
      </w:pPr>
      <w:r>
        <w:rPr>
          <w:szCs w:val="21"/>
        </w:rPr>
        <w:t>式中：</w:t>
      </w:r>
      <w:r>
        <w:rPr>
          <w:szCs w:val="21"/>
        </w:rPr>
        <w:t>C=</w:t>
      </w:r>
      <w:r>
        <w:rPr>
          <w:szCs w:val="21"/>
        </w:rPr>
        <w:t>标准曲线计算后，硫酸铵当量</w:t>
      </w:r>
      <w:r>
        <w:rPr>
          <w:szCs w:val="21"/>
        </w:rPr>
        <w:t>(mmol/L)</w:t>
      </w:r>
      <w:r>
        <w:rPr>
          <w:szCs w:val="21"/>
        </w:rPr>
        <w:t>；</w:t>
      </w:r>
      <w:r>
        <w:rPr>
          <w:szCs w:val="21"/>
        </w:rPr>
        <w:t>n=</w:t>
      </w:r>
      <w:r>
        <w:rPr>
          <w:szCs w:val="21"/>
        </w:rPr>
        <w:t>稀释倍数；</w:t>
      </w:r>
      <w:r>
        <w:rPr>
          <w:szCs w:val="21"/>
        </w:rPr>
        <w:t>V=</w:t>
      </w:r>
      <w:r>
        <w:rPr>
          <w:szCs w:val="21"/>
        </w:rPr>
        <w:t>浸提时水的体积（</w:t>
      </w:r>
      <w:r>
        <w:rPr>
          <w:szCs w:val="21"/>
        </w:rPr>
        <w:t>L</w:t>
      </w:r>
      <w:r>
        <w:rPr>
          <w:szCs w:val="21"/>
        </w:rPr>
        <w:t>）；</w:t>
      </w:r>
      <w:r>
        <w:rPr>
          <w:szCs w:val="21"/>
        </w:rPr>
        <w:t>a=</w:t>
      </w:r>
      <w:r>
        <w:rPr>
          <w:szCs w:val="21"/>
        </w:rPr>
        <w:t>浸提样品质量（</w:t>
      </w:r>
      <w:r>
        <w:rPr>
          <w:szCs w:val="21"/>
        </w:rPr>
        <w:t>g</w:t>
      </w:r>
      <w:r>
        <w:rPr>
          <w:szCs w:val="21"/>
        </w:rPr>
        <w:t>）；</w:t>
      </w:r>
      <w:r>
        <w:rPr>
          <w:szCs w:val="21"/>
        </w:rPr>
        <w:t>b=</w:t>
      </w:r>
      <w:r>
        <w:rPr>
          <w:szCs w:val="21"/>
        </w:rPr>
        <w:t>样品含水量</w:t>
      </w:r>
    </w:p>
    <w:p w14:paraId="06402558" w14:textId="77777777" w:rsidR="00042544" w:rsidRDefault="00042544">
      <w:pPr>
        <w:spacing w:line="360" w:lineRule="auto"/>
        <w:ind w:firstLineChars="200" w:firstLine="420"/>
        <w:rPr>
          <w:color w:val="C00000"/>
          <w:szCs w:val="21"/>
        </w:rPr>
      </w:pPr>
    </w:p>
    <w:p w14:paraId="4A97B8F2" w14:textId="4E899A35" w:rsidR="00DA2DBA" w:rsidRPr="00042544" w:rsidRDefault="00042544">
      <w:pPr>
        <w:spacing w:line="360" w:lineRule="auto"/>
        <w:ind w:firstLineChars="200" w:firstLine="420"/>
        <w:rPr>
          <w:color w:val="C00000"/>
          <w:szCs w:val="21"/>
          <w:u w:val="single"/>
        </w:rPr>
      </w:pPr>
      <w:r>
        <w:rPr>
          <w:rFonts w:hint="eastAsia"/>
          <w:color w:val="C00000"/>
          <w:szCs w:val="21"/>
        </w:rPr>
        <w:t xml:space="preserve">                             </w:t>
      </w:r>
      <w:r w:rsidRPr="00042544">
        <w:rPr>
          <w:rFonts w:hint="eastAsia"/>
          <w:color w:val="000000" w:themeColor="text1"/>
          <w:szCs w:val="21"/>
          <w:u w:val="single"/>
        </w:rPr>
        <w:t xml:space="preserve">                          </w:t>
      </w:r>
    </w:p>
    <w:sectPr w:rsidR="00DA2DBA" w:rsidRPr="00042544">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45ABA" w14:textId="77777777" w:rsidR="0025599B" w:rsidRDefault="0025599B">
      <w:r>
        <w:separator/>
      </w:r>
    </w:p>
  </w:endnote>
  <w:endnote w:type="continuationSeparator" w:id="0">
    <w:p w14:paraId="2B5AF9C0" w14:textId="77777777" w:rsidR="0025599B" w:rsidRDefault="0025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5865B" w14:textId="77777777" w:rsidR="00DA2DBA" w:rsidRDefault="00000000">
    <w:pPr>
      <w:pStyle w:val="af9"/>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2282F" w14:textId="77777777" w:rsidR="00DA2DBA" w:rsidRDefault="00000000">
    <w:pPr>
      <w:spacing w:line="176" w:lineRule="auto"/>
      <w:ind w:left="4717"/>
      <w:rPr>
        <w:rFonts w:eastAsia="Times New Roman"/>
        <w:sz w:val="18"/>
        <w:szCs w:val="18"/>
      </w:rPr>
    </w:pPr>
    <w:r>
      <w:rPr>
        <w:rFonts w:eastAsia="Times New Roman"/>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065ED" w14:textId="77777777" w:rsidR="00DA2DBA" w:rsidRDefault="00000000">
    <w:pPr>
      <w:pStyle w:val="af9"/>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09151" w14:textId="77777777" w:rsidR="0025599B" w:rsidRDefault="0025599B">
      <w:r>
        <w:separator/>
      </w:r>
    </w:p>
  </w:footnote>
  <w:footnote w:type="continuationSeparator" w:id="0">
    <w:p w14:paraId="3224A871" w14:textId="77777777" w:rsidR="0025599B" w:rsidRDefault="00255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0BBEE" w14:textId="77777777" w:rsidR="00132B83" w:rsidRDefault="00132B83">
    <w:pPr>
      <w:pStyle w:val="afa"/>
      <w:rPr>
        <w:b/>
      </w:rPr>
    </w:pPr>
  </w:p>
  <w:p w14:paraId="53999DA9" w14:textId="125A66A6" w:rsidR="00DA2DBA" w:rsidRDefault="00000000">
    <w:pPr>
      <w:pStyle w:val="afa"/>
      <w:rPr>
        <w:b/>
      </w:rPr>
    </w:pPr>
    <w:r>
      <w:rPr>
        <w:b/>
      </w:rPr>
      <w:t xml:space="preserve">T/HXCY </w:t>
    </w:r>
    <w:r>
      <w:rPr>
        <w:rFonts w:hint="eastAsia"/>
        <w:b/>
      </w:rPr>
      <w:t>XXX</w:t>
    </w:r>
    <w:r>
      <w:rPr>
        <w:b/>
      </w:rPr>
      <w:t>—</w:t>
    </w:r>
    <w:r>
      <w:rPr>
        <w:rFonts w:hint="eastAsia"/>
        <w:b/>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037270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clean"/>
  <w:defaultTabStop w:val="420"/>
  <w:drawingGridHorizontalSpacing w:val="105"/>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VlNGI4NGQ1OWNiMjZlYzRmODhmYWFmMDlkOGQxYjIifQ=="/>
  </w:docVars>
  <w:rsids>
    <w:rsidRoot w:val="00304E99"/>
    <w:rsid w:val="00006392"/>
    <w:rsid w:val="0001483B"/>
    <w:rsid w:val="000202BC"/>
    <w:rsid w:val="000423C4"/>
    <w:rsid w:val="00042544"/>
    <w:rsid w:val="000440C7"/>
    <w:rsid w:val="000443A6"/>
    <w:rsid w:val="00046CDB"/>
    <w:rsid w:val="00062F85"/>
    <w:rsid w:val="00066D27"/>
    <w:rsid w:val="000750F1"/>
    <w:rsid w:val="00077B6F"/>
    <w:rsid w:val="00082CF8"/>
    <w:rsid w:val="00084592"/>
    <w:rsid w:val="000934B8"/>
    <w:rsid w:val="000B17C4"/>
    <w:rsid w:val="000B199D"/>
    <w:rsid w:val="000B24FE"/>
    <w:rsid w:val="000B3BBF"/>
    <w:rsid w:val="000B6FCC"/>
    <w:rsid w:val="000C2C97"/>
    <w:rsid w:val="000C4D23"/>
    <w:rsid w:val="000D0859"/>
    <w:rsid w:val="000D3DC3"/>
    <w:rsid w:val="000D5D1A"/>
    <w:rsid w:val="000D6266"/>
    <w:rsid w:val="000F1942"/>
    <w:rsid w:val="000F7D79"/>
    <w:rsid w:val="00101187"/>
    <w:rsid w:val="001101A2"/>
    <w:rsid w:val="00113CD7"/>
    <w:rsid w:val="001233FF"/>
    <w:rsid w:val="00132B83"/>
    <w:rsid w:val="0013368E"/>
    <w:rsid w:val="00143987"/>
    <w:rsid w:val="00145745"/>
    <w:rsid w:val="001479EB"/>
    <w:rsid w:val="001515BD"/>
    <w:rsid w:val="00157801"/>
    <w:rsid w:val="00161FCB"/>
    <w:rsid w:val="00165C18"/>
    <w:rsid w:val="00167E0B"/>
    <w:rsid w:val="00173F7C"/>
    <w:rsid w:val="0018554A"/>
    <w:rsid w:val="001A1065"/>
    <w:rsid w:val="001A1AFA"/>
    <w:rsid w:val="001A4138"/>
    <w:rsid w:val="001A56A0"/>
    <w:rsid w:val="001B2228"/>
    <w:rsid w:val="001B4D6C"/>
    <w:rsid w:val="001C4C06"/>
    <w:rsid w:val="001D4166"/>
    <w:rsid w:val="002022EF"/>
    <w:rsid w:val="00202DCD"/>
    <w:rsid w:val="0020364A"/>
    <w:rsid w:val="00215618"/>
    <w:rsid w:val="0021638B"/>
    <w:rsid w:val="0022284C"/>
    <w:rsid w:val="0023600C"/>
    <w:rsid w:val="00236E9B"/>
    <w:rsid w:val="00247983"/>
    <w:rsid w:val="00254D04"/>
    <w:rsid w:val="0025599B"/>
    <w:rsid w:val="002648C6"/>
    <w:rsid w:val="002708E8"/>
    <w:rsid w:val="00270993"/>
    <w:rsid w:val="00281F76"/>
    <w:rsid w:val="002C4A86"/>
    <w:rsid w:val="002C63A0"/>
    <w:rsid w:val="002D2553"/>
    <w:rsid w:val="002E0CEC"/>
    <w:rsid w:val="002E3F4D"/>
    <w:rsid w:val="002F12A8"/>
    <w:rsid w:val="002F32BE"/>
    <w:rsid w:val="00304E99"/>
    <w:rsid w:val="0030624B"/>
    <w:rsid w:val="00310B94"/>
    <w:rsid w:val="003167EE"/>
    <w:rsid w:val="003302AD"/>
    <w:rsid w:val="00330773"/>
    <w:rsid w:val="003341D0"/>
    <w:rsid w:val="003347C4"/>
    <w:rsid w:val="00341AB9"/>
    <w:rsid w:val="003424C0"/>
    <w:rsid w:val="003424EC"/>
    <w:rsid w:val="00350F20"/>
    <w:rsid w:val="003658CF"/>
    <w:rsid w:val="00366CF5"/>
    <w:rsid w:val="00367250"/>
    <w:rsid w:val="00371362"/>
    <w:rsid w:val="00374112"/>
    <w:rsid w:val="00381BFE"/>
    <w:rsid w:val="00381EFE"/>
    <w:rsid w:val="003922C0"/>
    <w:rsid w:val="00392F18"/>
    <w:rsid w:val="00395600"/>
    <w:rsid w:val="00396CDF"/>
    <w:rsid w:val="003A4DEF"/>
    <w:rsid w:val="003B3575"/>
    <w:rsid w:val="003B62A4"/>
    <w:rsid w:val="003C066D"/>
    <w:rsid w:val="003C2614"/>
    <w:rsid w:val="003D27CB"/>
    <w:rsid w:val="004102AC"/>
    <w:rsid w:val="004217A6"/>
    <w:rsid w:val="0043048F"/>
    <w:rsid w:val="0043161C"/>
    <w:rsid w:val="00440AB2"/>
    <w:rsid w:val="004410B3"/>
    <w:rsid w:val="00447164"/>
    <w:rsid w:val="00447335"/>
    <w:rsid w:val="00460D11"/>
    <w:rsid w:val="00462C0A"/>
    <w:rsid w:val="004644A7"/>
    <w:rsid w:val="0047670E"/>
    <w:rsid w:val="0048550F"/>
    <w:rsid w:val="00486694"/>
    <w:rsid w:val="004C1E30"/>
    <w:rsid w:val="004C54B5"/>
    <w:rsid w:val="004D1CC2"/>
    <w:rsid w:val="004E59CF"/>
    <w:rsid w:val="004F043E"/>
    <w:rsid w:val="00503CCE"/>
    <w:rsid w:val="00525436"/>
    <w:rsid w:val="00531CC0"/>
    <w:rsid w:val="0053466A"/>
    <w:rsid w:val="00541174"/>
    <w:rsid w:val="005510DD"/>
    <w:rsid w:val="005528B8"/>
    <w:rsid w:val="00552E7D"/>
    <w:rsid w:val="00554CB3"/>
    <w:rsid w:val="0056077D"/>
    <w:rsid w:val="00586FEC"/>
    <w:rsid w:val="005969E6"/>
    <w:rsid w:val="005A0FB6"/>
    <w:rsid w:val="005A4144"/>
    <w:rsid w:val="005A699C"/>
    <w:rsid w:val="005B6CB1"/>
    <w:rsid w:val="005B7D3E"/>
    <w:rsid w:val="005E3ECF"/>
    <w:rsid w:val="005E5927"/>
    <w:rsid w:val="005F0D0E"/>
    <w:rsid w:val="006072F3"/>
    <w:rsid w:val="006114AB"/>
    <w:rsid w:val="0061649F"/>
    <w:rsid w:val="006215C9"/>
    <w:rsid w:val="0065252F"/>
    <w:rsid w:val="00673B8B"/>
    <w:rsid w:val="006812B9"/>
    <w:rsid w:val="006871C5"/>
    <w:rsid w:val="00692FA7"/>
    <w:rsid w:val="006A0518"/>
    <w:rsid w:val="006A0828"/>
    <w:rsid w:val="006A0BDB"/>
    <w:rsid w:val="006A2C07"/>
    <w:rsid w:val="006A7103"/>
    <w:rsid w:val="006B77C2"/>
    <w:rsid w:val="006D2362"/>
    <w:rsid w:val="006E4CF6"/>
    <w:rsid w:val="006E7170"/>
    <w:rsid w:val="006F15EF"/>
    <w:rsid w:val="006F75A8"/>
    <w:rsid w:val="00704784"/>
    <w:rsid w:val="00704C27"/>
    <w:rsid w:val="00706AA5"/>
    <w:rsid w:val="007123B0"/>
    <w:rsid w:val="00721A6E"/>
    <w:rsid w:val="00724C13"/>
    <w:rsid w:val="00734F77"/>
    <w:rsid w:val="00744D32"/>
    <w:rsid w:val="00750429"/>
    <w:rsid w:val="00756003"/>
    <w:rsid w:val="00760FE3"/>
    <w:rsid w:val="007709C1"/>
    <w:rsid w:val="00776666"/>
    <w:rsid w:val="007C017E"/>
    <w:rsid w:val="007C1162"/>
    <w:rsid w:val="007D24AC"/>
    <w:rsid w:val="007D321F"/>
    <w:rsid w:val="007F20CD"/>
    <w:rsid w:val="0080463E"/>
    <w:rsid w:val="008107F5"/>
    <w:rsid w:val="008130D9"/>
    <w:rsid w:val="00816646"/>
    <w:rsid w:val="008224FD"/>
    <w:rsid w:val="0083013D"/>
    <w:rsid w:val="00847794"/>
    <w:rsid w:val="00854796"/>
    <w:rsid w:val="008557B5"/>
    <w:rsid w:val="00856CB6"/>
    <w:rsid w:val="00861E19"/>
    <w:rsid w:val="00862069"/>
    <w:rsid w:val="00870E21"/>
    <w:rsid w:val="0087700F"/>
    <w:rsid w:val="008A6B40"/>
    <w:rsid w:val="008C4B8B"/>
    <w:rsid w:val="008D26C0"/>
    <w:rsid w:val="008D5C24"/>
    <w:rsid w:val="008E5006"/>
    <w:rsid w:val="008F2B00"/>
    <w:rsid w:val="008F2EAC"/>
    <w:rsid w:val="00902596"/>
    <w:rsid w:val="009032F7"/>
    <w:rsid w:val="00906F4C"/>
    <w:rsid w:val="00912F2B"/>
    <w:rsid w:val="00917D83"/>
    <w:rsid w:val="009225DE"/>
    <w:rsid w:val="0092557E"/>
    <w:rsid w:val="00927CCD"/>
    <w:rsid w:val="00941F57"/>
    <w:rsid w:val="00960BC8"/>
    <w:rsid w:val="00965F90"/>
    <w:rsid w:val="00966F2A"/>
    <w:rsid w:val="00987C82"/>
    <w:rsid w:val="00991E2A"/>
    <w:rsid w:val="009921DE"/>
    <w:rsid w:val="009A41FD"/>
    <w:rsid w:val="009B0621"/>
    <w:rsid w:val="009B3FF3"/>
    <w:rsid w:val="009D66DB"/>
    <w:rsid w:val="009E5C06"/>
    <w:rsid w:val="009F36BB"/>
    <w:rsid w:val="009F42E1"/>
    <w:rsid w:val="009F7D4E"/>
    <w:rsid w:val="00A145A3"/>
    <w:rsid w:val="00A3295D"/>
    <w:rsid w:val="00A3726E"/>
    <w:rsid w:val="00A42ECA"/>
    <w:rsid w:val="00A83BF9"/>
    <w:rsid w:val="00A852EE"/>
    <w:rsid w:val="00A95DCC"/>
    <w:rsid w:val="00AA7D1C"/>
    <w:rsid w:val="00AB1510"/>
    <w:rsid w:val="00AB7936"/>
    <w:rsid w:val="00AC2FB7"/>
    <w:rsid w:val="00AC7E5B"/>
    <w:rsid w:val="00AE0502"/>
    <w:rsid w:val="00AE3EEB"/>
    <w:rsid w:val="00AF5F9B"/>
    <w:rsid w:val="00B00468"/>
    <w:rsid w:val="00B25081"/>
    <w:rsid w:val="00B32E2F"/>
    <w:rsid w:val="00B63DCB"/>
    <w:rsid w:val="00B67EB1"/>
    <w:rsid w:val="00B756DD"/>
    <w:rsid w:val="00B83ADB"/>
    <w:rsid w:val="00B849BC"/>
    <w:rsid w:val="00B878B1"/>
    <w:rsid w:val="00B95871"/>
    <w:rsid w:val="00BA357F"/>
    <w:rsid w:val="00BA3FA4"/>
    <w:rsid w:val="00BD2623"/>
    <w:rsid w:val="00BD3607"/>
    <w:rsid w:val="00BE579E"/>
    <w:rsid w:val="00BF66CC"/>
    <w:rsid w:val="00C105C3"/>
    <w:rsid w:val="00C1212A"/>
    <w:rsid w:val="00C1566A"/>
    <w:rsid w:val="00C222F8"/>
    <w:rsid w:val="00C24C67"/>
    <w:rsid w:val="00C42DD2"/>
    <w:rsid w:val="00C47C47"/>
    <w:rsid w:val="00C5543D"/>
    <w:rsid w:val="00C554F9"/>
    <w:rsid w:val="00C608E3"/>
    <w:rsid w:val="00C627AF"/>
    <w:rsid w:val="00C84659"/>
    <w:rsid w:val="00C91F75"/>
    <w:rsid w:val="00CA120D"/>
    <w:rsid w:val="00CC1366"/>
    <w:rsid w:val="00CD4F37"/>
    <w:rsid w:val="00CD64FC"/>
    <w:rsid w:val="00CE2783"/>
    <w:rsid w:val="00CE3440"/>
    <w:rsid w:val="00CE45E4"/>
    <w:rsid w:val="00CE5E94"/>
    <w:rsid w:val="00CF063A"/>
    <w:rsid w:val="00D105EC"/>
    <w:rsid w:val="00D20B41"/>
    <w:rsid w:val="00D24338"/>
    <w:rsid w:val="00D2785A"/>
    <w:rsid w:val="00D3587B"/>
    <w:rsid w:val="00D516DD"/>
    <w:rsid w:val="00D52716"/>
    <w:rsid w:val="00D554ED"/>
    <w:rsid w:val="00D56D6A"/>
    <w:rsid w:val="00D6177F"/>
    <w:rsid w:val="00D62DA0"/>
    <w:rsid w:val="00D63404"/>
    <w:rsid w:val="00D842BE"/>
    <w:rsid w:val="00D91C28"/>
    <w:rsid w:val="00DA2DBA"/>
    <w:rsid w:val="00DA5F30"/>
    <w:rsid w:val="00DB4FC6"/>
    <w:rsid w:val="00DC68C9"/>
    <w:rsid w:val="00DF032A"/>
    <w:rsid w:val="00DF6125"/>
    <w:rsid w:val="00E01C48"/>
    <w:rsid w:val="00E02681"/>
    <w:rsid w:val="00E02A5C"/>
    <w:rsid w:val="00E119AE"/>
    <w:rsid w:val="00E11F0A"/>
    <w:rsid w:val="00E4543F"/>
    <w:rsid w:val="00E46D0F"/>
    <w:rsid w:val="00E46E17"/>
    <w:rsid w:val="00E516F8"/>
    <w:rsid w:val="00E6053D"/>
    <w:rsid w:val="00E61B77"/>
    <w:rsid w:val="00E6284A"/>
    <w:rsid w:val="00E63B13"/>
    <w:rsid w:val="00E67F20"/>
    <w:rsid w:val="00E71F1D"/>
    <w:rsid w:val="00E84886"/>
    <w:rsid w:val="00E916C2"/>
    <w:rsid w:val="00E95BB2"/>
    <w:rsid w:val="00EA4D9C"/>
    <w:rsid w:val="00EA7108"/>
    <w:rsid w:val="00EB28E3"/>
    <w:rsid w:val="00EB2B28"/>
    <w:rsid w:val="00EB2F4A"/>
    <w:rsid w:val="00EB4676"/>
    <w:rsid w:val="00EB5247"/>
    <w:rsid w:val="00EB5568"/>
    <w:rsid w:val="00EB7E60"/>
    <w:rsid w:val="00ED1D21"/>
    <w:rsid w:val="00F01803"/>
    <w:rsid w:val="00F130C2"/>
    <w:rsid w:val="00F26040"/>
    <w:rsid w:val="00F4087E"/>
    <w:rsid w:val="00F41E7E"/>
    <w:rsid w:val="00F544CD"/>
    <w:rsid w:val="00F54C67"/>
    <w:rsid w:val="00F76FCF"/>
    <w:rsid w:val="00F81ABC"/>
    <w:rsid w:val="00F8664E"/>
    <w:rsid w:val="00F93AB5"/>
    <w:rsid w:val="00F976B4"/>
    <w:rsid w:val="00FA4904"/>
    <w:rsid w:val="00FC0FA6"/>
    <w:rsid w:val="00FD7B35"/>
    <w:rsid w:val="00FE020E"/>
    <w:rsid w:val="00FF5212"/>
    <w:rsid w:val="00FF60BA"/>
    <w:rsid w:val="013B4944"/>
    <w:rsid w:val="016814B1"/>
    <w:rsid w:val="017460A8"/>
    <w:rsid w:val="01973B44"/>
    <w:rsid w:val="019F5554"/>
    <w:rsid w:val="019F640E"/>
    <w:rsid w:val="01BE7323"/>
    <w:rsid w:val="01BF37C7"/>
    <w:rsid w:val="01C42B8B"/>
    <w:rsid w:val="01E46D89"/>
    <w:rsid w:val="02021905"/>
    <w:rsid w:val="02186A33"/>
    <w:rsid w:val="021A6C4F"/>
    <w:rsid w:val="02441F1E"/>
    <w:rsid w:val="025B2DC4"/>
    <w:rsid w:val="028265A2"/>
    <w:rsid w:val="028642E4"/>
    <w:rsid w:val="02BF15A4"/>
    <w:rsid w:val="02F72AEC"/>
    <w:rsid w:val="030376E3"/>
    <w:rsid w:val="03092820"/>
    <w:rsid w:val="03123DCA"/>
    <w:rsid w:val="031713E0"/>
    <w:rsid w:val="035D3297"/>
    <w:rsid w:val="0361265C"/>
    <w:rsid w:val="036B4574"/>
    <w:rsid w:val="037C1244"/>
    <w:rsid w:val="038D16A3"/>
    <w:rsid w:val="03C652EA"/>
    <w:rsid w:val="03D70F06"/>
    <w:rsid w:val="03E312C3"/>
    <w:rsid w:val="04043812"/>
    <w:rsid w:val="042A6EF2"/>
    <w:rsid w:val="045D2E23"/>
    <w:rsid w:val="04A15406"/>
    <w:rsid w:val="04A57852"/>
    <w:rsid w:val="04AC7907"/>
    <w:rsid w:val="04B52C5F"/>
    <w:rsid w:val="04BA64C7"/>
    <w:rsid w:val="04C42EA2"/>
    <w:rsid w:val="04CD61FB"/>
    <w:rsid w:val="04D550AF"/>
    <w:rsid w:val="04E83035"/>
    <w:rsid w:val="04EA6DAD"/>
    <w:rsid w:val="04EF43C3"/>
    <w:rsid w:val="04F33787"/>
    <w:rsid w:val="04F73278"/>
    <w:rsid w:val="051F457C"/>
    <w:rsid w:val="05311D4D"/>
    <w:rsid w:val="05490638"/>
    <w:rsid w:val="05500BDA"/>
    <w:rsid w:val="055C132D"/>
    <w:rsid w:val="05662134"/>
    <w:rsid w:val="057C377D"/>
    <w:rsid w:val="0584422D"/>
    <w:rsid w:val="05B44CC5"/>
    <w:rsid w:val="05E337FC"/>
    <w:rsid w:val="061439B5"/>
    <w:rsid w:val="065336FB"/>
    <w:rsid w:val="06693D01"/>
    <w:rsid w:val="069074E0"/>
    <w:rsid w:val="06930D7E"/>
    <w:rsid w:val="06B56F46"/>
    <w:rsid w:val="06F85085"/>
    <w:rsid w:val="06F97061"/>
    <w:rsid w:val="073267E9"/>
    <w:rsid w:val="07350087"/>
    <w:rsid w:val="075B77ED"/>
    <w:rsid w:val="07852DBD"/>
    <w:rsid w:val="07903EBE"/>
    <w:rsid w:val="07DB29DD"/>
    <w:rsid w:val="07DE427B"/>
    <w:rsid w:val="07F67816"/>
    <w:rsid w:val="080041F1"/>
    <w:rsid w:val="0842480A"/>
    <w:rsid w:val="08634780"/>
    <w:rsid w:val="086504F8"/>
    <w:rsid w:val="087C68B3"/>
    <w:rsid w:val="08915791"/>
    <w:rsid w:val="089A2898"/>
    <w:rsid w:val="089B216C"/>
    <w:rsid w:val="089C5DBB"/>
    <w:rsid w:val="08A13C26"/>
    <w:rsid w:val="08CB2A51"/>
    <w:rsid w:val="090B6B8E"/>
    <w:rsid w:val="090E6DE2"/>
    <w:rsid w:val="093E76C7"/>
    <w:rsid w:val="09722ECD"/>
    <w:rsid w:val="0983332C"/>
    <w:rsid w:val="098D5F59"/>
    <w:rsid w:val="099B68C7"/>
    <w:rsid w:val="09AA6B0A"/>
    <w:rsid w:val="09F45FD8"/>
    <w:rsid w:val="0A0D7099"/>
    <w:rsid w:val="0A1C72DC"/>
    <w:rsid w:val="0A1E12A6"/>
    <w:rsid w:val="0A2C5771"/>
    <w:rsid w:val="0A2D3298"/>
    <w:rsid w:val="0A3D797F"/>
    <w:rsid w:val="0A4A209B"/>
    <w:rsid w:val="0A6D7B38"/>
    <w:rsid w:val="0A844571"/>
    <w:rsid w:val="0A856C30"/>
    <w:rsid w:val="0AB3379D"/>
    <w:rsid w:val="0AF50259"/>
    <w:rsid w:val="0AFB3396"/>
    <w:rsid w:val="0B505490"/>
    <w:rsid w:val="0B6131F9"/>
    <w:rsid w:val="0B8415DD"/>
    <w:rsid w:val="0B923801"/>
    <w:rsid w:val="0BA94BA0"/>
    <w:rsid w:val="0BCA5242"/>
    <w:rsid w:val="0BE502CE"/>
    <w:rsid w:val="0BEF6A57"/>
    <w:rsid w:val="0BFE6C9A"/>
    <w:rsid w:val="0C2801BA"/>
    <w:rsid w:val="0C28640C"/>
    <w:rsid w:val="0C3B6140"/>
    <w:rsid w:val="0C4274CE"/>
    <w:rsid w:val="0C476893"/>
    <w:rsid w:val="0C48260B"/>
    <w:rsid w:val="0C5114BF"/>
    <w:rsid w:val="0C526FE5"/>
    <w:rsid w:val="0C580AA0"/>
    <w:rsid w:val="0C871385"/>
    <w:rsid w:val="0C8D626F"/>
    <w:rsid w:val="0CA84E57"/>
    <w:rsid w:val="0CC003F3"/>
    <w:rsid w:val="0CD143AE"/>
    <w:rsid w:val="0CDD0FA5"/>
    <w:rsid w:val="0CE340E1"/>
    <w:rsid w:val="0D026C5D"/>
    <w:rsid w:val="0D103128"/>
    <w:rsid w:val="0D2564A8"/>
    <w:rsid w:val="0D4C612B"/>
    <w:rsid w:val="0D5F5E5E"/>
    <w:rsid w:val="0D605732"/>
    <w:rsid w:val="0D815DD4"/>
    <w:rsid w:val="0D8E0503"/>
    <w:rsid w:val="0D9F53BE"/>
    <w:rsid w:val="0DE63E89"/>
    <w:rsid w:val="0DED5218"/>
    <w:rsid w:val="0DF5231E"/>
    <w:rsid w:val="0E197DBB"/>
    <w:rsid w:val="0E686F94"/>
    <w:rsid w:val="0E9E4764"/>
    <w:rsid w:val="0EAC0C2F"/>
    <w:rsid w:val="0EB21FBD"/>
    <w:rsid w:val="0ED168E7"/>
    <w:rsid w:val="0F052A35"/>
    <w:rsid w:val="0F0E18EA"/>
    <w:rsid w:val="0F1A64E0"/>
    <w:rsid w:val="0F234C69"/>
    <w:rsid w:val="0F615EBD"/>
    <w:rsid w:val="0F724E95"/>
    <w:rsid w:val="0FBC1346"/>
    <w:rsid w:val="0FCB77DB"/>
    <w:rsid w:val="10030D22"/>
    <w:rsid w:val="10042CED"/>
    <w:rsid w:val="10053F70"/>
    <w:rsid w:val="10246EEB"/>
    <w:rsid w:val="102D3FF1"/>
    <w:rsid w:val="103510F8"/>
    <w:rsid w:val="10797237"/>
    <w:rsid w:val="10B85FB1"/>
    <w:rsid w:val="10C06C14"/>
    <w:rsid w:val="10C2298C"/>
    <w:rsid w:val="10F468BD"/>
    <w:rsid w:val="11254CC9"/>
    <w:rsid w:val="11276C93"/>
    <w:rsid w:val="112847B9"/>
    <w:rsid w:val="116C6D9B"/>
    <w:rsid w:val="11763776"/>
    <w:rsid w:val="118539B9"/>
    <w:rsid w:val="11934328"/>
    <w:rsid w:val="11A2456B"/>
    <w:rsid w:val="11F12DFD"/>
    <w:rsid w:val="11F254F3"/>
    <w:rsid w:val="12274A70"/>
    <w:rsid w:val="122B27B2"/>
    <w:rsid w:val="123C676E"/>
    <w:rsid w:val="12747CB6"/>
    <w:rsid w:val="12902616"/>
    <w:rsid w:val="129245E0"/>
    <w:rsid w:val="12AB56A1"/>
    <w:rsid w:val="12AF6F40"/>
    <w:rsid w:val="12C30C3D"/>
    <w:rsid w:val="12EC1F42"/>
    <w:rsid w:val="12F11306"/>
    <w:rsid w:val="13225964"/>
    <w:rsid w:val="13327384"/>
    <w:rsid w:val="134D0507"/>
    <w:rsid w:val="137D5290"/>
    <w:rsid w:val="1384217A"/>
    <w:rsid w:val="138A175B"/>
    <w:rsid w:val="138C102F"/>
    <w:rsid w:val="13A22600"/>
    <w:rsid w:val="13A75E69"/>
    <w:rsid w:val="13B011C1"/>
    <w:rsid w:val="13EC5F71"/>
    <w:rsid w:val="13F54E26"/>
    <w:rsid w:val="14060DE1"/>
    <w:rsid w:val="141A2ADF"/>
    <w:rsid w:val="141B23B3"/>
    <w:rsid w:val="141D437D"/>
    <w:rsid w:val="14237BE5"/>
    <w:rsid w:val="142676D5"/>
    <w:rsid w:val="14472F5A"/>
    <w:rsid w:val="144933C4"/>
    <w:rsid w:val="145C6C53"/>
    <w:rsid w:val="14A10B0A"/>
    <w:rsid w:val="14B20F69"/>
    <w:rsid w:val="14BF71E2"/>
    <w:rsid w:val="14C50C9C"/>
    <w:rsid w:val="14E60C13"/>
    <w:rsid w:val="152359C3"/>
    <w:rsid w:val="15542020"/>
    <w:rsid w:val="15C251DC"/>
    <w:rsid w:val="15C745A0"/>
    <w:rsid w:val="15EC4007"/>
    <w:rsid w:val="15F35395"/>
    <w:rsid w:val="15F555B1"/>
    <w:rsid w:val="1642631D"/>
    <w:rsid w:val="16461969"/>
    <w:rsid w:val="16774218"/>
    <w:rsid w:val="16797F90"/>
    <w:rsid w:val="168B3820"/>
    <w:rsid w:val="16970417"/>
    <w:rsid w:val="16A20B69"/>
    <w:rsid w:val="16B94831"/>
    <w:rsid w:val="16D927DD"/>
    <w:rsid w:val="16DE1BA1"/>
    <w:rsid w:val="173B3498"/>
    <w:rsid w:val="175D340E"/>
    <w:rsid w:val="17606A5A"/>
    <w:rsid w:val="1776627E"/>
    <w:rsid w:val="17824C23"/>
    <w:rsid w:val="17944956"/>
    <w:rsid w:val="17B2302E"/>
    <w:rsid w:val="17EB6C6C"/>
    <w:rsid w:val="18023FB5"/>
    <w:rsid w:val="1867206B"/>
    <w:rsid w:val="1881312C"/>
    <w:rsid w:val="189746FE"/>
    <w:rsid w:val="189A5F9C"/>
    <w:rsid w:val="18A230A3"/>
    <w:rsid w:val="18C33745"/>
    <w:rsid w:val="18D45952"/>
    <w:rsid w:val="18EE62E8"/>
    <w:rsid w:val="18F338FE"/>
    <w:rsid w:val="18FF22A3"/>
    <w:rsid w:val="19067AD5"/>
    <w:rsid w:val="191F46F3"/>
    <w:rsid w:val="192A37C4"/>
    <w:rsid w:val="19314B52"/>
    <w:rsid w:val="19540841"/>
    <w:rsid w:val="1977008B"/>
    <w:rsid w:val="197B401F"/>
    <w:rsid w:val="19A370D2"/>
    <w:rsid w:val="19D35C0A"/>
    <w:rsid w:val="19D674A8"/>
    <w:rsid w:val="1A1B4EBB"/>
    <w:rsid w:val="1A295829"/>
    <w:rsid w:val="1A58610F"/>
    <w:rsid w:val="1A642D06"/>
    <w:rsid w:val="1A676352"/>
    <w:rsid w:val="1A8E38DF"/>
    <w:rsid w:val="1A907657"/>
    <w:rsid w:val="1A9F5AEC"/>
    <w:rsid w:val="1ACE63D1"/>
    <w:rsid w:val="1AFA0F74"/>
    <w:rsid w:val="1B0439F4"/>
    <w:rsid w:val="1B193AF0"/>
    <w:rsid w:val="1B300E3A"/>
    <w:rsid w:val="1B534B7E"/>
    <w:rsid w:val="1BA60BBF"/>
    <w:rsid w:val="1BAA0BEC"/>
    <w:rsid w:val="1BAC6712"/>
    <w:rsid w:val="1BCC0B62"/>
    <w:rsid w:val="1BE539D2"/>
    <w:rsid w:val="1BE97638"/>
    <w:rsid w:val="1BF260EF"/>
    <w:rsid w:val="1C27223D"/>
    <w:rsid w:val="1C33473D"/>
    <w:rsid w:val="1C4032FE"/>
    <w:rsid w:val="1C672639"/>
    <w:rsid w:val="1C7F5BD5"/>
    <w:rsid w:val="1C821221"/>
    <w:rsid w:val="1C84143D"/>
    <w:rsid w:val="1C976715"/>
    <w:rsid w:val="1CA92C52"/>
    <w:rsid w:val="1CB56A05"/>
    <w:rsid w:val="1CB82E95"/>
    <w:rsid w:val="1CBD04AB"/>
    <w:rsid w:val="1D352737"/>
    <w:rsid w:val="1D3544E5"/>
    <w:rsid w:val="1D5801D4"/>
    <w:rsid w:val="1D644DCB"/>
    <w:rsid w:val="1DB01DBE"/>
    <w:rsid w:val="1DC31AF1"/>
    <w:rsid w:val="1DD500E8"/>
    <w:rsid w:val="1DF93765"/>
    <w:rsid w:val="1E1660C5"/>
    <w:rsid w:val="1E4A3FC0"/>
    <w:rsid w:val="1E674B72"/>
    <w:rsid w:val="1E8C45D9"/>
    <w:rsid w:val="1EA062D6"/>
    <w:rsid w:val="1ED76E55"/>
    <w:rsid w:val="1F0E1492"/>
    <w:rsid w:val="1F494278"/>
    <w:rsid w:val="1F6B41EE"/>
    <w:rsid w:val="1F8B068C"/>
    <w:rsid w:val="1F933745"/>
    <w:rsid w:val="1F9F033C"/>
    <w:rsid w:val="1FC14756"/>
    <w:rsid w:val="1FE43FA1"/>
    <w:rsid w:val="1FEC17D3"/>
    <w:rsid w:val="1FF22B62"/>
    <w:rsid w:val="200D1749"/>
    <w:rsid w:val="20104D96"/>
    <w:rsid w:val="20140D2A"/>
    <w:rsid w:val="202F16C0"/>
    <w:rsid w:val="203171E6"/>
    <w:rsid w:val="20401B1F"/>
    <w:rsid w:val="206F7D0E"/>
    <w:rsid w:val="20923636"/>
    <w:rsid w:val="209B4FA7"/>
    <w:rsid w:val="20A756FA"/>
    <w:rsid w:val="20C20786"/>
    <w:rsid w:val="215C4736"/>
    <w:rsid w:val="216655B5"/>
    <w:rsid w:val="218872DA"/>
    <w:rsid w:val="219313DF"/>
    <w:rsid w:val="21B26104"/>
    <w:rsid w:val="21C30312"/>
    <w:rsid w:val="21C36564"/>
    <w:rsid w:val="21F7620D"/>
    <w:rsid w:val="22097CEF"/>
    <w:rsid w:val="224376A4"/>
    <w:rsid w:val="224D0523"/>
    <w:rsid w:val="229121BE"/>
    <w:rsid w:val="22C205C9"/>
    <w:rsid w:val="22CE51C0"/>
    <w:rsid w:val="22D327D6"/>
    <w:rsid w:val="22E542B8"/>
    <w:rsid w:val="22EF5136"/>
    <w:rsid w:val="231057D9"/>
    <w:rsid w:val="231F5A1C"/>
    <w:rsid w:val="23452FA8"/>
    <w:rsid w:val="235A2EF8"/>
    <w:rsid w:val="238E494F"/>
    <w:rsid w:val="23A10B26"/>
    <w:rsid w:val="23BF2D5B"/>
    <w:rsid w:val="23CB5BA3"/>
    <w:rsid w:val="23D04F68"/>
    <w:rsid w:val="23DD1433"/>
    <w:rsid w:val="23DE5D12"/>
    <w:rsid w:val="23F073B8"/>
    <w:rsid w:val="24637B8A"/>
    <w:rsid w:val="246A53BC"/>
    <w:rsid w:val="246F29D3"/>
    <w:rsid w:val="248C70E1"/>
    <w:rsid w:val="249917FE"/>
    <w:rsid w:val="24A00DDE"/>
    <w:rsid w:val="24AF4B7D"/>
    <w:rsid w:val="24D40A88"/>
    <w:rsid w:val="24DB3BC4"/>
    <w:rsid w:val="24E707BB"/>
    <w:rsid w:val="25050C41"/>
    <w:rsid w:val="25090731"/>
    <w:rsid w:val="2527505B"/>
    <w:rsid w:val="252A06A8"/>
    <w:rsid w:val="254E25E8"/>
    <w:rsid w:val="2572277A"/>
    <w:rsid w:val="25981AB5"/>
    <w:rsid w:val="25A77F4A"/>
    <w:rsid w:val="25B032A3"/>
    <w:rsid w:val="25C40AFC"/>
    <w:rsid w:val="25DA3E7C"/>
    <w:rsid w:val="25F56F08"/>
    <w:rsid w:val="25FA62CC"/>
    <w:rsid w:val="262D48F3"/>
    <w:rsid w:val="26345C82"/>
    <w:rsid w:val="26377520"/>
    <w:rsid w:val="26451C3D"/>
    <w:rsid w:val="264B2FCC"/>
    <w:rsid w:val="267B565F"/>
    <w:rsid w:val="26920BFA"/>
    <w:rsid w:val="269C3827"/>
    <w:rsid w:val="26C8461C"/>
    <w:rsid w:val="26D1527F"/>
    <w:rsid w:val="26EB441E"/>
    <w:rsid w:val="26ED7BDF"/>
    <w:rsid w:val="27167136"/>
    <w:rsid w:val="27277595"/>
    <w:rsid w:val="27435DE7"/>
    <w:rsid w:val="274E2D73"/>
    <w:rsid w:val="27595274"/>
    <w:rsid w:val="27677991"/>
    <w:rsid w:val="276E6F72"/>
    <w:rsid w:val="27870033"/>
    <w:rsid w:val="27C052F3"/>
    <w:rsid w:val="27D05536"/>
    <w:rsid w:val="27D8088F"/>
    <w:rsid w:val="281C69CE"/>
    <w:rsid w:val="28463A4A"/>
    <w:rsid w:val="289A5B44"/>
    <w:rsid w:val="28A013AD"/>
    <w:rsid w:val="28A6273B"/>
    <w:rsid w:val="28CA01D8"/>
    <w:rsid w:val="28D53CCF"/>
    <w:rsid w:val="291678C1"/>
    <w:rsid w:val="291D29FD"/>
    <w:rsid w:val="29361D11"/>
    <w:rsid w:val="295B52D4"/>
    <w:rsid w:val="298760C9"/>
    <w:rsid w:val="299802D6"/>
    <w:rsid w:val="29A22F02"/>
    <w:rsid w:val="29B1687E"/>
    <w:rsid w:val="29B570DA"/>
    <w:rsid w:val="29CA4207"/>
    <w:rsid w:val="29D05CC2"/>
    <w:rsid w:val="29DF7CB3"/>
    <w:rsid w:val="29E928DF"/>
    <w:rsid w:val="2A007C29"/>
    <w:rsid w:val="2A104310"/>
    <w:rsid w:val="2A110088"/>
    <w:rsid w:val="2A1A6F3D"/>
    <w:rsid w:val="2A4915D0"/>
    <w:rsid w:val="2A573CED"/>
    <w:rsid w:val="2A612DBE"/>
    <w:rsid w:val="2A662182"/>
    <w:rsid w:val="2A6D1762"/>
    <w:rsid w:val="2A703001"/>
    <w:rsid w:val="2A7F1496"/>
    <w:rsid w:val="2A862824"/>
    <w:rsid w:val="2A9A62D0"/>
    <w:rsid w:val="2ACA0963"/>
    <w:rsid w:val="2AE5579D"/>
    <w:rsid w:val="2B1020EE"/>
    <w:rsid w:val="2B193698"/>
    <w:rsid w:val="2B2636BF"/>
    <w:rsid w:val="2B397896"/>
    <w:rsid w:val="2B4C75CA"/>
    <w:rsid w:val="2B512E32"/>
    <w:rsid w:val="2B514BE0"/>
    <w:rsid w:val="2B8F74B6"/>
    <w:rsid w:val="2BA271EA"/>
    <w:rsid w:val="2BF57C61"/>
    <w:rsid w:val="2C183950"/>
    <w:rsid w:val="2C2C73FB"/>
    <w:rsid w:val="2C66290D"/>
    <w:rsid w:val="2C6721E1"/>
    <w:rsid w:val="2C784CC3"/>
    <w:rsid w:val="2C7F752B"/>
    <w:rsid w:val="2C820DC9"/>
    <w:rsid w:val="2CB25880"/>
    <w:rsid w:val="2CB25B52"/>
    <w:rsid w:val="2CC17B44"/>
    <w:rsid w:val="2CC43190"/>
    <w:rsid w:val="2CC94C4A"/>
    <w:rsid w:val="2D0A3299"/>
    <w:rsid w:val="2D0D4B37"/>
    <w:rsid w:val="2D11177B"/>
    <w:rsid w:val="2D287BC3"/>
    <w:rsid w:val="2D3227EF"/>
    <w:rsid w:val="2DBB27E5"/>
    <w:rsid w:val="2DEA4E78"/>
    <w:rsid w:val="2E1A39AF"/>
    <w:rsid w:val="2E291E44"/>
    <w:rsid w:val="2E2D20EE"/>
    <w:rsid w:val="2E6E3CFB"/>
    <w:rsid w:val="2E921798"/>
    <w:rsid w:val="2EAE40F8"/>
    <w:rsid w:val="2EBA0CEE"/>
    <w:rsid w:val="2EBC4A66"/>
    <w:rsid w:val="2ECB4CA9"/>
    <w:rsid w:val="2ED74F49"/>
    <w:rsid w:val="2EDC6EB7"/>
    <w:rsid w:val="2EE8585B"/>
    <w:rsid w:val="2F177EEF"/>
    <w:rsid w:val="2F191EB9"/>
    <w:rsid w:val="2F546A4D"/>
    <w:rsid w:val="2F6A44C2"/>
    <w:rsid w:val="2F6F7D2B"/>
    <w:rsid w:val="2F740E9D"/>
    <w:rsid w:val="2F776BDF"/>
    <w:rsid w:val="2F7E1D1C"/>
    <w:rsid w:val="2F860BD0"/>
    <w:rsid w:val="2F882B9B"/>
    <w:rsid w:val="2F9C03F4"/>
    <w:rsid w:val="2FD70173"/>
    <w:rsid w:val="2FE83639"/>
    <w:rsid w:val="30004E27"/>
    <w:rsid w:val="300F6E18"/>
    <w:rsid w:val="3014442E"/>
    <w:rsid w:val="301F34FF"/>
    <w:rsid w:val="30201025"/>
    <w:rsid w:val="30510054"/>
    <w:rsid w:val="3062519A"/>
    <w:rsid w:val="306C6018"/>
    <w:rsid w:val="3075311F"/>
    <w:rsid w:val="307E0734"/>
    <w:rsid w:val="309D61D2"/>
    <w:rsid w:val="30C5515E"/>
    <w:rsid w:val="31140B8A"/>
    <w:rsid w:val="312E32CE"/>
    <w:rsid w:val="31554CFE"/>
    <w:rsid w:val="317B29B7"/>
    <w:rsid w:val="317F3B29"/>
    <w:rsid w:val="31943A79"/>
    <w:rsid w:val="31D976DD"/>
    <w:rsid w:val="31FB0751"/>
    <w:rsid w:val="3220355E"/>
    <w:rsid w:val="322546D1"/>
    <w:rsid w:val="32621481"/>
    <w:rsid w:val="327F64D7"/>
    <w:rsid w:val="32807B59"/>
    <w:rsid w:val="329F0927"/>
    <w:rsid w:val="32A74A94"/>
    <w:rsid w:val="32AE46C6"/>
    <w:rsid w:val="32B51EF8"/>
    <w:rsid w:val="33314E12"/>
    <w:rsid w:val="3353526D"/>
    <w:rsid w:val="33A930DF"/>
    <w:rsid w:val="340D7B12"/>
    <w:rsid w:val="34321327"/>
    <w:rsid w:val="34337579"/>
    <w:rsid w:val="343706EB"/>
    <w:rsid w:val="344A6670"/>
    <w:rsid w:val="348F6779"/>
    <w:rsid w:val="34B41D3C"/>
    <w:rsid w:val="34E00D83"/>
    <w:rsid w:val="34F211E2"/>
    <w:rsid w:val="34F30AB6"/>
    <w:rsid w:val="35066A3B"/>
    <w:rsid w:val="35845BB2"/>
    <w:rsid w:val="35C81F43"/>
    <w:rsid w:val="35D42696"/>
    <w:rsid w:val="35E46651"/>
    <w:rsid w:val="36370E76"/>
    <w:rsid w:val="36633A19"/>
    <w:rsid w:val="36853990"/>
    <w:rsid w:val="36AF3103"/>
    <w:rsid w:val="36CE3589"/>
    <w:rsid w:val="36D52B69"/>
    <w:rsid w:val="36E903C3"/>
    <w:rsid w:val="36FA437E"/>
    <w:rsid w:val="37647A49"/>
    <w:rsid w:val="37873738"/>
    <w:rsid w:val="379522F8"/>
    <w:rsid w:val="37CD55EE"/>
    <w:rsid w:val="37CE1367"/>
    <w:rsid w:val="37DA7D0B"/>
    <w:rsid w:val="37E65AFD"/>
    <w:rsid w:val="37EB46B7"/>
    <w:rsid w:val="37EE7FA7"/>
    <w:rsid w:val="37F232A7"/>
    <w:rsid w:val="37FA215C"/>
    <w:rsid w:val="37FF18D5"/>
    <w:rsid w:val="38156F95"/>
    <w:rsid w:val="38286CC9"/>
    <w:rsid w:val="382C2F15"/>
    <w:rsid w:val="38521F98"/>
    <w:rsid w:val="38653A79"/>
    <w:rsid w:val="386D2411"/>
    <w:rsid w:val="38765C86"/>
    <w:rsid w:val="389B56ED"/>
    <w:rsid w:val="38DD7AB3"/>
    <w:rsid w:val="38E075A3"/>
    <w:rsid w:val="38F848ED"/>
    <w:rsid w:val="39396CB4"/>
    <w:rsid w:val="393A4F06"/>
    <w:rsid w:val="395B30CE"/>
    <w:rsid w:val="395B4E7C"/>
    <w:rsid w:val="396C52DB"/>
    <w:rsid w:val="39730417"/>
    <w:rsid w:val="397553D2"/>
    <w:rsid w:val="39785A2E"/>
    <w:rsid w:val="39810D86"/>
    <w:rsid w:val="39A20CFD"/>
    <w:rsid w:val="39A95BE7"/>
    <w:rsid w:val="39B90520"/>
    <w:rsid w:val="39E70383"/>
    <w:rsid w:val="39E92488"/>
    <w:rsid w:val="3A103EB8"/>
    <w:rsid w:val="3A107D90"/>
    <w:rsid w:val="3A1439A9"/>
    <w:rsid w:val="3A323E2F"/>
    <w:rsid w:val="3A5B3385"/>
    <w:rsid w:val="3A654204"/>
    <w:rsid w:val="3A7461F5"/>
    <w:rsid w:val="3A8A5A19"/>
    <w:rsid w:val="3A8B58DC"/>
    <w:rsid w:val="3A914FF9"/>
    <w:rsid w:val="3A916DA7"/>
    <w:rsid w:val="3AA52853"/>
    <w:rsid w:val="3AAA60BB"/>
    <w:rsid w:val="3AB6680E"/>
    <w:rsid w:val="3ACC7DDF"/>
    <w:rsid w:val="3B20637D"/>
    <w:rsid w:val="3B2E2848"/>
    <w:rsid w:val="3B3D2A8B"/>
    <w:rsid w:val="3B7566C9"/>
    <w:rsid w:val="3B8E2F27"/>
    <w:rsid w:val="3BB15227"/>
    <w:rsid w:val="3BBD6855"/>
    <w:rsid w:val="3BF03FA1"/>
    <w:rsid w:val="3BF759F8"/>
    <w:rsid w:val="3C1C5D3F"/>
    <w:rsid w:val="3C221C81"/>
    <w:rsid w:val="3C333E8E"/>
    <w:rsid w:val="3C3519B4"/>
    <w:rsid w:val="3C575DCE"/>
    <w:rsid w:val="3CA803D8"/>
    <w:rsid w:val="3CAA23A2"/>
    <w:rsid w:val="3CAD3C40"/>
    <w:rsid w:val="3CB94393"/>
    <w:rsid w:val="3CBA6B54"/>
    <w:rsid w:val="3CC80A7A"/>
    <w:rsid w:val="3CD45671"/>
    <w:rsid w:val="3CD4741F"/>
    <w:rsid w:val="3CE07B72"/>
    <w:rsid w:val="3CF63839"/>
    <w:rsid w:val="3D015D3A"/>
    <w:rsid w:val="3D193084"/>
    <w:rsid w:val="3D233F03"/>
    <w:rsid w:val="3D5347E8"/>
    <w:rsid w:val="3D5D7D32"/>
    <w:rsid w:val="3D956BAE"/>
    <w:rsid w:val="3E157CEF"/>
    <w:rsid w:val="3E285C74"/>
    <w:rsid w:val="3E2919ED"/>
    <w:rsid w:val="3E2E2B5F"/>
    <w:rsid w:val="3E3C34CE"/>
    <w:rsid w:val="3EE55913"/>
    <w:rsid w:val="3EF21DDE"/>
    <w:rsid w:val="3F0F64AB"/>
    <w:rsid w:val="3F165ACD"/>
    <w:rsid w:val="3F171845"/>
    <w:rsid w:val="3F4563B2"/>
    <w:rsid w:val="3F542A99"/>
    <w:rsid w:val="3F604F9A"/>
    <w:rsid w:val="3F656A41"/>
    <w:rsid w:val="3F6E3B5B"/>
    <w:rsid w:val="3F724CCD"/>
    <w:rsid w:val="3F7942AE"/>
    <w:rsid w:val="3F9B4224"/>
    <w:rsid w:val="3F9F1F66"/>
    <w:rsid w:val="3FA56E51"/>
    <w:rsid w:val="3FC714BD"/>
    <w:rsid w:val="3FCA4B09"/>
    <w:rsid w:val="3FDA4D4C"/>
    <w:rsid w:val="3FDF6807"/>
    <w:rsid w:val="3FFA6D11"/>
    <w:rsid w:val="400224F5"/>
    <w:rsid w:val="40300E10"/>
    <w:rsid w:val="404843AC"/>
    <w:rsid w:val="40552625"/>
    <w:rsid w:val="40640ABA"/>
    <w:rsid w:val="40736F4F"/>
    <w:rsid w:val="407A02DD"/>
    <w:rsid w:val="409018AF"/>
    <w:rsid w:val="40DE6ABE"/>
    <w:rsid w:val="41076015"/>
    <w:rsid w:val="41306BEE"/>
    <w:rsid w:val="41313092"/>
    <w:rsid w:val="413C5593"/>
    <w:rsid w:val="416F7716"/>
    <w:rsid w:val="419929E5"/>
    <w:rsid w:val="41AA074E"/>
    <w:rsid w:val="41AE46E3"/>
    <w:rsid w:val="41B15F81"/>
    <w:rsid w:val="41BD2B78"/>
    <w:rsid w:val="41C061C4"/>
    <w:rsid w:val="41EB23BD"/>
    <w:rsid w:val="41EF2605"/>
    <w:rsid w:val="42424E2B"/>
    <w:rsid w:val="42457FF7"/>
    <w:rsid w:val="42725710"/>
    <w:rsid w:val="427B20EB"/>
    <w:rsid w:val="42A94EAA"/>
    <w:rsid w:val="42E83C24"/>
    <w:rsid w:val="42EB7271"/>
    <w:rsid w:val="43030A5E"/>
    <w:rsid w:val="430A3B9B"/>
    <w:rsid w:val="431C567C"/>
    <w:rsid w:val="433429C6"/>
    <w:rsid w:val="433B1FA6"/>
    <w:rsid w:val="4352109E"/>
    <w:rsid w:val="43650DD1"/>
    <w:rsid w:val="43670FED"/>
    <w:rsid w:val="43747266"/>
    <w:rsid w:val="43A55671"/>
    <w:rsid w:val="43AA0EDA"/>
    <w:rsid w:val="43D52004"/>
    <w:rsid w:val="43D83C99"/>
    <w:rsid w:val="43D877F5"/>
    <w:rsid w:val="43E837B0"/>
    <w:rsid w:val="43F565F9"/>
    <w:rsid w:val="44112B62"/>
    <w:rsid w:val="447537BE"/>
    <w:rsid w:val="447C0AC8"/>
    <w:rsid w:val="448D7684"/>
    <w:rsid w:val="449E4793"/>
    <w:rsid w:val="44A75419"/>
    <w:rsid w:val="44EF78CF"/>
    <w:rsid w:val="451837D8"/>
    <w:rsid w:val="452E1696"/>
    <w:rsid w:val="454F3AE7"/>
    <w:rsid w:val="454F7F8B"/>
    <w:rsid w:val="4561381A"/>
    <w:rsid w:val="45723C79"/>
    <w:rsid w:val="458F0387"/>
    <w:rsid w:val="45941E41"/>
    <w:rsid w:val="45B918A8"/>
    <w:rsid w:val="45C81AEB"/>
    <w:rsid w:val="45EC7588"/>
    <w:rsid w:val="46072613"/>
    <w:rsid w:val="46084EAD"/>
    <w:rsid w:val="460A2104"/>
    <w:rsid w:val="460E5C36"/>
    <w:rsid w:val="46236D21"/>
    <w:rsid w:val="462C207A"/>
    <w:rsid w:val="46401681"/>
    <w:rsid w:val="464B69A4"/>
    <w:rsid w:val="46712183"/>
    <w:rsid w:val="467D28D5"/>
    <w:rsid w:val="46AE6F33"/>
    <w:rsid w:val="46B61944"/>
    <w:rsid w:val="46C06DBE"/>
    <w:rsid w:val="46C87FF5"/>
    <w:rsid w:val="46CD560B"/>
    <w:rsid w:val="46F72688"/>
    <w:rsid w:val="47017063"/>
    <w:rsid w:val="472471F5"/>
    <w:rsid w:val="474433F3"/>
    <w:rsid w:val="47523D62"/>
    <w:rsid w:val="477535AD"/>
    <w:rsid w:val="478657BA"/>
    <w:rsid w:val="478A52AA"/>
    <w:rsid w:val="479779C7"/>
    <w:rsid w:val="47A04ACD"/>
    <w:rsid w:val="47B2035D"/>
    <w:rsid w:val="47B73BC5"/>
    <w:rsid w:val="47B9793D"/>
    <w:rsid w:val="47C87B80"/>
    <w:rsid w:val="47D06A35"/>
    <w:rsid w:val="47D604EF"/>
    <w:rsid w:val="47E32C0C"/>
    <w:rsid w:val="481804BB"/>
    <w:rsid w:val="483376F0"/>
    <w:rsid w:val="483671E0"/>
    <w:rsid w:val="483E7E42"/>
    <w:rsid w:val="48580F04"/>
    <w:rsid w:val="48627FD5"/>
    <w:rsid w:val="48A71E8C"/>
    <w:rsid w:val="48E64762"/>
    <w:rsid w:val="48E94252"/>
    <w:rsid w:val="48FA020D"/>
    <w:rsid w:val="490A160E"/>
    <w:rsid w:val="4933371F"/>
    <w:rsid w:val="49351245"/>
    <w:rsid w:val="49584F34"/>
    <w:rsid w:val="495A5150"/>
    <w:rsid w:val="49635DB3"/>
    <w:rsid w:val="497F6965"/>
    <w:rsid w:val="49D46CB0"/>
    <w:rsid w:val="49EB7B56"/>
    <w:rsid w:val="4A111CB3"/>
    <w:rsid w:val="4A227A1C"/>
    <w:rsid w:val="4A2D016F"/>
    <w:rsid w:val="4A69389D"/>
    <w:rsid w:val="4A8F0E29"/>
    <w:rsid w:val="4AFC64BF"/>
    <w:rsid w:val="4B076C12"/>
    <w:rsid w:val="4B105AC6"/>
    <w:rsid w:val="4B2C48CA"/>
    <w:rsid w:val="4B2E419E"/>
    <w:rsid w:val="4B4D6D1A"/>
    <w:rsid w:val="4B5C6F5D"/>
    <w:rsid w:val="4B86222C"/>
    <w:rsid w:val="4BED5E07"/>
    <w:rsid w:val="4BF76C86"/>
    <w:rsid w:val="4C15535E"/>
    <w:rsid w:val="4C261319"/>
    <w:rsid w:val="4C2A705C"/>
    <w:rsid w:val="4C365A00"/>
    <w:rsid w:val="4C5B7215"/>
    <w:rsid w:val="4C6C31D0"/>
    <w:rsid w:val="4C9170DB"/>
    <w:rsid w:val="4C9B3AB5"/>
    <w:rsid w:val="4CB37051"/>
    <w:rsid w:val="4CCE4265"/>
    <w:rsid w:val="4CE03BBE"/>
    <w:rsid w:val="4CE30FB8"/>
    <w:rsid w:val="4CF66F3E"/>
    <w:rsid w:val="4D13189E"/>
    <w:rsid w:val="4D20220D"/>
    <w:rsid w:val="4D2770F7"/>
    <w:rsid w:val="4D297313"/>
    <w:rsid w:val="4D447CA9"/>
    <w:rsid w:val="4D671BE9"/>
    <w:rsid w:val="4D722A68"/>
    <w:rsid w:val="4D8B3B2A"/>
    <w:rsid w:val="4DA30E74"/>
    <w:rsid w:val="4DA370C6"/>
    <w:rsid w:val="4DAD1CF2"/>
    <w:rsid w:val="4DBF37D4"/>
    <w:rsid w:val="4DCA28A4"/>
    <w:rsid w:val="4DDE1EAC"/>
    <w:rsid w:val="4DF705E5"/>
    <w:rsid w:val="4E086F29"/>
    <w:rsid w:val="4E141D71"/>
    <w:rsid w:val="4E546612"/>
    <w:rsid w:val="4E6D76D3"/>
    <w:rsid w:val="4EA053B3"/>
    <w:rsid w:val="4EA20F99"/>
    <w:rsid w:val="4EA36C51"/>
    <w:rsid w:val="4EAF55F6"/>
    <w:rsid w:val="4F003567"/>
    <w:rsid w:val="4F021BCA"/>
    <w:rsid w:val="4F035942"/>
    <w:rsid w:val="4F0911AA"/>
    <w:rsid w:val="4F18763F"/>
    <w:rsid w:val="4F1A33B7"/>
    <w:rsid w:val="4F2002A2"/>
    <w:rsid w:val="4F6665FD"/>
    <w:rsid w:val="4FBD1F95"/>
    <w:rsid w:val="4FBF3F5F"/>
    <w:rsid w:val="4FE45773"/>
    <w:rsid w:val="4FFE4A87"/>
    <w:rsid w:val="50011E81"/>
    <w:rsid w:val="50210776"/>
    <w:rsid w:val="50285660"/>
    <w:rsid w:val="508D1967"/>
    <w:rsid w:val="50A70C7B"/>
    <w:rsid w:val="50B27620"/>
    <w:rsid w:val="50B909AE"/>
    <w:rsid w:val="50D41344"/>
    <w:rsid w:val="50DD469C"/>
    <w:rsid w:val="511D2CEB"/>
    <w:rsid w:val="512A18AC"/>
    <w:rsid w:val="513B7615"/>
    <w:rsid w:val="517338F9"/>
    <w:rsid w:val="519D207E"/>
    <w:rsid w:val="51B5657D"/>
    <w:rsid w:val="51BA49DE"/>
    <w:rsid w:val="51BF1FF4"/>
    <w:rsid w:val="51E50470"/>
    <w:rsid w:val="51ED6B61"/>
    <w:rsid w:val="51FC6379"/>
    <w:rsid w:val="520063B6"/>
    <w:rsid w:val="522307D5"/>
    <w:rsid w:val="522B58DB"/>
    <w:rsid w:val="52377DDC"/>
    <w:rsid w:val="525C7843"/>
    <w:rsid w:val="526F57C8"/>
    <w:rsid w:val="52952D55"/>
    <w:rsid w:val="52BE22AC"/>
    <w:rsid w:val="52C61160"/>
    <w:rsid w:val="534E1882"/>
    <w:rsid w:val="535449BE"/>
    <w:rsid w:val="536410A5"/>
    <w:rsid w:val="539D6365"/>
    <w:rsid w:val="53A21BCD"/>
    <w:rsid w:val="53B003DC"/>
    <w:rsid w:val="53B35B89"/>
    <w:rsid w:val="53F1045F"/>
    <w:rsid w:val="540C5299"/>
    <w:rsid w:val="54D9517B"/>
    <w:rsid w:val="55012924"/>
    <w:rsid w:val="550F3292"/>
    <w:rsid w:val="551E7032"/>
    <w:rsid w:val="55393E6B"/>
    <w:rsid w:val="55517407"/>
    <w:rsid w:val="55522DB5"/>
    <w:rsid w:val="556F5ADF"/>
    <w:rsid w:val="5579070C"/>
    <w:rsid w:val="55990DAE"/>
    <w:rsid w:val="55AF2380"/>
    <w:rsid w:val="55DD513F"/>
    <w:rsid w:val="55DD6EED"/>
    <w:rsid w:val="55EC7130"/>
    <w:rsid w:val="55F61D5C"/>
    <w:rsid w:val="55F81F79"/>
    <w:rsid w:val="55FB55C5"/>
    <w:rsid w:val="56142550"/>
    <w:rsid w:val="5661367A"/>
    <w:rsid w:val="56B608DA"/>
    <w:rsid w:val="56D24578"/>
    <w:rsid w:val="56DB78D0"/>
    <w:rsid w:val="570B7A8A"/>
    <w:rsid w:val="57106E4E"/>
    <w:rsid w:val="5730129E"/>
    <w:rsid w:val="576176AA"/>
    <w:rsid w:val="577314C4"/>
    <w:rsid w:val="57763155"/>
    <w:rsid w:val="57A203EE"/>
    <w:rsid w:val="57AC6B77"/>
    <w:rsid w:val="57B343A9"/>
    <w:rsid w:val="57BF2D4E"/>
    <w:rsid w:val="57D61E46"/>
    <w:rsid w:val="57D936E4"/>
    <w:rsid w:val="57E74053"/>
    <w:rsid w:val="57EC3417"/>
    <w:rsid w:val="57F81DBC"/>
    <w:rsid w:val="58093FC9"/>
    <w:rsid w:val="58296419"/>
    <w:rsid w:val="58382B00"/>
    <w:rsid w:val="5842572D"/>
    <w:rsid w:val="585D2567"/>
    <w:rsid w:val="58B24661"/>
    <w:rsid w:val="58F5454D"/>
    <w:rsid w:val="59372DB8"/>
    <w:rsid w:val="5939268C"/>
    <w:rsid w:val="59441031"/>
    <w:rsid w:val="59741916"/>
    <w:rsid w:val="59835FFD"/>
    <w:rsid w:val="599C0E6D"/>
    <w:rsid w:val="59AC7302"/>
    <w:rsid w:val="5A13112F"/>
    <w:rsid w:val="5A3410A5"/>
    <w:rsid w:val="5A3572F7"/>
    <w:rsid w:val="5A6C4CE3"/>
    <w:rsid w:val="5A93401E"/>
    <w:rsid w:val="5A971D60"/>
    <w:rsid w:val="5B0B1E06"/>
    <w:rsid w:val="5B503CBD"/>
    <w:rsid w:val="5B5437AD"/>
    <w:rsid w:val="5B8D3163"/>
    <w:rsid w:val="5B9067AF"/>
    <w:rsid w:val="5BFE5E0F"/>
    <w:rsid w:val="5C0056E3"/>
    <w:rsid w:val="5C115B42"/>
    <w:rsid w:val="5C1967A5"/>
    <w:rsid w:val="5C2E04A2"/>
    <w:rsid w:val="5C50666A"/>
    <w:rsid w:val="5C7A36E7"/>
    <w:rsid w:val="5C89392A"/>
    <w:rsid w:val="5C8C6F77"/>
    <w:rsid w:val="5CB52971"/>
    <w:rsid w:val="5CC6692D"/>
    <w:rsid w:val="5CE768A3"/>
    <w:rsid w:val="5CE943C9"/>
    <w:rsid w:val="5D1F7DEB"/>
    <w:rsid w:val="5D443CF5"/>
    <w:rsid w:val="5D635F29"/>
    <w:rsid w:val="5D6567A1"/>
    <w:rsid w:val="5D7243BE"/>
    <w:rsid w:val="5D8A5BAC"/>
    <w:rsid w:val="5D916F3A"/>
    <w:rsid w:val="5D964551"/>
    <w:rsid w:val="5DB91FED"/>
    <w:rsid w:val="5DBB5D65"/>
    <w:rsid w:val="5DD07337"/>
    <w:rsid w:val="5DD92690"/>
    <w:rsid w:val="5DDE3802"/>
    <w:rsid w:val="5DE80B25"/>
    <w:rsid w:val="5E055233"/>
    <w:rsid w:val="5E1B6804"/>
    <w:rsid w:val="5E4A0E97"/>
    <w:rsid w:val="5E6A32E8"/>
    <w:rsid w:val="5E6F08FE"/>
    <w:rsid w:val="5EAF6C52"/>
    <w:rsid w:val="5EB01642"/>
    <w:rsid w:val="5EB629D1"/>
    <w:rsid w:val="5EC92704"/>
    <w:rsid w:val="5EEE216B"/>
    <w:rsid w:val="5F13572D"/>
    <w:rsid w:val="5F296CFF"/>
    <w:rsid w:val="5F4B4EC7"/>
    <w:rsid w:val="5FE33352"/>
    <w:rsid w:val="600057E9"/>
    <w:rsid w:val="60011A2A"/>
    <w:rsid w:val="6022031E"/>
    <w:rsid w:val="60381E03"/>
    <w:rsid w:val="603D6F06"/>
    <w:rsid w:val="60673F83"/>
    <w:rsid w:val="60716BAF"/>
    <w:rsid w:val="609113DF"/>
    <w:rsid w:val="6098413C"/>
    <w:rsid w:val="60BE791B"/>
    <w:rsid w:val="60EC4488"/>
    <w:rsid w:val="60F17CF0"/>
    <w:rsid w:val="6109328C"/>
    <w:rsid w:val="613D2F35"/>
    <w:rsid w:val="61785D1C"/>
    <w:rsid w:val="61BC20AC"/>
    <w:rsid w:val="61C80A51"/>
    <w:rsid w:val="61D31CE1"/>
    <w:rsid w:val="61E433B1"/>
    <w:rsid w:val="622F0AD0"/>
    <w:rsid w:val="623A2CC1"/>
    <w:rsid w:val="62402CDD"/>
    <w:rsid w:val="62685D90"/>
    <w:rsid w:val="62960B4F"/>
    <w:rsid w:val="62A25746"/>
    <w:rsid w:val="62B45479"/>
    <w:rsid w:val="62B66AFB"/>
    <w:rsid w:val="62BB6808"/>
    <w:rsid w:val="62FD0BCE"/>
    <w:rsid w:val="63161C90"/>
    <w:rsid w:val="63220635"/>
    <w:rsid w:val="632223E3"/>
    <w:rsid w:val="632779F9"/>
    <w:rsid w:val="63534C92"/>
    <w:rsid w:val="635822A8"/>
    <w:rsid w:val="636522D0"/>
    <w:rsid w:val="63822E81"/>
    <w:rsid w:val="639D7CBB"/>
    <w:rsid w:val="63F83144"/>
    <w:rsid w:val="64414AEB"/>
    <w:rsid w:val="64416899"/>
    <w:rsid w:val="6477050C"/>
    <w:rsid w:val="6481138B"/>
    <w:rsid w:val="6497295D"/>
    <w:rsid w:val="64B21544"/>
    <w:rsid w:val="65393A14"/>
    <w:rsid w:val="65660CAD"/>
    <w:rsid w:val="65876E75"/>
    <w:rsid w:val="65A04370"/>
    <w:rsid w:val="65BC6B1F"/>
    <w:rsid w:val="65C6799D"/>
    <w:rsid w:val="65E63B9C"/>
    <w:rsid w:val="660679A6"/>
    <w:rsid w:val="660D737A"/>
    <w:rsid w:val="665B6338"/>
    <w:rsid w:val="665E2581"/>
    <w:rsid w:val="666F593F"/>
    <w:rsid w:val="667016B7"/>
    <w:rsid w:val="66886A01"/>
    <w:rsid w:val="66A646A9"/>
    <w:rsid w:val="66CA7019"/>
    <w:rsid w:val="6773320D"/>
    <w:rsid w:val="678C6616"/>
    <w:rsid w:val="67B5235A"/>
    <w:rsid w:val="67C76693"/>
    <w:rsid w:val="67EB5499"/>
    <w:rsid w:val="680D18B3"/>
    <w:rsid w:val="68112A26"/>
    <w:rsid w:val="68242759"/>
    <w:rsid w:val="684352D5"/>
    <w:rsid w:val="68594AF9"/>
    <w:rsid w:val="685F19E3"/>
    <w:rsid w:val="68660FC4"/>
    <w:rsid w:val="68792AA5"/>
    <w:rsid w:val="687E630D"/>
    <w:rsid w:val="689A2A1B"/>
    <w:rsid w:val="68D93544"/>
    <w:rsid w:val="68E048D2"/>
    <w:rsid w:val="68E72104"/>
    <w:rsid w:val="690B2C9E"/>
    <w:rsid w:val="690D7691"/>
    <w:rsid w:val="693410C2"/>
    <w:rsid w:val="698C05B6"/>
    <w:rsid w:val="69967687"/>
    <w:rsid w:val="69A47FF6"/>
    <w:rsid w:val="69D34437"/>
    <w:rsid w:val="69DD52B6"/>
    <w:rsid w:val="6A050368"/>
    <w:rsid w:val="6A333127"/>
    <w:rsid w:val="6A590DE0"/>
    <w:rsid w:val="6A6634FD"/>
    <w:rsid w:val="6A6B466F"/>
    <w:rsid w:val="6AA302AD"/>
    <w:rsid w:val="6AA61B4B"/>
    <w:rsid w:val="6AA95198"/>
    <w:rsid w:val="6AC975E8"/>
    <w:rsid w:val="6ACB15B2"/>
    <w:rsid w:val="6ACD532A"/>
    <w:rsid w:val="6B285E6A"/>
    <w:rsid w:val="6B451364"/>
    <w:rsid w:val="6B6A2B79"/>
    <w:rsid w:val="6B9D2F4E"/>
    <w:rsid w:val="6BA73DCD"/>
    <w:rsid w:val="6BBD539F"/>
    <w:rsid w:val="6BBD714D"/>
    <w:rsid w:val="6BC229B5"/>
    <w:rsid w:val="6BCE3108"/>
    <w:rsid w:val="6BDA5F51"/>
    <w:rsid w:val="6BEE5558"/>
    <w:rsid w:val="6C054650"/>
    <w:rsid w:val="6C3B62C3"/>
    <w:rsid w:val="6C4C04D0"/>
    <w:rsid w:val="6C557385"/>
    <w:rsid w:val="6C5775A1"/>
    <w:rsid w:val="6C5D623A"/>
    <w:rsid w:val="6CB247D7"/>
    <w:rsid w:val="6CB87914"/>
    <w:rsid w:val="6CF90658"/>
    <w:rsid w:val="6D033285"/>
    <w:rsid w:val="6D107750"/>
    <w:rsid w:val="6D162FB8"/>
    <w:rsid w:val="6D480C98"/>
    <w:rsid w:val="6D4C69DA"/>
    <w:rsid w:val="6D4F33FA"/>
    <w:rsid w:val="6D5835D1"/>
    <w:rsid w:val="6D88378A"/>
    <w:rsid w:val="6DA73C10"/>
    <w:rsid w:val="6DDA43BD"/>
    <w:rsid w:val="6DDB7D5E"/>
    <w:rsid w:val="6DE210EC"/>
    <w:rsid w:val="6DE54739"/>
    <w:rsid w:val="6DF00166"/>
    <w:rsid w:val="6E1A6AD8"/>
    <w:rsid w:val="6E1D2124"/>
    <w:rsid w:val="6E35746E"/>
    <w:rsid w:val="6E3D6323"/>
    <w:rsid w:val="6E565636"/>
    <w:rsid w:val="6E5D69C5"/>
    <w:rsid w:val="6E641B01"/>
    <w:rsid w:val="6E712470"/>
    <w:rsid w:val="6E7837FF"/>
    <w:rsid w:val="6EC4452A"/>
    <w:rsid w:val="6EC72090"/>
    <w:rsid w:val="6ED50C51"/>
    <w:rsid w:val="6EFC1D3A"/>
    <w:rsid w:val="6F03131A"/>
    <w:rsid w:val="6F0D03EB"/>
    <w:rsid w:val="6F0F4163"/>
    <w:rsid w:val="6F2F210F"/>
    <w:rsid w:val="6F3B4F58"/>
    <w:rsid w:val="6F401E23"/>
    <w:rsid w:val="6F963F3C"/>
    <w:rsid w:val="6FAA79E8"/>
    <w:rsid w:val="6FBC771B"/>
    <w:rsid w:val="6FE3114C"/>
    <w:rsid w:val="6FEA072C"/>
    <w:rsid w:val="6FF46EB5"/>
    <w:rsid w:val="700370F8"/>
    <w:rsid w:val="702552C0"/>
    <w:rsid w:val="705931BC"/>
    <w:rsid w:val="70D867D7"/>
    <w:rsid w:val="70E76A1A"/>
    <w:rsid w:val="710B44B6"/>
    <w:rsid w:val="711A294B"/>
    <w:rsid w:val="71573B9F"/>
    <w:rsid w:val="7164006A"/>
    <w:rsid w:val="716A5681"/>
    <w:rsid w:val="716D33C3"/>
    <w:rsid w:val="71AC3EEB"/>
    <w:rsid w:val="71AD1A11"/>
    <w:rsid w:val="71B27028"/>
    <w:rsid w:val="71C50B09"/>
    <w:rsid w:val="71CF1988"/>
    <w:rsid w:val="71E116BB"/>
    <w:rsid w:val="720A0C12"/>
    <w:rsid w:val="724265FE"/>
    <w:rsid w:val="72802C82"/>
    <w:rsid w:val="728E1843"/>
    <w:rsid w:val="729055BB"/>
    <w:rsid w:val="72A252EE"/>
    <w:rsid w:val="72B913C4"/>
    <w:rsid w:val="72BA2638"/>
    <w:rsid w:val="72D37256"/>
    <w:rsid w:val="730438B3"/>
    <w:rsid w:val="730B69EF"/>
    <w:rsid w:val="731F249B"/>
    <w:rsid w:val="732301DD"/>
    <w:rsid w:val="732775A1"/>
    <w:rsid w:val="732B52E4"/>
    <w:rsid w:val="736E4159"/>
    <w:rsid w:val="737A3B75"/>
    <w:rsid w:val="737C78ED"/>
    <w:rsid w:val="739369E5"/>
    <w:rsid w:val="73A62BBC"/>
    <w:rsid w:val="73AB1F81"/>
    <w:rsid w:val="73C60B68"/>
    <w:rsid w:val="745E5245"/>
    <w:rsid w:val="74600FBD"/>
    <w:rsid w:val="74D34891"/>
    <w:rsid w:val="74E4574A"/>
    <w:rsid w:val="74E76FE8"/>
    <w:rsid w:val="74FB0B42"/>
    <w:rsid w:val="74FC6F38"/>
    <w:rsid w:val="75061B64"/>
    <w:rsid w:val="75151DA7"/>
    <w:rsid w:val="75234AE3"/>
    <w:rsid w:val="7527530D"/>
    <w:rsid w:val="753D12FE"/>
    <w:rsid w:val="754F03F5"/>
    <w:rsid w:val="7568637B"/>
    <w:rsid w:val="758D5DE2"/>
    <w:rsid w:val="75994786"/>
    <w:rsid w:val="75B55338"/>
    <w:rsid w:val="75BE2AD0"/>
    <w:rsid w:val="75D21A46"/>
    <w:rsid w:val="75EF43A6"/>
    <w:rsid w:val="7601057E"/>
    <w:rsid w:val="760727CE"/>
    <w:rsid w:val="76676633"/>
    <w:rsid w:val="767A0DC2"/>
    <w:rsid w:val="768076F4"/>
    <w:rsid w:val="76952770"/>
    <w:rsid w:val="76B63116"/>
    <w:rsid w:val="76BD6253"/>
    <w:rsid w:val="76CC293A"/>
    <w:rsid w:val="76DD4B47"/>
    <w:rsid w:val="76E41A31"/>
    <w:rsid w:val="76E71522"/>
    <w:rsid w:val="76E9529A"/>
    <w:rsid w:val="770B3462"/>
    <w:rsid w:val="773D7394"/>
    <w:rsid w:val="77400E97"/>
    <w:rsid w:val="774249AA"/>
    <w:rsid w:val="774B7D02"/>
    <w:rsid w:val="7755292F"/>
    <w:rsid w:val="775D3592"/>
    <w:rsid w:val="776112D4"/>
    <w:rsid w:val="77642B72"/>
    <w:rsid w:val="777D3C34"/>
    <w:rsid w:val="77822FF8"/>
    <w:rsid w:val="77A92C7B"/>
    <w:rsid w:val="77E37F3B"/>
    <w:rsid w:val="781A76D5"/>
    <w:rsid w:val="78715547"/>
    <w:rsid w:val="78760DAF"/>
    <w:rsid w:val="787D038F"/>
    <w:rsid w:val="78811502"/>
    <w:rsid w:val="789C633C"/>
    <w:rsid w:val="78CE0BEB"/>
    <w:rsid w:val="78D67AA0"/>
    <w:rsid w:val="78E51A91"/>
    <w:rsid w:val="78E71CAD"/>
    <w:rsid w:val="78EA354B"/>
    <w:rsid w:val="78FE1B8C"/>
    <w:rsid w:val="790747E8"/>
    <w:rsid w:val="79077C59"/>
    <w:rsid w:val="79336CA0"/>
    <w:rsid w:val="793A1DDD"/>
    <w:rsid w:val="796765DA"/>
    <w:rsid w:val="798412AA"/>
    <w:rsid w:val="79DE4E5E"/>
    <w:rsid w:val="79E9735F"/>
    <w:rsid w:val="79FC52E4"/>
    <w:rsid w:val="7A033EEF"/>
    <w:rsid w:val="7A1C7734"/>
    <w:rsid w:val="7A342CD0"/>
    <w:rsid w:val="7A603AC5"/>
    <w:rsid w:val="7A70182E"/>
    <w:rsid w:val="7A7F006C"/>
    <w:rsid w:val="7A9C250F"/>
    <w:rsid w:val="7AEF4E49"/>
    <w:rsid w:val="7B072192"/>
    <w:rsid w:val="7B160627"/>
    <w:rsid w:val="7B25099F"/>
    <w:rsid w:val="7B3D3E06"/>
    <w:rsid w:val="7B42141C"/>
    <w:rsid w:val="7BEE3352"/>
    <w:rsid w:val="7C18217D"/>
    <w:rsid w:val="7C7272E4"/>
    <w:rsid w:val="7C75137E"/>
    <w:rsid w:val="7C765821"/>
    <w:rsid w:val="7C8A4E29"/>
    <w:rsid w:val="7C9F63FA"/>
    <w:rsid w:val="7CE3199A"/>
    <w:rsid w:val="7CED53B8"/>
    <w:rsid w:val="7D0F3580"/>
    <w:rsid w:val="7D1312C2"/>
    <w:rsid w:val="7D480840"/>
    <w:rsid w:val="7D494CE4"/>
    <w:rsid w:val="7D567401"/>
    <w:rsid w:val="7D9D293A"/>
    <w:rsid w:val="7DA63EE4"/>
    <w:rsid w:val="7DC205F3"/>
    <w:rsid w:val="7DF509C8"/>
    <w:rsid w:val="7E33329E"/>
    <w:rsid w:val="7E4E00D8"/>
    <w:rsid w:val="7E68119A"/>
    <w:rsid w:val="7E6B0C8A"/>
    <w:rsid w:val="7E851D4C"/>
    <w:rsid w:val="7E885398"/>
    <w:rsid w:val="7EA85A3A"/>
    <w:rsid w:val="7EBA751C"/>
    <w:rsid w:val="7EBE08CF"/>
    <w:rsid w:val="7ED5662F"/>
    <w:rsid w:val="7ED607F9"/>
    <w:rsid w:val="7ED95BF4"/>
    <w:rsid w:val="7EED5B43"/>
    <w:rsid w:val="7EED78F1"/>
    <w:rsid w:val="7F0709B3"/>
    <w:rsid w:val="7F1D01D6"/>
    <w:rsid w:val="7F3472CE"/>
    <w:rsid w:val="7F402117"/>
    <w:rsid w:val="7F6A7194"/>
    <w:rsid w:val="7F954211"/>
    <w:rsid w:val="7FA93818"/>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B2175"/>
  <w15:docId w15:val="{B77E39D1-8536-4A29-868C-FD80F9C2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pPr>
      <w:widowControl w:val="0"/>
      <w:jc w:val="both"/>
    </w:pPr>
    <w:rPr>
      <w:kern w:val="2"/>
      <w:sz w:val="21"/>
      <w:szCs w:val="24"/>
    </w:rPr>
  </w:style>
  <w:style w:type="paragraph" w:styleId="1">
    <w:name w:val="heading 1"/>
    <w:basedOn w:val="a4"/>
    <w:next w:val="a4"/>
    <w:uiPriority w:val="9"/>
    <w:qFormat/>
    <w:pPr>
      <w:keepNext/>
      <w:keepLines/>
      <w:spacing w:before="340" w:after="330" w:line="576" w:lineRule="auto"/>
      <w:outlineLvl w:val="0"/>
    </w:pPr>
    <w:rPr>
      <w:b/>
      <w:kern w:val="44"/>
      <w:sz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iPriority w:val="99"/>
    <w:semiHidden/>
    <w:unhideWhenUsed/>
    <w:qFormat/>
    <w:pPr>
      <w:jc w:val="left"/>
    </w:pPr>
  </w:style>
  <w:style w:type="paragraph" w:styleId="aa">
    <w:name w:val="Body Text"/>
    <w:basedOn w:val="a4"/>
    <w:semiHidden/>
    <w:qFormat/>
  </w:style>
  <w:style w:type="paragraph" w:styleId="TOC3">
    <w:name w:val="toc 3"/>
    <w:basedOn w:val="a4"/>
    <w:next w:val="a4"/>
    <w:uiPriority w:val="39"/>
    <w:unhideWhenUsed/>
    <w:qFormat/>
    <w:pPr>
      <w:ind w:leftChars="400" w:left="840"/>
    </w:pPr>
  </w:style>
  <w:style w:type="paragraph" w:styleId="ab">
    <w:name w:val="Date"/>
    <w:basedOn w:val="a4"/>
    <w:next w:val="a4"/>
    <w:link w:val="ac"/>
    <w:uiPriority w:val="99"/>
    <w:semiHidden/>
    <w:unhideWhenUsed/>
    <w:qFormat/>
    <w:pPr>
      <w:ind w:leftChars="2500" w:left="100"/>
    </w:pPr>
  </w:style>
  <w:style w:type="paragraph" w:styleId="ad">
    <w:name w:val="Balloon Text"/>
    <w:basedOn w:val="a4"/>
    <w:link w:val="ae"/>
    <w:uiPriority w:val="99"/>
    <w:semiHidden/>
    <w:unhideWhenUsed/>
    <w:qFormat/>
    <w:rPr>
      <w:sz w:val="18"/>
      <w:szCs w:val="18"/>
    </w:rPr>
  </w:style>
  <w:style w:type="paragraph" w:styleId="af">
    <w:name w:val="footer"/>
    <w:basedOn w:val="a4"/>
    <w:link w:val="af0"/>
    <w:uiPriority w:val="99"/>
    <w:unhideWhenUsed/>
    <w:qFormat/>
    <w:pPr>
      <w:tabs>
        <w:tab w:val="center" w:pos="4153"/>
        <w:tab w:val="right" w:pos="8306"/>
      </w:tabs>
      <w:snapToGrid w:val="0"/>
      <w:jc w:val="left"/>
    </w:pPr>
    <w:rPr>
      <w:sz w:val="18"/>
      <w:szCs w:val="18"/>
    </w:rPr>
  </w:style>
  <w:style w:type="paragraph" w:styleId="af1">
    <w:name w:val="header"/>
    <w:basedOn w:val="a4"/>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4"/>
    <w:next w:val="a4"/>
    <w:uiPriority w:val="39"/>
    <w:unhideWhenUsed/>
    <w:qFormat/>
    <w:pPr>
      <w:tabs>
        <w:tab w:val="right" w:leader="dot" w:pos="8296"/>
      </w:tabs>
      <w:jc w:val="center"/>
    </w:pPr>
    <w:rPr>
      <w:rFonts w:ascii="黑体" w:eastAsia="黑体" w:hAnsi="黑体"/>
      <w:sz w:val="40"/>
    </w:rPr>
  </w:style>
  <w:style w:type="paragraph" w:styleId="TOC2">
    <w:name w:val="toc 2"/>
    <w:basedOn w:val="a4"/>
    <w:next w:val="a4"/>
    <w:uiPriority w:val="39"/>
    <w:unhideWhenUsed/>
    <w:qFormat/>
    <w:pPr>
      <w:ind w:leftChars="200" w:left="420"/>
    </w:pPr>
  </w:style>
  <w:style w:type="paragraph" w:styleId="af3">
    <w:name w:val="annotation subject"/>
    <w:basedOn w:val="a8"/>
    <w:next w:val="a8"/>
    <w:link w:val="af4"/>
    <w:uiPriority w:val="99"/>
    <w:semiHidden/>
    <w:unhideWhenUsed/>
    <w:qFormat/>
    <w:rPr>
      <w:b/>
      <w:bCs/>
    </w:rPr>
  </w:style>
  <w:style w:type="table" w:styleId="af5">
    <w:name w:val="Table Grid"/>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5"/>
    <w:uiPriority w:val="99"/>
    <w:unhideWhenUsed/>
    <w:qFormat/>
    <w:rPr>
      <w:color w:val="0000FF" w:themeColor="hyperlink"/>
      <w:u w:val="single"/>
    </w:rPr>
  </w:style>
  <w:style w:type="character" w:styleId="af7">
    <w:name w:val="annotation reference"/>
    <w:basedOn w:val="a5"/>
    <w:uiPriority w:val="99"/>
    <w:semiHidden/>
    <w:unhideWhenUsed/>
    <w:qFormat/>
    <w:rPr>
      <w:sz w:val="21"/>
      <w:szCs w:val="21"/>
    </w:rPr>
  </w:style>
  <w:style w:type="character" w:customStyle="1" w:styleId="af2">
    <w:name w:val="页眉 字符"/>
    <w:basedOn w:val="a5"/>
    <w:link w:val="af1"/>
    <w:uiPriority w:val="99"/>
    <w:qFormat/>
    <w:rPr>
      <w:sz w:val="18"/>
      <w:szCs w:val="18"/>
    </w:rPr>
  </w:style>
  <w:style w:type="character" w:customStyle="1" w:styleId="af0">
    <w:name w:val="页脚 字符"/>
    <w:basedOn w:val="a5"/>
    <w:link w:val="af"/>
    <w:uiPriority w:val="99"/>
    <w:qFormat/>
    <w:rPr>
      <w:sz w:val="18"/>
      <w:szCs w:val="18"/>
    </w:rPr>
  </w:style>
  <w:style w:type="paragraph" w:customStyle="1" w:styleId="af8">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8"/>
    <w:qFormat/>
    <w:rPr>
      <w:rFonts w:ascii="宋体" w:eastAsia="宋体" w:hAnsi="Times New Roman" w:cs="Times New Roman"/>
      <w:kern w:val="0"/>
      <w:szCs w:val="20"/>
    </w:rPr>
  </w:style>
  <w:style w:type="paragraph" w:customStyle="1" w:styleId="a0">
    <w:name w:val="一级条标题"/>
    <w:next w:val="af8"/>
    <w:qFormat/>
    <w:pPr>
      <w:numPr>
        <w:ilvl w:val="1"/>
        <w:numId w:val="1"/>
      </w:numPr>
      <w:spacing w:beforeLines="50" w:afterLines="50"/>
      <w:outlineLvl w:val="2"/>
    </w:pPr>
    <w:rPr>
      <w:rFonts w:ascii="黑体" w:eastAsia="黑体"/>
      <w:sz w:val="21"/>
      <w:szCs w:val="21"/>
    </w:rPr>
  </w:style>
  <w:style w:type="paragraph" w:customStyle="1" w:styleId="af9">
    <w:name w:val="标准书脚_奇数页"/>
    <w:qFormat/>
    <w:pPr>
      <w:spacing w:before="120"/>
      <w:ind w:right="198"/>
      <w:jc w:val="right"/>
    </w:pPr>
    <w:rPr>
      <w:rFonts w:ascii="宋体"/>
      <w:sz w:val="18"/>
      <w:szCs w:val="18"/>
    </w:rPr>
  </w:style>
  <w:style w:type="paragraph" w:customStyle="1" w:styleId="afa">
    <w:name w:val="标准书眉_奇数页"/>
    <w:next w:val="a4"/>
    <w:qFormat/>
    <w:pPr>
      <w:tabs>
        <w:tab w:val="center" w:pos="4154"/>
        <w:tab w:val="right" w:pos="8306"/>
      </w:tabs>
      <w:spacing w:after="220"/>
      <w:jc w:val="right"/>
    </w:pPr>
    <w:rPr>
      <w:rFonts w:ascii="黑体" w:eastAsia="黑体"/>
      <w:sz w:val="21"/>
      <w:szCs w:val="21"/>
    </w:rPr>
  </w:style>
  <w:style w:type="paragraph" w:customStyle="1" w:styleId="a">
    <w:name w:val="章标题"/>
    <w:next w:val="af8"/>
    <w:qFormat/>
    <w:pPr>
      <w:numPr>
        <w:numId w:val="1"/>
      </w:numPr>
      <w:spacing w:beforeLines="100" w:afterLines="100"/>
      <w:jc w:val="both"/>
      <w:outlineLvl w:val="1"/>
    </w:pPr>
    <w:rPr>
      <w:rFonts w:ascii="黑体" w:eastAsia="黑体"/>
      <w:sz w:val="21"/>
    </w:rPr>
  </w:style>
  <w:style w:type="paragraph" w:customStyle="1" w:styleId="a1">
    <w:name w:val="二级条标题"/>
    <w:basedOn w:val="a0"/>
    <w:next w:val="af8"/>
    <w:qFormat/>
    <w:pPr>
      <w:numPr>
        <w:ilvl w:val="2"/>
      </w:numPr>
      <w:spacing w:before="50" w:after="50"/>
      <w:outlineLvl w:val="3"/>
    </w:pPr>
  </w:style>
  <w:style w:type="paragraph" w:customStyle="1" w:styleId="afb">
    <w:name w:val="目次、标准名称标题"/>
    <w:basedOn w:val="a4"/>
    <w:next w:val="af8"/>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四级条标题"/>
    <w:basedOn w:val="a4"/>
    <w:next w:val="af8"/>
    <w:qFormat/>
    <w:pPr>
      <w:widowControl/>
      <w:numPr>
        <w:ilvl w:val="4"/>
        <w:numId w:val="1"/>
      </w:numPr>
      <w:spacing w:beforeLines="50" w:afterLines="50"/>
      <w:jc w:val="left"/>
      <w:outlineLvl w:val="5"/>
    </w:pPr>
    <w:rPr>
      <w:rFonts w:ascii="黑体" w:eastAsia="黑体"/>
      <w:kern w:val="0"/>
      <w:szCs w:val="21"/>
    </w:rPr>
  </w:style>
  <w:style w:type="paragraph" w:customStyle="1" w:styleId="a3">
    <w:name w:val="五级条标题"/>
    <w:basedOn w:val="a2"/>
    <w:next w:val="af8"/>
    <w:qFormat/>
    <w:pPr>
      <w:numPr>
        <w:ilvl w:val="5"/>
      </w:numPr>
      <w:outlineLvl w:val="6"/>
    </w:pPr>
  </w:style>
  <w:style w:type="paragraph" w:customStyle="1" w:styleId="afc">
    <w:name w:val="前言、引言标题"/>
    <w:next w:val="af8"/>
    <w:qFormat/>
    <w:pPr>
      <w:keepNext/>
      <w:pageBreakBefore/>
      <w:shd w:val="clear" w:color="FFFFFF" w:fill="FFFFFF"/>
      <w:spacing w:before="640" w:after="560"/>
      <w:jc w:val="center"/>
      <w:outlineLvl w:val="0"/>
    </w:pPr>
    <w:rPr>
      <w:rFonts w:ascii="黑体" w:eastAsia="黑体"/>
      <w:sz w:val="32"/>
    </w:rPr>
  </w:style>
  <w:style w:type="character" w:customStyle="1" w:styleId="ac">
    <w:name w:val="日期 字符"/>
    <w:basedOn w:val="a5"/>
    <w:link w:val="ab"/>
    <w:uiPriority w:val="99"/>
    <w:semiHidden/>
    <w:qFormat/>
    <w:rPr>
      <w:rFonts w:ascii="Times New Roman" w:eastAsia="宋体" w:hAnsi="Times New Roman" w:cs="Times New Roman"/>
      <w:szCs w:val="24"/>
    </w:rPr>
  </w:style>
  <w:style w:type="character" w:customStyle="1" w:styleId="ae">
    <w:name w:val="批注框文本 字符"/>
    <w:basedOn w:val="a5"/>
    <w:link w:val="ad"/>
    <w:uiPriority w:val="99"/>
    <w:semiHidden/>
    <w:qFormat/>
    <w:rPr>
      <w:rFonts w:ascii="Times New Roman" w:eastAsia="宋体" w:hAnsi="Times New Roman" w:cs="Times New Roman"/>
      <w:kern w:val="2"/>
      <w:sz w:val="18"/>
      <w:szCs w:val="18"/>
    </w:rPr>
  </w:style>
  <w:style w:type="character" w:customStyle="1" w:styleId="a9">
    <w:name w:val="批注文字 字符"/>
    <w:basedOn w:val="a5"/>
    <w:link w:val="a8"/>
    <w:uiPriority w:val="99"/>
    <w:semiHidden/>
    <w:qFormat/>
    <w:rPr>
      <w:kern w:val="2"/>
      <w:sz w:val="21"/>
      <w:szCs w:val="24"/>
    </w:rPr>
  </w:style>
  <w:style w:type="character" w:customStyle="1" w:styleId="af4">
    <w:name w:val="批注主题 字符"/>
    <w:basedOn w:val="a9"/>
    <w:link w:val="af3"/>
    <w:uiPriority w:val="99"/>
    <w:semiHidden/>
    <w:qFormat/>
    <w:rPr>
      <w:b/>
      <w:bCs/>
      <w:kern w:val="2"/>
      <w:sz w:val="21"/>
      <w:szCs w:val="24"/>
    </w:rPr>
  </w:style>
  <w:style w:type="paragraph" w:customStyle="1" w:styleId="TableText">
    <w:name w:val="Table Text"/>
    <w:basedOn w:val="a4"/>
    <w:semiHidden/>
    <w:qFormat/>
    <w:rPr>
      <w:rFonts w:ascii="宋体" w:hAnsi="宋体" w:cs="宋体"/>
      <w:sz w:val="24"/>
      <w:lang w:eastAsia="en-US"/>
    </w:rPr>
  </w:style>
  <w:style w:type="character" w:customStyle="1" w:styleId="fontstyle01">
    <w:name w:val="fontstyle01"/>
    <w:basedOn w:val="a5"/>
    <w:qFormat/>
    <w:rPr>
      <w:rFonts w:ascii="TimesNewRomanPSMT" w:eastAsia="TimesNewRomanPSMT" w:hAnsi="TimesNewRomanPSMT" w:cs="TimesNewRomanPSMT"/>
      <w:color w:val="000000"/>
      <w:sz w:val="22"/>
      <w:szCs w:val="22"/>
    </w:rPr>
  </w:style>
  <w:style w:type="character" w:customStyle="1" w:styleId="fontstyle21">
    <w:name w:val="fontstyle21"/>
    <w:basedOn w:val="a5"/>
    <w:qFormat/>
    <w:rPr>
      <w:rFonts w:ascii="宋体" w:eastAsia="宋体" w:hAnsi="宋体" w:cs="宋体"/>
      <w:color w:val="000000"/>
      <w:sz w:val="22"/>
      <w:szCs w:val="22"/>
    </w:rPr>
  </w:style>
  <w:style w:type="character" w:customStyle="1" w:styleId="fontstyle31">
    <w:name w:val="fontstyle31"/>
    <w:basedOn w:val="a5"/>
    <w:qFormat/>
    <w:rPr>
      <w:rFonts w:ascii="TimesNewRomanPSMT" w:eastAsia="TimesNewRomanPSMT" w:hAnsi="TimesNewRomanPSMT" w:cs="TimesNewRomanPSMT"/>
      <w:color w:val="000000"/>
      <w:sz w:val="22"/>
      <w:szCs w:val="22"/>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EAB77-B0EC-41D4-BE41-073ECCD26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650</Words>
  <Characters>3710</Characters>
  <Application>Microsoft Office Word</Application>
  <DocSecurity>0</DocSecurity>
  <Lines>30</Lines>
  <Paragraphs>8</Paragraphs>
  <ScaleCrop>false</ScaleCrop>
  <Company>Microsoft</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ThinkPad</cp:lastModifiedBy>
  <cp:revision>31</cp:revision>
  <cp:lastPrinted>2020-04-18T12:16:00Z</cp:lastPrinted>
  <dcterms:created xsi:type="dcterms:W3CDTF">2020-04-18T09:02:00Z</dcterms:created>
  <dcterms:modified xsi:type="dcterms:W3CDTF">2024-09-10T01:47:00Z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6D6628F0872B4A22B6348AA94392BBA2_12</vt:lpwstr>
  </property>
</Properties>
</file>