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BC8F" w14:textId="77777777" w:rsidR="008A1E2C" w:rsidRPr="00DE1F5B" w:rsidRDefault="00000000">
      <w:pPr>
        <w:tabs>
          <w:tab w:val="left" w:pos="7371"/>
        </w:tabs>
        <w:jc w:val="left"/>
      </w:pPr>
      <w:bookmarkStart w:id="0" w:name="_Hlk175905260"/>
      <w:r w:rsidRPr="00DE1F5B">
        <w:t>ICS 6</w:t>
      </w:r>
      <w:r w:rsidRPr="00DE1F5B">
        <w:rPr>
          <w:rFonts w:hint="eastAsia"/>
        </w:rPr>
        <w:t>5</w:t>
      </w:r>
      <w:r w:rsidRPr="00DE1F5B">
        <w:t>.120</w:t>
      </w:r>
    </w:p>
    <w:p w14:paraId="0C14694F" w14:textId="77777777" w:rsidR="008A1E2C" w:rsidRDefault="00000000">
      <w:pPr>
        <w:jc w:val="left"/>
      </w:pPr>
      <w:r w:rsidRPr="00DE1F5B">
        <w:t xml:space="preserve">B </w:t>
      </w:r>
      <w:r w:rsidRPr="00DE1F5B">
        <w:rPr>
          <w:rFonts w:hint="eastAsia"/>
        </w:rPr>
        <w:t>20</w:t>
      </w:r>
    </w:p>
    <w:p w14:paraId="0618A763" w14:textId="77777777" w:rsidR="008A1E2C" w:rsidRDefault="008A1E2C">
      <w:pPr>
        <w:jc w:val="center"/>
      </w:pPr>
    </w:p>
    <w:p w14:paraId="7ADA3077" w14:textId="77777777" w:rsidR="008A1E2C" w:rsidRDefault="008A1E2C">
      <w:pPr>
        <w:jc w:val="center"/>
      </w:pPr>
    </w:p>
    <w:p w14:paraId="1F824B94" w14:textId="77777777" w:rsidR="008A1E2C" w:rsidRDefault="00000000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8A1E2C" w:rsidRDefault="008A1E2C">
      <w:pPr>
        <w:jc w:val="center"/>
        <w:rPr>
          <w:sz w:val="84"/>
          <w:szCs w:val="84"/>
        </w:rPr>
      </w:pPr>
    </w:p>
    <w:p w14:paraId="0BC1CEEF" w14:textId="77777777" w:rsidR="008A1E2C" w:rsidRDefault="00000000">
      <w:pPr>
        <w:jc w:val="right"/>
        <w:rPr>
          <w:b/>
          <w:bCs/>
        </w:rPr>
      </w:pPr>
      <w:r>
        <w:rPr>
          <w:b/>
          <w:bCs/>
        </w:rPr>
        <w:t>T/HXCY XXX-</w:t>
      </w:r>
      <w:r>
        <w:rPr>
          <w:rFonts w:hint="eastAsia"/>
          <w:b/>
          <w:bCs/>
        </w:rPr>
        <w:t>2024</w:t>
      </w:r>
    </w:p>
    <w:p w14:paraId="252C694A" w14:textId="77777777" w:rsidR="00BB44E5" w:rsidRDefault="00BB44E5" w:rsidP="00BB44E5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33CFF3C8" w14:textId="77777777" w:rsidR="008A1E2C" w:rsidRDefault="008A1E2C">
      <w:pPr>
        <w:jc w:val="right"/>
        <w:rPr>
          <w:b/>
          <w:bCs/>
        </w:rPr>
      </w:pPr>
    </w:p>
    <w:p w14:paraId="2794EAD5" w14:textId="77777777" w:rsidR="007016E5" w:rsidRPr="007016E5" w:rsidRDefault="007016E5" w:rsidP="007016E5">
      <w:pPr>
        <w:jc w:val="center"/>
        <w:rPr>
          <w:rFonts w:eastAsia="黑体"/>
          <w:sz w:val="48"/>
          <w:szCs w:val="48"/>
        </w:rPr>
      </w:pPr>
      <w:r w:rsidRPr="007016E5">
        <w:rPr>
          <w:rFonts w:eastAsia="黑体" w:hint="eastAsia"/>
          <w:sz w:val="48"/>
          <w:szCs w:val="48"/>
        </w:rPr>
        <w:t>大豆秸秆青贮技术规程</w:t>
      </w:r>
    </w:p>
    <w:p w14:paraId="1701AC79" w14:textId="77777777" w:rsidR="007016E5" w:rsidRPr="007016E5" w:rsidRDefault="007016E5" w:rsidP="007016E5">
      <w:pPr>
        <w:jc w:val="center"/>
        <w:rPr>
          <w:rFonts w:eastAsia="黑体"/>
          <w:b/>
          <w:bCs/>
          <w:sz w:val="28"/>
          <w:szCs w:val="28"/>
        </w:rPr>
      </w:pPr>
      <w:r w:rsidRPr="007016E5">
        <w:rPr>
          <w:rFonts w:eastAsia="黑体" w:hint="eastAsia"/>
          <w:b/>
          <w:bCs/>
          <w:sz w:val="28"/>
          <w:szCs w:val="28"/>
        </w:rPr>
        <w:t xml:space="preserve">Technical regulation of ensiling soybean </w:t>
      </w:r>
      <w:r w:rsidRPr="007016E5">
        <w:rPr>
          <w:rFonts w:eastAsia="黑体"/>
          <w:b/>
          <w:bCs/>
          <w:sz w:val="28"/>
          <w:szCs w:val="28"/>
        </w:rPr>
        <w:t>straw</w:t>
      </w:r>
    </w:p>
    <w:bookmarkEnd w:id="0"/>
    <w:p w14:paraId="44D43563" w14:textId="77777777" w:rsidR="007016E5" w:rsidRDefault="007016E5">
      <w:pPr>
        <w:jc w:val="center"/>
        <w:rPr>
          <w:rFonts w:eastAsia="黑体"/>
          <w:sz w:val="24"/>
          <w:szCs w:val="24"/>
        </w:rPr>
      </w:pPr>
    </w:p>
    <w:p w14:paraId="27A7445D" w14:textId="4C9D2D00" w:rsidR="008A1E2C" w:rsidRPr="00BB44E5" w:rsidRDefault="00BB44E5">
      <w:pPr>
        <w:jc w:val="center"/>
        <w:rPr>
          <w:rFonts w:eastAsia="黑体"/>
          <w:sz w:val="24"/>
          <w:szCs w:val="24"/>
        </w:rPr>
      </w:pPr>
      <w:r w:rsidRPr="00BB44E5">
        <w:rPr>
          <w:rFonts w:eastAsia="黑体" w:hint="eastAsia"/>
          <w:sz w:val="24"/>
          <w:szCs w:val="24"/>
        </w:rPr>
        <w:t>（征求意见稿）</w:t>
      </w:r>
    </w:p>
    <w:p w14:paraId="56F65F94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44BD88A8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36307158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7B790E6A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6E2AE35A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7E60F4CB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689C0EBF" w14:textId="77777777" w:rsidR="008A1E2C" w:rsidRDefault="008A1E2C">
      <w:pPr>
        <w:jc w:val="center"/>
        <w:rPr>
          <w:rFonts w:eastAsia="黑体"/>
          <w:sz w:val="48"/>
          <w:szCs w:val="48"/>
        </w:rPr>
      </w:pPr>
    </w:p>
    <w:p w14:paraId="45EEB118" w14:textId="77777777" w:rsidR="008A1E2C" w:rsidRDefault="008A1E2C" w:rsidP="003B591D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50BC42F7" w14:textId="77777777" w:rsidR="007016E5" w:rsidRDefault="007016E5" w:rsidP="003B591D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8A1E2C" w:rsidRPr="00BB44E5" w:rsidRDefault="00000000">
      <w:pPr>
        <w:jc w:val="left"/>
        <w:rPr>
          <w:rFonts w:ascii="黑体" w:eastAsia="黑体" w:hAnsi="黑体" w:hint="eastAsia"/>
          <w:u w:val="single"/>
        </w:rPr>
      </w:pPr>
      <w:r w:rsidRPr="00BB44E5">
        <w:rPr>
          <w:rFonts w:ascii="黑体" w:eastAsia="黑体" w:hAnsi="黑体" w:hint="eastAsia"/>
          <w:u w:val="single"/>
        </w:rPr>
        <w:t>2024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 w:cs="黑体" w:hint="eastAsia"/>
          <w:u w:val="single"/>
        </w:rPr>
        <w:t xml:space="preserve">发布                             </w:t>
      </w:r>
      <w:r w:rsidR="00BB44E5" w:rsidRPr="00BB44E5">
        <w:rPr>
          <w:rFonts w:ascii="黑体" w:eastAsia="黑体" w:hAnsi="黑体" w:cs="黑体" w:hint="eastAsia"/>
          <w:u w:val="single"/>
        </w:rPr>
        <w:t xml:space="preserve">             </w:t>
      </w:r>
      <w:r w:rsidRPr="00BB44E5">
        <w:rPr>
          <w:rFonts w:ascii="黑体" w:eastAsia="黑体" w:hAnsi="黑体" w:cs="黑体" w:hint="eastAsia"/>
          <w:u w:val="single"/>
        </w:rPr>
        <w:t xml:space="preserve">    </w:t>
      </w:r>
      <w:r w:rsidR="0072339B">
        <w:rPr>
          <w:rFonts w:ascii="黑体" w:eastAsia="黑体" w:hAnsi="黑体" w:cs="黑体" w:hint="eastAsia"/>
          <w:u w:val="single"/>
        </w:rPr>
        <w:t xml:space="preserve">  </w:t>
      </w:r>
      <w:r w:rsidRPr="00BB44E5">
        <w:rPr>
          <w:rFonts w:ascii="黑体" w:eastAsia="黑体" w:hAnsi="黑体" w:cs="黑体" w:hint="eastAsia"/>
          <w:u w:val="single"/>
        </w:rPr>
        <w:t xml:space="preserve">  </w:t>
      </w:r>
      <w:r w:rsidRPr="00BB44E5">
        <w:rPr>
          <w:rFonts w:ascii="黑体" w:eastAsia="黑体" w:hAnsi="黑体"/>
          <w:u w:val="single"/>
        </w:rPr>
        <w:t>202</w:t>
      </w:r>
      <w:r w:rsidRPr="00BB44E5">
        <w:rPr>
          <w:rFonts w:ascii="黑体" w:eastAsia="黑体" w:hAnsi="黑体" w:hint="eastAsia"/>
          <w:u w:val="single"/>
        </w:rPr>
        <w:t>4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 w:cs="黑体" w:hint="eastAsia"/>
          <w:u w:val="single"/>
        </w:rPr>
        <w:t>实施</w:t>
      </w:r>
    </w:p>
    <w:p w14:paraId="1079C9FF" w14:textId="77777777" w:rsidR="00F32177" w:rsidRDefault="00000000" w:rsidP="003B591D">
      <w:pPr>
        <w:spacing w:beforeLines="100" w:before="312"/>
        <w:jc w:val="center"/>
        <w:sectPr w:rsidR="00F32177">
          <w:footerReference w:type="default" r:id="rId7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 w:rsidRPr="00BB44E5">
        <w:rPr>
          <w:rFonts w:ascii="黑体" w:eastAsia="黑体" w:hAnsi="黑体" w:cs="黑体" w:hint="eastAsia"/>
        </w:rPr>
        <w:t>北京华夏草业产业技术创新战略联盟发布</w:t>
      </w:r>
      <w:bookmarkStart w:id="1" w:name="_Toc175908325"/>
      <w:bookmarkStart w:id="2" w:name="_Toc32084"/>
    </w:p>
    <w:p w14:paraId="2B46F376" w14:textId="77777777" w:rsidR="008A1E2C" w:rsidRDefault="00000000">
      <w:pPr>
        <w:pStyle w:val="a7"/>
      </w:pPr>
      <w:bookmarkStart w:id="3" w:name="_Toc176548708"/>
      <w:r>
        <w:lastRenderedPageBreak/>
        <w:t>目</w:t>
      </w:r>
      <w:r>
        <w:rPr>
          <w:rFonts w:hint="eastAsia"/>
        </w:rPr>
        <w:t xml:space="preserve">  </w:t>
      </w:r>
      <w:bookmarkEnd w:id="1"/>
      <w:r>
        <w:rPr>
          <w:rFonts w:hint="eastAsia"/>
        </w:rPr>
        <w:t>次</w:t>
      </w:r>
      <w:bookmarkEnd w:id="2"/>
      <w:bookmarkEnd w:id="3"/>
    </w:p>
    <w:p w14:paraId="5D49CE45" w14:textId="2B804F2E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548708" w:history="1"/>
    </w:p>
    <w:p w14:paraId="737B20E7" w14:textId="00D7BD77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09" w:history="1">
        <w:r w:rsidR="00D13638" w:rsidRPr="00C10D95">
          <w:rPr>
            <w:rStyle w:val="a9"/>
            <w:rFonts w:hint="eastAsia"/>
            <w:noProof/>
          </w:rPr>
          <w:t>前</w:t>
        </w:r>
        <w:r w:rsidR="00D13638" w:rsidRPr="00C10D95">
          <w:rPr>
            <w:rStyle w:val="a9"/>
            <w:rFonts w:hint="eastAsia"/>
            <w:noProof/>
          </w:rPr>
          <w:t xml:space="preserve">  </w:t>
        </w:r>
        <w:r w:rsidR="00D13638" w:rsidRPr="00C10D95">
          <w:rPr>
            <w:rStyle w:val="a9"/>
            <w:rFonts w:hint="eastAsia"/>
            <w:noProof/>
          </w:rPr>
          <w:t>言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_Toc176548709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II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55AA3713" w14:textId="6CC7A377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0" w:history="1">
        <w:r w:rsidR="00D13638" w:rsidRPr="00C10D95">
          <w:rPr>
            <w:rStyle w:val="a9"/>
            <w:rFonts w:hint="eastAsia"/>
            <w:noProof/>
          </w:rPr>
          <w:t xml:space="preserve">1 </w:t>
        </w:r>
        <w:r w:rsidR="00D13638" w:rsidRPr="00C10D95">
          <w:rPr>
            <w:rStyle w:val="a9"/>
            <w:rFonts w:hint="eastAsia"/>
            <w:noProof/>
          </w:rPr>
          <w:t>范围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_Toc176548710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7E0FC929" w14:textId="40127B63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1" w:history="1">
        <w:r w:rsidR="00D13638" w:rsidRPr="00C10D95">
          <w:rPr>
            <w:rStyle w:val="a9"/>
            <w:rFonts w:hint="eastAsia"/>
            <w:noProof/>
          </w:rPr>
          <w:t>2</w:t>
        </w:r>
        <w:r w:rsidR="00D13638" w:rsidRPr="00C10D95">
          <w:rPr>
            <w:rStyle w:val="a9"/>
            <w:rFonts w:hint="eastAsia"/>
            <w:noProof/>
          </w:rPr>
          <w:t>规范性引用文件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_Toc176548711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3EA5345D" w14:textId="6AB91BDF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2" w:history="1">
        <w:r w:rsidR="00D13638" w:rsidRPr="00C10D95">
          <w:rPr>
            <w:rStyle w:val="a9"/>
            <w:rFonts w:hint="eastAsia"/>
            <w:noProof/>
          </w:rPr>
          <w:t>3</w:t>
        </w:r>
        <w:r w:rsidR="00D13638" w:rsidRPr="00C10D95">
          <w:rPr>
            <w:rStyle w:val="a9"/>
            <w:rFonts w:hint="eastAsia"/>
            <w:noProof/>
          </w:rPr>
          <w:t>术语和定义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_Toc176548712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6CCEFDA8" w14:textId="07E6C6CD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6" w:history="1">
        <w:r w:rsidR="00D13638" w:rsidRPr="00C10D95">
          <w:rPr>
            <w:rStyle w:val="a9"/>
            <w:rFonts w:hint="eastAsia"/>
            <w:noProof/>
          </w:rPr>
          <w:t xml:space="preserve">4 </w:t>
        </w:r>
        <w:r w:rsidR="00D13638" w:rsidRPr="00C10D95">
          <w:rPr>
            <w:rStyle w:val="a9"/>
            <w:rFonts w:hint="eastAsia"/>
            <w:noProof/>
          </w:rPr>
          <w:t>青贮方式方法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_Toc176548716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5BE61855" w14:textId="668778F4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7" w:history="1">
        <w:r w:rsidR="00D13638" w:rsidRPr="00C10D95">
          <w:rPr>
            <w:rStyle w:val="a9"/>
            <w:rFonts w:hint="eastAsia"/>
            <w:noProof/>
          </w:rPr>
          <w:t xml:space="preserve">4.1 </w:t>
        </w:r>
        <w:r w:rsidR="00D13638" w:rsidRPr="00C10D95">
          <w:rPr>
            <w:rStyle w:val="a9"/>
            <w:rFonts w:hint="eastAsia"/>
            <w:noProof/>
          </w:rPr>
          <w:t>青贮方式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_Toc176548717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254049ED" w14:textId="6153040C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8" w:history="1">
        <w:r w:rsidR="00D13638" w:rsidRPr="00C10D95">
          <w:rPr>
            <w:rStyle w:val="a9"/>
            <w:rFonts w:hint="eastAsia"/>
            <w:noProof/>
          </w:rPr>
          <w:t>4.2</w:t>
        </w:r>
        <w:r w:rsidR="00D13638" w:rsidRPr="00C10D95">
          <w:rPr>
            <w:rStyle w:val="a9"/>
            <w:rFonts w:hint="eastAsia"/>
            <w:noProof/>
          </w:rPr>
          <w:t>青贮前准备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_Toc176548718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1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2E60C2CB" w14:textId="4075CBB8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19" w:history="1">
        <w:r w:rsidR="00D13638" w:rsidRPr="00C10D95">
          <w:rPr>
            <w:rStyle w:val="a9"/>
            <w:rFonts w:hint="eastAsia"/>
            <w:noProof/>
          </w:rPr>
          <w:t>4.3</w:t>
        </w:r>
        <w:r w:rsidR="00D13638" w:rsidRPr="00C10D95">
          <w:rPr>
            <w:rStyle w:val="a9"/>
            <w:rFonts w:hint="eastAsia"/>
            <w:noProof/>
          </w:rPr>
          <w:t>装窖与裹包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_Toc176548719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2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511DBA57" w14:textId="53F44434" w:rsidR="00D13638" w:rsidRDefault="00000000" w:rsidP="00D13638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8720" w:history="1">
        <w:r w:rsidR="00D13638" w:rsidRPr="00C10D95">
          <w:rPr>
            <w:rStyle w:val="a9"/>
            <w:rFonts w:hint="eastAsia"/>
            <w:noProof/>
          </w:rPr>
          <w:t xml:space="preserve">4.4 </w:t>
        </w:r>
        <w:r w:rsidR="00D13638" w:rsidRPr="00C10D95">
          <w:rPr>
            <w:rStyle w:val="a9"/>
            <w:rFonts w:hint="eastAsia"/>
            <w:noProof/>
          </w:rPr>
          <w:t>贮后管理</w:t>
        </w:r>
        <w:r w:rsidR="00D13638">
          <w:rPr>
            <w:rFonts w:hint="eastAsia"/>
            <w:noProof/>
            <w:webHidden/>
          </w:rPr>
          <w:tab/>
        </w:r>
        <w:r w:rsidR="00D13638">
          <w:rPr>
            <w:rFonts w:hint="eastAsia"/>
            <w:noProof/>
            <w:webHidden/>
          </w:rPr>
          <w:fldChar w:fldCharType="begin"/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noProof/>
            <w:webHidden/>
          </w:rPr>
          <w:instrText>PAGEREF _Toc176548720 \h</w:instrText>
        </w:r>
        <w:r w:rsidR="00D13638">
          <w:rPr>
            <w:rFonts w:hint="eastAsia"/>
            <w:noProof/>
            <w:webHidden/>
          </w:rPr>
          <w:instrText xml:space="preserve"> </w:instrText>
        </w:r>
        <w:r w:rsidR="00D13638">
          <w:rPr>
            <w:rFonts w:hint="eastAsia"/>
            <w:noProof/>
            <w:webHidden/>
          </w:rPr>
        </w:r>
        <w:r w:rsidR="00D13638">
          <w:rPr>
            <w:rFonts w:hint="eastAsia"/>
            <w:noProof/>
            <w:webHidden/>
          </w:rPr>
          <w:fldChar w:fldCharType="separate"/>
        </w:r>
        <w:r w:rsidR="00D13638">
          <w:rPr>
            <w:noProof/>
            <w:webHidden/>
          </w:rPr>
          <w:t>3</w:t>
        </w:r>
        <w:r w:rsidR="00D13638">
          <w:rPr>
            <w:rFonts w:hint="eastAsia"/>
            <w:noProof/>
            <w:webHidden/>
          </w:rPr>
          <w:fldChar w:fldCharType="end"/>
        </w:r>
      </w:hyperlink>
    </w:p>
    <w:p w14:paraId="4B9D0759" w14:textId="7C827837" w:rsidR="008A1E2C" w:rsidRDefault="00000000" w:rsidP="00D13638">
      <w:pPr>
        <w:spacing w:line="360" w:lineRule="auto"/>
      </w:pPr>
      <w:r>
        <w:rPr>
          <w:b/>
          <w:bCs/>
          <w:lang w:val="zh-CN"/>
        </w:rPr>
        <w:fldChar w:fldCharType="end"/>
      </w:r>
    </w:p>
    <w:p w14:paraId="2E79CF1A" w14:textId="77777777" w:rsidR="00D13638" w:rsidRDefault="00D13638" w:rsidP="00D13638">
      <w:pPr>
        <w:pStyle w:val="a7"/>
        <w:jc w:val="right"/>
      </w:pPr>
    </w:p>
    <w:p w14:paraId="622FB626" w14:textId="746A5633" w:rsidR="008A1E2C" w:rsidRDefault="00000000">
      <w:pPr>
        <w:pStyle w:val="a7"/>
        <w:rPr>
          <w:b w:val="0"/>
          <w:bCs w:val="0"/>
        </w:rPr>
      </w:pPr>
      <w:r w:rsidRPr="00D13638">
        <w:br w:type="page"/>
      </w:r>
      <w:bookmarkStart w:id="4" w:name="_Toc175908326"/>
      <w:bookmarkStart w:id="5" w:name="_Toc176548709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4"/>
      <w:bookmarkEnd w:id="5"/>
    </w:p>
    <w:p w14:paraId="430A3502" w14:textId="77777777" w:rsidR="007016E5" w:rsidRPr="00DE1F5B" w:rsidRDefault="007016E5" w:rsidP="00DE1F5B">
      <w:pPr>
        <w:spacing w:line="360" w:lineRule="auto"/>
        <w:ind w:firstLineChars="200" w:firstLine="420"/>
      </w:pPr>
      <w:r w:rsidRPr="00DE1F5B">
        <w:rPr>
          <w:rFonts w:hint="eastAsia"/>
        </w:rPr>
        <w:t>本文件按照</w:t>
      </w:r>
      <w:r w:rsidRPr="00DE1F5B">
        <w:rPr>
          <w:rFonts w:hint="eastAsia"/>
        </w:rPr>
        <w:t>GB/T 1.1</w:t>
      </w:r>
      <w:r w:rsidRPr="00DE1F5B">
        <w:rPr>
          <w:rFonts w:hint="eastAsia"/>
        </w:rPr>
        <w:t>—</w:t>
      </w:r>
      <w:r w:rsidRPr="00DE1F5B">
        <w:rPr>
          <w:rFonts w:hint="eastAsia"/>
        </w:rPr>
        <w:t>2020</w:t>
      </w:r>
      <w:r w:rsidRPr="00DE1F5B">
        <w:rPr>
          <w:rFonts w:hint="eastAsia"/>
        </w:rPr>
        <w:t>《标准化工作导则</w:t>
      </w:r>
      <w:r w:rsidRPr="00DE1F5B">
        <w:rPr>
          <w:rFonts w:hint="eastAsia"/>
        </w:rPr>
        <w:t xml:space="preserve">  </w:t>
      </w:r>
      <w:r w:rsidRPr="00DE1F5B">
        <w:rPr>
          <w:rFonts w:hint="eastAsia"/>
        </w:rPr>
        <w:t>第</w:t>
      </w:r>
      <w:r w:rsidRPr="00DE1F5B">
        <w:rPr>
          <w:rFonts w:hint="eastAsia"/>
        </w:rPr>
        <w:t>1</w:t>
      </w:r>
      <w:r w:rsidRPr="00DE1F5B">
        <w:rPr>
          <w:rFonts w:hint="eastAsia"/>
        </w:rPr>
        <w:t>部分：标准化文件的结构和起草规则》的规定起草。</w:t>
      </w:r>
    </w:p>
    <w:p w14:paraId="79A07859" w14:textId="77777777" w:rsidR="007016E5" w:rsidRPr="00DE1F5B" w:rsidRDefault="007016E5" w:rsidP="00DE1F5B">
      <w:pPr>
        <w:spacing w:line="360" w:lineRule="auto"/>
        <w:ind w:firstLineChars="200" w:firstLine="420"/>
      </w:pPr>
      <w:r w:rsidRPr="00DE1F5B">
        <w:rPr>
          <w:rFonts w:hint="eastAsia"/>
        </w:rPr>
        <w:t>注：在不引起混淆的情况下，本文件中“标准化文件”简称为“文件”。</w:t>
      </w:r>
    </w:p>
    <w:p w14:paraId="1C35DA62" w14:textId="77777777" w:rsidR="007016E5" w:rsidRPr="00DE1F5B" w:rsidRDefault="007016E5" w:rsidP="00DE1F5B">
      <w:pPr>
        <w:spacing w:line="360" w:lineRule="auto"/>
        <w:ind w:firstLineChars="200" w:firstLine="420"/>
      </w:pPr>
      <w:r w:rsidRPr="00DE1F5B">
        <w:rPr>
          <w:rFonts w:hint="eastAsia"/>
        </w:rPr>
        <w:t>本文件由北京华夏草业产业技术创新战略联盟提出并归口。</w:t>
      </w:r>
    </w:p>
    <w:p w14:paraId="59079261" w14:textId="77777777" w:rsidR="007016E5" w:rsidRPr="00DE1F5B" w:rsidRDefault="007016E5" w:rsidP="00DE1F5B">
      <w:pPr>
        <w:spacing w:line="360" w:lineRule="auto"/>
        <w:ind w:firstLineChars="200" w:firstLine="420"/>
      </w:pPr>
      <w:r w:rsidRPr="00DE1F5B">
        <w:rPr>
          <w:rFonts w:hint="eastAsia"/>
        </w:rPr>
        <w:t>本文件起草单位：安徽农业大学，</w:t>
      </w:r>
      <w:proofErr w:type="gramStart"/>
      <w:r w:rsidRPr="00DE1F5B">
        <w:rPr>
          <w:rFonts w:hint="eastAsia"/>
        </w:rPr>
        <w:t>淮南旺贝源</w:t>
      </w:r>
      <w:proofErr w:type="gramEnd"/>
      <w:r w:rsidRPr="00DE1F5B">
        <w:rPr>
          <w:rFonts w:hint="eastAsia"/>
        </w:rPr>
        <w:t>农牧科技股份有限公司，淮南</w:t>
      </w:r>
      <w:proofErr w:type="gramStart"/>
      <w:r w:rsidRPr="00DE1F5B">
        <w:rPr>
          <w:rFonts w:hint="eastAsia"/>
        </w:rPr>
        <w:t>市盛鼎牧业</w:t>
      </w:r>
      <w:proofErr w:type="gramEnd"/>
      <w:r w:rsidRPr="00DE1F5B">
        <w:rPr>
          <w:rFonts w:hint="eastAsia"/>
        </w:rPr>
        <w:t>有限公司，</w:t>
      </w:r>
      <w:hyperlink r:id="rId8" w:tgtFrame="_blank" w:history="1">
        <w:r w:rsidRPr="00DE1F5B">
          <w:rPr>
            <w:rFonts w:hint="eastAsia"/>
          </w:rPr>
          <w:t>安徽富贵饲料有限公司</w:t>
        </w:r>
      </w:hyperlink>
      <w:r w:rsidRPr="00DE1F5B">
        <w:rPr>
          <w:rFonts w:hint="eastAsia"/>
        </w:rPr>
        <w:t>。</w:t>
      </w:r>
    </w:p>
    <w:p w14:paraId="12877699" w14:textId="77777777" w:rsidR="007016E5" w:rsidRPr="00DE1F5B" w:rsidRDefault="007016E5" w:rsidP="00DE1F5B">
      <w:pPr>
        <w:spacing w:line="360" w:lineRule="auto"/>
        <w:ind w:firstLineChars="200" w:firstLine="420"/>
      </w:pPr>
      <w:r w:rsidRPr="00DE1F5B">
        <w:rPr>
          <w:rFonts w:hint="eastAsia"/>
        </w:rPr>
        <w:t>本文件主要起草人∶陈丽娟、张云华、张玲、张子墨、鲁文广、朱孟凡、周唐唐、李一、邵富贵、洪松</w:t>
      </w:r>
    </w:p>
    <w:p w14:paraId="71DD7983" w14:textId="77777777" w:rsidR="007016E5" w:rsidRPr="00DE1F5B" w:rsidRDefault="007016E5" w:rsidP="007016E5">
      <w:pPr>
        <w:spacing w:line="360" w:lineRule="auto"/>
        <w:ind w:firstLineChars="200" w:firstLine="420"/>
        <w:jc w:val="left"/>
      </w:pPr>
      <w:r w:rsidRPr="00DE1F5B">
        <w:rPr>
          <w:rFonts w:hint="eastAsia"/>
        </w:rPr>
        <w:t>本文件为首次发布。</w:t>
      </w:r>
    </w:p>
    <w:p w14:paraId="21FDC532" w14:textId="77777777" w:rsidR="007016E5" w:rsidRDefault="007016E5">
      <w:pPr>
        <w:spacing w:line="360" w:lineRule="auto"/>
        <w:ind w:firstLineChars="200" w:firstLine="480"/>
        <w:jc w:val="left"/>
        <w:rPr>
          <w:sz w:val="24"/>
        </w:rPr>
        <w:sectPr w:rsidR="007016E5">
          <w:head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1F82DA2B" w14:textId="47646859" w:rsidR="008A1E2C" w:rsidRDefault="007016E5" w:rsidP="00B260D1">
      <w:pPr>
        <w:spacing w:afterLines="100" w:after="312" w:line="360" w:lineRule="auto"/>
        <w:jc w:val="center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大豆秸秆青贮技术规程</w:t>
      </w:r>
    </w:p>
    <w:p w14:paraId="79F876A3" w14:textId="77777777" w:rsidR="008A1E2C" w:rsidRPr="00BB44E5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6" w:name="_Toc175908327"/>
      <w:bookmarkStart w:id="7" w:name="_Toc176548710"/>
      <w:r w:rsidRPr="00BB44E5">
        <w:rPr>
          <w:rFonts w:hint="eastAsia"/>
          <w:b w:val="0"/>
          <w:bCs w:val="0"/>
          <w:sz w:val="21"/>
          <w:szCs w:val="21"/>
        </w:rPr>
        <w:t xml:space="preserve">1 </w:t>
      </w:r>
      <w:r w:rsidRPr="00BB44E5">
        <w:rPr>
          <w:rFonts w:hint="eastAsia"/>
          <w:b w:val="0"/>
          <w:bCs w:val="0"/>
          <w:sz w:val="21"/>
          <w:szCs w:val="21"/>
        </w:rPr>
        <w:t>范围</w:t>
      </w:r>
      <w:bookmarkEnd w:id="6"/>
      <w:bookmarkEnd w:id="7"/>
    </w:p>
    <w:p w14:paraId="584BF2AB" w14:textId="77777777" w:rsidR="007016E5" w:rsidRPr="007016E5" w:rsidRDefault="007016E5" w:rsidP="007016E5">
      <w:pPr>
        <w:spacing w:line="360" w:lineRule="auto"/>
        <w:ind w:firstLineChars="200" w:firstLine="420"/>
      </w:pPr>
      <w:r w:rsidRPr="007016E5">
        <w:rPr>
          <w:rFonts w:hint="eastAsia"/>
        </w:rPr>
        <w:t>本文件规定了大豆秸秆青贮的术语和定义、青贮方式方法和</w:t>
      </w:r>
      <w:proofErr w:type="gramStart"/>
      <w:r w:rsidRPr="007016E5">
        <w:rPr>
          <w:rFonts w:hint="eastAsia"/>
        </w:rPr>
        <w:t>贮后</w:t>
      </w:r>
      <w:proofErr w:type="gramEnd"/>
      <w:r w:rsidRPr="007016E5">
        <w:rPr>
          <w:rFonts w:hint="eastAsia"/>
        </w:rPr>
        <w:t>管理。</w:t>
      </w:r>
    </w:p>
    <w:p w14:paraId="74A97C4F" w14:textId="77777777" w:rsidR="007016E5" w:rsidRPr="007016E5" w:rsidRDefault="007016E5" w:rsidP="007016E5">
      <w:pPr>
        <w:spacing w:line="360" w:lineRule="auto"/>
        <w:ind w:firstLineChars="200" w:firstLine="420"/>
      </w:pPr>
      <w:r w:rsidRPr="007016E5">
        <w:rPr>
          <w:rFonts w:hint="eastAsia"/>
        </w:rPr>
        <w:t>本文件适用于大豆秸秆的青贮。</w:t>
      </w:r>
    </w:p>
    <w:p w14:paraId="2512DC03" w14:textId="77777777" w:rsidR="007016E5" w:rsidRPr="007016E5" w:rsidRDefault="007016E5" w:rsidP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8" w:name="_Toc176548711"/>
      <w:r w:rsidRPr="007016E5">
        <w:rPr>
          <w:rFonts w:hint="eastAsia"/>
          <w:b w:val="0"/>
          <w:bCs w:val="0"/>
          <w:sz w:val="21"/>
          <w:szCs w:val="21"/>
        </w:rPr>
        <w:t>2</w:t>
      </w:r>
      <w:r w:rsidRPr="007016E5">
        <w:rPr>
          <w:rFonts w:hint="eastAsia"/>
          <w:b w:val="0"/>
          <w:bCs w:val="0"/>
          <w:sz w:val="21"/>
          <w:szCs w:val="21"/>
        </w:rPr>
        <w:t>规范性引用文件</w:t>
      </w:r>
      <w:bookmarkEnd w:id="8"/>
    </w:p>
    <w:p w14:paraId="5F8F1590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680EB959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 xml:space="preserve">GB 13078     </w:t>
      </w:r>
      <w:r w:rsidRPr="007016E5">
        <w:rPr>
          <w:kern w:val="2"/>
          <w:sz w:val="21"/>
          <w:szCs w:val="21"/>
        </w:rPr>
        <w:t>饲料卫生标准</w:t>
      </w:r>
    </w:p>
    <w:p w14:paraId="17E9688C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 xml:space="preserve">GB/T 4455    </w:t>
      </w:r>
      <w:r w:rsidRPr="007016E5">
        <w:rPr>
          <w:kern w:val="2"/>
          <w:sz w:val="21"/>
          <w:szCs w:val="21"/>
        </w:rPr>
        <w:t>农业用聚乙烯吹塑棚膜</w:t>
      </w:r>
    </w:p>
    <w:p w14:paraId="705C74D5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 xml:space="preserve">NY/T 1444    </w:t>
      </w:r>
      <w:r w:rsidRPr="007016E5">
        <w:rPr>
          <w:kern w:val="2"/>
          <w:sz w:val="21"/>
          <w:szCs w:val="21"/>
        </w:rPr>
        <w:t>微生物饲料添加剂技术通则</w:t>
      </w:r>
    </w:p>
    <w:p w14:paraId="25FB1581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 xml:space="preserve">NY/T 2698    </w:t>
      </w:r>
      <w:r w:rsidRPr="007016E5">
        <w:rPr>
          <w:kern w:val="2"/>
          <w:sz w:val="21"/>
          <w:szCs w:val="21"/>
        </w:rPr>
        <w:t>青贮设施建设技术规范</w:t>
      </w:r>
      <w:r w:rsidRPr="007016E5">
        <w:rPr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青贮窖</w:t>
      </w:r>
    </w:p>
    <w:p w14:paraId="2C74AEBC" w14:textId="77777777" w:rsidR="007016E5" w:rsidRPr="007016E5" w:rsidRDefault="007016E5" w:rsidP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9" w:name="_Toc176548712"/>
      <w:r w:rsidRPr="007016E5">
        <w:rPr>
          <w:rFonts w:hint="eastAsia"/>
          <w:b w:val="0"/>
          <w:bCs w:val="0"/>
          <w:sz w:val="21"/>
          <w:szCs w:val="21"/>
        </w:rPr>
        <w:t>3</w:t>
      </w:r>
      <w:r w:rsidRPr="007016E5">
        <w:rPr>
          <w:rFonts w:hint="eastAsia"/>
          <w:b w:val="0"/>
          <w:bCs w:val="0"/>
          <w:sz w:val="21"/>
          <w:szCs w:val="21"/>
        </w:rPr>
        <w:t>术语和定义</w:t>
      </w:r>
      <w:bookmarkEnd w:id="9"/>
    </w:p>
    <w:p w14:paraId="136036F8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rFonts w:hint="eastAsia"/>
          <w:kern w:val="2"/>
          <w:sz w:val="21"/>
          <w:szCs w:val="21"/>
        </w:rPr>
        <w:t>下列术语和定义适用于本文件。</w:t>
      </w:r>
    </w:p>
    <w:p w14:paraId="6D29854F" w14:textId="77777777" w:rsidR="007016E5" w:rsidRPr="007016E5" w:rsidRDefault="007016E5" w:rsidP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0" w:name="_Toc176548713"/>
      <w:r w:rsidRPr="007016E5">
        <w:rPr>
          <w:rFonts w:hint="eastAsia"/>
          <w:b w:val="0"/>
          <w:bCs w:val="0"/>
          <w:sz w:val="21"/>
          <w:szCs w:val="21"/>
        </w:rPr>
        <w:t>3.1</w:t>
      </w:r>
      <w:r w:rsidRPr="007016E5">
        <w:rPr>
          <w:rFonts w:hint="eastAsia"/>
          <w:b w:val="0"/>
          <w:bCs w:val="0"/>
          <w:sz w:val="21"/>
          <w:szCs w:val="21"/>
        </w:rPr>
        <w:t>大豆秸秆</w:t>
      </w:r>
      <w:r w:rsidRPr="007016E5">
        <w:rPr>
          <w:rFonts w:hint="eastAsia"/>
          <w:b w:val="0"/>
          <w:bCs w:val="0"/>
          <w:sz w:val="21"/>
          <w:szCs w:val="21"/>
        </w:rPr>
        <w:t xml:space="preserve"> </w:t>
      </w:r>
      <w:r w:rsidRPr="007016E5">
        <w:rPr>
          <w:b w:val="0"/>
          <w:bCs w:val="0"/>
          <w:sz w:val="21"/>
          <w:szCs w:val="21"/>
        </w:rPr>
        <w:t>soybean straw</w:t>
      </w:r>
      <w:bookmarkEnd w:id="10"/>
    </w:p>
    <w:p w14:paraId="6CEC10E5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rFonts w:hint="eastAsia"/>
          <w:kern w:val="2"/>
          <w:sz w:val="21"/>
          <w:szCs w:val="21"/>
        </w:rPr>
        <w:t>大豆秸秆指去除豆荚后的地上植株部分。</w:t>
      </w:r>
    </w:p>
    <w:p w14:paraId="3751224B" w14:textId="77777777" w:rsidR="007016E5" w:rsidRPr="007016E5" w:rsidRDefault="007016E5" w:rsidP="007016E5">
      <w:pPr>
        <w:pStyle w:val="a7"/>
        <w:spacing w:before="60"/>
        <w:jc w:val="left"/>
        <w:rPr>
          <w:rFonts w:eastAsia="等线"/>
          <w:color w:val="333333"/>
          <w:sz w:val="30"/>
          <w:szCs w:val="30"/>
          <w:shd w:val="clear" w:color="auto" w:fill="FFFFFF"/>
        </w:rPr>
      </w:pPr>
      <w:bookmarkStart w:id="11" w:name="_Toc176548714"/>
      <w:r w:rsidRPr="007016E5">
        <w:rPr>
          <w:rFonts w:hint="eastAsia"/>
          <w:b w:val="0"/>
          <w:bCs w:val="0"/>
          <w:sz w:val="21"/>
          <w:szCs w:val="21"/>
        </w:rPr>
        <w:t xml:space="preserve">3.2 </w:t>
      </w:r>
      <w:r w:rsidRPr="007016E5">
        <w:rPr>
          <w:rFonts w:hint="eastAsia"/>
          <w:b w:val="0"/>
          <w:bCs w:val="0"/>
          <w:sz w:val="21"/>
          <w:szCs w:val="21"/>
        </w:rPr>
        <w:t>大豆秸秆青贮</w:t>
      </w:r>
      <w:r w:rsidRPr="007016E5">
        <w:rPr>
          <w:rFonts w:hint="eastAsia"/>
          <w:b w:val="0"/>
          <w:bCs w:val="0"/>
          <w:sz w:val="21"/>
          <w:szCs w:val="21"/>
        </w:rPr>
        <w:t xml:space="preserve"> </w:t>
      </w:r>
      <w:r w:rsidRPr="007016E5">
        <w:rPr>
          <w:b w:val="0"/>
          <w:bCs w:val="0"/>
          <w:sz w:val="21"/>
          <w:szCs w:val="21"/>
        </w:rPr>
        <w:t>soybean straw</w:t>
      </w:r>
      <w:r w:rsidRPr="007016E5">
        <w:rPr>
          <w:rFonts w:hint="eastAsia"/>
          <w:b w:val="0"/>
          <w:bCs w:val="0"/>
          <w:sz w:val="21"/>
          <w:szCs w:val="21"/>
        </w:rPr>
        <w:t xml:space="preserve"> silage</w:t>
      </w:r>
      <w:bookmarkEnd w:id="11"/>
      <w:r w:rsidRPr="007016E5">
        <w:rPr>
          <w:rFonts w:hint="eastAsia"/>
          <w:b w:val="0"/>
          <w:bCs w:val="0"/>
          <w:sz w:val="21"/>
          <w:szCs w:val="21"/>
        </w:rPr>
        <w:t xml:space="preserve"> </w:t>
      </w:r>
    </w:p>
    <w:p w14:paraId="3E9D6FE3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rFonts w:hint="eastAsia"/>
          <w:kern w:val="2"/>
          <w:sz w:val="21"/>
          <w:szCs w:val="21"/>
        </w:rPr>
        <w:t>将刈割、晾晒至含水量</w:t>
      </w:r>
      <w:r w:rsidRPr="007016E5">
        <w:rPr>
          <w:rFonts w:hint="eastAsia"/>
          <w:kern w:val="2"/>
          <w:sz w:val="21"/>
          <w:szCs w:val="21"/>
        </w:rPr>
        <w:t>60%</w:t>
      </w:r>
      <w:r w:rsidRPr="007016E5">
        <w:rPr>
          <w:rFonts w:hint="eastAsia"/>
          <w:kern w:val="2"/>
          <w:sz w:val="21"/>
          <w:szCs w:val="21"/>
        </w:rPr>
        <w:t>～</w:t>
      </w:r>
      <w:r w:rsidRPr="007016E5">
        <w:rPr>
          <w:rFonts w:hint="eastAsia"/>
          <w:kern w:val="2"/>
          <w:sz w:val="21"/>
          <w:szCs w:val="21"/>
        </w:rPr>
        <w:t>70%</w:t>
      </w:r>
      <w:r w:rsidRPr="007016E5">
        <w:rPr>
          <w:rFonts w:hint="eastAsia"/>
          <w:kern w:val="2"/>
          <w:sz w:val="21"/>
          <w:szCs w:val="21"/>
        </w:rPr>
        <w:t>的大豆秸秆切短后置于密封的青贮设施中，经青贮菌剂厌氧发酵而调制成饲料的贮存技术。</w:t>
      </w:r>
    </w:p>
    <w:p w14:paraId="38DA2CBC" w14:textId="62265E1D" w:rsidR="007016E5" w:rsidRPr="007016E5" w:rsidRDefault="007016E5" w:rsidP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2" w:name="_Toc176548715"/>
      <w:r w:rsidRPr="007016E5">
        <w:rPr>
          <w:rFonts w:hint="eastAsia"/>
          <w:b w:val="0"/>
          <w:bCs w:val="0"/>
          <w:sz w:val="21"/>
          <w:szCs w:val="21"/>
        </w:rPr>
        <w:t xml:space="preserve">3.3 </w:t>
      </w:r>
      <w:r w:rsidRPr="007016E5">
        <w:rPr>
          <w:rFonts w:hint="eastAsia"/>
          <w:b w:val="0"/>
          <w:bCs w:val="0"/>
          <w:sz w:val="21"/>
          <w:szCs w:val="21"/>
        </w:rPr>
        <w:t>青贮菌剂</w:t>
      </w:r>
      <w:r w:rsidRPr="007016E5">
        <w:rPr>
          <w:rFonts w:hint="eastAsia"/>
          <w:b w:val="0"/>
          <w:bCs w:val="0"/>
          <w:sz w:val="21"/>
          <w:szCs w:val="21"/>
        </w:rPr>
        <w:t xml:space="preserve"> silage inoculants bacteria</w:t>
      </w:r>
      <w:bookmarkEnd w:id="12"/>
    </w:p>
    <w:p w14:paraId="24F2F6E6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用于</w:t>
      </w:r>
      <w:r w:rsidRPr="007016E5">
        <w:rPr>
          <w:rFonts w:hint="eastAsia"/>
          <w:kern w:val="2"/>
          <w:sz w:val="21"/>
          <w:szCs w:val="21"/>
        </w:rPr>
        <w:t>减少</w:t>
      </w:r>
      <w:r w:rsidRPr="007016E5">
        <w:rPr>
          <w:kern w:val="2"/>
          <w:sz w:val="21"/>
          <w:szCs w:val="21"/>
        </w:rPr>
        <w:t>青贮过程养分损失，</w:t>
      </w:r>
      <w:r w:rsidRPr="007016E5">
        <w:rPr>
          <w:rFonts w:hint="eastAsia"/>
          <w:kern w:val="2"/>
          <w:sz w:val="21"/>
          <w:szCs w:val="21"/>
        </w:rPr>
        <w:t>抑制有害微生物繁殖，提升大豆秸秆</w:t>
      </w:r>
      <w:r w:rsidRPr="007016E5">
        <w:rPr>
          <w:kern w:val="2"/>
          <w:sz w:val="21"/>
          <w:szCs w:val="21"/>
        </w:rPr>
        <w:t>青贮</w:t>
      </w:r>
      <w:r w:rsidRPr="007016E5">
        <w:rPr>
          <w:rFonts w:hint="eastAsia"/>
          <w:kern w:val="2"/>
          <w:sz w:val="21"/>
          <w:szCs w:val="21"/>
        </w:rPr>
        <w:t>饲料</w:t>
      </w:r>
      <w:r w:rsidRPr="007016E5">
        <w:rPr>
          <w:kern w:val="2"/>
          <w:sz w:val="21"/>
          <w:szCs w:val="21"/>
        </w:rPr>
        <w:t>营养价值</w:t>
      </w:r>
      <w:r w:rsidRPr="007016E5">
        <w:rPr>
          <w:rFonts w:hint="eastAsia"/>
          <w:kern w:val="2"/>
          <w:sz w:val="21"/>
          <w:szCs w:val="21"/>
        </w:rPr>
        <w:t>和适口性而</w:t>
      </w:r>
      <w:r w:rsidRPr="007016E5">
        <w:rPr>
          <w:kern w:val="2"/>
          <w:sz w:val="21"/>
          <w:szCs w:val="21"/>
        </w:rPr>
        <w:t>添加的</w:t>
      </w:r>
      <w:r w:rsidRPr="007016E5">
        <w:rPr>
          <w:rFonts w:hint="eastAsia"/>
          <w:kern w:val="2"/>
          <w:sz w:val="21"/>
          <w:szCs w:val="21"/>
        </w:rPr>
        <w:t>外源微生物</w:t>
      </w:r>
      <w:r w:rsidRPr="007016E5">
        <w:rPr>
          <w:kern w:val="2"/>
          <w:sz w:val="21"/>
          <w:szCs w:val="21"/>
        </w:rPr>
        <w:t>。</w:t>
      </w:r>
    </w:p>
    <w:p w14:paraId="17F69DCA" w14:textId="77777777" w:rsidR="007016E5" w:rsidRPr="007016E5" w:rsidRDefault="007016E5" w:rsidP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3" w:name="_Toc176548716"/>
      <w:r w:rsidRPr="007016E5">
        <w:rPr>
          <w:rFonts w:hint="eastAsia"/>
          <w:b w:val="0"/>
          <w:bCs w:val="0"/>
          <w:sz w:val="21"/>
          <w:szCs w:val="21"/>
        </w:rPr>
        <w:t xml:space="preserve">4 </w:t>
      </w:r>
      <w:r w:rsidRPr="007016E5">
        <w:rPr>
          <w:rFonts w:hint="eastAsia"/>
          <w:b w:val="0"/>
          <w:bCs w:val="0"/>
          <w:sz w:val="21"/>
          <w:szCs w:val="21"/>
        </w:rPr>
        <w:t>青贮方式方法</w:t>
      </w:r>
      <w:bookmarkEnd w:id="13"/>
    </w:p>
    <w:p w14:paraId="6B1005C1" w14:textId="77777777" w:rsidR="007016E5" w:rsidRPr="00D13638" w:rsidRDefault="007016E5" w:rsidP="00D13638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4" w:name="_Toc176548717"/>
      <w:r w:rsidRPr="00D13638">
        <w:rPr>
          <w:rFonts w:hint="eastAsia"/>
          <w:b w:val="0"/>
          <w:bCs w:val="0"/>
          <w:sz w:val="21"/>
          <w:szCs w:val="21"/>
        </w:rPr>
        <w:t xml:space="preserve">4.1 </w:t>
      </w:r>
      <w:r w:rsidRPr="00D13638">
        <w:rPr>
          <w:rFonts w:hint="eastAsia"/>
          <w:b w:val="0"/>
          <w:bCs w:val="0"/>
          <w:sz w:val="21"/>
          <w:szCs w:val="21"/>
        </w:rPr>
        <w:t>青贮方式</w:t>
      </w:r>
      <w:bookmarkEnd w:id="14"/>
    </w:p>
    <w:p w14:paraId="60B99FDE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采用青贮窖青贮和裹包青贮。</w:t>
      </w:r>
    </w:p>
    <w:p w14:paraId="4C36F112" w14:textId="77777777" w:rsidR="007016E5" w:rsidRPr="00D13638" w:rsidRDefault="007016E5" w:rsidP="00D13638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5" w:name="_Toc176548718"/>
      <w:r w:rsidRPr="00D13638">
        <w:rPr>
          <w:rFonts w:hint="eastAsia"/>
          <w:b w:val="0"/>
          <w:bCs w:val="0"/>
          <w:sz w:val="21"/>
          <w:szCs w:val="21"/>
        </w:rPr>
        <w:t>4.2</w:t>
      </w:r>
      <w:r w:rsidRPr="00D13638">
        <w:rPr>
          <w:rFonts w:hint="eastAsia"/>
          <w:b w:val="0"/>
          <w:bCs w:val="0"/>
          <w:sz w:val="21"/>
          <w:szCs w:val="21"/>
        </w:rPr>
        <w:t>青贮前准备</w:t>
      </w:r>
      <w:bookmarkEnd w:id="15"/>
    </w:p>
    <w:p w14:paraId="72CB2F2E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4.2.1 青贮窖青贮</w:t>
      </w:r>
    </w:p>
    <w:p w14:paraId="77DDEA46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青贮窖选址与建设应符合</w:t>
      </w:r>
      <w:r w:rsidRPr="007016E5">
        <w:rPr>
          <w:kern w:val="2"/>
          <w:sz w:val="21"/>
          <w:szCs w:val="21"/>
        </w:rPr>
        <w:t>NY/T 2698</w:t>
      </w:r>
      <w:r w:rsidRPr="007016E5">
        <w:rPr>
          <w:kern w:val="2"/>
          <w:sz w:val="21"/>
          <w:szCs w:val="21"/>
        </w:rPr>
        <w:t>规定。青贮前应清理干净窖内的杂物，窖底部宜铺</w:t>
      </w:r>
      <w:r w:rsidRPr="007016E5">
        <w:rPr>
          <w:kern w:val="2"/>
          <w:sz w:val="21"/>
          <w:szCs w:val="21"/>
        </w:rPr>
        <w:t>20 cm</w:t>
      </w:r>
      <w:r w:rsidRPr="007016E5">
        <w:rPr>
          <w:kern w:val="2"/>
          <w:sz w:val="21"/>
          <w:szCs w:val="21"/>
        </w:rPr>
        <w:t>～</w:t>
      </w:r>
      <w:r w:rsidRPr="007016E5">
        <w:rPr>
          <w:kern w:val="2"/>
          <w:sz w:val="21"/>
          <w:szCs w:val="21"/>
        </w:rPr>
        <w:t>30 cm</w:t>
      </w:r>
      <w:proofErr w:type="gramStart"/>
      <w:r w:rsidRPr="007016E5">
        <w:rPr>
          <w:kern w:val="2"/>
          <w:sz w:val="21"/>
          <w:szCs w:val="21"/>
        </w:rPr>
        <w:t>厚切短</w:t>
      </w:r>
      <w:proofErr w:type="gramEnd"/>
      <w:r w:rsidRPr="007016E5">
        <w:rPr>
          <w:kern w:val="2"/>
          <w:sz w:val="21"/>
          <w:szCs w:val="21"/>
        </w:rPr>
        <w:t>的干秸秆或干草吸收青贮汁液。检查窖壁，铺设塑料薄膜，确保不漏气、不漏水。塑料薄膜应符合</w:t>
      </w:r>
      <w:r w:rsidRPr="007016E5">
        <w:rPr>
          <w:kern w:val="2"/>
          <w:sz w:val="21"/>
          <w:szCs w:val="21"/>
        </w:rPr>
        <w:t>GB/T 4455</w:t>
      </w:r>
      <w:r w:rsidRPr="007016E5">
        <w:rPr>
          <w:kern w:val="2"/>
          <w:sz w:val="21"/>
          <w:szCs w:val="21"/>
        </w:rPr>
        <w:t>的质量规定。备好压实物料，可用沙袋、碎石袋或废旧轮胎。</w:t>
      </w:r>
    </w:p>
    <w:p w14:paraId="1771754B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4.2.2 裹包青贮</w:t>
      </w:r>
    </w:p>
    <w:p w14:paraId="76AD8D71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青贮裹包薄膜应选用聚乙烯膜（</w:t>
      </w:r>
      <w:r w:rsidRPr="007016E5">
        <w:rPr>
          <w:kern w:val="2"/>
          <w:sz w:val="21"/>
          <w:szCs w:val="21"/>
        </w:rPr>
        <w:t>PE</w:t>
      </w:r>
      <w:r w:rsidRPr="007016E5">
        <w:rPr>
          <w:kern w:val="2"/>
          <w:sz w:val="21"/>
          <w:szCs w:val="21"/>
        </w:rPr>
        <w:t>膜）或氧阻隔膜（</w:t>
      </w:r>
      <w:r w:rsidRPr="007016E5">
        <w:rPr>
          <w:kern w:val="2"/>
          <w:sz w:val="21"/>
          <w:szCs w:val="21"/>
        </w:rPr>
        <w:t>OB</w:t>
      </w:r>
      <w:r w:rsidRPr="007016E5">
        <w:rPr>
          <w:kern w:val="2"/>
          <w:sz w:val="21"/>
          <w:szCs w:val="21"/>
        </w:rPr>
        <w:t>膜拉伸膜），拉伸膜厚度应不小于</w:t>
      </w:r>
      <w:r w:rsidRPr="007016E5">
        <w:rPr>
          <w:kern w:val="2"/>
          <w:sz w:val="21"/>
          <w:szCs w:val="21"/>
        </w:rPr>
        <w:t>25</w:t>
      </w:r>
      <w:r w:rsidRPr="007016E5">
        <w:rPr>
          <w:rFonts w:hint="eastAsia"/>
          <w:kern w:val="2"/>
          <w:sz w:val="21"/>
          <w:szCs w:val="21"/>
        </w:rPr>
        <w:t xml:space="preserve"> </w:t>
      </w:r>
      <w:proofErr w:type="spellStart"/>
      <w:r w:rsidRPr="007016E5">
        <w:rPr>
          <w:kern w:val="2"/>
          <w:sz w:val="21"/>
          <w:szCs w:val="21"/>
        </w:rPr>
        <w:t>μm</w:t>
      </w:r>
      <w:proofErr w:type="spellEnd"/>
      <w:r w:rsidRPr="007016E5">
        <w:rPr>
          <w:kern w:val="2"/>
          <w:sz w:val="21"/>
          <w:szCs w:val="21"/>
        </w:rPr>
        <w:t>。青贮前选好青贮裹包存放地，地势高燥、开阔平整、排水良好、无杂物和尖利物的地面为宜。</w:t>
      </w:r>
    </w:p>
    <w:p w14:paraId="7B182806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4.2.3 青贮设备</w:t>
      </w:r>
    </w:p>
    <w:p w14:paraId="68C477AC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检查、调试青贮窑及所需机械设备，确保运行良好。</w:t>
      </w:r>
    </w:p>
    <w:p w14:paraId="542FE750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4.2.4 青贮菌剂</w:t>
      </w:r>
    </w:p>
    <w:p w14:paraId="4CC9BC22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选择</w:t>
      </w:r>
      <w:r w:rsidRPr="007016E5">
        <w:rPr>
          <w:rFonts w:hint="eastAsia"/>
          <w:kern w:val="2"/>
          <w:sz w:val="21"/>
          <w:szCs w:val="21"/>
        </w:rPr>
        <w:t>大豆秸秆</w:t>
      </w:r>
      <w:r w:rsidRPr="007016E5">
        <w:rPr>
          <w:kern w:val="2"/>
          <w:sz w:val="21"/>
          <w:szCs w:val="21"/>
        </w:rPr>
        <w:t>青贮菌剂，有效活菌数应不低于</w:t>
      </w:r>
      <w:r w:rsidRPr="007016E5">
        <w:rPr>
          <w:kern w:val="2"/>
          <w:sz w:val="21"/>
          <w:szCs w:val="21"/>
        </w:rPr>
        <w:t>1×109CFU/g</w:t>
      </w:r>
      <w:r w:rsidRPr="007016E5">
        <w:rPr>
          <w:kern w:val="2"/>
          <w:sz w:val="21"/>
          <w:szCs w:val="21"/>
        </w:rPr>
        <w:t>，质量应符合</w:t>
      </w:r>
      <w:r w:rsidRPr="007016E5">
        <w:rPr>
          <w:kern w:val="2"/>
          <w:sz w:val="21"/>
          <w:szCs w:val="21"/>
        </w:rPr>
        <w:t>NY/T 1444</w:t>
      </w:r>
      <w:r w:rsidRPr="007016E5">
        <w:rPr>
          <w:kern w:val="2"/>
          <w:sz w:val="21"/>
          <w:szCs w:val="21"/>
        </w:rPr>
        <w:t>的规定。</w:t>
      </w:r>
    </w:p>
    <w:p w14:paraId="7243368C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 xml:space="preserve">4.2.5 </w:t>
      </w:r>
      <w:r w:rsidRPr="007016E5">
        <w:rPr>
          <w:rFonts w:ascii="黑体" w:eastAsia="黑体" w:hAnsi="黑体" w:hint="eastAsia"/>
          <w:lang w:bidi="ar"/>
        </w:rPr>
        <w:t>大豆秸秆</w:t>
      </w:r>
    </w:p>
    <w:p w14:paraId="17907CAB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rFonts w:hint="eastAsia"/>
          <w:kern w:val="2"/>
          <w:sz w:val="21"/>
          <w:szCs w:val="21"/>
        </w:rPr>
        <w:t>盛</w:t>
      </w:r>
      <w:proofErr w:type="gramStart"/>
      <w:r w:rsidRPr="007016E5">
        <w:rPr>
          <w:rFonts w:hint="eastAsia"/>
          <w:kern w:val="2"/>
          <w:sz w:val="21"/>
          <w:szCs w:val="21"/>
        </w:rPr>
        <w:t>荚期至鼓粒期间</w:t>
      </w:r>
      <w:proofErr w:type="gramEnd"/>
      <w:r w:rsidRPr="007016E5">
        <w:rPr>
          <w:rFonts w:hint="eastAsia"/>
          <w:kern w:val="2"/>
          <w:sz w:val="21"/>
          <w:szCs w:val="21"/>
        </w:rPr>
        <w:t>大豆收获结束后，收集地面上大豆茎叶，除去其中霉变与腐败等部分。</w:t>
      </w:r>
      <w:r w:rsidRPr="007016E5">
        <w:rPr>
          <w:kern w:val="2"/>
          <w:sz w:val="21"/>
          <w:szCs w:val="21"/>
        </w:rPr>
        <w:t>用青贮切碎机或铡草机将晾晒至含水量达</w:t>
      </w:r>
      <w:r w:rsidRPr="007016E5">
        <w:rPr>
          <w:kern w:val="2"/>
          <w:sz w:val="21"/>
          <w:szCs w:val="21"/>
        </w:rPr>
        <w:t>60%</w:t>
      </w:r>
      <w:r w:rsidRPr="007016E5">
        <w:rPr>
          <w:kern w:val="2"/>
          <w:sz w:val="21"/>
          <w:szCs w:val="21"/>
        </w:rPr>
        <w:t>～</w:t>
      </w:r>
      <w:r w:rsidRPr="007016E5">
        <w:rPr>
          <w:kern w:val="2"/>
          <w:sz w:val="21"/>
          <w:szCs w:val="21"/>
        </w:rPr>
        <w:t>70%</w:t>
      </w:r>
      <w:r w:rsidRPr="007016E5">
        <w:rPr>
          <w:rFonts w:hint="eastAsia"/>
          <w:kern w:val="2"/>
          <w:sz w:val="21"/>
          <w:szCs w:val="21"/>
        </w:rPr>
        <w:t>大豆秸秆</w:t>
      </w:r>
      <w:r w:rsidRPr="007016E5">
        <w:rPr>
          <w:kern w:val="2"/>
          <w:sz w:val="21"/>
          <w:szCs w:val="21"/>
        </w:rPr>
        <w:t>切碎，应按饲喂家畜的种类处理</w:t>
      </w:r>
      <w:r w:rsidRPr="007016E5">
        <w:rPr>
          <w:rFonts w:hint="eastAsia"/>
          <w:kern w:val="2"/>
          <w:sz w:val="21"/>
          <w:szCs w:val="21"/>
        </w:rPr>
        <w:t>大豆秸秆，</w:t>
      </w:r>
      <w:r w:rsidRPr="007016E5">
        <w:rPr>
          <w:kern w:val="2"/>
          <w:sz w:val="21"/>
          <w:szCs w:val="21"/>
        </w:rPr>
        <w:t>长度宜为</w:t>
      </w:r>
      <w:r w:rsidRPr="007016E5">
        <w:rPr>
          <w:rFonts w:hint="eastAsia"/>
          <w:kern w:val="2"/>
          <w:sz w:val="21"/>
          <w:szCs w:val="21"/>
        </w:rPr>
        <w:t>1</w:t>
      </w:r>
      <w:r w:rsidRPr="007016E5">
        <w:rPr>
          <w:kern w:val="2"/>
          <w:sz w:val="21"/>
          <w:szCs w:val="21"/>
        </w:rPr>
        <w:t>㎝</w:t>
      </w:r>
      <w:r w:rsidRPr="007016E5">
        <w:rPr>
          <w:rFonts w:hint="eastAsia"/>
          <w:kern w:val="2"/>
          <w:sz w:val="21"/>
          <w:szCs w:val="21"/>
        </w:rPr>
        <w:t>～</w:t>
      </w:r>
      <w:r w:rsidRPr="007016E5">
        <w:rPr>
          <w:rFonts w:hint="eastAsia"/>
          <w:kern w:val="2"/>
          <w:sz w:val="21"/>
          <w:szCs w:val="21"/>
        </w:rPr>
        <w:t>3</w:t>
      </w:r>
      <w:r w:rsidRPr="007016E5">
        <w:rPr>
          <w:kern w:val="2"/>
          <w:sz w:val="21"/>
          <w:szCs w:val="21"/>
        </w:rPr>
        <w:t>㎝</w:t>
      </w:r>
      <w:r w:rsidRPr="007016E5">
        <w:rPr>
          <w:rFonts w:hint="eastAsia"/>
          <w:kern w:val="2"/>
          <w:sz w:val="21"/>
          <w:szCs w:val="21"/>
        </w:rPr>
        <w:t>。</w:t>
      </w:r>
    </w:p>
    <w:p w14:paraId="1D0B5D80" w14:textId="77777777" w:rsidR="007016E5" w:rsidRPr="00D13638" w:rsidRDefault="007016E5" w:rsidP="00D13638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6" w:name="_Toc176548719"/>
      <w:r w:rsidRPr="00D13638">
        <w:rPr>
          <w:rFonts w:hint="eastAsia"/>
          <w:b w:val="0"/>
          <w:bCs w:val="0"/>
          <w:sz w:val="21"/>
          <w:szCs w:val="21"/>
        </w:rPr>
        <w:t>4.3</w:t>
      </w:r>
      <w:proofErr w:type="gramStart"/>
      <w:r w:rsidRPr="00D13638">
        <w:rPr>
          <w:rFonts w:hint="eastAsia"/>
          <w:b w:val="0"/>
          <w:bCs w:val="0"/>
          <w:sz w:val="21"/>
          <w:szCs w:val="21"/>
        </w:rPr>
        <w:t>装窖与裹</w:t>
      </w:r>
      <w:proofErr w:type="gramEnd"/>
      <w:r w:rsidRPr="00D13638">
        <w:rPr>
          <w:rFonts w:hint="eastAsia"/>
          <w:b w:val="0"/>
          <w:bCs w:val="0"/>
          <w:sz w:val="21"/>
          <w:szCs w:val="21"/>
        </w:rPr>
        <w:t>包</w:t>
      </w:r>
      <w:bookmarkEnd w:id="16"/>
    </w:p>
    <w:p w14:paraId="580EC5E0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4.3.1 装窖</w:t>
      </w:r>
    </w:p>
    <w:p w14:paraId="49C9FC10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青贮量在</w:t>
      </w:r>
      <w:r w:rsidRPr="007016E5">
        <w:rPr>
          <w:kern w:val="2"/>
          <w:sz w:val="21"/>
          <w:szCs w:val="21"/>
        </w:rPr>
        <w:t>300 m3</w:t>
      </w:r>
      <w:r w:rsidRPr="007016E5">
        <w:rPr>
          <w:kern w:val="2"/>
          <w:sz w:val="21"/>
          <w:szCs w:val="21"/>
        </w:rPr>
        <w:t>以下，宜平铺分层填装；青贮量超过</w:t>
      </w:r>
      <w:r w:rsidRPr="007016E5">
        <w:rPr>
          <w:kern w:val="2"/>
          <w:sz w:val="21"/>
          <w:szCs w:val="21"/>
        </w:rPr>
        <w:t>300 m3</w:t>
      </w:r>
      <w:r w:rsidRPr="007016E5">
        <w:rPr>
          <w:kern w:val="2"/>
          <w:sz w:val="21"/>
          <w:szCs w:val="21"/>
        </w:rPr>
        <w:t>，原料应由内向外呈楔形分层装填。每层不超过</w:t>
      </w:r>
      <w:r w:rsidRPr="007016E5">
        <w:rPr>
          <w:kern w:val="2"/>
          <w:sz w:val="21"/>
          <w:szCs w:val="21"/>
        </w:rPr>
        <w:t>30</w:t>
      </w:r>
      <w:r w:rsidRPr="007016E5">
        <w:rPr>
          <w:rFonts w:hint="eastAsia"/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cm</w:t>
      </w:r>
      <w:r w:rsidRPr="007016E5">
        <w:rPr>
          <w:kern w:val="2"/>
          <w:sz w:val="21"/>
          <w:szCs w:val="21"/>
        </w:rPr>
        <w:t>，使用人工或机械逐层压实，压实密度应</w:t>
      </w:r>
      <w:r w:rsidRPr="007016E5">
        <w:rPr>
          <w:kern w:val="2"/>
          <w:sz w:val="21"/>
          <w:szCs w:val="21"/>
        </w:rPr>
        <w:t>≥400</w:t>
      </w:r>
      <w:r w:rsidRPr="007016E5">
        <w:rPr>
          <w:rFonts w:hint="eastAsia"/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kg/m3</w:t>
      </w:r>
      <w:r w:rsidRPr="007016E5">
        <w:rPr>
          <w:kern w:val="2"/>
          <w:sz w:val="21"/>
          <w:szCs w:val="21"/>
        </w:rPr>
        <w:t>，尤其要压实池角及四周边缘。</w:t>
      </w:r>
      <w:r w:rsidRPr="007016E5">
        <w:rPr>
          <w:rFonts w:hint="eastAsia"/>
          <w:kern w:val="2"/>
          <w:sz w:val="21"/>
          <w:szCs w:val="21"/>
        </w:rPr>
        <w:t>大豆秸秆</w:t>
      </w:r>
      <w:r w:rsidRPr="007016E5">
        <w:rPr>
          <w:kern w:val="2"/>
          <w:sz w:val="21"/>
          <w:szCs w:val="21"/>
        </w:rPr>
        <w:t>装填应与水分调节、含糖量调节、青贮菌剂添加和压实作业逐层交替进行。装填卫生应符合</w:t>
      </w:r>
      <w:r w:rsidRPr="007016E5">
        <w:rPr>
          <w:kern w:val="2"/>
          <w:sz w:val="21"/>
          <w:szCs w:val="21"/>
        </w:rPr>
        <w:t>GB 13078</w:t>
      </w:r>
      <w:r w:rsidRPr="007016E5">
        <w:rPr>
          <w:kern w:val="2"/>
          <w:sz w:val="21"/>
          <w:szCs w:val="21"/>
        </w:rPr>
        <w:t>的要求。</w:t>
      </w:r>
    </w:p>
    <w:p w14:paraId="64D7DBE9" w14:textId="77777777" w:rsidR="007016E5" w:rsidRPr="007016E5" w:rsidRDefault="007016E5" w:rsidP="007016E5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rFonts w:hint="eastAsia"/>
          <w:kern w:val="2"/>
          <w:sz w:val="21"/>
          <w:szCs w:val="21"/>
        </w:rPr>
        <w:t>大豆秸秆</w:t>
      </w:r>
      <w:r w:rsidRPr="007016E5">
        <w:rPr>
          <w:kern w:val="2"/>
          <w:sz w:val="21"/>
          <w:szCs w:val="21"/>
        </w:rPr>
        <w:t>含水量一般应在</w:t>
      </w:r>
      <w:r w:rsidRPr="007016E5">
        <w:rPr>
          <w:kern w:val="2"/>
          <w:sz w:val="21"/>
          <w:szCs w:val="21"/>
        </w:rPr>
        <w:t>60%</w:t>
      </w:r>
      <w:r w:rsidRPr="007016E5">
        <w:rPr>
          <w:kern w:val="2"/>
          <w:sz w:val="21"/>
          <w:szCs w:val="21"/>
        </w:rPr>
        <w:t>～</w:t>
      </w:r>
      <w:r w:rsidRPr="007016E5">
        <w:rPr>
          <w:kern w:val="2"/>
          <w:sz w:val="21"/>
          <w:szCs w:val="21"/>
        </w:rPr>
        <w:t>70%</w:t>
      </w:r>
      <w:r w:rsidRPr="007016E5">
        <w:rPr>
          <w:kern w:val="2"/>
          <w:sz w:val="21"/>
          <w:szCs w:val="21"/>
        </w:rPr>
        <w:t>，水分不足应逐层喷洒补充水分，用水水质应符合</w:t>
      </w:r>
      <w:r w:rsidRPr="007016E5">
        <w:rPr>
          <w:kern w:val="2"/>
          <w:sz w:val="21"/>
          <w:szCs w:val="21"/>
        </w:rPr>
        <w:t>NY 5027</w:t>
      </w:r>
      <w:r w:rsidRPr="007016E5">
        <w:rPr>
          <w:kern w:val="2"/>
          <w:sz w:val="21"/>
          <w:szCs w:val="21"/>
        </w:rPr>
        <w:t>的规定，加水量根据</w:t>
      </w:r>
      <w:r w:rsidRPr="007016E5">
        <w:rPr>
          <w:rFonts w:hint="eastAsia"/>
          <w:kern w:val="2"/>
          <w:sz w:val="21"/>
          <w:szCs w:val="21"/>
        </w:rPr>
        <w:t>大豆秸秆</w:t>
      </w:r>
      <w:r w:rsidRPr="007016E5">
        <w:rPr>
          <w:kern w:val="2"/>
          <w:sz w:val="21"/>
          <w:szCs w:val="21"/>
        </w:rPr>
        <w:t>本身含水率计算，按照</w:t>
      </w:r>
      <w:r w:rsidRPr="007016E5">
        <w:rPr>
          <w:rFonts w:hint="eastAsia"/>
          <w:kern w:val="2"/>
          <w:sz w:val="21"/>
          <w:szCs w:val="21"/>
        </w:rPr>
        <w:t>公式（</w:t>
      </w:r>
      <w:r w:rsidRPr="007016E5">
        <w:rPr>
          <w:rFonts w:hint="eastAsia"/>
          <w:kern w:val="2"/>
          <w:sz w:val="21"/>
          <w:szCs w:val="21"/>
        </w:rPr>
        <w:t>1</w:t>
      </w:r>
      <w:r w:rsidRPr="007016E5">
        <w:rPr>
          <w:rFonts w:hint="eastAsia"/>
          <w:kern w:val="2"/>
          <w:sz w:val="21"/>
          <w:szCs w:val="21"/>
        </w:rPr>
        <w:t>）</w:t>
      </w:r>
      <w:r w:rsidRPr="007016E5">
        <w:rPr>
          <w:kern w:val="2"/>
          <w:sz w:val="21"/>
          <w:szCs w:val="21"/>
        </w:rPr>
        <w:t>计算。</w:t>
      </w:r>
    </w:p>
    <w:p w14:paraId="481C5B47" w14:textId="1463D2EA" w:rsidR="007016E5" w:rsidRDefault="00000000" w:rsidP="007016E5">
      <w:pPr>
        <w:pStyle w:val="af1"/>
        <w:ind w:firstLineChars="1000" w:firstLine="210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X(60%-Y)</m:t>
            </m:r>
          </m:num>
          <m:den>
            <m:r>
              <w:rPr>
                <w:rFonts w:ascii="Cambria Math" w:hAnsi="Cambria Math"/>
              </w:rPr>
              <m:t>60%</m:t>
            </m:r>
          </m:den>
        </m:f>
        <m:r>
          <w:rPr>
            <w:rFonts w:ascii="Cambria Math" w:hAnsi="Cambria Math"/>
          </w:rPr>
          <m:t>≤Z≤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X(70%-Y)</m:t>
            </m:r>
          </m:num>
          <m:den>
            <m:r>
              <w:rPr>
                <w:rFonts w:ascii="Cambria Math" w:hAnsi="Cambria Math"/>
              </w:rPr>
              <m:t>70%</m:t>
            </m:r>
          </m:den>
        </m:f>
      </m:oMath>
      <w:r w:rsidR="007016E5">
        <w:rPr>
          <w:rFonts w:ascii="Times New Roman" w:eastAsia="微软雅黑" w:hAnsi="Times New Roman"/>
        </w:rPr>
        <w:tab/>
      </w:r>
      <w:r w:rsidR="007016E5">
        <w:rPr>
          <w:rFonts w:ascii="Times New Roman" w:hAnsi="Times New Roman"/>
        </w:rPr>
        <w:t>(</w:t>
      </w:r>
      <w:r w:rsidR="007016E5">
        <w:rPr>
          <w:rFonts w:ascii="Times New Roman" w:hAnsi="Times New Roman"/>
        </w:rPr>
        <w:fldChar w:fldCharType="begin"/>
      </w:r>
      <w:r w:rsidR="007016E5">
        <w:rPr>
          <w:rFonts w:ascii="Times New Roman" w:hAnsi="Times New Roman"/>
        </w:rPr>
        <w:instrText xml:space="preserve"> AUTONUM </w:instrText>
      </w:r>
      <w:r w:rsidR="007016E5">
        <w:rPr>
          <w:rFonts w:ascii="Times New Roman" w:hAnsi="Times New Roman"/>
        </w:rPr>
        <w:fldChar w:fldCharType="end"/>
      </w:r>
      <w:r w:rsidR="007016E5">
        <w:rPr>
          <w:rFonts w:ascii="Times New Roman" w:hAnsi="Times New Roman"/>
        </w:rPr>
        <w:t>)</w:t>
      </w:r>
    </w:p>
    <w:p w14:paraId="02E68046" w14:textId="77777777" w:rsidR="007016E5" w:rsidRDefault="007016E5" w:rsidP="007016E5">
      <w:pPr>
        <w:pStyle w:val="af0"/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式中：</w:t>
      </w:r>
    </w:p>
    <w:p w14:paraId="5FD3A9DC" w14:textId="77777777" w:rsidR="007016E5" w:rsidRDefault="007016E5" w:rsidP="007016E5">
      <w:pPr>
        <w:pStyle w:val="ab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X——</w:t>
      </w:r>
      <w:r>
        <w:rPr>
          <w:rFonts w:ascii="Times New Roman" w:hint="eastAsia"/>
        </w:rPr>
        <w:t>大豆秸秆</w:t>
      </w:r>
      <w:r>
        <w:rPr>
          <w:rFonts w:ascii="Times New Roman"/>
        </w:rPr>
        <w:t>重量，单位为千克（</w:t>
      </w:r>
      <w:r>
        <w:rPr>
          <w:rFonts w:ascii="Times New Roman"/>
        </w:rPr>
        <w:t>kg</w:t>
      </w:r>
      <w:r>
        <w:rPr>
          <w:rFonts w:ascii="Times New Roman"/>
        </w:rPr>
        <w:t>）；</w:t>
      </w:r>
    </w:p>
    <w:p w14:paraId="5628521C" w14:textId="77777777" w:rsidR="007016E5" w:rsidRDefault="007016E5" w:rsidP="007016E5">
      <w:pPr>
        <w:pStyle w:val="ab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Y——</w:t>
      </w:r>
      <w:r>
        <w:rPr>
          <w:rFonts w:ascii="Times New Roman" w:hint="eastAsia"/>
        </w:rPr>
        <w:t>大豆秸秆</w:t>
      </w:r>
      <w:r>
        <w:rPr>
          <w:rFonts w:ascii="Times New Roman"/>
        </w:rPr>
        <w:t>中含水量百分比，</w:t>
      </w:r>
      <w:r>
        <w:rPr>
          <w:rFonts w:ascii="Times New Roman"/>
        </w:rPr>
        <w:t>%</w:t>
      </w:r>
      <w:r>
        <w:rPr>
          <w:rFonts w:ascii="Times New Roman"/>
        </w:rPr>
        <w:t>；</w:t>
      </w:r>
    </w:p>
    <w:p w14:paraId="63E2F04F" w14:textId="77777777" w:rsidR="007016E5" w:rsidRDefault="007016E5" w:rsidP="007016E5">
      <w:pPr>
        <w:pStyle w:val="ab"/>
        <w:spacing w:line="360" w:lineRule="auto"/>
        <w:ind w:left="105" w:firstLineChars="150" w:firstLine="315"/>
        <w:rPr>
          <w:rFonts w:ascii="Times New Roman"/>
        </w:rPr>
      </w:pPr>
      <w:r>
        <w:rPr>
          <w:rFonts w:ascii="Times New Roman"/>
        </w:rPr>
        <w:t>Z——</w:t>
      </w:r>
      <w:r>
        <w:rPr>
          <w:rFonts w:ascii="Times New Roman"/>
        </w:rPr>
        <w:t>加水量，单位为千克（</w:t>
      </w:r>
      <w:r>
        <w:rPr>
          <w:rFonts w:ascii="Times New Roman"/>
        </w:rPr>
        <w:t>kg</w:t>
      </w:r>
      <w:r>
        <w:rPr>
          <w:rFonts w:ascii="Times New Roman"/>
        </w:rPr>
        <w:t>）。</w:t>
      </w:r>
    </w:p>
    <w:p w14:paraId="1429F55F" w14:textId="77777777" w:rsidR="007016E5" w:rsidRDefault="007016E5" w:rsidP="007016E5">
      <w:pPr>
        <w:spacing w:line="360" w:lineRule="auto"/>
        <w:ind w:firstLineChars="200" w:firstLine="420"/>
      </w:pPr>
      <w:r>
        <w:rPr>
          <w:rFonts w:hint="eastAsia"/>
        </w:rPr>
        <w:t>大豆秸秆</w:t>
      </w:r>
      <w:r>
        <w:t>糖分含量低于</w:t>
      </w:r>
      <w:r>
        <w:t>1.5%</w:t>
      </w:r>
      <w:r>
        <w:t>时，可逐层加入</w:t>
      </w:r>
      <w:r>
        <w:rPr>
          <w:rFonts w:hint="eastAsia"/>
        </w:rPr>
        <w:t>大豆秸秆</w:t>
      </w:r>
      <w:r>
        <w:t>重量的</w:t>
      </w:r>
      <w:r>
        <w:t>1%</w:t>
      </w:r>
      <w:r>
        <w:t>～</w:t>
      </w:r>
      <w:r>
        <w:t>1.5%</w:t>
      </w:r>
      <w:r>
        <w:t>的麦麸或玉米粉配置</w:t>
      </w:r>
      <w:r>
        <w:rPr>
          <w:rFonts w:hint="eastAsia"/>
        </w:rPr>
        <w:t>，或</w:t>
      </w:r>
      <w:r>
        <w:rPr>
          <w:rFonts w:hint="eastAsia"/>
        </w:rPr>
        <w:t>2</w:t>
      </w:r>
      <w:r>
        <w:t>%</w:t>
      </w:r>
      <w:r>
        <w:t>～</w:t>
      </w:r>
      <w:r>
        <w:rPr>
          <w:rFonts w:hint="eastAsia"/>
        </w:rPr>
        <w:t>4</w:t>
      </w:r>
      <w:r>
        <w:t>%</w:t>
      </w:r>
      <w:r>
        <w:rPr>
          <w:rFonts w:hint="eastAsia"/>
        </w:rPr>
        <w:t>糖蜜，并添加</w:t>
      </w:r>
      <w:r>
        <w:t>青贮菌剂，逐层采用雾状均匀喷洒。当</w:t>
      </w:r>
      <w:r>
        <w:rPr>
          <w:rFonts w:hint="eastAsia"/>
        </w:rPr>
        <w:t>大豆秸秆</w:t>
      </w:r>
      <w:r>
        <w:t>分层压实到高出窖口</w:t>
      </w:r>
      <w:r>
        <w:t>30</w:t>
      </w:r>
      <w:r>
        <w:rPr>
          <w:rFonts w:hint="eastAsia"/>
        </w:rPr>
        <w:t xml:space="preserve"> </w:t>
      </w:r>
      <w:r>
        <w:t>cm</w:t>
      </w:r>
      <w:r>
        <w:t>～</w:t>
      </w:r>
      <w:r>
        <w:t>50</w:t>
      </w:r>
      <w:r>
        <w:rPr>
          <w:rFonts w:hint="eastAsia"/>
        </w:rPr>
        <w:t xml:space="preserve"> </w:t>
      </w:r>
      <w:r>
        <w:t>cm</w:t>
      </w:r>
      <w:r>
        <w:t>时再充分压实，</w:t>
      </w:r>
      <w:proofErr w:type="gramStart"/>
      <w:r>
        <w:t>同时补喷一层</w:t>
      </w:r>
      <w:proofErr w:type="gramEnd"/>
      <w:r>
        <w:t>高效青贮菌剂，盖上聚乙烯塑料薄膜，塑料薄膜上放置重物镇压，窖边挖好排水沟，以防雨水渗漏。密封发酵时间宜不少于</w:t>
      </w:r>
      <w:r>
        <w:t>40</w:t>
      </w:r>
      <w:r>
        <w:t>天。</w:t>
      </w:r>
    </w:p>
    <w:p w14:paraId="28B6FBDB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/>
          <w:lang w:bidi="ar"/>
        </w:rPr>
        <w:t>4.3.</w:t>
      </w:r>
      <w:r w:rsidRPr="007016E5">
        <w:rPr>
          <w:rFonts w:ascii="黑体" w:eastAsia="黑体" w:hAnsi="黑体" w:hint="eastAsia"/>
          <w:lang w:bidi="ar"/>
        </w:rPr>
        <w:t>2裹包</w:t>
      </w:r>
    </w:p>
    <w:p w14:paraId="0EE8B8D5" w14:textId="77777777" w:rsidR="007016E5" w:rsidRPr="007016E5" w:rsidRDefault="007016E5" w:rsidP="007016E5">
      <w:pPr>
        <w:spacing w:line="360" w:lineRule="auto"/>
        <w:ind w:firstLineChars="200" w:firstLine="420"/>
      </w:pPr>
      <w:r w:rsidRPr="007016E5">
        <w:rPr>
          <w:rFonts w:hint="eastAsia"/>
        </w:rPr>
        <w:t>使用</w:t>
      </w:r>
      <w:proofErr w:type="gramStart"/>
      <w:r w:rsidRPr="007016E5">
        <w:rPr>
          <w:rFonts w:hint="eastAsia"/>
        </w:rPr>
        <w:t>青贮缠网打捆</w:t>
      </w:r>
      <w:proofErr w:type="gramEnd"/>
      <w:r w:rsidRPr="007016E5">
        <w:rPr>
          <w:rFonts w:hint="eastAsia"/>
        </w:rPr>
        <w:t>，打捆密度应不小于</w:t>
      </w:r>
      <w:r w:rsidRPr="007016E5">
        <w:rPr>
          <w:rFonts w:hint="eastAsia"/>
        </w:rPr>
        <w:t>400 kg/m3</w:t>
      </w:r>
      <w:r w:rsidRPr="007016E5">
        <w:rPr>
          <w:rFonts w:hint="eastAsia"/>
        </w:rPr>
        <w:t>。打捆后用裹包薄膜裹包密封，裹包层数为</w:t>
      </w:r>
      <w:r w:rsidRPr="007016E5">
        <w:rPr>
          <w:rFonts w:hint="eastAsia"/>
        </w:rPr>
        <w:t>4</w:t>
      </w:r>
      <w:r w:rsidRPr="007016E5">
        <w:rPr>
          <w:rFonts w:hint="eastAsia"/>
        </w:rPr>
        <w:t>层～</w:t>
      </w:r>
      <w:r w:rsidRPr="007016E5">
        <w:rPr>
          <w:rFonts w:hint="eastAsia"/>
        </w:rPr>
        <w:t>6</w:t>
      </w:r>
      <w:r w:rsidRPr="007016E5">
        <w:rPr>
          <w:rFonts w:hint="eastAsia"/>
        </w:rPr>
        <w:t>层。密封发酵时间宜不少于</w:t>
      </w:r>
      <w:r w:rsidRPr="007016E5">
        <w:rPr>
          <w:rFonts w:hint="eastAsia"/>
        </w:rPr>
        <w:t>40</w:t>
      </w:r>
      <w:r w:rsidRPr="007016E5">
        <w:rPr>
          <w:rFonts w:hint="eastAsia"/>
        </w:rPr>
        <w:t>天。</w:t>
      </w:r>
    </w:p>
    <w:p w14:paraId="110786AB" w14:textId="77777777" w:rsidR="007016E5" w:rsidRPr="00D13638" w:rsidRDefault="007016E5" w:rsidP="00D13638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7" w:name="_Toc176548720"/>
      <w:r w:rsidRPr="00D13638">
        <w:rPr>
          <w:rFonts w:hint="eastAsia"/>
          <w:b w:val="0"/>
          <w:bCs w:val="0"/>
          <w:sz w:val="21"/>
          <w:szCs w:val="21"/>
        </w:rPr>
        <w:t xml:space="preserve">4.4 </w:t>
      </w:r>
      <w:r w:rsidRPr="00D13638">
        <w:rPr>
          <w:rFonts w:hint="eastAsia"/>
          <w:b w:val="0"/>
          <w:bCs w:val="0"/>
          <w:sz w:val="21"/>
          <w:szCs w:val="21"/>
        </w:rPr>
        <w:t>贮后管理</w:t>
      </w:r>
      <w:bookmarkEnd w:id="17"/>
    </w:p>
    <w:p w14:paraId="68C605F1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 w:hint="eastAsia"/>
          <w:lang w:bidi="ar"/>
        </w:rPr>
        <w:t>4.4.1青贮窖</w:t>
      </w:r>
    </w:p>
    <w:p w14:paraId="0FDED4C2" w14:textId="77777777" w:rsidR="007016E5" w:rsidRPr="007016E5" w:rsidRDefault="007016E5" w:rsidP="007016E5">
      <w:pPr>
        <w:spacing w:line="360" w:lineRule="auto"/>
        <w:ind w:firstLineChars="200" w:firstLine="420"/>
      </w:pPr>
      <w:r w:rsidRPr="007016E5">
        <w:rPr>
          <w:rFonts w:hint="eastAsia"/>
        </w:rPr>
        <w:t>应经常检查青贮设施密封性，发现破损渗漏，及时修补；注意防鼠、防鸟、防人畜踩踏；青贮草莓藤条应随取随喂，取后及时盖好塑料薄膜，防止料面暴露导致二次发酵。</w:t>
      </w:r>
    </w:p>
    <w:p w14:paraId="7294C0A9" w14:textId="77777777" w:rsidR="007016E5" w:rsidRPr="007016E5" w:rsidRDefault="007016E5" w:rsidP="007016E5">
      <w:pPr>
        <w:widowControl/>
        <w:spacing w:line="360" w:lineRule="auto"/>
        <w:jc w:val="left"/>
        <w:rPr>
          <w:rFonts w:ascii="黑体" w:eastAsia="黑体" w:hAnsi="黑体" w:hint="eastAsia"/>
          <w:lang w:bidi="ar"/>
        </w:rPr>
      </w:pPr>
      <w:r w:rsidRPr="007016E5">
        <w:rPr>
          <w:rFonts w:ascii="黑体" w:eastAsia="黑体" w:hAnsi="黑体" w:hint="eastAsia"/>
          <w:lang w:bidi="ar"/>
        </w:rPr>
        <w:t>4.4.2 裹包</w:t>
      </w:r>
    </w:p>
    <w:p w14:paraId="4FAFF759" w14:textId="77777777" w:rsidR="007016E5" w:rsidRPr="007016E5" w:rsidRDefault="007016E5" w:rsidP="007016E5">
      <w:pPr>
        <w:spacing w:line="360" w:lineRule="auto"/>
        <w:ind w:firstLineChars="200" w:firstLine="420"/>
      </w:pPr>
      <w:r w:rsidRPr="007016E5">
        <w:rPr>
          <w:rFonts w:hint="eastAsia"/>
        </w:rPr>
        <w:t>定期检查青裹包薄膜的密封性，及时补漏，及时排除顶部出现的积水；防止阳光直射，冬季应采取保温措施；在堆放过程中注意防止家畜、鼠、虫和鸟类等危害。</w:t>
      </w:r>
    </w:p>
    <w:p w14:paraId="1FCE0F0A" w14:textId="77777777" w:rsidR="007016E5" w:rsidRDefault="007016E5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18" w:name="_Toc175908336"/>
    </w:p>
    <w:bookmarkEnd w:id="18"/>
    <w:p w14:paraId="3F829F0C" w14:textId="77777777" w:rsidR="00766462" w:rsidRPr="00BB44E5" w:rsidRDefault="00000000">
      <w:pPr>
        <w:spacing w:line="360" w:lineRule="auto"/>
        <w:ind w:firstLineChars="900" w:firstLine="1890"/>
        <w:jc w:val="left"/>
        <w:rPr>
          <w:u w:val="single"/>
        </w:rPr>
      </w:pPr>
      <w:r w:rsidRPr="00BB44E5">
        <w:rPr>
          <w:rFonts w:hint="eastAsia"/>
          <w:u w:val="single"/>
        </w:rPr>
        <w:t xml:space="preserve">                                    </w:t>
      </w:r>
    </w:p>
    <w:sectPr w:rsidR="00766462" w:rsidRPr="00BB44E5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93D8" w14:textId="77777777" w:rsidR="007B60E4" w:rsidRDefault="007B60E4">
      <w:r>
        <w:separator/>
      </w:r>
    </w:p>
  </w:endnote>
  <w:endnote w:type="continuationSeparator" w:id="0">
    <w:p w14:paraId="78BB07E0" w14:textId="77777777" w:rsidR="007B60E4" w:rsidRDefault="007B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BDDE" w14:textId="77777777" w:rsidR="008A1E2C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67D9C6" w14:textId="77777777" w:rsidR="008A1E2C" w:rsidRDefault="008A1E2C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BCCA" w14:textId="77777777" w:rsidR="008A1E2C" w:rsidRDefault="00000000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8A1E2C" w:rsidRDefault="008A1E2C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50B3" w14:textId="77777777" w:rsidR="007B60E4" w:rsidRDefault="007B60E4">
      <w:r>
        <w:separator/>
      </w:r>
    </w:p>
  </w:footnote>
  <w:footnote w:type="continuationSeparator" w:id="0">
    <w:p w14:paraId="413F7D47" w14:textId="77777777" w:rsidR="007B60E4" w:rsidRDefault="007B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6456" w14:textId="77777777" w:rsidR="00F32177" w:rsidRPr="00F32177" w:rsidRDefault="00F32177" w:rsidP="00F32177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r>
      <w:rPr>
        <w:rFonts w:ascii="黑体" w:eastAsia="黑体" w:hAnsi="黑体" w:cs="黑体"/>
        <w:b/>
        <w:bCs/>
        <w:spacing w:val="-2"/>
      </w:rPr>
      <w:t>HXCY/T</w:t>
    </w:r>
    <w:r>
      <w:rPr>
        <w:rFonts w:ascii="黑体" w:eastAsia="黑体" w:hAnsi="黑体" w:cs="黑体"/>
        <w:spacing w:val="-2"/>
      </w:rPr>
      <w:t xml:space="preserve"> </w:t>
    </w:r>
    <w:r>
      <w:rPr>
        <w:rFonts w:ascii="黑体" w:eastAsia="黑体" w:hAnsi="黑体" w:cs="黑体" w:hint="eastAsia"/>
        <w:b/>
        <w:bCs/>
        <w:spacing w:val="-2"/>
      </w:rPr>
      <w:t>XX</w:t>
    </w:r>
    <w:r>
      <w:rPr>
        <w:rFonts w:eastAsia="Times New Roman"/>
        <w:b/>
        <w:bCs/>
        <w:spacing w:val="-2"/>
      </w:rPr>
      <w:t>—</w:t>
    </w:r>
    <w:r>
      <w:rPr>
        <w:rFonts w:ascii="黑体" w:eastAsia="黑体" w:hAnsi="黑体" w:cs="黑体"/>
        <w:b/>
        <w:bCs/>
        <w:spacing w:val="-2"/>
      </w:rPr>
      <w:t>202</w:t>
    </w:r>
    <w:r>
      <w:rPr>
        <w:rFonts w:ascii="黑体" w:eastAsia="黑体" w:hAnsi="黑体" w:cs="黑体" w:hint="eastAsia"/>
        <w:b/>
        <w:bCs/>
        <w:spacing w:val="-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NkMzVhNTA1NWMzZDc0MDk3Nzc1ODUzODEwMDUwODEifQ=="/>
  </w:docVars>
  <w:rsids>
    <w:rsidRoot w:val="000E21A2"/>
    <w:rsid w:val="000B507C"/>
    <w:rsid w:val="000C0178"/>
    <w:rsid w:val="000D0210"/>
    <w:rsid w:val="000E21A2"/>
    <w:rsid w:val="001760B7"/>
    <w:rsid w:val="001A678E"/>
    <w:rsid w:val="00221E78"/>
    <w:rsid w:val="00235211"/>
    <w:rsid w:val="00240CC7"/>
    <w:rsid w:val="0026591D"/>
    <w:rsid w:val="002B1B5F"/>
    <w:rsid w:val="002C20A3"/>
    <w:rsid w:val="002F7826"/>
    <w:rsid w:val="0036166E"/>
    <w:rsid w:val="003B591D"/>
    <w:rsid w:val="0048222D"/>
    <w:rsid w:val="004A1BCC"/>
    <w:rsid w:val="005D71B4"/>
    <w:rsid w:val="00642F4D"/>
    <w:rsid w:val="006603BF"/>
    <w:rsid w:val="006C6DB6"/>
    <w:rsid w:val="007016E5"/>
    <w:rsid w:val="0072339B"/>
    <w:rsid w:val="00766462"/>
    <w:rsid w:val="00796CFC"/>
    <w:rsid w:val="007B60E4"/>
    <w:rsid w:val="00800B21"/>
    <w:rsid w:val="0089788F"/>
    <w:rsid w:val="008A1E2C"/>
    <w:rsid w:val="008C06AD"/>
    <w:rsid w:val="0098674A"/>
    <w:rsid w:val="00A20224"/>
    <w:rsid w:val="00A3136A"/>
    <w:rsid w:val="00A46C32"/>
    <w:rsid w:val="00A8031A"/>
    <w:rsid w:val="00AE1D8B"/>
    <w:rsid w:val="00B260D1"/>
    <w:rsid w:val="00BB44E5"/>
    <w:rsid w:val="00C94D66"/>
    <w:rsid w:val="00D05E45"/>
    <w:rsid w:val="00D13638"/>
    <w:rsid w:val="00DC7CC1"/>
    <w:rsid w:val="00DE1F5B"/>
    <w:rsid w:val="00E0543C"/>
    <w:rsid w:val="00E86C0A"/>
    <w:rsid w:val="00EF65D7"/>
    <w:rsid w:val="00F32177"/>
    <w:rsid w:val="00FD7B68"/>
    <w:rsid w:val="09C3065B"/>
    <w:rsid w:val="1A745A40"/>
    <w:rsid w:val="21D87D59"/>
    <w:rsid w:val="23FE79FB"/>
    <w:rsid w:val="34F07BA1"/>
    <w:rsid w:val="36D44B3E"/>
    <w:rsid w:val="39A05497"/>
    <w:rsid w:val="3A0045B7"/>
    <w:rsid w:val="53C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DAD8B6"/>
  <w15:chartTrackingRefBased/>
  <w15:docId w15:val="{424BD56F-AFC0-4E44-B59B-13B3DA7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character" w:customStyle="1" w:styleId="a8">
    <w:name w:val="标题 字符"/>
    <w:link w:val="a7"/>
    <w:uiPriority w:val="10"/>
    <w:rPr>
      <w:rFonts w:ascii="Times New Roman" w:eastAsia="黑体" w:hAnsi="Times New Roman" w:cs="Times New Roman"/>
      <w:b/>
      <w:bCs/>
      <w:sz w:val="32"/>
      <w:szCs w:val="32"/>
    </w:rPr>
  </w:style>
  <w:style w:type="character" w:styleId="a9">
    <w:name w:val="Hyperlink"/>
    <w:uiPriority w:val="99"/>
    <w:unhideWhenUsed/>
    <w:rPr>
      <w:color w:val="467886"/>
      <w:u w:val="single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styleId="aa">
    <w:name w:val="Revision"/>
    <w:hidden/>
    <w:uiPriority w:val="99"/>
    <w:unhideWhenUsed/>
    <w:rsid w:val="00BB44E5"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7016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rsid w:val="007016E5"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rsid w:val="007016E5"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b">
    <w:name w:val="标准文件_段"/>
    <w:link w:val="Char"/>
    <w:autoRedefine/>
    <w:qFormat/>
    <w:rsid w:val="007016E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段"/>
    <w:link w:val="Char0"/>
    <w:autoRedefine/>
    <w:qFormat/>
    <w:rsid w:val="007016E5"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c"/>
    <w:autoRedefine/>
    <w:qFormat/>
    <w:rsid w:val="007016E5"/>
    <w:rPr>
      <w:sz w:val="28"/>
      <w:szCs w:val="28"/>
    </w:rPr>
  </w:style>
  <w:style w:type="paragraph" w:customStyle="1" w:styleId="ad">
    <w:name w:val="一级条标题"/>
    <w:next w:val="ac"/>
    <w:autoRedefine/>
    <w:qFormat/>
    <w:rsid w:val="007016E5"/>
    <w:pPr>
      <w:ind w:firstLineChars="200" w:firstLine="560"/>
    </w:pPr>
    <w:rPr>
      <w:sz w:val="28"/>
      <w:szCs w:val="28"/>
    </w:rPr>
  </w:style>
  <w:style w:type="paragraph" w:customStyle="1" w:styleId="ae">
    <w:name w:val="标准文件_三级无标题"/>
    <w:basedOn w:val="a"/>
    <w:autoRedefine/>
    <w:qFormat/>
    <w:rsid w:val="007016E5"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f">
    <w:name w:val="二级条标题"/>
    <w:basedOn w:val="ad"/>
    <w:next w:val="ac"/>
    <w:autoRedefine/>
    <w:qFormat/>
    <w:rsid w:val="007016E5"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0">
    <w:name w:val="标准文件_标准正文"/>
    <w:basedOn w:val="a"/>
    <w:next w:val="ab"/>
    <w:autoRedefine/>
    <w:qFormat/>
    <w:rsid w:val="007016E5"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1">
    <w:name w:val="标准文件_正文公式"/>
    <w:basedOn w:val="a"/>
    <w:next w:val="af0"/>
    <w:autoRedefine/>
    <w:qFormat/>
    <w:rsid w:val="007016E5"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b"/>
    <w:autoRedefine/>
    <w:qFormat/>
    <w:rsid w:val="007016E5"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fj.net/qiye/4216683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Links>
    <vt:vector size="66" baseType="variant">
      <vt:variant>
        <vt:i4>6291573</vt:i4>
      </vt:variant>
      <vt:variant>
        <vt:i4>60</vt:i4>
      </vt:variant>
      <vt:variant>
        <vt:i4>0</vt:i4>
      </vt:variant>
      <vt:variant>
        <vt:i4>5</vt:i4>
      </vt:variant>
      <vt:variant>
        <vt:lpwstr>http://www.syfj.net/qiye/42166832.html</vt:lpwstr>
      </vt:variant>
      <vt:variant>
        <vt:lpwstr/>
      </vt:variant>
      <vt:variant>
        <vt:i4>2031668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_Toc176548720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_Toc176548719</vt:lpwstr>
      </vt:variant>
      <vt:variant>
        <vt:i4>1835060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_Toc176548718</vt:lpwstr>
      </vt:variant>
      <vt:variant>
        <vt:i4>1835060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_Toc176548717</vt:lpwstr>
      </vt:variant>
      <vt:variant>
        <vt:i4>1835060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_Toc176548716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_Toc176548712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_Toc176548711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_Toc176548710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_Toc176548709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_Toc176548708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jiamin zhang</dc:creator>
  <cp:keywords/>
  <cp:lastModifiedBy>ThinkPad</cp:lastModifiedBy>
  <cp:revision>5</cp:revision>
  <dcterms:created xsi:type="dcterms:W3CDTF">2024-09-06T12:59:00Z</dcterms:created>
  <dcterms:modified xsi:type="dcterms:W3CDTF">2024-09-10T01:46:00Z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8F734C49F7974B6DA2608BD0EDC123A2_13</vt:lpwstr>
  </property>
</Properties>
</file>