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64A2A" w14:textId="77777777" w:rsidR="00C56ECB" w:rsidRDefault="00C56ECB">
      <w:pPr>
        <w:jc w:val="center"/>
        <w:rPr>
          <w:rFonts w:ascii="黑体" w:eastAsia="黑体" w:hAnsi="宋体"/>
          <w:color w:val="000000" w:themeColor="text1"/>
          <w:sz w:val="52"/>
          <w:szCs w:val="52"/>
        </w:rPr>
      </w:pPr>
    </w:p>
    <w:p w14:paraId="3B07F1AB" w14:textId="77777777" w:rsidR="00C56ECB" w:rsidRDefault="00C56ECB">
      <w:pPr>
        <w:jc w:val="center"/>
        <w:rPr>
          <w:rFonts w:ascii="黑体" w:eastAsia="黑体" w:hAnsi="宋体"/>
          <w:color w:val="000000" w:themeColor="text1"/>
          <w:sz w:val="52"/>
          <w:szCs w:val="52"/>
        </w:rPr>
      </w:pPr>
    </w:p>
    <w:p w14:paraId="3ACF00BE" w14:textId="77777777" w:rsidR="00C56ECB" w:rsidRDefault="00C56ECB">
      <w:pPr>
        <w:jc w:val="center"/>
        <w:rPr>
          <w:rFonts w:ascii="黑体" w:eastAsia="黑体" w:hAnsi="宋体"/>
          <w:color w:val="000000" w:themeColor="text1"/>
          <w:sz w:val="52"/>
          <w:szCs w:val="52"/>
        </w:rPr>
      </w:pPr>
    </w:p>
    <w:p w14:paraId="325C47C6" w14:textId="77777777" w:rsidR="00C56ECB" w:rsidRDefault="00C56ECB">
      <w:pPr>
        <w:jc w:val="center"/>
        <w:rPr>
          <w:rFonts w:ascii="黑体" w:eastAsia="黑体" w:hAnsi="宋体"/>
          <w:color w:val="000000" w:themeColor="text1"/>
          <w:sz w:val="52"/>
          <w:szCs w:val="52"/>
        </w:rPr>
      </w:pPr>
    </w:p>
    <w:p w14:paraId="193A4D1A" w14:textId="303C935B" w:rsidR="00C56ECB" w:rsidRDefault="00841BD3">
      <w:pPr>
        <w:jc w:val="center"/>
        <w:rPr>
          <w:rFonts w:ascii="黑体" w:eastAsia="黑体" w:hAnsi="宋体"/>
          <w:color w:val="000000" w:themeColor="text1"/>
          <w:sz w:val="52"/>
          <w:szCs w:val="52"/>
        </w:rPr>
      </w:pPr>
      <w:r>
        <w:rPr>
          <w:rFonts w:ascii="黑体" w:eastAsia="黑体" w:hAnsi="宋体" w:hint="eastAsia"/>
          <w:color w:val="000000" w:themeColor="text1"/>
          <w:sz w:val="52"/>
          <w:szCs w:val="52"/>
        </w:rPr>
        <w:t>隐私计算 脱敏效果评估技术要求</w:t>
      </w:r>
    </w:p>
    <w:p w14:paraId="6CAC8D93" w14:textId="77777777" w:rsidR="00C56ECB" w:rsidRDefault="00C56ECB">
      <w:pPr>
        <w:jc w:val="center"/>
        <w:rPr>
          <w:rFonts w:ascii="黑体" w:eastAsia="黑体" w:hAnsi="宋体"/>
          <w:color w:val="000000" w:themeColor="text1"/>
          <w:sz w:val="52"/>
          <w:szCs w:val="52"/>
        </w:rPr>
      </w:pPr>
    </w:p>
    <w:p w14:paraId="32C023E9" w14:textId="77777777" w:rsidR="00C56ECB" w:rsidRDefault="003F5D50">
      <w:pPr>
        <w:jc w:val="center"/>
        <w:rPr>
          <w:rFonts w:ascii="黑体" w:eastAsia="黑体" w:hAnsi="宋体"/>
          <w:color w:val="000000" w:themeColor="text1"/>
          <w:sz w:val="48"/>
          <w:szCs w:val="48"/>
        </w:rPr>
      </w:pPr>
      <w:r>
        <w:rPr>
          <w:rFonts w:ascii="黑体" w:eastAsia="黑体" w:hAnsi="宋体" w:hint="eastAsia"/>
          <w:color w:val="000000" w:themeColor="text1"/>
          <w:sz w:val="48"/>
          <w:szCs w:val="48"/>
        </w:rPr>
        <w:t>编 制 说 明</w:t>
      </w:r>
    </w:p>
    <w:p w14:paraId="102E5D84" w14:textId="77777777" w:rsidR="00C56ECB" w:rsidRDefault="00C56ECB">
      <w:pPr>
        <w:widowControl/>
        <w:jc w:val="left"/>
        <w:rPr>
          <w:rFonts w:ascii="黑体" w:eastAsia="黑体" w:hAnsi="宋体"/>
          <w:color w:val="000000" w:themeColor="text1"/>
          <w:sz w:val="48"/>
          <w:szCs w:val="48"/>
        </w:rPr>
      </w:pPr>
    </w:p>
    <w:p w14:paraId="5DC64973" w14:textId="77777777" w:rsidR="00C56ECB" w:rsidRDefault="00C56ECB">
      <w:pPr>
        <w:widowControl/>
        <w:jc w:val="left"/>
        <w:rPr>
          <w:rFonts w:ascii="黑体" w:eastAsia="黑体" w:hAnsi="宋体"/>
          <w:color w:val="000000" w:themeColor="text1"/>
          <w:sz w:val="48"/>
          <w:szCs w:val="48"/>
        </w:rPr>
      </w:pPr>
    </w:p>
    <w:p w14:paraId="1AFC98F8" w14:textId="77777777" w:rsidR="00C56ECB" w:rsidRDefault="00C56ECB">
      <w:pPr>
        <w:widowControl/>
        <w:jc w:val="left"/>
        <w:rPr>
          <w:rFonts w:ascii="黑体" w:eastAsia="黑体" w:hAnsi="宋体"/>
          <w:color w:val="000000" w:themeColor="text1"/>
          <w:sz w:val="48"/>
          <w:szCs w:val="48"/>
        </w:rPr>
      </w:pPr>
    </w:p>
    <w:p w14:paraId="678533EA" w14:textId="77777777" w:rsidR="00C56ECB" w:rsidRDefault="00C56ECB">
      <w:pPr>
        <w:widowControl/>
        <w:jc w:val="left"/>
        <w:rPr>
          <w:rFonts w:ascii="黑体" w:eastAsia="黑体" w:hAnsi="宋体"/>
          <w:color w:val="000000" w:themeColor="text1"/>
          <w:sz w:val="48"/>
          <w:szCs w:val="48"/>
        </w:rPr>
      </w:pPr>
    </w:p>
    <w:p w14:paraId="7C257F55" w14:textId="77777777" w:rsidR="00C56ECB" w:rsidRDefault="00C56ECB">
      <w:pPr>
        <w:widowControl/>
        <w:jc w:val="left"/>
        <w:rPr>
          <w:rFonts w:ascii="黑体" w:eastAsia="黑体" w:hAnsi="宋体"/>
          <w:color w:val="000000" w:themeColor="text1"/>
          <w:sz w:val="48"/>
          <w:szCs w:val="48"/>
        </w:rPr>
      </w:pPr>
    </w:p>
    <w:p w14:paraId="4592CC3A" w14:textId="77777777" w:rsidR="00C56ECB" w:rsidRDefault="00C56ECB">
      <w:pPr>
        <w:widowControl/>
        <w:jc w:val="left"/>
        <w:rPr>
          <w:rFonts w:ascii="黑体" w:eastAsia="黑体" w:hAnsi="宋体"/>
          <w:color w:val="000000" w:themeColor="text1"/>
          <w:sz w:val="48"/>
          <w:szCs w:val="48"/>
        </w:rPr>
      </w:pPr>
    </w:p>
    <w:p w14:paraId="2BB199B9" w14:textId="77777777" w:rsidR="00C56ECB" w:rsidRDefault="00C56ECB">
      <w:pPr>
        <w:widowControl/>
        <w:jc w:val="left"/>
        <w:rPr>
          <w:rFonts w:ascii="黑体" w:eastAsia="黑体" w:hAnsi="宋体"/>
          <w:color w:val="000000" w:themeColor="text1"/>
          <w:sz w:val="48"/>
          <w:szCs w:val="48"/>
        </w:rPr>
      </w:pPr>
    </w:p>
    <w:p w14:paraId="57632114" w14:textId="77777777" w:rsidR="00C56ECB" w:rsidRDefault="00C56ECB">
      <w:pPr>
        <w:widowControl/>
        <w:jc w:val="left"/>
        <w:rPr>
          <w:rFonts w:ascii="黑体" w:eastAsia="黑体" w:hAnsi="宋体"/>
          <w:color w:val="000000" w:themeColor="text1"/>
          <w:sz w:val="48"/>
          <w:szCs w:val="48"/>
        </w:rPr>
      </w:pPr>
    </w:p>
    <w:p w14:paraId="10F8D210" w14:textId="77777777" w:rsidR="00C56ECB" w:rsidRDefault="003F5D50">
      <w:pPr>
        <w:widowControl/>
        <w:jc w:val="center"/>
        <w:rPr>
          <w:rFonts w:ascii="宋体" w:eastAsia="宋体" w:hAnsi="宋体"/>
          <w:color w:val="000000" w:themeColor="text1"/>
          <w:sz w:val="32"/>
          <w:szCs w:val="32"/>
        </w:rPr>
      </w:pPr>
      <w:r>
        <w:rPr>
          <w:rFonts w:ascii="宋体" w:eastAsia="宋体" w:hAnsi="宋体" w:hint="eastAsia"/>
          <w:color w:val="000000" w:themeColor="text1"/>
          <w:sz w:val="32"/>
          <w:szCs w:val="32"/>
        </w:rPr>
        <w:t>标准起草工作组</w:t>
      </w:r>
    </w:p>
    <w:p w14:paraId="349F6277" w14:textId="52904BF5" w:rsidR="00C56ECB" w:rsidRDefault="003F5D50">
      <w:pPr>
        <w:widowControl/>
        <w:jc w:val="center"/>
        <w:rPr>
          <w:rFonts w:ascii="黑体" w:eastAsia="黑体" w:hAnsi="宋体"/>
          <w:color w:val="000000" w:themeColor="text1"/>
          <w:sz w:val="48"/>
          <w:szCs w:val="48"/>
        </w:rPr>
      </w:pPr>
      <w:r>
        <w:rPr>
          <w:rFonts w:ascii="宋体" w:eastAsia="宋体" w:hAnsi="宋体" w:hint="eastAsia"/>
          <w:color w:val="000000" w:themeColor="text1"/>
          <w:sz w:val="32"/>
          <w:szCs w:val="32"/>
        </w:rPr>
        <w:t>2</w:t>
      </w:r>
      <w:r w:rsidR="00945397">
        <w:rPr>
          <w:rFonts w:ascii="宋体" w:eastAsia="宋体" w:hAnsi="宋体"/>
          <w:color w:val="000000" w:themeColor="text1"/>
          <w:sz w:val="32"/>
          <w:szCs w:val="32"/>
        </w:rPr>
        <w:t>02</w:t>
      </w:r>
      <w:r w:rsidR="00293E71">
        <w:rPr>
          <w:rFonts w:ascii="宋体" w:eastAsia="宋体" w:hAnsi="宋体"/>
          <w:color w:val="000000" w:themeColor="text1"/>
          <w:sz w:val="32"/>
          <w:szCs w:val="32"/>
        </w:rPr>
        <w:t>4</w:t>
      </w:r>
      <w:r>
        <w:rPr>
          <w:rFonts w:ascii="宋体" w:eastAsia="宋体" w:hAnsi="宋体" w:hint="eastAsia"/>
          <w:color w:val="000000" w:themeColor="text1"/>
          <w:sz w:val="32"/>
          <w:szCs w:val="32"/>
        </w:rPr>
        <w:t>年</w:t>
      </w:r>
      <w:r w:rsidR="0045634C">
        <w:rPr>
          <w:rFonts w:ascii="宋体" w:eastAsia="宋体" w:hAnsi="宋体"/>
          <w:color w:val="000000" w:themeColor="text1"/>
          <w:sz w:val="32"/>
          <w:szCs w:val="32"/>
        </w:rPr>
        <w:t>8</w:t>
      </w:r>
      <w:r>
        <w:rPr>
          <w:rFonts w:ascii="宋体" w:eastAsia="宋体" w:hAnsi="宋体" w:hint="eastAsia"/>
          <w:color w:val="000000" w:themeColor="text1"/>
          <w:sz w:val="32"/>
          <w:szCs w:val="32"/>
        </w:rPr>
        <w:t>月</w:t>
      </w:r>
      <w:r>
        <w:rPr>
          <w:rFonts w:ascii="黑体" w:eastAsia="黑体" w:hAnsi="宋体"/>
          <w:color w:val="000000" w:themeColor="text1"/>
          <w:sz w:val="48"/>
          <w:szCs w:val="48"/>
        </w:rPr>
        <w:br w:type="page"/>
      </w:r>
    </w:p>
    <w:p w14:paraId="619140FA" w14:textId="77777777" w:rsidR="00C56ECB" w:rsidRDefault="003F5D50">
      <w:pPr>
        <w:numPr>
          <w:ilvl w:val="0"/>
          <w:numId w:val="1"/>
        </w:numPr>
        <w:spacing w:beforeLines="50" w:before="156" w:line="348" w:lineRule="auto"/>
        <w:ind w:left="0" w:right="96" w:firstLine="0"/>
        <w:rPr>
          <w:rFonts w:ascii="黑体" w:eastAsia="黑体" w:cs="宋体"/>
          <w:b/>
          <w:bCs/>
          <w:sz w:val="32"/>
          <w:szCs w:val="32"/>
        </w:rPr>
      </w:pPr>
      <w:r>
        <w:rPr>
          <w:rFonts w:ascii="黑体" w:eastAsia="黑体" w:cs="宋体" w:hint="eastAsia"/>
          <w:b/>
          <w:bCs/>
          <w:sz w:val="32"/>
          <w:szCs w:val="32"/>
        </w:rPr>
        <w:lastRenderedPageBreak/>
        <w:t>目的意义</w:t>
      </w:r>
    </w:p>
    <w:p w14:paraId="64724E0B" w14:textId="1304BE83" w:rsidR="00841BD3" w:rsidRDefault="00841BD3" w:rsidP="00A3541D">
      <w:pPr>
        <w:ind w:firstLineChars="200" w:firstLine="640"/>
        <w:rPr>
          <w:rFonts w:ascii="仿宋_GB2312" w:eastAsia="仿宋_GB2312" w:cs="宋体"/>
          <w:color w:val="000000" w:themeColor="text1"/>
          <w:sz w:val="32"/>
          <w:szCs w:val="32"/>
        </w:rPr>
      </w:pPr>
      <w:r w:rsidRPr="00A3541D">
        <w:rPr>
          <w:rFonts w:ascii="仿宋_GB2312" w:eastAsia="仿宋_GB2312" w:cs="宋体" w:hint="eastAsia"/>
          <w:color w:val="000000" w:themeColor="text1"/>
          <w:sz w:val="32"/>
          <w:szCs w:val="32"/>
        </w:rPr>
        <w:t>在当今信息时代，个人数据的保护已成为社会各界的关注焦点。随着数据的大规模采集和共享，数据脱敏技术应运而生，旨在保护个人隐私信息免受未经授权的访问。然而，脱敏过程中可能会引入一些问题，如数据失真、信息丢失等，因此有必要对脱敏效果进行评估，以确保数据</w:t>
      </w:r>
      <w:r w:rsidR="00F167FD">
        <w:rPr>
          <w:rFonts w:ascii="仿宋_GB2312" w:eastAsia="仿宋_GB2312" w:cs="宋体" w:hint="eastAsia"/>
          <w:color w:val="000000" w:themeColor="text1"/>
          <w:sz w:val="32"/>
          <w:szCs w:val="32"/>
        </w:rPr>
        <w:t>发布时</w:t>
      </w:r>
      <w:r w:rsidRPr="00A3541D">
        <w:rPr>
          <w:rFonts w:ascii="仿宋_GB2312" w:eastAsia="仿宋_GB2312" w:cs="宋体" w:hint="eastAsia"/>
          <w:color w:val="000000" w:themeColor="text1"/>
          <w:sz w:val="32"/>
          <w:szCs w:val="32"/>
        </w:rPr>
        <w:t>的质量和安全性。</w:t>
      </w:r>
      <w:r w:rsidR="00F167FD" w:rsidRPr="00F167FD">
        <w:rPr>
          <w:rFonts w:ascii="仿宋_GB2312" w:eastAsia="仿宋_GB2312" w:cs="宋体" w:hint="eastAsia"/>
          <w:color w:val="000000" w:themeColor="text1"/>
          <w:sz w:val="32"/>
          <w:szCs w:val="32"/>
        </w:rPr>
        <w:t>制定脱敏效果评估标准的目的在于为数据脱敏领域提供一个统一的评估框架和指南，以确保脱敏技术的有效性和数据安全性，促进数据隐私保护的规范化和标准化。这一标准的制定具有重要的意义，主要体现在以下几个方面</w:t>
      </w:r>
      <w:r w:rsidR="00F167FD">
        <w:rPr>
          <w:rFonts w:ascii="仿宋_GB2312" w:eastAsia="仿宋_GB2312" w:cs="宋体" w:hint="eastAsia"/>
          <w:color w:val="000000" w:themeColor="text1"/>
          <w:sz w:val="32"/>
          <w:szCs w:val="32"/>
        </w:rPr>
        <w:t>：</w:t>
      </w:r>
    </w:p>
    <w:p w14:paraId="798ABBE1" w14:textId="68F95F07" w:rsidR="00A3541D" w:rsidRDefault="00A3541D" w:rsidP="00841BD3">
      <w:pPr>
        <w:ind w:firstLineChars="200" w:firstLine="640"/>
        <w:rPr>
          <w:rFonts w:ascii="仿宋_GB2312" w:eastAsia="仿宋_GB2312" w:cs="宋体"/>
          <w:color w:val="000000" w:themeColor="text1"/>
          <w:sz w:val="32"/>
          <w:szCs w:val="32"/>
        </w:rPr>
      </w:pPr>
      <w:r>
        <w:rPr>
          <w:rFonts w:ascii="仿宋_GB2312" w:eastAsia="仿宋_GB2312" w:cs="宋体" w:hint="eastAsia"/>
          <w:color w:val="000000" w:themeColor="text1"/>
          <w:sz w:val="32"/>
          <w:szCs w:val="32"/>
        </w:rPr>
        <w:t>1</w:t>
      </w:r>
      <w:r>
        <w:rPr>
          <w:rFonts w:ascii="仿宋_GB2312" w:eastAsia="仿宋_GB2312" w:cs="宋体"/>
          <w:color w:val="000000" w:themeColor="text1"/>
          <w:sz w:val="32"/>
          <w:szCs w:val="32"/>
        </w:rPr>
        <w:t>.</w:t>
      </w:r>
      <w:r w:rsidR="00F167FD">
        <w:rPr>
          <w:rFonts w:ascii="仿宋_GB2312" w:eastAsia="仿宋_GB2312" w:cs="宋体" w:hint="eastAsia"/>
          <w:color w:val="000000" w:themeColor="text1"/>
          <w:sz w:val="32"/>
          <w:szCs w:val="32"/>
        </w:rPr>
        <w:t>规范脱敏效果评估流程。</w:t>
      </w:r>
      <w:r w:rsidRPr="00A3541D">
        <w:rPr>
          <w:rFonts w:ascii="仿宋_GB2312" w:eastAsia="仿宋_GB2312" w:cs="宋体" w:hint="eastAsia"/>
          <w:color w:val="000000" w:themeColor="text1"/>
          <w:sz w:val="32"/>
          <w:szCs w:val="32"/>
        </w:rPr>
        <w:t>随着数据脱敏技术的不断发展和应用，各种脱敏方法和工具层出不穷。然而，由于缺乏统一的评估标准，脱敏效果评估的流程和方法往往存在差异，导致评估结果的不一致和不可比性。制定脱敏效果评估标准有助于规范评估流程，明确评估指标和标准，提高评估的准确性和可比性，从而保障脱敏过程的规范化和标准化。</w:t>
      </w:r>
    </w:p>
    <w:p w14:paraId="0E3AC6F0" w14:textId="1EB41EC4" w:rsidR="00A3541D" w:rsidRDefault="00A3541D" w:rsidP="00841BD3">
      <w:pPr>
        <w:ind w:firstLineChars="200" w:firstLine="640"/>
        <w:rPr>
          <w:rFonts w:ascii="仿宋_GB2312" w:eastAsia="仿宋_GB2312" w:cs="宋体"/>
          <w:color w:val="000000" w:themeColor="text1"/>
          <w:sz w:val="32"/>
          <w:szCs w:val="32"/>
        </w:rPr>
      </w:pPr>
      <w:r>
        <w:rPr>
          <w:rFonts w:ascii="仿宋_GB2312" w:eastAsia="仿宋_GB2312" w:cs="宋体" w:hint="eastAsia"/>
          <w:color w:val="000000" w:themeColor="text1"/>
          <w:sz w:val="32"/>
          <w:szCs w:val="32"/>
        </w:rPr>
        <w:t>2</w:t>
      </w:r>
      <w:r>
        <w:rPr>
          <w:rFonts w:ascii="仿宋_GB2312" w:eastAsia="仿宋_GB2312" w:cs="宋体"/>
          <w:color w:val="000000" w:themeColor="text1"/>
          <w:sz w:val="32"/>
          <w:szCs w:val="32"/>
        </w:rPr>
        <w:t>.</w:t>
      </w:r>
      <w:r w:rsidR="00F167FD" w:rsidRPr="00F167FD">
        <w:rPr>
          <w:rFonts w:ascii="仿宋_GB2312" w:eastAsia="仿宋_GB2312" w:cs="宋体" w:hint="eastAsia"/>
          <w:color w:val="000000" w:themeColor="text1"/>
          <w:sz w:val="32"/>
          <w:szCs w:val="32"/>
        </w:rPr>
        <w:t>保障脱敏效果的质量和可信度</w:t>
      </w:r>
      <w:r w:rsidR="00F167FD">
        <w:rPr>
          <w:rFonts w:ascii="仿宋_GB2312" w:eastAsia="仿宋_GB2312" w:cs="宋体" w:hint="eastAsia"/>
          <w:color w:val="000000" w:themeColor="text1"/>
          <w:sz w:val="32"/>
          <w:szCs w:val="32"/>
        </w:rPr>
        <w:t>。</w:t>
      </w:r>
      <w:r w:rsidRPr="00A3541D">
        <w:rPr>
          <w:rFonts w:ascii="仿宋_GB2312" w:eastAsia="仿宋_GB2312" w:cs="宋体" w:hint="eastAsia"/>
          <w:color w:val="000000" w:themeColor="text1"/>
          <w:sz w:val="32"/>
          <w:szCs w:val="32"/>
        </w:rPr>
        <w:t>脱敏效果评估标准的制定可以帮助组织和个人确保脱敏效果的质量和可信度。通过统一的评估框架和指南，可以规范评估过程中的操作步骤和方法，降低评估结果的主观性和误差，从而提高脱敏效果评估的准确性和可信度。</w:t>
      </w:r>
    </w:p>
    <w:p w14:paraId="65DB30F7" w14:textId="04100D38" w:rsidR="00A3541D" w:rsidRDefault="00A3541D" w:rsidP="00841BD3">
      <w:pPr>
        <w:ind w:firstLineChars="200" w:firstLine="640"/>
        <w:rPr>
          <w:rFonts w:ascii="仿宋_GB2312" w:eastAsia="仿宋_GB2312" w:cs="宋体"/>
          <w:color w:val="000000" w:themeColor="text1"/>
          <w:sz w:val="32"/>
          <w:szCs w:val="32"/>
        </w:rPr>
      </w:pPr>
      <w:r>
        <w:rPr>
          <w:rFonts w:ascii="仿宋_GB2312" w:eastAsia="仿宋_GB2312" w:cs="宋体" w:hint="eastAsia"/>
          <w:color w:val="000000" w:themeColor="text1"/>
          <w:sz w:val="32"/>
          <w:szCs w:val="32"/>
        </w:rPr>
        <w:t>3</w:t>
      </w:r>
      <w:r>
        <w:rPr>
          <w:rFonts w:ascii="仿宋_GB2312" w:eastAsia="仿宋_GB2312" w:cs="宋体"/>
          <w:color w:val="000000" w:themeColor="text1"/>
          <w:sz w:val="32"/>
          <w:szCs w:val="32"/>
        </w:rPr>
        <w:t>.</w:t>
      </w:r>
      <w:r w:rsidR="00F167FD" w:rsidRPr="00F167FD">
        <w:rPr>
          <w:rFonts w:ascii="仿宋_GB2312" w:eastAsia="仿宋_GB2312" w:cs="宋体" w:hint="eastAsia"/>
          <w:color w:val="000000" w:themeColor="text1"/>
          <w:sz w:val="32"/>
          <w:szCs w:val="32"/>
        </w:rPr>
        <w:t>促进脱敏技术的创新和应用</w:t>
      </w:r>
      <w:r w:rsidR="00F167FD">
        <w:rPr>
          <w:rFonts w:ascii="仿宋_GB2312" w:eastAsia="仿宋_GB2312" w:cs="宋体" w:hint="eastAsia"/>
          <w:color w:val="000000" w:themeColor="text1"/>
          <w:sz w:val="32"/>
          <w:szCs w:val="32"/>
        </w:rPr>
        <w:t>。</w:t>
      </w:r>
      <w:r w:rsidRPr="00A3541D">
        <w:rPr>
          <w:rFonts w:ascii="仿宋_GB2312" w:eastAsia="仿宋_GB2312" w:cs="宋体" w:hint="eastAsia"/>
          <w:color w:val="000000" w:themeColor="text1"/>
          <w:sz w:val="32"/>
          <w:szCs w:val="32"/>
        </w:rPr>
        <w:t>制定脱敏效果评估标准</w:t>
      </w:r>
      <w:r w:rsidRPr="00A3541D">
        <w:rPr>
          <w:rFonts w:ascii="仿宋_GB2312" w:eastAsia="仿宋_GB2312" w:cs="宋体" w:hint="eastAsia"/>
          <w:color w:val="000000" w:themeColor="text1"/>
          <w:sz w:val="32"/>
          <w:szCs w:val="32"/>
        </w:rPr>
        <w:lastRenderedPageBreak/>
        <w:t>有助于促进脱敏技术的创新和应用。通过明确的评估要求和指标，可以激发技术研究和创新，推动脱敏技术的不断进步和提升。同时，标准的制定也为脱敏技术的应用提供了指导和参考，有助于组织更加有效地应用脱敏技术保护数据隐私</w:t>
      </w:r>
      <w:r>
        <w:rPr>
          <w:rFonts w:ascii="仿宋_GB2312" w:eastAsia="仿宋_GB2312" w:cs="宋体" w:hint="eastAsia"/>
          <w:color w:val="000000" w:themeColor="text1"/>
          <w:sz w:val="32"/>
          <w:szCs w:val="32"/>
        </w:rPr>
        <w:t>。</w:t>
      </w:r>
    </w:p>
    <w:p w14:paraId="48641BE5" w14:textId="7F828D00" w:rsidR="00A3541D" w:rsidRDefault="00A3541D" w:rsidP="00841BD3">
      <w:pPr>
        <w:ind w:firstLineChars="200" w:firstLine="640"/>
        <w:rPr>
          <w:rFonts w:ascii="仿宋_GB2312" w:eastAsia="仿宋_GB2312" w:cs="宋体"/>
          <w:color w:val="000000" w:themeColor="text1"/>
          <w:sz w:val="32"/>
          <w:szCs w:val="32"/>
        </w:rPr>
      </w:pPr>
      <w:r>
        <w:rPr>
          <w:rFonts w:ascii="仿宋_GB2312" w:eastAsia="仿宋_GB2312" w:cs="宋体" w:hint="eastAsia"/>
          <w:color w:val="000000" w:themeColor="text1"/>
          <w:sz w:val="32"/>
          <w:szCs w:val="32"/>
        </w:rPr>
        <w:t>4</w:t>
      </w:r>
      <w:r>
        <w:rPr>
          <w:rFonts w:ascii="仿宋_GB2312" w:eastAsia="仿宋_GB2312" w:cs="宋体"/>
          <w:color w:val="000000" w:themeColor="text1"/>
          <w:sz w:val="32"/>
          <w:szCs w:val="32"/>
        </w:rPr>
        <w:t>.</w:t>
      </w:r>
      <w:r w:rsidR="00F167FD" w:rsidRPr="00F167FD">
        <w:rPr>
          <w:rFonts w:ascii="仿宋_GB2312" w:eastAsia="仿宋_GB2312" w:cs="宋体" w:hint="eastAsia"/>
          <w:color w:val="000000" w:themeColor="text1"/>
          <w:sz w:val="32"/>
          <w:szCs w:val="32"/>
        </w:rPr>
        <w:t>保障个人隐私权益</w:t>
      </w:r>
      <w:r w:rsidR="00F167FD">
        <w:rPr>
          <w:rFonts w:ascii="仿宋_GB2312" w:eastAsia="仿宋_GB2312" w:cs="宋体" w:hint="eastAsia"/>
          <w:color w:val="000000" w:themeColor="text1"/>
          <w:sz w:val="32"/>
          <w:szCs w:val="32"/>
        </w:rPr>
        <w:t>。</w:t>
      </w:r>
      <w:r w:rsidRPr="00A3541D">
        <w:rPr>
          <w:rFonts w:ascii="仿宋_GB2312" w:eastAsia="仿宋_GB2312" w:cs="宋体" w:hint="eastAsia"/>
          <w:color w:val="000000" w:themeColor="text1"/>
          <w:sz w:val="32"/>
          <w:szCs w:val="32"/>
        </w:rPr>
        <w:t>隐私保护是现代社会的重要课题，而数据脱敏是保护个人隐私的重要手段之一。制定脱敏效果评估标准的目的之一就是为了保障个人隐私权益。通过确保脱敏效果的评估合规和有效，可以有效保护个人隐私信息，防止其被未经授权的访问和使用，维护个人隐私权益不受侵犯。</w:t>
      </w:r>
    </w:p>
    <w:p w14:paraId="520EBB91" w14:textId="30EE143D" w:rsidR="00A3541D" w:rsidRDefault="00A3541D" w:rsidP="00841BD3">
      <w:pPr>
        <w:ind w:firstLineChars="200" w:firstLine="640"/>
        <w:rPr>
          <w:rFonts w:ascii="仿宋_GB2312" w:eastAsia="仿宋_GB2312" w:cs="宋体"/>
          <w:color w:val="000000" w:themeColor="text1"/>
          <w:sz w:val="32"/>
          <w:szCs w:val="32"/>
        </w:rPr>
      </w:pPr>
      <w:r>
        <w:rPr>
          <w:rFonts w:ascii="仿宋_GB2312" w:eastAsia="仿宋_GB2312" w:cs="宋体" w:hint="eastAsia"/>
          <w:color w:val="000000" w:themeColor="text1"/>
          <w:sz w:val="32"/>
          <w:szCs w:val="32"/>
        </w:rPr>
        <w:t>5</w:t>
      </w:r>
      <w:r>
        <w:rPr>
          <w:rFonts w:ascii="仿宋_GB2312" w:eastAsia="仿宋_GB2312" w:cs="宋体"/>
          <w:color w:val="000000" w:themeColor="text1"/>
          <w:sz w:val="32"/>
          <w:szCs w:val="32"/>
        </w:rPr>
        <w:t>.</w:t>
      </w:r>
      <w:r w:rsidR="00F167FD" w:rsidRPr="00F167FD">
        <w:rPr>
          <w:rFonts w:ascii="仿宋_GB2312" w:eastAsia="仿宋_GB2312" w:cs="宋体" w:hint="eastAsia"/>
          <w:color w:val="000000" w:themeColor="text1"/>
          <w:sz w:val="32"/>
          <w:szCs w:val="32"/>
        </w:rPr>
        <w:t>促进国际合作和信息共享</w:t>
      </w:r>
      <w:r w:rsidR="00F167FD">
        <w:rPr>
          <w:rFonts w:ascii="仿宋_GB2312" w:eastAsia="仿宋_GB2312" w:cs="宋体" w:hint="eastAsia"/>
          <w:color w:val="000000" w:themeColor="text1"/>
          <w:sz w:val="32"/>
          <w:szCs w:val="32"/>
        </w:rPr>
        <w:t>。</w:t>
      </w:r>
      <w:r w:rsidRPr="00A3541D">
        <w:rPr>
          <w:rFonts w:ascii="仿宋_GB2312" w:eastAsia="仿宋_GB2312" w:cs="宋体" w:hint="eastAsia"/>
          <w:color w:val="000000" w:themeColor="text1"/>
          <w:sz w:val="32"/>
          <w:szCs w:val="32"/>
        </w:rPr>
        <w:t>脱敏效果评估标准的制定有助于促进国际合作和信息共享。随着全球数据交流和共享的增加，各国之间需要建立统一的评估标准和规范，以确保数据隐私的有效保护和安全传输。通过制定脱敏效果评估标准，可以为国际间的合作和交流提供统一的框架和指南，促进信息安全和隐私保护的全球合作。</w:t>
      </w:r>
    </w:p>
    <w:p w14:paraId="6E9E467D" w14:textId="77777777" w:rsidR="00C56ECB" w:rsidRDefault="003F5D50" w:rsidP="004D61B9">
      <w:pPr>
        <w:numPr>
          <w:ilvl w:val="0"/>
          <w:numId w:val="1"/>
        </w:numPr>
        <w:spacing w:beforeLines="50" w:before="156" w:line="348" w:lineRule="auto"/>
        <w:ind w:left="0" w:right="96" w:firstLine="0"/>
        <w:rPr>
          <w:rFonts w:ascii="黑体" w:eastAsia="黑体" w:cs="宋体"/>
          <w:b/>
          <w:bCs/>
          <w:sz w:val="32"/>
          <w:szCs w:val="32"/>
        </w:rPr>
      </w:pPr>
      <w:r>
        <w:rPr>
          <w:rFonts w:ascii="黑体" w:eastAsia="黑体" w:cs="宋体" w:hint="eastAsia"/>
          <w:b/>
          <w:bCs/>
          <w:sz w:val="32"/>
          <w:szCs w:val="32"/>
        </w:rPr>
        <w:t>任务来源</w:t>
      </w:r>
    </w:p>
    <w:p w14:paraId="3F7DF9D3" w14:textId="1B761992" w:rsidR="00B64240" w:rsidRPr="00B64240" w:rsidRDefault="00B64240" w:rsidP="00B64240">
      <w:pPr>
        <w:ind w:firstLineChars="200" w:firstLine="640"/>
        <w:rPr>
          <w:rFonts w:ascii="仿宋_GB2312" w:eastAsia="仿宋_GB2312" w:cs="宋体"/>
          <w:sz w:val="32"/>
          <w:szCs w:val="32"/>
        </w:rPr>
      </w:pPr>
      <w:r w:rsidRPr="00B64240">
        <w:rPr>
          <w:rFonts w:ascii="仿宋_GB2312" w:eastAsia="仿宋_GB2312" w:cs="宋体" w:hint="eastAsia"/>
          <w:sz w:val="32"/>
          <w:szCs w:val="32"/>
        </w:rPr>
        <w:t>在国际上，一些国际标准组织和技术机构已经开始制定和发布脱敏效果评估的相关标准和指南。例如，</w:t>
      </w:r>
      <w:r w:rsidRPr="00B64240">
        <w:rPr>
          <w:rFonts w:ascii="仿宋_GB2312" w:eastAsia="仿宋_GB2312" w:cs="宋体"/>
          <w:sz w:val="32"/>
          <w:szCs w:val="32"/>
        </w:rPr>
        <w:t>ISO/IEC 29100《信息技术--安全技术--信息安全管理系统--要求》和ISO/IEC 27001《信息技术--安全技术--信息安全管理体系》等标准，提供了信息安全管理体系的要求和指南，其中包括</w:t>
      </w:r>
      <w:r w:rsidRPr="00B64240">
        <w:rPr>
          <w:rFonts w:ascii="仿宋_GB2312" w:eastAsia="仿宋_GB2312" w:cs="宋体"/>
          <w:sz w:val="32"/>
          <w:szCs w:val="32"/>
        </w:rPr>
        <w:lastRenderedPageBreak/>
        <w:t>了数据隐私保护和脱敏效果评估的相关内容。此外，NIST（美国国家标准技术研究所）也发布了一些关于个人身份信息（PII）保护的指南，其中包括了对脱敏效果评估的相关内容。</w:t>
      </w:r>
    </w:p>
    <w:p w14:paraId="34A41A28" w14:textId="1CBFB774" w:rsidR="00B64240" w:rsidRPr="00B64240" w:rsidRDefault="00B64240" w:rsidP="00B64240">
      <w:pPr>
        <w:ind w:firstLineChars="200" w:firstLine="640"/>
        <w:rPr>
          <w:rFonts w:ascii="仿宋_GB2312" w:eastAsia="仿宋_GB2312" w:cs="宋体"/>
          <w:sz w:val="32"/>
          <w:szCs w:val="32"/>
        </w:rPr>
      </w:pPr>
      <w:r w:rsidRPr="00B64240">
        <w:rPr>
          <w:rFonts w:ascii="仿宋_GB2312" w:eastAsia="仿宋_GB2312" w:cs="宋体" w:hint="eastAsia"/>
          <w:sz w:val="32"/>
          <w:szCs w:val="32"/>
        </w:rPr>
        <w:t>在国内，一些行业组织和标准化机构也开始关注脱敏效果评估的标准制定和实践。例如，中国国家标准化管理委员会发布了《信息安全技术</w:t>
      </w:r>
      <w:r w:rsidRPr="00B64240">
        <w:rPr>
          <w:rFonts w:ascii="仿宋_GB2312" w:eastAsia="仿宋_GB2312" w:cs="宋体"/>
          <w:sz w:val="32"/>
          <w:szCs w:val="32"/>
        </w:rPr>
        <w:t xml:space="preserve"> 数据脱敏技术要求》（GB/T 35273-2017）标准，规定了数据脱敏技术的要求，其中包括了脱敏效果评估的相关内容。此外，一些行业协会和研究机构也开始开展脱敏效果评估的实践和研究工作，探索脱敏效果评估的方法和技术。</w:t>
      </w:r>
    </w:p>
    <w:p w14:paraId="32B519F7" w14:textId="2CB9388A" w:rsidR="00F167FD" w:rsidRDefault="00B64240" w:rsidP="00B64240">
      <w:pPr>
        <w:ind w:firstLineChars="200" w:firstLine="640"/>
        <w:rPr>
          <w:rFonts w:ascii="仿宋_GB2312" w:eastAsia="仿宋_GB2312" w:cs="宋体"/>
          <w:sz w:val="32"/>
          <w:szCs w:val="32"/>
        </w:rPr>
      </w:pPr>
      <w:r>
        <w:rPr>
          <w:rFonts w:ascii="仿宋_GB2312" w:eastAsia="仿宋_GB2312" w:cs="宋体" w:hint="eastAsia"/>
          <w:sz w:val="32"/>
          <w:szCs w:val="32"/>
        </w:rPr>
        <w:t>目前，</w:t>
      </w:r>
      <w:r w:rsidRPr="00B64240">
        <w:rPr>
          <w:rFonts w:ascii="仿宋_GB2312" w:eastAsia="仿宋_GB2312" w:cs="宋体" w:hint="eastAsia"/>
          <w:sz w:val="32"/>
          <w:szCs w:val="32"/>
        </w:rPr>
        <w:t>尽管在脱敏效果评估标准的制定和实践方面取得了一定的进展，但仍存在一些问题和挑战。首先，脱敏效果评估的标准和方法仍不够统一和完善，存在一定的差异性和不确定性，影响了评估结果的可比性和准确性。其次，脱敏效果评估技术和工具尚未得到充分的发展和应用，评估过程中存在一定的主观性和误差，需要进一步完善和改进。此外，脱敏效果评估的实践经验和案例较少，需要更多的实践探索和经验总结，以提高评估的有效性和可信度。</w:t>
      </w:r>
    </w:p>
    <w:p w14:paraId="41AA30AF" w14:textId="77777777" w:rsidR="00C56ECB" w:rsidRDefault="003F5D50">
      <w:pPr>
        <w:numPr>
          <w:ilvl w:val="0"/>
          <w:numId w:val="1"/>
        </w:numPr>
        <w:spacing w:beforeLines="50" w:before="156" w:line="348" w:lineRule="auto"/>
        <w:ind w:left="0" w:right="96" w:firstLine="0"/>
        <w:rPr>
          <w:rFonts w:ascii="黑体" w:eastAsia="黑体" w:cs="宋体"/>
          <w:b/>
          <w:bCs/>
          <w:sz w:val="32"/>
          <w:szCs w:val="32"/>
        </w:rPr>
      </w:pPr>
      <w:r>
        <w:rPr>
          <w:rFonts w:ascii="黑体" w:eastAsia="黑体" w:cs="宋体" w:hint="eastAsia"/>
          <w:b/>
          <w:bCs/>
          <w:sz w:val="32"/>
          <w:szCs w:val="32"/>
        </w:rPr>
        <w:t>编制过程</w:t>
      </w:r>
    </w:p>
    <w:p w14:paraId="391A7780" w14:textId="6E050AD7" w:rsidR="00C56ECB" w:rsidRDefault="003F5D50">
      <w:pPr>
        <w:spacing w:line="348" w:lineRule="auto"/>
        <w:ind w:right="96" w:firstLineChars="200" w:firstLine="640"/>
        <w:rPr>
          <w:rFonts w:ascii="仿宋_GB2312" w:eastAsia="仿宋_GB2312" w:cs="宋体"/>
          <w:sz w:val="32"/>
          <w:szCs w:val="32"/>
        </w:rPr>
      </w:pPr>
      <w:r>
        <w:rPr>
          <w:rFonts w:ascii="仿宋_GB2312" w:eastAsia="仿宋_GB2312" w:cs="宋体"/>
          <w:sz w:val="32"/>
          <w:szCs w:val="32"/>
        </w:rPr>
        <w:t>1</w:t>
      </w:r>
      <w:r>
        <w:rPr>
          <w:rFonts w:ascii="仿宋_GB2312" w:eastAsia="仿宋_GB2312" w:cs="宋体" w:hint="eastAsia"/>
          <w:sz w:val="32"/>
          <w:szCs w:val="32"/>
        </w:rPr>
        <w:t>)</w:t>
      </w:r>
      <w:r>
        <w:rPr>
          <w:rFonts w:ascii="仿宋_GB2312" w:eastAsia="仿宋_GB2312" w:cs="宋体" w:hint="eastAsia"/>
          <w:sz w:val="32"/>
          <w:szCs w:val="32"/>
        </w:rPr>
        <w:tab/>
        <w:t>20</w:t>
      </w:r>
      <w:r w:rsidR="00B545EC">
        <w:rPr>
          <w:rFonts w:ascii="仿宋_GB2312" w:eastAsia="仿宋_GB2312" w:cs="宋体"/>
          <w:sz w:val="32"/>
          <w:szCs w:val="32"/>
        </w:rPr>
        <w:t>2</w:t>
      </w:r>
      <w:r w:rsidR="00AB1ACC">
        <w:rPr>
          <w:rFonts w:ascii="仿宋_GB2312" w:eastAsia="仿宋_GB2312" w:cs="宋体"/>
          <w:sz w:val="32"/>
          <w:szCs w:val="32"/>
        </w:rPr>
        <w:t>3</w:t>
      </w:r>
      <w:r>
        <w:rPr>
          <w:rFonts w:ascii="仿宋_GB2312" w:eastAsia="仿宋_GB2312" w:cs="宋体" w:hint="eastAsia"/>
          <w:sz w:val="32"/>
          <w:szCs w:val="32"/>
        </w:rPr>
        <w:t>年</w:t>
      </w:r>
      <w:r w:rsidR="00B545EC">
        <w:rPr>
          <w:rFonts w:ascii="仿宋_GB2312" w:eastAsia="仿宋_GB2312" w:cs="宋体"/>
          <w:sz w:val="32"/>
          <w:szCs w:val="32"/>
        </w:rPr>
        <w:t>4</w:t>
      </w:r>
      <w:r>
        <w:rPr>
          <w:rFonts w:ascii="仿宋_GB2312" w:eastAsia="仿宋_GB2312" w:cs="宋体" w:hint="eastAsia"/>
          <w:sz w:val="32"/>
          <w:szCs w:val="32"/>
        </w:rPr>
        <w:t>月</w:t>
      </w:r>
      <w:r w:rsidR="00B545EC">
        <w:rPr>
          <w:rFonts w:ascii="仿宋_GB2312" w:eastAsia="仿宋_GB2312" w:cs="宋体"/>
          <w:sz w:val="32"/>
          <w:szCs w:val="32"/>
        </w:rPr>
        <w:t>5</w:t>
      </w:r>
      <w:r>
        <w:rPr>
          <w:rFonts w:ascii="仿宋_GB2312" w:eastAsia="仿宋_GB2312" w:cs="宋体" w:hint="eastAsia"/>
          <w:sz w:val="32"/>
          <w:szCs w:val="32"/>
        </w:rPr>
        <w:t>日，规范研制正式启动会。标准牵头单位对前期的研究工作进行了汇报。确定了标准的研究思路和分工。</w:t>
      </w:r>
    </w:p>
    <w:p w14:paraId="47673FBE" w14:textId="3C4D5293" w:rsidR="00C56ECB" w:rsidRDefault="003F5D50">
      <w:pPr>
        <w:spacing w:line="348" w:lineRule="auto"/>
        <w:ind w:right="96" w:firstLineChars="200" w:firstLine="640"/>
        <w:rPr>
          <w:rFonts w:ascii="仿宋_GB2312" w:eastAsia="仿宋_GB2312" w:cs="宋体"/>
          <w:sz w:val="32"/>
          <w:szCs w:val="32"/>
        </w:rPr>
      </w:pPr>
      <w:r>
        <w:rPr>
          <w:rFonts w:ascii="仿宋_GB2312" w:eastAsia="仿宋_GB2312" w:cs="宋体" w:hint="eastAsia"/>
          <w:sz w:val="32"/>
          <w:szCs w:val="32"/>
        </w:rPr>
        <w:lastRenderedPageBreak/>
        <w:t>2)</w:t>
      </w:r>
      <w:r>
        <w:rPr>
          <w:rFonts w:ascii="仿宋_GB2312" w:eastAsia="仿宋_GB2312" w:cs="宋体" w:hint="eastAsia"/>
          <w:sz w:val="32"/>
          <w:szCs w:val="32"/>
        </w:rPr>
        <w:tab/>
      </w:r>
      <w:r w:rsidR="00B545EC">
        <w:rPr>
          <w:rFonts w:ascii="仿宋_GB2312" w:eastAsia="仿宋_GB2312" w:cs="宋体"/>
          <w:sz w:val="32"/>
          <w:szCs w:val="32"/>
        </w:rPr>
        <w:t>202</w:t>
      </w:r>
      <w:r w:rsidR="00AB1ACC">
        <w:rPr>
          <w:rFonts w:ascii="仿宋_GB2312" w:eastAsia="仿宋_GB2312" w:cs="宋体"/>
          <w:sz w:val="32"/>
          <w:szCs w:val="32"/>
        </w:rPr>
        <w:t>3</w:t>
      </w:r>
      <w:r>
        <w:rPr>
          <w:rFonts w:ascii="仿宋_GB2312" w:eastAsia="仿宋_GB2312" w:cs="宋体" w:hint="eastAsia"/>
          <w:sz w:val="32"/>
          <w:szCs w:val="32"/>
        </w:rPr>
        <w:t>年</w:t>
      </w:r>
      <w:r w:rsidR="00B545EC">
        <w:rPr>
          <w:rFonts w:ascii="仿宋_GB2312" w:eastAsia="仿宋_GB2312" w:cs="宋体"/>
          <w:sz w:val="32"/>
          <w:szCs w:val="32"/>
        </w:rPr>
        <w:t>4</w:t>
      </w:r>
      <w:r>
        <w:rPr>
          <w:rFonts w:ascii="仿宋_GB2312" w:eastAsia="仿宋_GB2312" w:cs="宋体" w:hint="eastAsia"/>
          <w:sz w:val="32"/>
          <w:szCs w:val="32"/>
        </w:rPr>
        <w:t>月</w:t>
      </w:r>
      <w:r w:rsidR="00B545EC">
        <w:rPr>
          <w:rFonts w:ascii="仿宋_GB2312" w:eastAsia="仿宋_GB2312" w:cs="宋体"/>
          <w:sz w:val="32"/>
          <w:szCs w:val="32"/>
        </w:rPr>
        <w:t>15</w:t>
      </w:r>
      <w:r>
        <w:rPr>
          <w:rFonts w:ascii="仿宋_GB2312" w:eastAsia="仿宋_GB2312" w:cs="宋体" w:hint="eastAsia"/>
          <w:sz w:val="32"/>
          <w:szCs w:val="32"/>
        </w:rPr>
        <w:t>日，提交项目立项申请书。</w:t>
      </w:r>
    </w:p>
    <w:p w14:paraId="5F05387C" w14:textId="62295DFC" w:rsidR="00C56ECB" w:rsidRDefault="003F5D50">
      <w:pPr>
        <w:spacing w:line="348" w:lineRule="auto"/>
        <w:ind w:right="96" w:firstLineChars="200" w:firstLine="640"/>
        <w:rPr>
          <w:rFonts w:ascii="仿宋_GB2312" w:eastAsia="仿宋_GB2312" w:cs="宋体"/>
          <w:sz w:val="32"/>
          <w:szCs w:val="32"/>
        </w:rPr>
      </w:pPr>
      <w:r>
        <w:rPr>
          <w:rFonts w:ascii="仿宋_GB2312" w:eastAsia="仿宋_GB2312" w:cs="宋体" w:hint="eastAsia"/>
          <w:sz w:val="32"/>
          <w:szCs w:val="32"/>
        </w:rPr>
        <w:t>3)</w:t>
      </w:r>
      <w:r>
        <w:rPr>
          <w:rFonts w:ascii="仿宋_GB2312" w:eastAsia="仿宋_GB2312" w:cs="宋体" w:hint="eastAsia"/>
          <w:sz w:val="32"/>
          <w:szCs w:val="32"/>
        </w:rPr>
        <w:tab/>
        <w:t>20</w:t>
      </w:r>
      <w:r w:rsidR="00B545EC">
        <w:rPr>
          <w:rFonts w:ascii="仿宋_GB2312" w:eastAsia="仿宋_GB2312" w:cs="宋体"/>
          <w:sz w:val="32"/>
          <w:szCs w:val="32"/>
        </w:rPr>
        <w:t>2</w:t>
      </w:r>
      <w:r w:rsidR="00AB1ACC">
        <w:rPr>
          <w:rFonts w:ascii="仿宋_GB2312" w:eastAsia="仿宋_GB2312" w:cs="宋体"/>
          <w:sz w:val="32"/>
          <w:szCs w:val="32"/>
        </w:rPr>
        <w:t>3</w:t>
      </w:r>
      <w:r>
        <w:rPr>
          <w:rFonts w:ascii="仿宋_GB2312" w:eastAsia="仿宋_GB2312" w:cs="宋体" w:hint="eastAsia"/>
          <w:sz w:val="32"/>
          <w:szCs w:val="32"/>
        </w:rPr>
        <w:t>年</w:t>
      </w:r>
      <w:r w:rsidR="00B545EC">
        <w:rPr>
          <w:rFonts w:ascii="仿宋_GB2312" w:eastAsia="仿宋_GB2312" w:cs="宋体"/>
          <w:sz w:val="32"/>
          <w:szCs w:val="32"/>
        </w:rPr>
        <w:t>4</w:t>
      </w:r>
      <w:r>
        <w:rPr>
          <w:rFonts w:ascii="仿宋_GB2312" w:eastAsia="仿宋_GB2312" w:cs="宋体" w:hint="eastAsia"/>
          <w:sz w:val="32"/>
          <w:szCs w:val="32"/>
        </w:rPr>
        <w:t>月</w:t>
      </w:r>
      <w:r w:rsidR="00B545EC">
        <w:rPr>
          <w:rFonts w:ascii="仿宋_GB2312" w:eastAsia="仿宋_GB2312" w:cs="宋体"/>
          <w:sz w:val="32"/>
          <w:szCs w:val="32"/>
        </w:rPr>
        <w:t>16</w:t>
      </w:r>
      <w:r>
        <w:rPr>
          <w:rFonts w:ascii="仿宋_GB2312" w:eastAsia="仿宋_GB2312" w:cs="宋体" w:hint="eastAsia"/>
          <w:sz w:val="32"/>
          <w:szCs w:val="32"/>
        </w:rPr>
        <w:t>日至2</w:t>
      </w:r>
      <w:r w:rsidR="00B545EC">
        <w:rPr>
          <w:rFonts w:ascii="仿宋_GB2312" w:eastAsia="仿宋_GB2312" w:cs="宋体"/>
          <w:sz w:val="32"/>
          <w:szCs w:val="32"/>
        </w:rPr>
        <w:t>02</w:t>
      </w:r>
      <w:r w:rsidR="00AB1ACC">
        <w:rPr>
          <w:rFonts w:ascii="仿宋_GB2312" w:eastAsia="仿宋_GB2312" w:cs="宋体"/>
          <w:sz w:val="32"/>
          <w:szCs w:val="32"/>
        </w:rPr>
        <w:t>3</w:t>
      </w:r>
      <w:r>
        <w:rPr>
          <w:rFonts w:ascii="仿宋_GB2312" w:eastAsia="仿宋_GB2312" w:cs="宋体" w:hint="eastAsia"/>
          <w:sz w:val="32"/>
          <w:szCs w:val="32"/>
        </w:rPr>
        <w:t>年</w:t>
      </w:r>
      <w:r w:rsidR="00B545EC">
        <w:rPr>
          <w:rFonts w:ascii="仿宋_GB2312" w:eastAsia="仿宋_GB2312" w:cs="宋体"/>
          <w:sz w:val="32"/>
          <w:szCs w:val="32"/>
        </w:rPr>
        <w:t>6</w:t>
      </w:r>
      <w:r>
        <w:rPr>
          <w:rFonts w:ascii="仿宋_GB2312" w:eastAsia="仿宋_GB2312" w:cs="宋体" w:hint="eastAsia"/>
          <w:sz w:val="32"/>
          <w:szCs w:val="32"/>
        </w:rPr>
        <w:t>月</w:t>
      </w:r>
      <w:r w:rsidR="00C07092">
        <w:rPr>
          <w:rFonts w:ascii="仿宋_GB2312" w:eastAsia="仿宋_GB2312" w:cs="宋体"/>
          <w:sz w:val="32"/>
          <w:szCs w:val="32"/>
        </w:rPr>
        <w:t>24</w:t>
      </w:r>
      <w:r>
        <w:rPr>
          <w:rFonts w:ascii="仿宋_GB2312" w:eastAsia="仿宋_GB2312" w:cs="宋体" w:hint="eastAsia"/>
          <w:sz w:val="32"/>
          <w:szCs w:val="32"/>
        </w:rPr>
        <w:t>日，期间进行了多次标准工作组内部讨论，并针对标准大体框架与内容方向进行了修改与调整</w:t>
      </w:r>
      <w:r w:rsidR="00C07092">
        <w:rPr>
          <w:rFonts w:ascii="仿宋_GB2312" w:eastAsia="仿宋_GB2312" w:cs="宋体" w:hint="eastAsia"/>
          <w:sz w:val="32"/>
          <w:szCs w:val="32"/>
        </w:rPr>
        <w:t>，形成第一版标准草案</w:t>
      </w:r>
      <w:r>
        <w:rPr>
          <w:rFonts w:ascii="仿宋_GB2312" w:eastAsia="仿宋_GB2312" w:cs="宋体" w:hint="eastAsia"/>
          <w:sz w:val="32"/>
          <w:szCs w:val="32"/>
        </w:rPr>
        <w:t>。</w:t>
      </w:r>
    </w:p>
    <w:p w14:paraId="6654CC6E" w14:textId="00EF5E9F" w:rsidR="00C56ECB" w:rsidRDefault="003F5D50">
      <w:pPr>
        <w:spacing w:line="348" w:lineRule="auto"/>
        <w:ind w:right="96" w:firstLineChars="200" w:firstLine="640"/>
        <w:rPr>
          <w:rFonts w:ascii="仿宋_GB2312" w:eastAsia="仿宋_GB2312" w:cs="宋体"/>
          <w:sz w:val="32"/>
          <w:szCs w:val="32"/>
        </w:rPr>
      </w:pPr>
      <w:r>
        <w:rPr>
          <w:rFonts w:ascii="仿宋_GB2312" w:eastAsia="仿宋_GB2312" w:cs="宋体" w:hint="eastAsia"/>
          <w:sz w:val="32"/>
          <w:szCs w:val="32"/>
        </w:rPr>
        <w:t>4)</w:t>
      </w:r>
      <w:r>
        <w:rPr>
          <w:rFonts w:ascii="仿宋_GB2312" w:eastAsia="仿宋_GB2312" w:cs="宋体" w:hint="eastAsia"/>
          <w:sz w:val="32"/>
          <w:szCs w:val="32"/>
        </w:rPr>
        <w:tab/>
        <w:t>20</w:t>
      </w:r>
      <w:r w:rsidR="00B545EC">
        <w:rPr>
          <w:rFonts w:ascii="仿宋_GB2312" w:eastAsia="仿宋_GB2312" w:cs="宋体"/>
          <w:sz w:val="32"/>
          <w:szCs w:val="32"/>
        </w:rPr>
        <w:t>2</w:t>
      </w:r>
      <w:r w:rsidR="00AB1ACC">
        <w:rPr>
          <w:rFonts w:ascii="仿宋_GB2312" w:eastAsia="仿宋_GB2312" w:cs="宋体"/>
          <w:sz w:val="32"/>
          <w:szCs w:val="32"/>
        </w:rPr>
        <w:t>3</w:t>
      </w:r>
      <w:r>
        <w:rPr>
          <w:rFonts w:ascii="仿宋_GB2312" w:eastAsia="仿宋_GB2312" w:cs="宋体" w:hint="eastAsia"/>
          <w:sz w:val="32"/>
          <w:szCs w:val="32"/>
        </w:rPr>
        <w:t>年</w:t>
      </w:r>
      <w:r w:rsidR="00B545EC">
        <w:rPr>
          <w:rFonts w:ascii="仿宋_GB2312" w:eastAsia="仿宋_GB2312" w:cs="宋体"/>
          <w:sz w:val="32"/>
          <w:szCs w:val="32"/>
        </w:rPr>
        <w:t>7</w:t>
      </w:r>
      <w:r>
        <w:rPr>
          <w:rFonts w:ascii="仿宋_GB2312" w:eastAsia="仿宋_GB2312" w:cs="宋体" w:hint="eastAsia"/>
          <w:sz w:val="32"/>
          <w:szCs w:val="32"/>
        </w:rPr>
        <w:t>月</w:t>
      </w:r>
      <w:r w:rsidR="00B545EC">
        <w:rPr>
          <w:rFonts w:ascii="仿宋_GB2312" w:eastAsia="仿宋_GB2312" w:cs="宋体"/>
          <w:sz w:val="32"/>
          <w:szCs w:val="32"/>
        </w:rPr>
        <w:t>1</w:t>
      </w:r>
      <w:r>
        <w:rPr>
          <w:rFonts w:ascii="仿宋_GB2312" w:eastAsia="仿宋_GB2312" w:cs="宋体" w:hint="eastAsia"/>
          <w:sz w:val="32"/>
          <w:szCs w:val="32"/>
        </w:rPr>
        <w:t>日，</w:t>
      </w:r>
      <w:r w:rsidR="00B545EC">
        <w:rPr>
          <w:rFonts w:ascii="仿宋_GB2312" w:eastAsia="仿宋_GB2312" w:cs="宋体" w:hint="eastAsia"/>
          <w:sz w:val="32"/>
          <w:szCs w:val="32"/>
        </w:rPr>
        <w:t>召开立项评审会，</w:t>
      </w:r>
      <w:r>
        <w:rPr>
          <w:rFonts w:ascii="仿宋_GB2312" w:eastAsia="仿宋_GB2312" w:cs="宋体" w:hint="eastAsia"/>
          <w:sz w:val="32"/>
          <w:szCs w:val="32"/>
        </w:rPr>
        <w:t>邀请专家对草案给出建议。</w:t>
      </w:r>
    </w:p>
    <w:p w14:paraId="5E337A91" w14:textId="2E85A42A" w:rsidR="00C56ECB" w:rsidRDefault="003F5D50">
      <w:pPr>
        <w:spacing w:line="348" w:lineRule="auto"/>
        <w:ind w:right="96" w:firstLineChars="200" w:firstLine="640"/>
        <w:rPr>
          <w:rFonts w:ascii="仿宋_GB2312" w:eastAsia="仿宋_GB2312" w:cs="宋体"/>
          <w:sz w:val="32"/>
          <w:szCs w:val="32"/>
        </w:rPr>
      </w:pPr>
      <w:r>
        <w:rPr>
          <w:rFonts w:ascii="仿宋_GB2312" w:eastAsia="仿宋_GB2312" w:cs="宋体"/>
          <w:sz w:val="32"/>
          <w:szCs w:val="32"/>
        </w:rPr>
        <w:t>5</w:t>
      </w:r>
      <w:r>
        <w:rPr>
          <w:rFonts w:ascii="仿宋_GB2312" w:eastAsia="仿宋_GB2312" w:cs="宋体" w:hint="eastAsia"/>
          <w:sz w:val="32"/>
          <w:szCs w:val="32"/>
        </w:rPr>
        <w:t>)</w:t>
      </w:r>
      <w:r>
        <w:rPr>
          <w:rFonts w:ascii="仿宋_GB2312" w:eastAsia="仿宋_GB2312" w:cs="宋体" w:hint="eastAsia"/>
          <w:sz w:val="32"/>
          <w:szCs w:val="32"/>
        </w:rPr>
        <w:tab/>
        <w:t>20</w:t>
      </w:r>
      <w:r w:rsidR="00B545EC">
        <w:rPr>
          <w:rFonts w:ascii="仿宋_GB2312" w:eastAsia="仿宋_GB2312" w:cs="宋体"/>
          <w:sz w:val="32"/>
          <w:szCs w:val="32"/>
        </w:rPr>
        <w:t>2</w:t>
      </w:r>
      <w:r w:rsidR="00AB1ACC">
        <w:rPr>
          <w:rFonts w:ascii="仿宋_GB2312" w:eastAsia="仿宋_GB2312" w:cs="宋体"/>
          <w:sz w:val="32"/>
          <w:szCs w:val="32"/>
        </w:rPr>
        <w:t>3</w:t>
      </w:r>
      <w:r>
        <w:rPr>
          <w:rFonts w:ascii="仿宋_GB2312" w:eastAsia="仿宋_GB2312" w:cs="宋体" w:hint="eastAsia"/>
          <w:sz w:val="32"/>
          <w:szCs w:val="32"/>
        </w:rPr>
        <w:t>年</w:t>
      </w:r>
      <w:r w:rsidR="00B545EC">
        <w:rPr>
          <w:rFonts w:ascii="仿宋_GB2312" w:eastAsia="仿宋_GB2312" w:cs="宋体"/>
          <w:sz w:val="32"/>
          <w:szCs w:val="32"/>
        </w:rPr>
        <w:t>7</w:t>
      </w:r>
      <w:r>
        <w:rPr>
          <w:rFonts w:ascii="仿宋_GB2312" w:eastAsia="仿宋_GB2312" w:cs="宋体" w:hint="eastAsia"/>
          <w:sz w:val="32"/>
          <w:szCs w:val="32"/>
        </w:rPr>
        <w:t>月</w:t>
      </w:r>
      <w:r w:rsidR="001D3B20">
        <w:rPr>
          <w:rFonts w:ascii="仿宋_GB2312" w:eastAsia="仿宋_GB2312" w:cs="宋体"/>
          <w:sz w:val="32"/>
          <w:szCs w:val="32"/>
        </w:rPr>
        <w:t>4</w:t>
      </w:r>
      <w:r>
        <w:rPr>
          <w:rFonts w:ascii="仿宋_GB2312" w:eastAsia="仿宋_GB2312" w:cs="宋体" w:hint="eastAsia"/>
          <w:sz w:val="32"/>
          <w:szCs w:val="32"/>
        </w:rPr>
        <w:t>日至2</w:t>
      </w:r>
      <w:r>
        <w:rPr>
          <w:rFonts w:ascii="仿宋_GB2312" w:eastAsia="仿宋_GB2312" w:cs="宋体"/>
          <w:sz w:val="32"/>
          <w:szCs w:val="32"/>
        </w:rPr>
        <w:t>02</w:t>
      </w:r>
      <w:r w:rsidR="00AB1ACC">
        <w:rPr>
          <w:rFonts w:ascii="仿宋_GB2312" w:eastAsia="仿宋_GB2312" w:cs="宋体"/>
          <w:sz w:val="32"/>
          <w:szCs w:val="32"/>
        </w:rPr>
        <w:t>3</w:t>
      </w:r>
      <w:r>
        <w:rPr>
          <w:rFonts w:ascii="仿宋_GB2312" w:eastAsia="仿宋_GB2312" w:cs="宋体" w:hint="eastAsia"/>
          <w:sz w:val="32"/>
          <w:szCs w:val="32"/>
        </w:rPr>
        <w:t>年1</w:t>
      </w:r>
      <w:r w:rsidR="00B545EC">
        <w:rPr>
          <w:rFonts w:ascii="仿宋_GB2312" w:eastAsia="仿宋_GB2312" w:cs="宋体"/>
          <w:sz w:val="32"/>
          <w:szCs w:val="32"/>
        </w:rPr>
        <w:t>1</w:t>
      </w:r>
      <w:r>
        <w:rPr>
          <w:rFonts w:ascii="仿宋_GB2312" w:eastAsia="仿宋_GB2312" w:cs="宋体" w:hint="eastAsia"/>
          <w:sz w:val="32"/>
          <w:szCs w:val="32"/>
        </w:rPr>
        <w:t>月</w:t>
      </w:r>
      <w:r w:rsidR="00B545EC">
        <w:rPr>
          <w:rFonts w:ascii="仿宋_GB2312" w:eastAsia="仿宋_GB2312" w:cs="宋体"/>
          <w:sz w:val="32"/>
          <w:szCs w:val="32"/>
        </w:rPr>
        <w:t>4</w:t>
      </w:r>
      <w:r>
        <w:rPr>
          <w:rFonts w:ascii="仿宋_GB2312" w:eastAsia="仿宋_GB2312" w:cs="宋体" w:hint="eastAsia"/>
          <w:sz w:val="32"/>
          <w:szCs w:val="32"/>
        </w:rPr>
        <w:t>日，期间进行了多次标准工作组内部讨论，针对标准内容进行了细节的修改与调整。</w:t>
      </w:r>
    </w:p>
    <w:p w14:paraId="2B76C596" w14:textId="52B905F5" w:rsidR="00841BD3" w:rsidRDefault="003F5D50" w:rsidP="00B545EC">
      <w:pPr>
        <w:spacing w:line="348" w:lineRule="auto"/>
        <w:ind w:right="96" w:firstLineChars="200" w:firstLine="640"/>
        <w:rPr>
          <w:rFonts w:ascii="仿宋_GB2312" w:eastAsia="仿宋_GB2312" w:cs="宋体"/>
          <w:sz w:val="32"/>
          <w:szCs w:val="32"/>
        </w:rPr>
      </w:pPr>
      <w:r>
        <w:rPr>
          <w:rFonts w:ascii="仿宋_GB2312" w:eastAsia="仿宋_GB2312" w:cs="宋体"/>
          <w:sz w:val="32"/>
          <w:szCs w:val="32"/>
        </w:rPr>
        <w:t>6</w:t>
      </w:r>
      <w:r>
        <w:rPr>
          <w:rFonts w:ascii="仿宋_GB2312" w:eastAsia="仿宋_GB2312" w:cs="宋体" w:hint="eastAsia"/>
          <w:sz w:val="32"/>
          <w:szCs w:val="32"/>
        </w:rPr>
        <w:t>)</w:t>
      </w:r>
      <w:r>
        <w:rPr>
          <w:rFonts w:ascii="仿宋_GB2312" w:eastAsia="仿宋_GB2312" w:cs="宋体" w:hint="eastAsia"/>
          <w:sz w:val="32"/>
          <w:szCs w:val="32"/>
        </w:rPr>
        <w:tab/>
        <w:t>20</w:t>
      </w:r>
      <w:r>
        <w:rPr>
          <w:rFonts w:ascii="仿宋_GB2312" w:eastAsia="仿宋_GB2312" w:cs="宋体"/>
          <w:sz w:val="32"/>
          <w:szCs w:val="32"/>
        </w:rPr>
        <w:t>2</w:t>
      </w:r>
      <w:r w:rsidR="00AB1ACC">
        <w:rPr>
          <w:rFonts w:ascii="仿宋_GB2312" w:eastAsia="仿宋_GB2312" w:cs="宋体"/>
          <w:sz w:val="32"/>
          <w:szCs w:val="32"/>
        </w:rPr>
        <w:t>3</w:t>
      </w:r>
      <w:r>
        <w:rPr>
          <w:rFonts w:ascii="仿宋_GB2312" w:eastAsia="仿宋_GB2312" w:cs="宋体" w:hint="eastAsia"/>
          <w:sz w:val="32"/>
          <w:szCs w:val="32"/>
        </w:rPr>
        <w:t>年</w:t>
      </w:r>
      <w:r>
        <w:rPr>
          <w:rFonts w:ascii="仿宋_GB2312" w:eastAsia="仿宋_GB2312" w:cs="宋体"/>
          <w:sz w:val="32"/>
          <w:szCs w:val="32"/>
        </w:rPr>
        <w:t>1</w:t>
      </w:r>
      <w:r w:rsidR="00B545EC">
        <w:rPr>
          <w:rFonts w:ascii="仿宋_GB2312" w:eastAsia="仿宋_GB2312" w:cs="宋体"/>
          <w:sz w:val="32"/>
          <w:szCs w:val="32"/>
        </w:rPr>
        <w:t>1</w:t>
      </w:r>
      <w:r>
        <w:rPr>
          <w:rFonts w:ascii="仿宋_GB2312" w:eastAsia="仿宋_GB2312" w:cs="宋体" w:hint="eastAsia"/>
          <w:sz w:val="32"/>
          <w:szCs w:val="32"/>
        </w:rPr>
        <w:t>月</w:t>
      </w:r>
      <w:r w:rsidR="00B545EC">
        <w:rPr>
          <w:rFonts w:ascii="仿宋_GB2312" w:eastAsia="仿宋_GB2312" w:cs="宋体"/>
          <w:sz w:val="32"/>
          <w:szCs w:val="32"/>
        </w:rPr>
        <w:t>6</w:t>
      </w:r>
      <w:r>
        <w:rPr>
          <w:rFonts w:ascii="仿宋_GB2312" w:eastAsia="仿宋_GB2312" w:cs="宋体" w:hint="eastAsia"/>
          <w:sz w:val="32"/>
          <w:szCs w:val="32"/>
        </w:rPr>
        <w:t>日，形成第二版标准草案，并召集了标准草案的内部闭门研讨会。</w:t>
      </w:r>
    </w:p>
    <w:p w14:paraId="617ECA86" w14:textId="2528552D" w:rsidR="00664C75" w:rsidRDefault="00664C75" w:rsidP="00664C75">
      <w:pPr>
        <w:spacing w:line="348" w:lineRule="auto"/>
        <w:ind w:right="96" w:firstLineChars="200" w:firstLine="640"/>
        <w:rPr>
          <w:rFonts w:ascii="仿宋_GB2312" w:eastAsia="仿宋_GB2312" w:cs="宋体"/>
          <w:sz w:val="32"/>
          <w:szCs w:val="32"/>
        </w:rPr>
      </w:pPr>
      <w:r>
        <w:rPr>
          <w:rFonts w:ascii="仿宋_GB2312" w:eastAsia="仿宋_GB2312" w:cs="宋体"/>
          <w:sz w:val="32"/>
          <w:szCs w:val="32"/>
        </w:rPr>
        <w:t>7</w:t>
      </w:r>
      <w:r>
        <w:rPr>
          <w:rFonts w:ascii="仿宋_GB2312" w:eastAsia="仿宋_GB2312" w:cs="宋体" w:hint="eastAsia"/>
          <w:sz w:val="32"/>
          <w:szCs w:val="32"/>
        </w:rPr>
        <w:t>)</w:t>
      </w:r>
      <w:r>
        <w:rPr>
          <w:rFonts w:ascii="仿宋_GB2312" w:eastAsia="仿宋_GB2312" w:cs="宋体" w:hint="eastAsia"/>
          <w:sz w:val="32"/>
          <w:szCs w:val="32"/>
        </w:rPr>
        <w:tab/>
      </w:r>
      <w:r w:rsidRPr="00664C75">
        <w:rPr>
          <w:rFonts w:ascii="仿宋_GB2312" w:eastAsia="仿宋_GB2312" w:cs="宋体"/>
          <w:sz w:val="32"/>
          <w:szCs w:val="32"/>
        </w:rPr>
        <w:t>202</w:t>
      </w:r>
      <w:r w:rsidR="00AB1ACC">
        <w:rPr>
          <w:rFonts w:ascii="仿宋_GB2312" w:eastAsia="仿宋_GB2312" w:cs="宋体"/>
          <w:sz w:val="32"/>
          <w:szCs w:val="32"/>
        </w:rPr>
        <w:t>4</w:t>
      </w:r>
      <w:r w:rsidRPr="00664C75">
        <w:rPr>
          <w:rFonts w:ascii="仿宋_GB2312" w:eastAsia="仿宋_GB2312" w:cs="宋体"/>
          <w:sz w:val="32"/>
          <w:szCs w:val="32"/>
        </w:rPr>
        <w:t>年1月30日，</w:t>
      </w:r>
      <w:r w:rsidR="009017B1">
        <w:rPr>
          <w:rFonts w:ascii="仿宋_GB2312" w:eastAsia="仿宋_GB2312" w:cs="宋体" w:hint="eastAsia"/>
          <w:sz w:val="32"/>
          <w:szCs w:val="32"/>
        </w:rPr>
        <w:t>继续完善标准草稿，形成第三版</w:t>
      </w:r>
      <w:r w:rsidRPr="00664C75">
        <w:rPr>
          <w:rFonts w:ascii="仿宋_GB2312" w:eastAsia="仿宋_GB2312" w:cs="宋体"/>
          <w:sz w:val="32"/>
          <w:szCs w:val="32"/>
        </w:rPr>
        <w:t>。</w:t>
      </w:r>
    </w:p>
    <w:p w14:paraId="6B5094D8" w14:textId="77777777" w:rsidR="009017B1" w:rsidRDefault="009017B1" w:rsidP="009017B1">
      <w:pPr>
        <w:spacing w:line="348" w:lineRule="auto"/>
        <w:ind w:right="96" w:firstLineChars="200" w:firstLine="640"/>
        <w:rPr>
          <w:rFonts w:ascii="仿宋_GB2312" w:eastAsia="仿宋_GB2312" w:cs="宋体"/>
          <w:sz w:val="32"/>
          <w:szCs w:val="32"/>
        </w:rPr>
      </w:pPr>
      <w:r>
        <w:rPr>
          <w:rFonts w:ascii="仿宋_GB2312" w:eastAsia="仿宋_GB2312" w:cs="宋体" w:hint="eastAsia"/>
          <w:sz w:val="32"/>
          <w:szCs w:val="32"/>
        </w:rPr>
        <w:t>8）2024年6月28日，召开专家评审会，邀请专家对修改后的版本进行评审。</w:t>
      </w:r>
    </w:p>
    <w:p w14:paraId="0D6B23A6" w14:textId="77777777" w:rsidR="009017B1" w:rsidRDefault="009017B1" w:rsidP="009017B1">
      <w:pPr>
        <w:spacing w:line="348" w:lineRule="auto"/>
        <w:ind w:right="96" w:firstLineChars="200" w:firstLine="640"/>
        <w:rPr>
          <w:rFonts w:ascii="仿宋_GB2312" w:eastAsia="仿宋_GB2312" w:cs="宋体" w:hint="eastAsia"/>
          <w:sz w:val="32"/>
          <w:szCs w:val="32"/>
        </w:rPr>
      </w:pPr>
      <w:r>
        <w:rPr>
          <w:rFonts w:ascii="仿宋_GB2312" w:eastAsia="仿宋_GB2312" w:cs="宋体" w:hint="eastAsia"/>
          <w:sz w:val="32"/>
          <w:szCs w:val="32"/>
        </w:rPr>
        <w:t>9）2024年8月，形成征求意见稿。</w:t>
      </w:r>
    </w:p>
    <w:p w14:paraId="4A8FD54A" w14:textId="77777777" w:rsidR="009017B1" w:rsidRPr="009017B1" w:rsidRDefault="009017B1" w:rsidP="00664C75">
      <w:pPr>
        <w:spacing w:line="348" w:lineRule="auto"/>
        <w:ind w:right="96" w:firstLineChars="200" w:firstLine="640"/>
        <w:rPr>
          <w:rFonts w:ascii="仿宋_GB2312" w:eastAsia="仿宋_GB2312" w:cs="宋体" w:hint="eastAsia"/>
          <w:sz w:val="32"/>
          <w:szCs w:val="32"/>
        </w:rPr>
      </w:pPr>
    </w:p>
    <w:p w14:paraId="47EE447A" w14:textId="77777777" w:rsidR="00C56ECB" w:rsidRDefault="003F5D50">
      <w:pPr>
        <w:numPr>
          <w:ilvl w:val="0"/>
          <w:numId w:val="1"/>
        </w:numPr>
        <w:spacing w:beforeLines="50" w:before="156" w:line="348" w:lineRule="auto"/>
        <w:ind w:left="0" w:right="96" w:firstLine="0"/>
        <w:rPr>
          <w:rFonts w:ascii="黑体" w:eastAsia="黑体" w:cs="宋体"/>
          <w:b/>
          <w:bCs/>
          <w:sz w:val="32"/>
          <w:szCs w:val="32"/>
        </w:rPr>
      </w:pPr>
      <w:r>
        <w:rPr>
          <w:rFonts w:ascii="黑体" w:eastAsia="黑体" w:cs="宋体" w:hint="eastAsia"/>
          <w:b/>
          <w:bCs/>
          <w:sz w:val="32"/>
          <w:szCs w:val="32"/>
        </w:rPr>
        <w:t>主要内容技术指标确立</w:t>
      </w:r>
    </w:p>
    <w:p w14:paraId="3C0B1A89" w14:textId="56F4F360" w:rsidR="00920842" w:rsidRDefault="00AB32F1" w:rsidP="00920842">
      <w:pPr>
        <w:ind w:firstLineChars="200" w:firstLine="640"/>
        <w:rPr>
          <w:rFonts w:ascii="仿宋_GB2312" w:eastAsia="仿宋_GB2312" w:cs="宋体"/>
          <w:sz w:val="32"/>
          <w:szCs w:val="32"/>
        </w:rPr>
      </w:pPr>
      <w:r w:rsidRPr="00AB32F1">
        <w:rPr>
          <w:rFonts w:ascii="仿宋_GB2312" w:eastAsia="仿宋_GB2312" w:cs="宋体" w:hint="eastAsia"/>
          <w:sz w:val="32"/>
          <w:szCs w:val="32"/>
        </w:rPr>
        <w:t>本标准描述了脱敏效果评估的技术要求，</w:t>
      </w:r>
      <w:r w:rsidR="00920842">
        <w:rPr>
          <w:rFonts w:ascii="仿宋_GB2312" w:eastAsia="仿宋_GB2312" w:cs="宋体" w:hint="eastAsia"/>
          <w:sz w:val="32"/>
          <w:szCs w:val="32"/>
        </w:rPr>
        <w:t>包括概述、脱敏效果评估通用技术要求及脱敏效果评估的评估报告要求。</w:t>
      </w:r>
      <w:r w:rsidR="00643A91" w:rsidRPr="00643A91">
        <w:rPr>
          <w:rFonts w:ascii="仿宋_GB2312" w:eastAsia="仿宋_GB2312" w:cs="宋体"/>
          <w:sz w:val="32"/>
          <w:szCs w:val="32"/>
        </w:rPr>
        <w:t>详情如下：</w:t>
      </w:r>
    </w:p>
    <w:p w14:paraId="242FC067" w14:textId="29B992DB" w:rsidR="00920842" w:rsidRDefault="00643A91" w:rsidP="00EF0BA0">
      <w:pPr>
        <w:ind w:firstLineChars="200" w:firstLine="640"/>
        <w:rPr>
          <w:rFonts w:ascii="仿宋_GB2312" w:eastAsia="仿宋_GB2312" w:cs="宋体"/>
          <w:sz w:val="32"/>
          <w:szCs w:val="32"/>
        </w:rPr>
      </w:pPr>
      <w:r w:rsidRPr="00980B0C">
        <w:rPr>
          <w:rFonts w:ascii="仿宋_GB2312" w:eastAsia="仿宋_GB2312" w:cs="宋体"/>
          <w:sz w:val="32"/>
          <w:szCs w:val="32"/>
        </w:rPr>
        <w:t>1</w:t>
      </w:r>
      <w:r w:rsidRPr="00980B0C">
        <w:rPr>
          <w:rFonts w:ascii="仿宋_GB2312" w:eastAsia="仿宋_GB2312" w:cs="宋体" w:hint="eastAsia"/>
          <w:sz w:val="32"/>
          <w:szCs w:val="32"/>
        </w:rPr>
        <w:t>、</w:t>
      </w:r>
      <w:r w:rsidR="00920842">
        <w:rPr>
          <w:rFonts w:ascii="仿宋_GB2312" w:eastAsia="仿宋_GB2312" w:cs="宋体" w:hint="eastAsia"/>
          <w:sz w:val="32"/>
          <w:szCs w:val="32"/>
        </w:rPr>
        <w:t>概述：脱敏效果评估技术要求的概括性描述，其中包</w:t>
      </w:r>
      <w:r w:rsidR="00920842">
        <w:rPr>
          <w:rFonts w:ascii="仿宋_GB2312" w:eastAsia="仿宋_GB2312" w:cs="宋体" w:hint="eastAsia"/>
          <w:sz w:val="32"/>
          <w:szCs w:val="32"/>
        </w:rPr>
        <w:lastRenderedPageBreak/>
        <w:t>括脱敏效果评估的目标、脱敏效果评估的基本原则及脱敏效果评估的使用。</w:t>
      </w:r>
    </w:p>
    <w:p w14:paraId="73AF9A6E" w14:textId="4333D73A" w:rsidR="00920842" w:rsidRDefault="00643A91" w:rsidP="00EF0BA0">
      <w:pPr>
        <w:ind w:firstLineChars="200" w:firstLine="640"/>
        <w:rPr>
          <w:rFonts w:ascii="仿宋_GB2312" w:eastAsia="仿宋_GB2312" w:cs="宋体"/>
          <w:sz w:val="32"/>
          <w:szCs w:val="32"/>
        </w:rPr>
      </w:pPr>
      <w:r>
        <w:rPr>
          <w:rFonts w:ascii="仿宋_GB2312" w:eastAsia="仿宋_GB2312" w:cs="宋体"/>
          <w:sz w:val="32"/>
          <w:szCs w:val="32"/>
        </w:rPr>
        <w:t>2</w:t>
      </w:r>
      <w:r w:rsidRPr="00980B0C">
        <w:rPr>
          <w:rFonts w:ascii="仿宋_GB2312" w:eastAsia="仿宋_GB2312" w:cs="宋体" w:hint="eastAsia"/>
          <w:sz w:val="32"/>
          <w:szCs w:val="32"/>
        </w:rPr>
        <w:t>、</w:t>
      </w:r>
      <w:r w:rsidR="00920842">
        <w:rPr>
          <w:rFonts w:ascii="仿宋_GB2312" w:eastAsia="仿宋_GB2312" w:cs="宋体" w:hint="eastAsia"/>
          <w:sz w:val="32"/>
          <w:szCs w:val="32"/>
        </w:rPr>
        <w:t>脱敏效果评估通用技术要求：用以评估脱敏效果的通用技术要求，包括脱敏效果评估指标体系、单次脱敏效果评估的技术要求、基于数据挖掘的脱敏效果评估的技术要求及脱敏系统效果评估的技术要求四个部分。</w:t>
      </w:r>
    </w:p>
    <w:p w14:paraId="2AF0DA96" w14:textId="171535E1" w:rsidR="00643A91" w:rsidRPr="00643A91" w:rsidRDefault="009B5349" w:rsidP="00643A91">
      <w:pPr>
        <w:ind w:firstLineChars="200" w:firstLine="640"/>
        <w:rPr>
          <w:rFonts w:ascii="仿宋_GB2312" w:eastAsia="仿宋_GB2312" w:cs="宋体"/>
          <w:sz w:val="32"/>
          <w:szCs w:val="32"/>
        </w:rPr>
      </w:pPr>
      <w:r>
        <w:rPr>
          <w:rFonts w:ascii="仿宋_GB2312" w:eastAsia="仿宋_GB2312" w:cs="宋体"/>
          <w:sz w:val="32"/>
          <w:szCs w:val="32"/>
        </w:rPr>
        <w:t>3</w:t>
      </w:r>
      <w:r w:rsidR="00643A91" w:rsidRPr="00643A91">
        <w:rPr>
          <w:rFonts w:ascii="仿宋_GB2312" w:eastAsia="仿宋_GB2312" w:cs="宋体" w:hint="eastAsia"/>
          <w:sz w:val="32"/>
          <w:szCs w:val="32"/>
        </w:rPr>
        <w:t>、</w:t>
      </w:r>
      <w:r w:rsidR="00B64240" w:rsidRPr="00B64240">
        <w:rPr>
          <w:rFonts w:ascii="仿宋_GB2312" w:eastAsia="仿宋_GB2312" w:cs="宋体" w:hint="eastAsia"/>
          <w:sz w:val="32"/>
          <w:szCs w:val="32"/>
        </w:rPr>
        <w:t>脱敏效果评估的评估报告要求</w:t>
      </w:r>
      <w:r w:rsidR="00643A91">
        <w:rPr>
          <w:rFonts w:ascii="仿宋_GB2312" w:eastAsia="仿宋_GB2312" w:cs="宋体" w:hint="eastAsia"/>
          <w:sz w:val="32"/>
          <w:szCs w:val="32"/>
        </w:rPr>
        <w:t>：</w:t>
      </w:r>
      <w:r w:rsidR="00AB32F1" w:rsidRPr="00AB32F1">
        <w:rPr>
          <w:rFonts w:ascii="仿宋_GB2312" w:eastAsia="仿宋_GB2312" w:cs="宋体" w:hint="eastAsia"/>
          <w:sz w:val="32"/>
          <w:szCs w:val="32"/>
        </w:rPr>
        <w:t>评估报告可以更好地帮助当前信息拥有者、主管监管部门、第三方评估机构等组织对敏感信息脱敏处理活动的把控，能够更加直观地展示脱敏效果评估的结果。评估报告的内容由</w:t>
      </w:r>
      <w:r w:rsidR="00920842">
        <w:rPr>
          <w:rFonts w:ascii="仿宋_GB2312" w:eastAsia="仿宋_GB2312" w:cs="宋体" w:hint="eastAsia"/>
          <w:sz w:val="32"/>
          <w:szCs w:val="32"/>
        </w:rPr>
        <w:t>形成评估报告的目的</w:t>
      </w:r>
      <w:r w:rsidR="00AB32F1" w:rsidRPr="00AB32F1">
        <w:rPr>
          <w:rFonts w:ascii="仿宋_GB2312" w:eastAsia="仿宋_GB2312" w:cs="宋体" w:hint="eastAsia"/>
          <w:sz w:val="32"/>
          <w:szCs w:val="32"/>
        </w:rPr>
        <w:t>、</w:t>
      </w:r>
      <w:r w:rsidR="00920842">
        <w:rPr>
          <w:rFonts w:ascii="仿宋_GB2312" w:eastAsia="仿宋_GB2312" w:cs="宋体" w:hint="eastAsia"/>
          <w:sz w:val="32"/>
          <w:szCs w:val="32"/>
        </w:rPr>
        <w:t>评估报告的组成内容、评估项目概述组成内容、被评估对象描述组成内容</w:t>
      </w:r>
      <w:r w:rsidR="00AB32F1" w:rsidRPr="00AB32F1">
        <w:rPr>
          <w:rFonts w:ascii="仿宋_GB2312" w:eastAsia="仿宋_GB2312" w:cs="宋体" w:hint="eastAsia"/>
          <w:sz w:val="32"/>
          <w:szCs w:val="32"/>
        </w:rPr>
        <w:t>、单项评估结果分析</w:t>
      </w:r>
      <w:r w:rsidR="00920842">
        <w:rPr>
          <w:rFonts w:ascii="仿宋_GB2312" w:eastAsia="仿宋_GB2312" w:cs="宋体" w:hint="eastAsia"/>
          <w:sz w:val="32"/>
          <w:szCs w:val="32"/>
        </w:rPr>
        <w:t>组成内容</w:t>
      </w:r>
      <w:r w:rsidR="00AB32F1" w:rsidRPr="00AB32F1">
        <w:rPr>
          <w:rFonts w:ascii="仿宋_GB2312" w:eastAsia="仿宋_GB2312" w:cs="宋体" w:hint="eastAsia"/>
          <w:sz w:val="32"/>
          <w:szCs w:val="32"/>
        </w:rPr>
        <w:t>、整体评估</w:t>
      </w:r>
      <w:r w:rsidR="00920842">
        <w:rPr>
          <w:rFonts w:ascii="仿宋_GB2312" w:eastAsia="仿宋_GB2312" w:cs="宋体" w:hint="eastAsia"/>
          <w:sz w:val="32"/>
          <w:szCs w:val="32"/>
        </w:rPr>
        <w:t>组成内容</w:t>
      </w:r>
      <w:r w:rsidR="00AB32F1" w:rsidRPr="00AB32F1">
        <w:rPr>
          <w:rFonts w:ascii="仿宋_GB2312" w:eastAsia="仿宋_GB2312" w:cs="宋体" w:hint="eastAsia"/>
          <w:sz w:val="32"/>
          <w:szCs w:val="32"/>
        </w:rPr>
        <w:t>、等级评估结论</w:t>
      </w:r>
      <w:r w:rsidR="00920842">
        <w:rPr>
          <w:rFonts w:ascii="仿宋_GB2312" w:eastAsia="仿宋_GB2312" w:cs="宋体" w:hint="eastAsia"/>
          <w:sz w:val="32"/>
          <w:szCs w:val="32"/>
        </w:rPr>
        <w:t>七</w:t>
      </w:r>
      <w:r w:rsidR="00AB32F1" w:rsidRPr="00AB32F1">
        <w:rPr>
          <w:rFonts w:ascii="仿宋_GB2312" w:eastAsia="仿宋_GB2312" w:cs="宋体" w:hint="eastAsia"/>
          <w:sz w:val="32"/>
          <w:szCs w:val="32"/>
        </w:rPr>
        <w:t>个部分组成。</w:t>
      </w:r>
    </w:p>
    <w:p w14:paraId="27213A18" w14:textId="503C2FF9" w:rsidR="00B64240" w:rsidRDefault="00B64240">
      <w:pPr>
        <w:ind w:firstLineChars="200" w:firstLine="640"/>
        <w:rPr>
          <w:rFonts w:ascii="仿宋_GB2312" w:eastAsia="仿宋_GB2312" w:cs="宋体"/>
          <w:sz w:val="32"/>
          <w:szCs w:val="32"/>
        </w:rPr>
      </w:pPr>
      <w:r w:rsidRPr="00B64240">
        <w:rPr>
          <w:rFonts w:ascii="仿宋_GB2312" w:eastAsia="仿宋_GB2312" w:cs="宋体" w:hint="eastAsia"/>
          <w:sz w:val="32"/>
          <w:szCs w:val="32"/>
        </w:rPr>
        <w:t>本标准适用于规范各类组织的隐私信息脱敏处理活动，也适用于主管监管部门、第三方评估机构等组织对隐私信息脱敏处理活动进行监督、管理和评估。</w:t>
      </w:r>
    </w:p>
    <w:p w14:paraId="6058005F" w14:textId="68F66A6A" w:rsidR="00C56ECB" w:rsidRPr="00C73A00" w:rsidRDefault="003F5D50" w:rsidP="00306E39">
      <w:pPr>
        <w:ind w:firstLineChars="200" w:firstLine="640"/>
        <w:rPr>
          <w:rFonts w:ascii="仿宋_GB2312" w:eastAsia="仿宋_GB2312" w:cs="宋体"/>
          <w:sz w:val="32"/>
          <w:szCs w:val="32"/>
        </w:rPr>
      </w:pPr>
      <w:r w:rsidRPr="00C73A00">
        <w:rPr>
          <w:rFonts w:ascii="仿宋_GB2312" w:eastAsia="仿宋_GB2312" w:cs="宋体" w:hint="eastAsia"/>
          <w:sz w:val="32"/>
          <w:szCs w:val="32"/>
        </w:rPr>
        <w:t>本标准</w:t>
      </w:r>
      <w:r w:rsidR="00306E39" w:rsidRPr="00C73A00">
        <w:rPr>
          <w:rFonts w:ascii="仿宋_GB2312" w:eastAsia="仿宋_GB2312" w:cs="宋体" w:hint="eastAsia"/>
          <w:sz w:val="32"/>
          <w:szCs w:val="32"/>
        </w:rPr>
        <w:t>牵头单位</w:t>
      </w:r>
      <w:r w:rsidRPr="00C73A00">
        <w:rPr>
          <w:rFonts w:ascii="仿宋_GB2312" w:eastAsia="仿宋_GB2312" w:cs="宋体" w:hint="eastAsia"/>
          <w:sz w:val="32"/>
          <w:szCs w:val="32"/>
        </w:rPr>
        <w:t>为</w:t>
      </w:r>
      <w:r w:rsidR="005416B0" w:rsidRPr="00C73A00">
        <w:rPr>
          <w:rFonts w:ascii="仿宋_GB2312" w:eastAsia="仿宋_GB2312" w:cs="宋体" w:hint="eastAsia"/>
          <w:sz w:val="32"/>
          <w:szCs w:val="32"/>
        </w:rPr>
        <w:t>西安电子科技大学</w:t>
      </w:r>
      <w:r w:rsidR="00306E39" w:rsidRPr="00C73A00">
        <w:rPr>
          <w:rFonts w:ascii="仿宋_GB2312" w:eastAsia="仿宋_GB2312" w:cs="宋体" w:hint="eastAsia"/>
          <w:sz w:val="32"/>
          <w:szCs w:val="32"/>
        </w:rPr>
        <w:t>，参加单位包括</w:t>
      </w:r>
      <w:r w:rsidR="0060652F" w:rsidRPr="00624983">
        <w:rPr>
          <w:rFonts w:ascii="仿宋_GB2312" w:eastAsia="仿宋_GB2312" w:hAnsi="仿宋_GB2312" w:cs="仿宋_GB2312"/>
          <w:sz w:val="32"/>
          <w:szCs w:val="32"/>
        </w:rPr>
        <w:t>中国科学院信息工程研究所、</w:t>
      </w:r>
      <w:r w:rsidR="0060652F" w:rsidRPr="00624983">
        <w:rPr>
          <w:rFonts w:ascii="仿宋_GB2312" w:eastAsia="仿宋_GB2312" w:hAnsi="仿宋_GB2312" w:cs="仿宋_GB2312" w:hint="eastAsia"/>
          <w:sz w:val="32"/>
          <w:szCs w:val="32"/>
        </w:rPr>
        <w:t>中国电信股份有限公司、中国网络安全审查认证和市场监管大数据中心、四川昊华锐恒科技有限公司、成都西电网络安全研究院、</w:t>
      </w:r>
      <w:r w:rsidR="0060652F" w:rsidRPr="00624983">
        <w:rPr>
          <w:rFonts w:ascii="仿宋_GB2312" w:eastAsia="仿宋_GB2312" w:hAnsi="仿宋_GB2312" w:cs="仿宋_GB2312"/>
          <w:sz w:val="32"/>
          <w:szCs w:val="32"/>
        </w:rPr>
        <w:t>国网上海研究院</w:t>
      </w:r>
      <w:r w:rsidR="0060652F" w:rsidRPr="00624983">
        <w:rPr>
          <w:rFonts w:ascii="仿宋_GB2312" w:eastAsia="仿宋_GB2312" w:hAnsi="仿宋_GB2312" w:cs="仿宋_GB2312" w:hint="eastAsia"/>
          <w:sz w:val="32"/>
          <w:szCs w:val="32"/>
        </w:rPr>
        <w:t>、北京市计算中心有限公司、普华永道商务咨询</w:t>
      </w:r>
      <w:r w:rsidR="0060652F" w:rsidRPr="00624983">
        <w:rPr>
          <w:rFonts w:ascii="仿宋_GB2312" w:eastAsia="仿宋_GB2312" w:hAnsi="仿宋_GB2312" w:cs="仿宋_GB2312"/>
          <w:sz w:val="32"/>
          <w:szCs w:val="32"/>
        </w:rPr>
        <w:t>(上海)有限公司</w:t>
      </w:r>
      <w:r w:rsidR="0060652F" w:rsidRPr="00624983">
        <w:rPr>
          <w:rFonts w:ascii="仿宋_GB2312" w:eastAsia="仿宋_GB2312" w:hAnsi="仿宋_GB2312" w:cs="仿宋_GB2312" w:hint="eastAsia"/>
          <w:sz w:val="32"/>
          <w:szCs w:val="32"/>
        </w:rPr>
        <w:t>等</w:t>
      </w:r>
      <w:r w:rsidRPr="00C73A00">
        <w:rPr>
          <w:rFonts w:ascii="仿宋_GB2312" w:eastAsia="仿宋_GB2312" w:cs="宋体" w:hint="eastAsia"/>
          <w:sz w:val="32"/>
          <w:szCs w:val="32"/>
        </w:rPr>
        <w:t>。</w:t>
      </w:r>
    </w:p>
    <w:p w14:paraId="2B1332FA" w14:textId="77777777" w:rsidR="00C56ECB" w:rsidRDefault="003F5D50">
      <w:pPr>
        <w:numPr>
          <w:ilvl w:val="0"/>
          <w:numId w:val="1"/>
        </w:numPr>
        <w:spacing w:beforeLines="50" w:before="156" w:line="348" w:lineRule="auto"/>
        <w:ind w:left="0" w:right="96" w:firstLine="0"/>
        <w:rPr>
          <w:rFonts w:ascii="黑体" w:eastAsia="黑体" w:cs="宋体"/>
          <w:b/>
          <w:bCs/>
          <w:sz w:val="32"/>
          <w:szCs w:val="32"/>
        </w:rPr>
      </w:pPr>
      <w:r>
        <w:rPr>
          <w:rFonts w:ascii="黑体" w:eastAsia="黑体" w:cs="宋体" w:hint="eastAsia"/>
          <w:b/>
          <w:bCs/>
          <w:sz w:val="32"/>
          <w:szCs w:val="32"/>
        </w:rPr>
        <w:lastRenderedPageBreak/>
        <w:t>与相关法律法规和国家标准的关系</w:t>
      </w:r>
    </w:p>
    <w:p w14:paraId="1A975AF8" w14:textId="77777777" w:rsidR="00C56ECB" w:rsidRDefault="003F5D50">
      <w:pPr>
        <w:ind w:firstLineChars="200" w:firstLine="640"/>
        <w:rPr>
          <w:rFonts w:ascii="仿宋_GB2312" w:eastAsia="仿宋_GB2312" w:cs="宋体"/>
          <w:sz w:val="32"/>
          <w:szCs w:val="32"/>
        </w:rPr>
      </w:pPr>
      <w:r>
        <w:rPr>
          <w:rFonts w:ascii="仿宋_GB2312" w:eastAsia="仿宋_GB2312" w:cs="宋体" w:hint="eastAsia"/>
          <w:sz w:val="32"/>
          <w:szCs w:val="32"/>
        </w:rPr>
        <w:t>本标准的总体结构和编写方法按照GB/T 1.1-2020《标准化工作导则 第一部分：标准化文件的结构和起草规则》的规定执行。本标准参考的相关法律、法规和标准文件如下：</w:t>
      </w:r>
    </w:p>
    <w:p w14:paraId="336B2A29" w14:textId="77777777" w:rsidR="00664C75" w:rsidRPr="00664C75" w:rsidRDefault="00664C75" w:rsidP="00664C75">
      <w:pPr>
        <w:ind w:firstLineChars="200" w:firstLine="640"/>
        <w:rPr>
          <w:rFonts w:ascii="仿宋_GB2312" w:eastAsia="仿宋_GB2312" w:cs="宋体"/>
          <w:sz w:val="32"/>
          <w:szCs w:val="32"/>
        </w:rPr>
      </w:pPr>
      <w:r w:rsidRPr="00664C75">
        <w:rPr>
          <w:rFonts w:ascii="仿宋_GB2312" w:eastAsia="仿宋_GB2312" w:cs="宋体"/>
          <w:sz w:val="32"/>
          <w:szCs w:val="32"/>
        </w:rPr>
        <w:t>GB/T 25069-2022信息安全技术 术语</w:t>
      </w:r>
    </w:p>
    <w:p w14:paraId="313D41EF" w14:textId="77777777" w:rsidR="00664C75" w:rsidRPr="00664C75" w:rsidRDefault="00664C75" w:rsidP="00664C75">
      <w:pPr>
        <w:ind w:firstLineChars="200" w:firstLine="640"/>
        <w:rPr>
          <w:rFonts w:ascii="仿宋_GB2312" w:eastAsia="仿宋_GB2312" w:cs="宋体"/>
          <w:sz w:val="32"/>
          <w:szCs w:val="32"/>
        </w:rPr>
      </w:pPr>
      <w:r w:rsidRPr="00664C75">
        <w:rPr>
          <w:rFonts w:ascii="仿宋_GB2312" w:eastAsia="仿宋_GB2312" w:cs="宋体"/>
          <w:sz w:val="32"/>
          <w:szCs w:val="32"/>
        </w:rPr>
        <w:t>GB/T 35273-2020信息安全技术 个人信息安全规范</w:t>
      </w:r>
    </w:p>
    <w:p w14:paraId="16173BE7" w14:textId="77777777" w:rsidR="00664C75" w:rsidRPr="00664C75" w:rsidRDefault="00664C75" w:rsidP="00664C75">
      <w:pPr>
        <w:ind w:firstLineChars="200" w:firstLine="640"/>
        <w:rPr>
          <w:rFonts w:ascii="仿宋_GB2312" w:eastAsia="仿宋_GB2312" w:cs="宋体"/>
          <w:sz w:val="32"/>
          <w:szCs w:val="32"/>
        </w:rPr>
      </w:pPr>
      <w:r w:rsidRPr="00664C75">
        <w:rPr>
          <w:rFonts w:ascii="仿宋_GB2312" w:eastAsia="仿宋_GB2312" w:cs="宋体"/>
          <w:sz w:val="32"/>
          <w:szCs w:val="32"/>
        </w:rPr>
        <w:t>GB/T 37964-2019 信息安全技术 个人信息去标识化指南</w:t>
      </w:r>
    </w:p>
    <w:p w14:paraId="1461CABD" w14:textId="77777777" w:rsidR="00664C75" w:rsidRPr="00664C75" w:rsidRDefault="00664C75" w:rsidP="00664C75">
      <w:pPr>
        <w:ind w:firstLineChars="200" w:firstLine="640"/>
        <w:rPr>
          <w:rFonts w:ascii="仿宋_GB2312" w:eastAsia="仿宋_GB2312" w:cs="宋体"/>
          <w:sz w:val="32"/>
          <w:szCs w:val="32"/>
        </w:rPr>
      </w:pPr>
      <w:r w:rsidRPr="00664C75">
        <w:rPr>
          <w:rFonts w:ascii="仿宋_GB2312" w:eastAsia="仿宋_GB2312" w:cs="宋体"/>
          <w:sz w:val="32"/>
          <w:szCs w:val="32"/>
        </w:rPr>
        <w:t>GB/T 37988-2019 信息安全技术 数据安全能力成熟度模型</w:t>
      </w:r>
    </w:p>
    <w:p w14:paraId="150E9CBD" w14:textId="0CBB674E" w:rsidR="00664C75" w:rsidRDefault="00664C75" w:rsidP="00664C75">
      <w:pPr>
        <w:ind w:firstLineChars="200" w:firstLine="640"/>
        <w:rPr>
          <w:rFonts w:ascii="仿宋_GB2312" w:eastAsia="仿宋_GB2312" w:cs="宋体"/>
          <w:sz w:val="32"/>
          <w:szCs w:val="32"/>
        </w:rPr>
      </w:pPr>
      <w:r w:rsidRPr="00664C75">
        <w:rPr>
          <w:rFonts w:ascii="仿宋_GB2312" w:eastAsia="仿宋_GB2312" w:cs="宋体"/>
          <w:sz w:val="32"/>
          <w:szCs w:val="32"/>
        </w:rPr>
        <w:t>T/CESA XXXX-2024 隐私计算 脱敏控制技术要求</w:t>
      </w:r>
    </w:p>
    <w:p w14:paraId="1D546F54" w14:textId="444530C5" w:rsidR="00664C75" w:rsidRPr="00664C75" w:rsidRDefault="00664C75" w:rsidP="00664C75">
      <w:pPr>
        <w:ind w:firstLineChars="200" w:firstLine="640"/>
        <w:rPr>
          <w:rFonts w:ascii="仿宋_GB2312" w:eastAsia="仿宋_GB2312" w:cs="宋体"/>
          <w:sz w:val="32"/>
          <w:szCs w:val="32"/>
        </w:rPr>
      </w:pPr>
      <w:r w:rsidRPr="00664C75">
        <w:rPr>
          <w:rFonts w:ascii="仿宋_GB2312" w:eastAsia="仿宋_GB2312" w:cs="宋体"/>
          <w:sz w:val="32"/>
          <w:szCs w:val="32"/>
        </w:rPr>
        <w:t>《中华人民共和国网络安全法》</w:t>
      </w:r>
    </w:p>
    <w:p w14:paraId="4B3FAC93" w14:textId="2D6CBD20" w:rsidR="00664C75" w:rsidRPr="00664C75" w:rsidRDefault="00664C75" w:rsidP="00664C75">
      <w:pPr>
        <w:ind w:firstLineChars="200" w:firstLine="640"/>
        <w:rPr>
          <w:rFonts w:ascii="仿宋_GB2312" w:eastAsia="仿宋_GB2312" w:cs="宋体"/>
          <w:sz w:val="32"/>
          <w:szCs w:val="32"/>
        </w:rPr>
      </w:pPr>
      <w:r w:rsidRPr="00664C75">
        <w:rPr>
          <w:rFonts w:ascii="仿宋_GB2312" w:eastAsia="仿宋_GB2312" w:cs="宋体"/>
          <w:sz w:val="32"/>
          <w:szCs w:val="32"/>
        </w:rPr>
        <w:t>《中华人民共和国数据安全法》</w:t>
      </w:r>
    </w:p>
    <w:p w14:paraId="64CC730B" w14:textId="3FA03A02" w:rsidR="00664C75" w:rsidRPr="00664C75" w:rsidRDefault="00664C75" w:rsidP="00664C75">
      <w:pPr>
        <w:ind w:firstLineChars="200" w:firstLine="640"/>
        <w:rPr>
          <w:rFonts w:ascii="仿宋_GB2312" w:eastAsia="仿宋_GB2312" w:cs="宋体"/>
          <w:sz w:val="32"/>
          <w:szCs w:val="32"/>
        </w:rPr>
      </w:pPr>
      <w:r w:rsidRPr="00664C75">
        <w:rPr>
          <w:rFonts w:ascii="仿宋_GB2312" w:eastAsia="仿宋_GB2312" w:cs="宋体"/>
          <w:sz w:val="32"/>
          <w:szCs w:val="32"/>
        </w:rPr>
        <w:t>《中华人民共和国个人信息保护法》</w:t>
      </w:r>
    </w:p>
    <w:p w14:paraId="12665F91" w14:textId="00DE4036" w:rsidR="00664C75" w:rsidRPr="00664C75" w:rsidRDefault="00664C75" w:rsidP="00664C75">
      <w:pPr>
        <w:ind w:firstLineChars="200" w:firstLine="640"/>
        <w:rPr>
          <w:rFonts w:ascii="仿宋_GB2312" w:eastAsia="仿宋_GB2312" w:cs="宋体"/>
          <w:sz w:val="32"/>
          <w:szCs w:val="32"/>
        </w:rPr>
      </w:pPr>
      <w:r w:rsidRPr="00664C75">
        <w:rPr>
          <w:rFonts w:ascii="仿宋_GB2312" w:eastAsia="仿宋_GB2312" w:cs="宋体"/>
          <w:sz w:val="32"/>
          <w:szCs w:val="32"/>
        </w:rPr>
        <w:t>《关键信息基础设施安全保护条例》</w:t>
      </w:r>
    </w:p>
    <w:p w14:paraId="7C6CE6BC" w14:textId="69521727" w:rsidR="00664C75" w:rsidRPr="00664C75" w:rsidRDefault="00664C75" w:rsidP="00664C75">
      <w:pPr>
        <w:ind w:firstLineChars="200" w:firstLine="640"/>
        <w:rPr>
          <w:rFonts w:ascii="仿宋_GB2312" w:eastAsia="仿宋_GB2312" w:cs="宋体"/>
          <w:sz w:val="32"/>
          <w:szCs w:val="32"/>
        </w:rPr>
      </w:pPr>
      <w:r w:rsidRPr="00664C75">
        <w:rPr>
          <w:rFonts w:ascii="仿宋_GB2312" w:eastAsia="仿宋_GB2312" w:cs="宋体"/>
          <w:sz w:val="32"/>
          <w:szCs w:val="32"/>
        </w:rPr>
        <w:t>《网络安全审查办法》</w:t>
      </w:r>
    </w:p>
    <w:p w14:paraId="0C76DEA0" w14:textId="0D4F3493" w:rsidR="00664C75" w:rsidRPr="003B6058" w:rsidRDefault="00664C75" w:rsidP="00664C75">
      <w:pPr>
        <w:ind w:firstLineChars="200" w:firstLine="640"/>
        <w:rPr>
          <w:rFonts w:ascii="仿宋_GB2312" w:eastAsia="仿宋_GB2312" w:cs="宋体"/>
          <w:sz w:val="32"/>
          <w:szCs w:val="32"/>
        </w:rPr>
      </w:pPr>
      <w:r w:rsidRPr="00664C75">
        <w:rPr>
          <w:rFonts w:ascii="仿宋_GB2312" w:eastAsia="仿宋_GB2312" w:cs="宋体"/>
          <w:sz w:val="32"/>
          <w:szCs w:val="32"/>
        </w:rPr>
        <w:t>《网络数据安全管理条例（征求意见稿）》</w:t>
      </w:r>
    </w:p>
    <w:p w14:paraId="6BB2F38D" w14:textId="51C8F678" w:rsidR="00C56ECB" w:rsidRDefault="003F5D50" w:rsidP="003B6058">
      <w:pPr>
        <w:ind w:firstLineChars="200" w:firstLine="640"/>
        <w:rPr>
          <w:rFonts w:ascii="仿宋_GB2312" w:eastAsia="仿宋_GB2312" w:cs="宋体"/>
          <w:sz w:val="32"/>
          <w:szCs w:val="32"/>
          <w:lang w:eastAsia="zh-Hans"/>
        </w:rPr>
      </w:pPr>
      <w:r>
        <w:rPr>
          <w:rFonts w:ascii="仿宋_GB2312" w:eastAsia="仿宋_GB2312" w:cs="宋体" w:hint="eastAsia"/>
          <w:sz w:val="32"/>
          <w:szCs w:val="32"/>
          <w:lang w:eastAsia="zh-Hans"/>
        </w:rPr>
        <w:t>目前尚未有类似的</w:t>
      </w:r>
      <w:r w:rsidR="00BB16ED">
        <w:rPr>
          <w:rFonts w:ascii="仿宋_GB2312" w:eastAsia="仿宋_GB2312" w:cs="宋体" w:hint="eastAsia"/>
          <w:sz w:val="32"/>
          <w:szCs w:val="32"/>
          <w:lang w:eastAsia="zh-Hans"/>
        </w:rPr>
        <w:t>数据脱敏效果</w:t>
      </w:r>
      <w:r w:rsidR="00032F3C">
        <w:rPr>
          <w:rFonts w:ascii="仿宋_GB2312" w:eastAsia="仿宋_GB2312" w:cs="宋体" w:hint="eastAsia"/>
          <w:sz w:val="32"/>
          <w:szCs w:val="32"/>
          <w:lang w:eastAsia="zh-Hans"/>
        </w:rPr>
        <w:t>评估</w:t>
      </w:r>
      <w:r w:rsidR="00BB16ED">
        <w:rPr>
          <w:rFonts w:ascii="仿宋_GB2312" w:eastAsia="仿宋_GB2312" w:cs="宋体" w:hint="eastAsia"/>
          <w:sz w:val="32"/>
          <w:szCs w:val="32"/>
          <w:lang w:eastAsia="zh-Hans"/>
        </w:rPr>
        <w:t>指标</w:t>
      </w:r>
      <w:r>
        <w:rPr>
          <w:rFonts w:ascii="仿宋_GB2312" w:eastAsia="仿宋_GB2312" w:cs="宋体" w:hint="eastAsia"/>
          <w:sz w:val="32"/>
          <w:szCs w:val="32"/>
          <w:lang w:eastAsia="zh-Hans"/>
        </w:rPr>
        <w:t>的国家标准，本标准内容与现有国家标准不存在冲突，相关术语定义与其他</w:t>
      </w:r>
      <w:r w:rsidR="00BB16ED" w:rsidRPr="00BB16ED">
        <w:rPr>
          <w:rFonts w:ascii="仿宋_GB2312" w:eastAsia="仿宋_GB2312" w:cs="宋体" w:hint="eastAsia"/>
          <w:color w:val="000000" w:themeColor="text1"/>
          <w:sz w:val="32"/>
          <w:szCs w:val="32"/>
          <w:lang w:eastAsia="zh-Hans"/>
        </w:rPr>
        <w:t>数据脱敏</w:t>
      </w:r>
      <w:r>
        <w:rPr>
          <w:rFonts w:ascii="仿宋_GB2312" w:eastAsia="仿宋_GB2312" w:cs="宋体" w:hint="eastAsia"/>
          <w:sz w:val="32"/>
          <w:szCs w:val="32"/>
          <w:lang w:eastAsia="zh-Hans"/>
        </w:rPr>
        <w:t>国家标准保持一致。</w:t>
      </w:r>
    </w:p>
    <w:sectPr w:rsidR="00C56E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CAF8B" w14:textId="77777777" w:rsidR="00B91D44" w:rsidRDefault="00B91D44" w:rsidP="00E87323">
      <w:r>
        <w:separator/>
      </w:r>
    </w:p>
  </w:endnote>
  <w:endnote w:type="continuationSeparator" w:id="0">
    <w:p w14:paraId="5E654CBD" w14:textId="77777777" w:rsidR="00B91D44" w:rsidRDefault="00B91D44" w:rsidP="00E87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4AACD" w14:textId="77777777" w:rsidR="00B91D44" w:rsidRDefault="00B91D44" w:rsidP="00E87323">
      <w:r>
        <w:separator/>
      </w:r>
    </w:p>
  </w:footnote>
  <w:footnote w:type="continuationSeparator" w:id="0">
    <w:p w14:paraId="78B24AA9" w14:textId="77777777" w:rsidR="00B91D44" w:rsidRDefault="00B91D44" w:rsidP="00E87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93193"/>
    <w:multiLevelType w:val="multilevel"/>
    <w:tmpl w:val="29D93193"/>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CED"/>
    <w:rsid w:val="CEE3FEC7"/>
    <w:rsid w:val="00032F3C"/>
    <w:rsid w:val="00040657"/>
    <w:rsid w:val="000652F1"/>
    <w:rsid w:val="000A5663"/>
    <w:rsid w:val="000B7D7B"/>
    <w:rsid w:val="000C1BFA"/>
    <w:rsid w:val="0011445F"/>
    <w:rsid w:val="00157D4F"/>
    <w:rsid w:val="001D3B20"/>
    <w:rsid w:val="001E6329"/>
    <w:rsid w:val="002206BC"/>
    <w:rsid w:val="00293E71"/>
    <w:rsid w:val="002F2DF5"/>
    <w:rsid w:val="00306E39"/>
    <w:rsid w:val="00344DF4"/>
    <w:rsid w:val="00355D7C"/>
    <w:rsid w:val="00386B25"/>
    <w:rsid w:val="003B6058"/>
    <w:rsid w:val="003C6F66"/>
    <w:rsid w:val="003F1503"/>
    <w:rsid w:val="003F5D50"/>
    <w:rsid w:val="004246F2"/>
    <w:rsid w:val="0045634C"/>
    <w:rsid w:val="00493135"/>
    <w:rsid w:val="004A00E7"/>
    <w:rsid w:val="004D61B9"/>
    <w:rsid w:val="004E5544"/>
    <w:rsid w:val="00514E08"/>
    <w:rsid w:val="005416B0"/>
    <w:rsid w:val="00553B1D"/>
    <w:rsid w:val="00562C9B"/>
    <w:rsid w:val="0056519E"/>
    <w:rsid w:val="0057217B"/>
    <w:rsid w:val="0060652F"/>
    <w:rsid w:val="00643A91"/>
    <w:rsid w:val="00664C75"/>
    <w:rsid w:val="006E09C2"/>
    <w:rsid w:val="007849DB"/>
    <w:rsid w:val="007B3CB9"/>
    <w:rsid w:val="007D0F2A"/>
    <w:rsid w:val="007D7415"/>
    <w:rsid w:val="007F41ED"/>
    <w:rsid w:val="0081397E"/>
    <w:rsid w:val="008273D9"/>
    <w:rsid w:val="008277CE"/>
    <w:rsid w:val="00841BD3"/>
    <w:rsid w:val="009017B1"/>
    <w:rsid w:val="00920842"/>
    <w:rsid w:val="00934750"/>
    <w:rsid w:val="00945397"/>
    <w:rsid w:val="00980B0C"/>
    <w:rsid w:val="00995AFE"/>
    <w:rsid w:val="009B5349"/>
    <w:rsid w:val="009D7411"/>
    <w:rsid w:val="00A3541D"/>
    <w:rsid w:val="00A4038A"/>
    <w:rsid w:val="00AB1ACC"/>
    <w:rsid w:val="00AB32F1"/>
    <w:rsid w:val="00AC418E"/>
    <w:rsid w:val="00AE5179"/>
    <w:rsid w:val="00B4522D"/>
    <w:rsid w:val="00B545EC"/>
    <w:rsid w:val="00B64240"/>
    <w:rsid w:val="00B91D44"/>
    <w:rsid w:val="00B92A90"/>
    <w:rsid w:val="00BA153F"/>
    <w:rsid w:val="00BB16ED"/>
    <w:rsid w:val="00C07092"/>
    <w:rsid w:val="00C56ECB"/>
    <w:rsid w:val="00C73A00"/>
    <w:rsid w:val="00C761FB"/>
    <w:rsid w:val="00C84C0F"/>
    <w:rsid w:val="00CE39E8"/>
    <w:rsid w:val="00D6531F"/>
    <w:rsid w:val="00E57CC3"/>
    <w:rsid w:val="00E76835"/>
    <w:rsid w:val="00E87323"/>
    <w:rsid w:val="00EF0BA0"/>
    <w:rsid w:val="00EF4E2E"/>
    <w:rsid w:val="00F167FD"/>
    <w:rsid w:val="00F45CED"/>
    <w:rsid w:val="00F50B52"/>
    <w:rsid w:val="00F630E7"/>
    <w:rsid w:val="00F77399"/>
    <w:rsid w:val="00FA6AA2"/>
    <w:rsid w:val="00FC5E5E"/>
    <w:rsid w:val="6E756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F204D"/>
  <w15:docId w15:val="{A4CF33E8-36E8-4E4A-8199-7B128B43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rPr>
      <w:b/>
      <w:bCs/>
    </w:rPr>
  </w:style>
  <w:style w:type="paragraph" w:styleId="a4">
    <w:name w:val="annotation text"/>
    <w:basedOn w:val="a"/>
    <w:link w:val="a6"/>
    <w:uiPriority w:val="99"/>
    <w:unhideWhenUsed/>
    <w:pPr>
      <w:jc w:val="left"/>
    </w:pPr>
  </w:style>
  <w:style w:type="paragraph" w:styleId="a7">
    <w:name w:val="Balloon Text"/>
    <w:basedOn w:val="a"/>
    <w:link w:val="a8"/>
    <w:uiPriority w:val="99"/>
    <w:unhideWhenUsed/>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unhideWhenUsed/>
    <w:rPr>
      <w:sz w:val="21"/>
      <w:szCs w:val="21"/>
    </w:rPr>
  </w:style>
  <w:style w:type="character" w:customStyle="1" w:styleId="ac">
    <w:name w:val="页眉 字符"/>
    <w:basedOn w:val="a0"/>
    <w:link w:val="ab"/>
    <w:uiPriority w:val="99"/>
    <w:rPr>
      <w:sz w:val="18"/>
      <w:szCs w:val="18"/>
    </w:rPr>
  </w:style>
  <w:style w:type="character" w:customStyle="1" w:styleId="aa">
    <w:name w:val="页脚 字符"/>
    <w:basedOn w:val="a0"/>
    <w:link w:val="a9"/>
    <w:uiPriority w:val="99"/>
    <w:qFormat/>
    <w:rPr>
      <w:sz w:val="18"/>
      <w:szCs w:val="18"/>
    </w:rPr>
  </w:style>
  <w:style w:type="paragraph" w:customStyle="1" w:styleId="1">
    <w:name w:val="列出段落1"/>
    <w:basedOn w:val="a"/>
    <w:uiPriority w:val="34"/>
    <w:qFormat/>
    <w:pPr>
      <w:ind w:firstLineChars="200" w:firstLine="420"/>
    </w:pPr>
  </w:style>
  <w:style w:type="paragraph" w:customStyle="1" w:styleId="ae">
    <w:name w:val="标准文件_段"/>
    <w:link w:val="Char"/>
    <w:qFormat/>
    <w:pPr>
      <w:autoSpaceDE w:val="0"/>
      <w:autoSpaceDN w:val="0"/>
      <w:ind w:firstLineChars="200" w:firstLine="200"/>
      <w:jc w:val="both"/>
    </w:pPr>
    <w:rPr>
      <w:rFonts w:ascii="宋体" w:eastAsia="宋体" w:hAnsi="Times New Roman" w:cs="Times New Roman"/>
      <w:sz w:val="21"/>
    </w:rPr>
  </w:style>
  <w:style w:type="character" w:customStyle="1" w:styleId="Char">
    <w:name w:val="标准文件_段 Char"/>
    <w:link w:val="ae"/>
    <w:qFormat/>
    <w:rPr>
      <w:rFonts w:ascii="宋体" w:eastAsia="宋体" w:hAnsi="Times New Roman" w:cs="Times New Roman"/>
      <w:kern w:val="0"/>
      <w:szCs w:val="20"/>
    </w:rPr>
  </w:style>
  <w:style w:type="paragraph" w:customStyle="1" w:styleId="af">
    <w:name w:val="段"/>
    <w:link w:val="Char0"/>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0">
    <w:name w:val="段 Char"/>
    <w:link w:val="af"/>
    <w:qFormat/>
    <w:rPr>
      <w:rFonts w:ascii="宋体" w:eastAsia="宋体" w:hAnsi="Times New Roman" w:cs="Times New Roman"/>
      <w:kern w:val="0"/>
      <w:szCs w:val="20"/>
    </w:rPr>
  </w:style>
  <w:style w:type="character" w:customStyle="1" w:styleId="a6">
    <w:name w:val="批注文字 字符"/>
    <w:basedOn w:val="a0"/>
    <w:link w:val="a4"/>
    <w:uiPriority w:val="99"/>
    <w:semiHidden/>
    <w:qFormat/>
  </w:style>
  <w:style w:type="character" w:customStyle="1" w:styleId="a5">
    <w:name w:val="批注主题 字符"/>
    <w:basedOn w:val="a6"/>
    <w:link w:val="a3"/>
    <w:uiPriority w:val="99"/>
    <w:semiHidden/>
    <w:qFormat/>
    <w:rPr>
      <w:b/>
      <w:bCs/>
    </w:rPr>
  </w:style>
  <w:style w:type="character" w:customStyle="1" w:styleId="a8">
    <w:name w:val="批注框文本 字符"/>
    <w:basedOn w:val="a0"/>
    <w:link w:val="a7"/>
    <w:uiPriority w:val="99"/>
    <w:semiHidden/>
    <w:qFormat/>
    <w:rPr>
      <w:sz w:val="18"/>
      <w:szCs w:val="18"/>
    </w:rPr>
  </w:style>
  <w:style w:type="paragraph" w:styleId="af0">
    <w:name w:val="List Paragraph"/>
    <w:basedOn w:val="a"/>
    <w:uiPriority w:val="99"/>
    <w:rsid w:val="00B4522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217818">
      <w:bodyDiv w:val="1"/>
      <w:marLeft w:val="0"/>
      <w:marRight w:val="0"/>
      <w:marTop w:val="0"/>
      <w:marBottom w:val="0"/>
      <w:divBdr>
        <w:top w:val="none" w:sz="0" w:space="0" w:color="auto"/>
        <w:left w:val="none" w:sz="0" w:space="0" w:color="auto"/>
        <w:bottom w:val="none" w:sz="0" w:space="0" w:color="auto"/>
        <w:right w:val="none" w:sz="0" w:space="0" w:color="auto"/>
      </w:divBdr>
    </w:div>
    <w:div w:id="1946686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444</Words>
  <Characters>2536</Characters>
  <Application>Microsoft Office Word</Application>
  <DocSecurity>0</DocSecurity>
  <Lines>21</Lines>
  <Paragraphs>5</Paragraphs>
  <ScaleCrop>false</ScaleCrop>
  <Company>Qihoo360</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binz_zhang</dc:creator>
  <cp:lastModifiedBy>玲翠 张</cp:lastModifiedBy>
  <cp:revision>9</cp:revision>
  <dcterms:created xsi:type="dcterms:W3CDTF">2024-08-12T13:11:00Z</dcterms:created>
  <dcterms:modified xsi:type="dcterms:W3CDTF">2024-08-20T02:55:00Z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